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柴油机铸件相关行业公司成立方案及可行性研究报告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6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_Toc22518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_Toc23255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_Toc19770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_Toc21907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_Toc9590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_Toc13593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_Toc3708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_Toc5852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_Toc30670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_Toc23805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_Toc18076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_Toc9223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_Toc8414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eastAsia="zh-CN"/>
          </w:rPr>
          <w:t>(一)、柴油机铸件项目选址原则</w:t>
        </w:r>
        <w:r>
          <w:tab/>
        </w:r>
        <w:r>
          <w:fldChar w:fldCharType="begin"/>
        </w:r>
        <w:r>
          <w:instrText xml:space="preserve"> PAGEREF _Toc32580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_Toc26819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_Toc15013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(五)、柴油机铸件项目选址综合评价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_Toc9100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_Toc13761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_Toc15105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_Toc12674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_Toc29117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_Toc17699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_Toc18429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_Toc24321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_Toc11506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_Toc29973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78" w:history="1">
        <w:r>
          <w:rPr>
            <w:rFonts w:ascii="仿宋" w:eastAsia="仿宋" w:hAnsi="仿宋" w:cs="仿宋" w:hint="eastAsia"/>
            <w:lang w:eastAsia="zh-CN"/>
          </w:rPr>
          <w:t>七、柴油机铸件项目风险分析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0" w:history="1">
        <w:r>
          <w:rPr>
            <w:rFonts w:ascii="仿宋" w:eastAsia="仿宋" w:hAnsi="仿宋" w:cs="仿宋" w:hint="eastAsia"/>
            <w:lang w:eastAsia="zh-CN"/>
          </w:rPr>
          <w:t>(一)、柴油机铸件项目风险分析</w:t>
        </w:r>
        <w:r>
          <w:tab/>
        </w:r>
        <w:r>
          <w:fldChar w:fldCharType="begin"/>
        </w:r>
        <w:r>
          <w:instrText xml:space="preserve"> PAGEREF _Toc14890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2" w:history="1">
        <w:r>
          <w:rPr>
            <w:rFonts w:ascii="仿宋" w:eastAsia="仿宋" w:hAnsi="仿宋" w:cs="仿宋" w:hint="eastAsia"/>
            <w:lang w:eastAsia="zh-CN"/>
          </w:rPr>
          <w:t>(二)、柴油机铸件项目风险对策</w:t>
        </w:r>
        <w:r>
          <w:tab/>
        </w:r>
        <w:r>
          <w:fldChar w:fldCharType="begin"/>
        </w:r>
        <w:r>
          <w:instrText xml:space="preserve"> PAGEREF _Toc14752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_Toc30742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1" w:history="1">
        <w:r>
          <w:rPr>
            <w:rFonts w:ascii="仿宋" w:eastAsia="仿宋" w:hAnsi="仿宋" w:cs="仿宋" w:hint="eastAsia"/>
            <w:lang w:eastAsia="zh-CN"/>
          </w:rPr>
          <w:t>(一)、柴油机铸件项目进度安排</w:t>
        </w:r>
        <w:r>
          <w:tab/>
        </w:r>
        <w:r>
          <w:fldChar w:fldCharType="begin"/>
        </w:r>
        <w:r>
          <w:instrText xml:space="preserve"> PAGEREF _Toc14111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8" w:history="1">
        <w:r>
          <w:rPr>
            <w:rFonts w:ascii="仿宋" w:eastAsia="仿宋" w:hAnsi="仿宋" w:cs="仿宋" w:hint="eastAsia"/>
            <w:lang w:eastAsia="zh-CN"/>
          </w:rPr>
          <w:t>(二)、柴油机铸件项目实施保障措施</w:t>
        </w:r>
        <w:r>
          <w:tab/>
        </w:r>
        <w:r>
          <w:fldChar w:fldCharType="begin"/>
        </w:r>
        <w:r>
          <w:instrText xml:space="preserve"> PAGEREF _Toc14328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_Toc23248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_Toc4494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_Toc14356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8" w:history="1">
        <w:r>
          <w:rPr>
            <w:rFonts w:ascii="仿宋" w:eastAsia="仿宋" w:hAnsi="仿宋" w:cs="仿宋" w:hint="eastAsia"/>
            <w:lang w:eastAsia="zh-CN"/>
          </w:rPr>
          <w:t>(五)、柴油机铸件项目总投资</w:t>
        </w:r>
        <w:r>
          <w:tab/>
        </w:r>
        <w:r>
          <w:fldChar w:fldCharType="begin"/>
        </w:r>
        <w:r>
          <w:instrText xml:space="preserve"> PAGEREF _Toc25848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_Toc30643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_Toc29907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_Toc3911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_Toc21076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_Toc15032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_Toc21951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_Toc15314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_Toc24363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_Toc13381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3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_Toc15353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5" w:history="1">
        <w:r>
          <w:rPr>
            <w:rFonts w:ascii="仿宋" w:eastAsia="仿宋" w:hAnsi="仿宋" w:cs="仿宋" w:hint="eastAsia"/>
            <w:lang w:eastAsia="zh-CN"/>
          </w:rPr>
          <w:t>(一)、社会责任柴油机铸件项目</w:t>
        </w:r>
        <w:r>
          <w:tab/>
        </w:r>
        <w:r>
          <w:fldChar w:fldCharType="begin"/>
        </w:r>
        <w:r>
          <w:instrText xml:space="preserve"> PAGEREF _Toc32195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_Toc9182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_Toc19604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06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76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1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25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https://d.book118.com/885111143323011110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柴油机铸件相关行业公司成立方案及可行性研究报告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柴油机铸件相关行业公司成立方案及可行性研究报告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柴油机铸件相关行业公司成立方案及可行性研究报告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柴油机铸件相关行业公司成立方案及可行性研究报告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柴油机铸件相关行业公司成立方案及可行性研究报告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5111143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2024-02-08T00:01:00Z</dcterms:created>
  <dcterms:modified xsi:type="dcterms:W3CDTF">2024-02-08T00:01:38Z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B6BA92419415403F807CC63430AA4A6B_11</vt:lpwstr>
  </property>
  <property fmtid="{D5CDD505-2E9C-101B-9397-08002B2CF9AE}" pid="3" name="KSOProductBuildVer">
    <vt:lpwstr>2052-12.1.0.16250</vt:lpwstr>
  </property>
</Properties>
</file>