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熔融还原铁行业商业计划书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95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_Toc14953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14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_Toc12514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_Toc18139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_Toc22455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6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_Toc12286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24" w:history="1">
        <w:r>
          <w:rPr>
            <w:rFonts w:ascii="仿宋" w:eastAsia="仿宋" w:hAnsi="仿宋" w:cs="仿宋" w:hint="eastAsia"/>
            <w:lang w:eastAsia="zh-CN"/>
          </w:rPr>
          <w:t>二、建筑工程方案</w:t>
        </w:r>
        <w:r>
          <w:tab/>
        </w:r>
        <w:r>
          <w:fldChar w:fldCharType="begin"/>
        </w:r>
        <w:r>
          <w:instrText xml:space="preserve"> PAGEREF _Toc15624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(一)、熔融还原铁项目工程设计总体要求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8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_Toc11738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1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_Toc28481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68" w:history="1">
        <w:r>
          <w:rPr>
            <w:rFonts w:ascii="仿宋" w:eastAsia="仿宋" w:hAnsi="仿宋" w:cs="仿宋" w:hint="eastAsia"/>
            <w:lang w:eastAsia="zh-CN"/>
          </w:rPr>
          <w:t>三、运营模式分析</w:t>
        </w:r>
        <w:r>
          <w:tab/>
        </w:r>
        <w:r>
          <w:fldChar w:fldCharType="begin"/>
        </w:r>
        <w:r>
          <w:instrText xml:space="preserve"> PAGEREF _Toc31868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_Toc29736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_Toc13310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2" w:history="1">
        <w:r>
          <w:rPr>
            <w:rFonts w:ascii="仿宋" w:eastAsia="仿宋" w:hAnsi="仿宋" w:cs="仿宋" w:hint="eastAsia"/>
            <w:lang w:eastAsia="zh-CN"/>
          </w:rPr>
          <w:t>四、发展规划产业政策和行业准入分析</w:t>
        </w:r>
        <w:r>
          <w:tab/>
        </w:r>
        <w:r>
          <w:fldChar w:fldCharType="begin"/>
        </w:r>
        <w:r>
          <w:instrText xml:space="preserve"> PAGEREF _Toc12372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6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_Toc31597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34" w:history="1">
        <w:r>
          <w:rPr>
            <w:rFonts w:ascii="仿宋" w:eastAsia="仿宋" w:hAnsi="仿宋" w:cs="仿宋" w:hint="eastAsia"/>
            <w:lang w:eastAsia="zh-CN"/>
          </w:rPr>
          <w:t>五、内部技术风险的管理与动态性</w:t>
        </w:r>
        <w:r>
          <w:tab/>
        </w:r>
        <w:r>
          <w:fldChar w:fldCharType="begin"/>
        </w:r>
        <w:r>
          <w:instrText xml:space="preserve"> PAGEREF _Toc25534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2" w:history="1">
        <w:r>
          <w:rPr>
            <w:rFonts w:ascii="仿宋" w:eastAsia="仿宋" w:hAnsi="仿宋" w:cs="仿宋" w:hint="eastAsia"/>
            <w:lang w:eastAsia="zh-CN"/>
          </w:rPr>
          <w:t>(一)、内部技术风险的管理与动态性</w:t>
        </w:r>
        <w:r>
          <w:tab/>
        </w:r>
        <w:r>
          <w:fldChar w:fldCharType="begin"/>
        </w:r>
        <w:r>
          <w:instrText xml:space="preserve"> PAGEREF _Toc31122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95" w:history="1">
        <w:r>
          <w:rPr>
            <w:rFonts w:ascii="仿宋" w:eastAsia="仿宋" w:hAnsi="仿宋" w:cs="仿宋" w:hint="eastAsia"/>
            <w:lang w:eastAsia="zh-CN"/>
          </w:rPr>
          <w:t>六、熔融还原铁项目进度计划</w:t>
        </w:r>
        <w:r>
          <w:tab/>
        </w:r>
        <w:r>
          <w:fldChar w:fldCharType="begin"/>
        </w:r>
        <w:r>
          <w:instrText xml:space="preserve"> PAGEREF _Toc22195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_Toc676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7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_Toc10447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_Toc31717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30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_Toc18830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eastAsia="zh-CN"/>
          </w:rPr>
          <w:t>(六)、熔融还原铁项目实施保障</w:t>
        </w:r>
        <w:r>
          <w:tab/>
        </w:r>
        <w:r>
          <w:fldChar w:fldCharType="begin"/>
        </w:r>
        <w:r>
          <w:instrText xml:space="preserve"> PAGEREF _Toc12613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2" w:history="1">
        <w:r>
          <w:rPr>
            <w:rFonts w:ascii="仿宋" w:eastAsia="仿宋" w:hAnsi="仿宋" w:cs="仿宋" w:hint="eastAsia"/>
            <w:lang w:eastAsia="zh-CN"/>
          </w:rPr>
          <w:t>七、运营风险的含义及其主要内容</w:t>
        </w:r>
        <w:r>
          <w:tab/>
        </w:r>
        <w:r>
          <w:fldChar w:fldCharType="begin"/>
        </w:r>
        <w:r>
          <w:instrText xml:space="preserve"> PAGEREF _Toc22462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9" w:history="1">
        <w:r>
          <w:rPr>
            <w:rFonts w:ascii="仿宋" w:eastAsia="仿宋" w:hAnsi="仿宋" w:cs="仿宋" w:hint="eastAsia"/>
            <w:lang w:eastAsia="zh-CN"/>
          </w:rPr>
          <w:t>(一)、战略风险</w:t>
        </w:r>
        <w:r>
          <w:tab/>
        </w:r>
        <w:r>
          <w:fldChar w:fldCharType="begin"/>
        </w:r>
        <w:r>
          <w:instrText xml:space="preserve"> PAGEREF _Toc7269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8" w:history="1">
        <w:r>
          <w:rPr>
            <w:rFonts w:ascii="仿宋" w:eastAsia="仿宋" w:hAnsi="仿宋" w:cs="仿宋" w:hint="eastAsia"/>
            <w:lang w:eastAsia="zh-CN"/>
          </w:rPr>
          <w:t>(二)、流程风险</w:t>
        </w:r>
        <w:r>
          <w:tab/>
        </w:r>
        <w:r>
          <w:fldChar w:fldCharType="begin"/>
        </w:r>
        <w:r>
          <w:instrText xml:space="preserve"> PAGEREF _Toc29548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6" w:history="1">
        <w:r>
          <w:rPr>
            <w:rFonts w:ascii="仿宋" w:eastAsia="仿宋" w:hAnsi="仿宋" w:cs="仿宋" w:hint="eastAsia"/>
            <w:lang w:eastAsia="zh-CN"/>
          </w:rPr>
          <w:t>(三)、人力资源风险</w:t>
        </w:r>
        <w:r>
          <w:tab/>
        </w:r>
        <w:r>
          <w:fldChar w:fldCharType="begin"/>
        </w:r>
        <w:r>
          <w:instrText xml:space="preserve"> PAGEREF _Toc22486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1" w:history="1">
        <w:r>
          <w:rPr>
            <w:rFonts w:ascii="仿宋" w:eastAsia="仿宋" w:hAnsi="仿宋" w:cs="仿宋" w:hint="eastAsia"/>
            <w:lang w:eastAsia="zh-CN"/>
          </w:rPr>
          <w:t>(四)、内部技术风险</w:t>
        </w:r>
        <w:r>
          <w:tab/>
        </w:r>
        <w:r>
          <w:fldChar w:fldCharType="begin"/>
        </w:r>
        <w:r>
          <w:instrText xml:space="preserve"> PAGEREF _Toc9421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4" w:history="1">
        <w:r>
          <w:rPr>
            <w:rFonts w:ascii="仿宋" w:eastAsia="仿宋" w:hAnsi="仿宋" w:cs="仿宋" w:hint="eastAsia"/>
            <w:lang w:eastAsia="zh-CN"/>
          </w:rPr>
          <w:t>八、风险管理策略和内部控制体系</w:t>
        </w:r>
        <w:r>
          <w:tab/>
        </w:r>
        <w:r>
          <w:fldChar w:fldCharType="begin"/>
        </w:r>
        <w:r>
          <w:instrText xml:space="preserve"> PAGEREF _Toc27444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6" w:history="1">
        <w:r>
          <w:rPr>
            <w:rFonts w:ascii="仿宋" w:eastAsia="仿宋" w:hAnsi="仿宋" w:cs="仿宋" w:hint="eastAsia"/>
            <w:lang w:eastAsia="zh-CN"/>
          </w:rPr>
          <w:t>(一)、主要风险因素及来源分析</w:t>
        </w:r>
        <w:r>
          <w:tab/>
        </w:r>
        <w:r>
          <w:fldChar w:fldCharType="begin"/>
        </w:r>
        <w:r>
          <w:instrText xml:space="preserve"> PAGEREF _Toc31816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3" w:history="1">
        <w:r>
          <w:rPr>
            <w:rFonts w:ascii="仿宋" w:eastAsia="仿宋" w:hAnsi="仿宋" w:cs="仿宋" w:hint="eastAsia"/>
            <w:lang w:eastAsia="zh-CN"/>
          </w:rPr>
          <w:t>(二)、风险应对策略和措施</w:t>
        </w:r>
        <w:r>
          <w:tab/>
        </w:r>
        <w:r>
          <w:fldChar w:fldCharType="begin"/>
        </w:r>
        <w:r>
          <w:instrText xml:space="preserve"> PAGEREF _Toc6053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3" w:history="1">
        <w:r>
          <w:rPr>
            <w:rFonts w:ascii="仿宋" w:eastAsia="仿宋" w:hAnsi="仿宋" w:cs="仿宋" w:hint="eastAsia"/>
            <w:lang w:eastAsia="zh-CN"/>
          </w:rPr>
          <w:t>(三)、内部控制与审计体系</w:t>
        </w:r>
        <w:r>
          <w:tab/>
        </w:r>
        <w:r>
          <w:fldChar w:fldCharType="begin"/>
        </w:r>
        <w:r>
          <w:instrText xml:space="preserve"> PAGEREF _Toc10103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50" w:history="1">
        <w:r>
          <w:rPr>
            <w:rFonts w:ascii="仿宋" w:eastAsia="仿宋" w:hAnsi="仿宋" w:cs="仿宋" w:hint="eastAsia"/>
            <w:lang w:eastAsia="zh-CN"/>
          </w:rPr>
          <w:t>九、熔融还原铁财务管理策略</w:t>
        </w:r>
        <w:r>
          <w:tab/>
        </w:r>
        <w:r>
          <w:fldChar w:fldCharType="begin"/>
        </w:r>
        <w:r>
          <w:instrText xml:space="preserve"> PAGEREF _Toc10550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6" w:history="1">
        <w:r>
          <w:rPr>
            <w:rFonts w:ascii="仿宋" w:eastAsia="仿宋" w:hAnsi="仿宋" w:cs="仿宋" w:hint="eastAsia"/>
            <w:lang w:eastAsia="zh-CN"/>
          </w:rPr>
          <w:t>(一)、熔融还原铁财务管理原则</w:t>
        </w:r>
        <w:r>
          <w:tab/>
        </w:r>
        <w:r>
          <w:fldChar w:fldCharType="begin"/>
        </w:r>
        <w:r>
          <w:instrText xml:space="preserve"> PAGEREF _Toc19336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3" w:history="1">
        <w:r>
          <w:rPr>
            <w:rFonts w:ascii="仿宋" w:eastAsia="仿宋" w:hAnsi="仿宋" w:cs="仿宋" w:hint="eastAsia"/>
            <w:lang w:eastAsia="zh-CN"/>
          </w:rPr>
          <w:t>(二)、熔融还原铁收入及成本核算</w:t>
        </w:r>
        <w:r>
          <w:tab/>
        </w:r>
        <w:r>
          <w:fldChar w:fldCharType="begin"/>
        </w:r>
        <w:r>
          <w:instrText xml:space="preserve"> PAGEREF _Toc31823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94" w:history="1">
        <w:r>
          <w:rPr>
            <w:rFonts w:ascii="仿宋" w:eastAsia="仿宋" w:hAnsi="仿宋" w:cs="仿宋" w:hint="eastAsia"/>
            <w:lang w:eastAsia="zh-CN"/>
          </w:rPr>
          <w:t>(三)、熔融还原铁经济效益分析</w:t>
        </w:r>
        <w:r>
          <w:tab/>
        </w:r>
        <w:r>
          <w:fldChar w:fldCharType="begin"/>
        </w:r>
        <w:r>
          <w:instrText xml:space="preserve"> PAGEREF _Toc14194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3" w:history="1">
        <w:r>
          <w:rPr>
            <w:rFonts w:ascii="仿宋" w:eastAsia="仿宋" w:hAnsi="仿宋" w:cs="仿宋" w:hint="eastAsia"/>
            <w:lang w:eastAsia="zh-CN"/>
          </w:rPr>
          <w:t>(四)、熔融还原铁利润及利润分配</w:t>
        </w:r>
        <w:r>
          <w:tab/>
        </w:r>
        <w:r>
          <w:fldChar w:fldCharType="begin"/>
        </w:r>
        <w:r>
          <w:instrText xml:space="preserve"> PAGEREF _Toc8083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0" w:history="1">
        <w:r>
          <w:rPr>
            <w:rFonts w:ascii="仿宋" w:eastAsia="仿宋" w:hAnsi="仿宋" w:cs="仿宋" w:hint="eastAsia"/>
            <w:lang w:eastAsia="zh-CN"/>
          </w:rPr>
          <w:t>十、信息安全与数据管理方案</w:t>
        </w:r>
        <w:r>
          <w:tab/>
        </w:r>
        <w:r>
          <w:fldChar w:fldCharType="begin"/>
        </w:r>
        <w:r>
          <w:instrText xml:space="preserve"> PAGEREF _Toc21700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226" w:history="1">
        <w:r>
          <w:rPr>
            <w:rFonts w:ascii="仿宋" w:eastAsia="仿宋" w:hAnsi="仿宋" w:cs="仿宋" w:hint="eastAsia"/>
            <w:lang w:eastAsia="zh-CN"/>
          </w:rPr>
          <w:t>(一)、信息安全政策制定</w:t>
        </w:r>
        <w:r>
          <w:tab/>
        </w:r>
        <w:r>
          <w:fldChar w:fldCharType="begin"/>
        </w:r>
        <w:r>
          <w:instrText xml:space="preserve"> PAGEREF _Toc32226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3" w:history="1">
        <w:r>
          <w:rPr>
            <w:rFonts w:ascii="仿宋" w:eastAsia="仿宋" w:hAnsi="仿宋" w:cs="仿宋" w:hint="eastAsia"/>
            <w:lang w:eastAsia="zh-CN"/>
          </w:rPr>
          <w:t>(二)、数据保护与隐私管理</w:t>
        </w:r>
        <w:r>
          <w:tab/>
        </w:r>
        <w:r>
          <w:fldChar w:fldCharType="begin"/>
        </w:r>
        <w:r>
          <w:instrText xml:space="preserve"> PAGEREF _Toc13353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94" w:history="1">
        <w:r>
          <w:rPr>
            <w:rFonts w:ascii="仿宋" w:eastAsia="仿宋" w:hAnsi="仿宋" w:cs="仿宋" w:hint="eastAsia"/>
            <w:lang w:eastAsia="zh-CN"/>
          </w:rPr>
          <w:t>(三)、网络安全与防护措施</w:t>
        </w:r>
        <w:r>
          <w:tab/>
        </w:r>
        <w:r>
          <w:fldChar w:fldCharType="begin"/>
        </w:r>
        <w:r>
          <w:instrText xml:space="preserve"> PAGEREF _Toc6494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1" w:history="1">
        <w:r>
          <w:rPr>
            <w:rFonts w:ascii="仿宋" w:eastAsia="仿宋" w:hAnsi="仿宋" w:cs="仿宋" w:hint="eastAsia"/>
            <w:lang w:eastAsia="zh-CN"/>
          </w:rPr>
          <w:t>(四)、应急响应与业务连续性计划</w:t>
        </w:r>
        <w:r>
          <w:tab/>
        </w:r>
        <w:r>
          <w:fldChar w:fldCharType="begin"/>
        </w:r>
        <w:r>
          <w:instrText xml:space="preserve"> PAGEREF _Toc15061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6" w:history="1">
        <w:r>
          <w:rPr>
            <w:rFonts w:ascii="仿宋" w:eastAsia="仿宋" w:hAnsi="仿宋" w:cs="仿宋" w:hint="eastAsia"/>
            <w:lang w:eastAsia="zh-CN"/>
          </w:rPr>
          <w:t>(五)、信息技术基础设施规划</w:t>
        </w:r>
        <w:r>
          <w:tab/>
        </w:r>
        <w:r>
          <w:fldChar w:fldCharType="begin"/>
        </w:r>
        <w:r>
          <w:instrText xml:space="preserve"> PAGEREF _Toc26526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84" w:history="1">
        <w:r>
          <w:rPr>
            <w:rFonts w:ascii="仿宋" w:eastAsia="仿宋" w:hAnsi="仿宋" w:cs="仿宋" w:hint="eastAsia"/>
            <w:lang w:eastAsia="zh-CN"/>
          </w:rPr>
          <w:t>十一、熔融还原铁项目进度说明</w:t>
        </w:r>
        <w:r>
          <w:tab/>
        </w:r>
        <w:r>
          <w:fldChar w:fldCharType="begin"/>
        </w:r>
        <w:r>
          <w:instrText xml:space="preserve"> PAGEREF _Toc24684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9" w:history="1">
        <w:r>
          <w:rPr>
            <w:rFonts w:ascii="仿宋" w:eastAsia="仿宋" w:hAnsi="仿宋" w:cs="仿宋" w:hint="eastAsia"/>
            <w:lang w:eastAsia="zh-CN"/>
          </w:rPr>
          <w:t>(一)、建设周期及时间分配</w:t>
        </w:r>
        <w:r>
          <w:tab/>
        </w:r>
        <w:r>
          <w:fldChar w:fldCharType="begin"/>
        </w:r>
        <w:r>
          <w:instrText xml:space="preserve"> PAGEREF _Toc8309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_Toc10542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_Toc7160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0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_Toc9830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_Toc424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4" w:history="1">
        <w:r>
          <w:rPr>
            <w:rFonts w:ascii="仿宋" w:eastAsia="仿宋" w:hAnsi="仿宋" w:cs="仿宋" w:hint="eastAsia"/>
            <w:lang w:eastAsia="zh-CN"/>
          </w:rPr>
          <w:t>(六)、熔融还原铁项目实施保障</w:t>
        </w:r>
        <w:r>
          <w:tab/>
        </w:r>
        <w:r>
          <w:fldChar w:fldCharType="begin"/>
        </w:r>
        <w:r>
          <w:instrText xml:space="preserve"> PAGEREF _Toc22384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eastAsia="zh-CN"/>
          </w:rPr>
          <w:t>十二、风险风险及应对措施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80" w:history="1">
        <w:r>
          <w:rPr>
            <w:rFonts w:ascii="仿宋" w:eastAsia="仿宋" w:hAnsi="仿宋" w:cs="仿宋" w:hint="eastAsia"/>
            <w:lang w:eastAsia="zh-CN"/>
          </w:rPr>
          <w:t>(一)、熔融还原铁项目风险分析</w:t>
        </w:r>
        <w:r>
          <w:tab/>
        </w:r>
        <w:r>
          <w:fldChar w:fldCharType="begin"/>
        </w:r>
        <w:r>
          <w:instrText xml:space="preserve"> PAGEREF _Toc22480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1" w:history="1">
        <w:r>
          <w:rPr>
            <w:rFonts w:ascii="仿宋" w:eastAsia="仿宋" w:hAnsi="仿宋" w:cs="仿宋" w:hint="eastAsia"/>
            <w:lang w:eastAsia="zh-CN"/>
          </w:rPr>
          <w:t>(二)、熔融还原铁项目风险对策</w:t>
        </w:r>
        <w:r>
          <w:tab/>
        </w:r>
        <w:r>
          <w:fldChar w:fldCharType="begin"/>
        </w:r>
        <w:r>
          <w:instrText xml:space="preserve"> PAGEREF _Toc23581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8" w:history="1">
        <w:r>
          <w:rPr>
            <w:rFonts w:ascii="仿宋" w:eastAsia="仿宋" w:hAnsi="仿宋" w:cs="仿宋" w:hint="eastAsia"/>
            <w:lang w:eastAsia="zh-CN"/>
          </w:rPr>
          <w:t>十三、熔融还原铁项目经济评价</w:t>
        </w:r>
        <w:r>
          <w:tab/>
        </w:r>
        <w:r>
          <w:fldChar w:fldCharType="begin"/>
        </w:r>
        <w:r>
          <w:instrText xml:space="preserve"> PAGEREF _Toc27448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2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_Toc26452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_Toc15973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0" w:history="1">
        <w:r>
          <w:rPr>
            <w:rFonts w:ascii="仿宋" w:eastAsia="仿宋" w:hAnsi="仿宋" w:cs="仿宋" w:hint="eastAsia"/>
            <w:lang w:eastAsia="zh-CN"/>
          </w:rPr>
          <w:t>(三)、熔融还原铁项目盈利能力分析</w:t>
        </w:r>
        <w:r>
          <w:tab/>
        </w:r>
        <w:r>
          <w:fldChar w:fldCharType="begin"/>
        </w:r>
        <w:r>
          <w:instrText xml:space="preserve"> PAGEREF _Toc16370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3" w:history="1">
        <w:r>
          <w:rPr>
            <w:rFonts w:ascii="仿宋" w:eastAsia="仿宋" w:hAnsi="仿宋" w:cs="仿宋" w:hint="eastAsia"/>
            <w:lang w:eastAsia="zh-CN"/>
          </w:rPr>
          <w:t>十四、熔融还原铁项目规划进度</w:t>
        </w:r>
        <w:r>
          <w:tab/>
        </w:r>
        <w:r>
          <w:fldChar w:fldCharType="begin"/>
        </w:r>
        <w:r>
          <w:instrText xml:space="preserve"> PAGEREF _Toc11323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0" w:history="1">
        <w:r>
          <w:rPr>
            <w:rFonts w:ascii="仿宋" w:eastAsia="仿宋" w:hAnsi="仿宋" w:cs="仿宋" w:hint="eastAsia"/>
            <w:lang w:eastAsia="zh-CN"/>
          </w:rPr>
          <w:t>(一)、熔融还原铁项目进度安排</w:t>
        </w:r>
        <w:r>
          <w:tab/>
        </w:r>
        <w:r>
          <w:fldChar w:fldCharType="begin"/>
        </w:r>
        <w:r>
          <w:instrText xml:space="preserve"> PAGEREF _Toc17660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6" w:history="1">
        <w:r>
          <w:rPr>
            <w:rFonts w:ascii="仿宋" w:eastAsia="仿宋" w:hAnsi="仿宋" w:cs="仿宋" w:hint="eastAsia"/>
            <w:lang w:eastAsia="zh-CN"/>
          </w:rPr>
          <w:t>(二)、熔融还原铁项目实施保障措施</w:t>
        </w:r>
        <w:r>
          <w:tab/>
        </w:r>
        <w:r>
          <w:fldChar w:fldCharType="begin"/>
        </w:r>
        <w:r>
          <w:instrText xml:space="preserve"> PAGEREF _Toc4246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十五、环保方案分析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2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_Toc16022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3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_Toc20313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6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_Toc7806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9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_Toc7089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67" w:history="1">
        <w:r>
          <w:rPr>
            <w:rFonts w:ascii="仿宋" w:eastAsia="仿宋" w:hAnsi="仿宋" w:cs="仿宋" w:hint="eastAsia"/>
            <w:lang w:eastAsia="zh-CN"/>
          </w:rPr>
          <w:t>十六、社会影响与可持续性报告</w:t>
        </w:r>
        <w:r>
          <w:tab/>
        </w:r>
        <w:r>
          <w:fldChar w:fldCharType="begin"/>
        </w:r>
        <w:r>
          <w:instrText xml:space="preserve"> PAGEREF _Toc22367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3" w:history="1">
        <w:r>
          <w:rPr>
            <w:rFonts w:ascii="仿宋" w:eastAsia="仿宋" w:hAnsi="仿宋" w:cs="仿宋" w:hint="eastAsia"/>
            <w:lang w:eastAsia="zh-CN"/>
          </w:rPr>
          <w:t>(一)、社会责任与可持续性</w:t>
        </w:r>
        <w:r>
          <w:tab/>
        </w:r>
        <w:r>
          <w:fldChar w:fldCharType="begin"/>
        </w:r>
        <w:r>
          <w:instrText xml:space="preserve"> PAGEREF _Toc28913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(二)、社会影响评估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2" w:history="1">
        <w:r>
          <w:rPr>
            <w:rFonts w:ascii="仿宋" w:eastAsia="仿宋" w:hAnsi="仿宋" w:cs="仿宋" w:hint="eastAsia"/>
            <w:lang w:eastAsia="zh-CN"/>
          </w:rPr>
          <w:t>(三)、可持续性报告与透明度</w:t>
        </w:r>
        <w:r>
          <w:tab/>
        </w:r>
        <w:r>
          <w:fldChar w:fldCharType="begin"/>
        </w:r>
        <w:r>
          <w:instrText xml:space="preserve"> PAGEREF _Toc25082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64" w:history="1">
        <w:r>
          <w:rPr>
            <w:rFonts w:ascii="仿宋" w:eastAsia="仿宋" w:hAnsi="仿宋" w:cs="仿宋" w:hint="eastAsia"/>
            <w:lang w:eastAsia="zh-CN"/>
          </w:rPr>
          <w:t>十七、环境风险应急预案</w:t>
        </w:r>
        <w:r>
          <w:tab/>
        </w:r>
        <w:r>
          <w:fldChar w:fldCharType="begin"/>
        </w:r>
        <w:r>
          <w:instrText xml:space="preserve"> PAGEREF _Toc8064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8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_Toc18908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8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_Toc9648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1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_Toc13931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3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_Toc14533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3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1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_Toc14231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66" w:history="1">
        <w:r>
          <w:rPr>
            <w:rFonts w:ascii="仿宋" w:eastAsia="仿宋" w:hAnsi="仿宋" w:cs="仿宋" w:hint="eastAsia"/>
            <w:lang w:eastAsia="zh-CN"/>
          </w:rPr>
          <w:t>十八、品牌建设与公关策略</w:t>
        </w:r>
        <w:r>
          <w:tab/>
        </w:r>
        <w:r>
          <w:fldChar w:fldCharType="begin"/>
        </w:r>
        <w:r>
          <w:instrText xml:space="preserve"> PAGEREF _Toc22366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1" w:history="1">
        <w:r>
          <w:rPr>
            <w:rFonts w:ascii="仿宋" w:eastAsia="仿宋" w:hAnsi="仿宋" w:cs="仿宋" w:hint="eastAsia"/>
            <w:lang w:eastAsia="zh-CN"/>
          </w:rPr>
          <w:t>(一)、品牌建设概述</w:t>
        </w:r>
        <w:r>
          <w:tab/>
        </w:r>
        <w:r>
          <w:fldChar w:fldCharType="begin"/>
        </w:r>
        <w:r>
          <w:instrText xml:space="preserve"> PAGEREF _Toc6451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00" w:history="1">
        <w:r>
          <w:rPr>
            <w:rFonts w:ascii="仿宋" w:eastAsia="仿宋" w:hAnsi="仿宋" w:cs="仿宋" w:hint="eastAsia"/>
            <w:lang w:eastAsia="zh-CN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_Toc12200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7" w:history="1">
        <w:r>
          <w:rPr>
            <w:rFonts w:ascii="仿宋" w:eastAsia="仿宋" w:hAnsi="仿宋" w:cs="仿宋" w:hint="eastAsia"/>
            <w:lang w:eastAsia="zh-CN"/>
          </w:rPr>
          <w:t>(三)、客户关系管理</w:t>
        </w:r>
        <w:r>
          <w:tab/>
        </w:r>
        <w:r>
          <w:fldChar w:fldCharType="begin"/>
        </w:r>
        <w:r>
          <w:instrText xml:space="preserve"> PAGEREF _Toc23067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16" w:history="1">
        <w:r>
          <w:rPr>
            <w:rFonts w:ascii="仿宋" w:eastAsia="仿宋" w:hAnsi="仿宋" w:cs="仿宋" w:hint="eastAsia"/>
            <w:lang w:eastAsia="zh-CN"/>
          </w:rPr>
          <w:t>十九、员工多元化与包容性管理</w:t>
        </w:r>
        <w:r>
          <w:tab/>
        </w:r>
        <w:r>
          <w:fldChar w:fldCharType="begin"/>
        </w:r>
        <w:r>
          <w:instrText xml:space="preserve"> PAGEREF _Toc19516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4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_Toc12444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023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_Toc26023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2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_Toc10422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3" w:history="1">
        <w:r>
          <w:rPr>
            <w:rFonts w:ascii="仿宋" w:eastAsia="仿宋" w:hAnsi="仿宋" w:cs="仿宋" w:hint="eastAsia"/>
            <w:lang w:eastAsia="zh-CN"/>
          </w:rPr>
          <w:t>二十、竞争优势</w:t>
        </w:r>
        <w:r>
          <w:tab/>
        </w:r>
        <w:r>
          <w:fldChar w:fldCharType="begin"/>
        </w:r>
        <w:r>
          <w:instrText xml:space="preserve"> PAGEREF _Toc24293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" w:history="1">
        <w:r>
          <w:rPr>
            <w:rFonts w:ascii="仿宋" w:eastAsia="仿宋" w:hAnsi="仿宋" w:cs="仿宋" w:hint="eastAsia"/>
            <w:lang w:eastAsia="zh-CN"/>
          </w:rPr>
          <w:t>(一)、竞争优势</w:t>
        </w:r>
        <w:r>
          <w:tab/>
        </w:r>
        <w:r>
          <w:fldChar w:fldCharType="begin"/>
        </w:r>
        <w:r>
          <w:instrText xml:space="preserve"> PAGEREF _Toc3184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95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2514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39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一、熔融还原铁行业综述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熔融还原铁行业的规模和增长势头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我们的分析中，我们将重点关注熔融还原铁行业的规模和增长潜力。首先，我们需要了解该行业的规模，包括市场容量、产值、销售额等关键指标，以便确定潜在市场的规模和增长前景。相关的市场研究、统计数据和行业报告能够为我们提供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该行业是否具有增长潜力，并推测未来的发展趋势。了解行业的增长性有助于我们预测市场的发展方向，为决策提供指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熔融还原铁行业的代表品牌和公司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https://d.book118.com/885122343044011113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熔融还原铁行业商业计划书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熔融还原铁行业商业计划书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熔融还原铁行业商业计划书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熔融还原铁行业商业计划书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熔融还原铁行业商业计划书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75221F"/>
    <w:rsid w:val="4593521B"/>
    <w:rsid w:val="4975221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85122343044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2024-02-28T02:23:00Z</dcterms:created>
  <dcterms:modified xsi:type="dcterms:W3CDTF">2024-02-28T02:23:24Z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7048DEFAFE324AA2AABCAD747F0FD9FE_11</vt:lpwstr>
  </property>
  <property fmtid="{D5CDD505-2E9C-101B-9397-08002B2CF9AE}" pid="3" name="KSOProductBuildVer">
    <vt:lpwstr>2052-12.1.0.16250</vt:lpwstr>
  </property>
</Properties>
</file>