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5"/>
          <w:footerReference w:type="default" r:id="rId6"/>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核苷类药物行业项目可行性分析报告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 w:history="1">
        <w:r>
          <w:rPr>
            <w:rFonts w:ascii="仿宋" w:eastAsia="仿宋" w:hAnsi="仿宋" w:cs="仿宋" w:hint="eastAsia"/>
            <w:lang w:eastAsia="zh-CN"/>
          </w:rPr>
          <w:t>绪论</w:t>
        </w:r>
        <w:r>
          <w:tab/>
        </w:r>
        <w:r>
          <w:fldChar w:fldCharType="begin"/>
        </w:r>
        <w:r>
          <w:instrText xml:space="preserve"> PAGEREF _Toc290 \h </w:instrText>
        </w:r>
        <w:r>
          <w:fldChar w:fldCharType="separate"/>
        </w:r>
        <w:r>
          <w:t>3</w:t>
        </w:r>
        <w:r>
          <w:fldChar w:fldCharType="end"/>
        </w:r>
      </w:hyperlink>
    </w:p>
    <w:p>
      <w:pPr>
        <w:pStyle w:val="TOC1"/>
        <w:tabs>
          <w:tab w:val="right" w:leader="dot" w:pos="8306"/>
        </w:tabs>
      </w:pPr>
      <w:hyperlink w:anchor="_Toc16146" w:history="1">
        <w:r>
          <w:rPr>
            <w:rFonts w:ascii="仿宋" w:eastAsia="仿宋" w:hAnsi="仿宋" w:cs="仿宋" w:hint="eastAsia"/>
            <w:lang w:eastAsia="zh-CN"/>
          </w:rPr>
          <w:t>一、客户服务和消费者权益保护</w:t>
        </w:r>
        <w:r>
          <w:tab/>
        </w:r>
        <w:r>
          <w:fldChar w:fldCharType="begin"/>
        </w:r>
        <w:r>
          <w:instrText xml:space="preserve"> PAGEREF _Toc16146 \h </w:instrText>
        </w:r>
        <w:r>
          <w:fldChar w:fldCharType="separate"/>
        </w:r>
        <w:r>
          <w:t>3</w:t>
        </w:r>
        <w:r>
          <w:fldChar w:fldCharType="end"/>
        </w:r>
      </w:hyperlink>
    </w:p>
    <w:p>
      <w:pPr>
        <w:pStyle w:val="TOC2"/>
        <w:tabs>
          <w:tab w:val="right" w:leader="dot" w:pos="8306"/>
        </w:tabs>
      </w:pPr>
      <w:hyperlink w:anchor="_Toc20523" w:history="1">
        <w:r>
          <w:rPr>
            <w:rFonts w:ascii="仿宋" w:eastAsia="仿宋" w:hAnsi="仿宋" w:cs="仿宋" w:hint="eastAsia"/>
            <w:lang w:eastAsia="zh-CN"/>
          </w:rPr>
          <w:t>(一)、客户服务的标准和流程</w:t>
        </w:r>
        <w:r>
          <w:tab/>
        </w:r>
        <w:r>
          <w:fldChar w:fldCharType="begin"/>
        </w:r>
        <w:r>
          <w:instrText xml:space="preserve"> PAGEREF _Toc20523 \h </w:instrText>
        </w:r>
        <w:r>
          <w:fldChar w:fldCharType="separate"/>
        </w:r>
        <w:r>
          <w:t>3</w:t>
        </w:r>
        <w:r>
          <w:fldChar w:fldCharType="end"/>
        </w:r>
      </w:hyperlink>
    </w:p>
    <w:p>
      <w:pPr>
        <w:pStyle w:val="TOC2"/>
        <w:tabs>
          <w:tab w:val="right" w:leader="dot" w:pos="8306"/>
        </w:tabs>
      </w:pPr>
      <w:hyperlink w:anchor="_Toc20304" w:history="1">
        <w:r>
          <w:rPr>
            <w:rFonts w:ascii="仿宋" w:eastAsia="仿宋" w:hAnsi="仿宋" w:cs="仿宋" w:hint="eastAsia"/>
            <w:lang w:eastAsia="zh-CN"/>
          </w:rPr>
          <w:t>(二)、消费者权益保护的措施和办法</w:t>
        </w:r>
        <w:r>
          <w:tab/>
        </w:r>
        <w:r>
          <w:fldChar w:fldCharType="begin"/>
        </w:r>
        <w:r>
          <w:instrText xml:space="preserve"> PAGEREF _Toc20304 \h </w:instrText>
        </w:r>
        <w:r>
          <w:fldChar w:fldCharType="separate"/>
        </w:r>
        <w:r>
          <w:t>5</w:t>
        </w:r>
        <w:r>
          <w:fldChar w:fldCharType="end"/>
        </w:r>
      </w:hyperlink>
    </w:p>
    <w:p>
      <w:pPr>
        <w:pStyle w:val="TOC2"/>
        <w:tabs>
          <w:tab w:val="right" w:leader="dot" w:pos="8306"/>
        </w:tabs>
      </w:pPr>
      <w:hyperlink w:anchor="_Toc16645" w:history="1">
        <w:r>
          <w:rPr>
            <w:rFonts w:ascii="仿宋" w:eastAsia="仿宋" w:hAnsi="仿宋" w:cs="仿宋" w:hint="eastAsia"/>
            <w:lang w:eastAsia="zh-CN"/>
          </w:rPr>
          <w:t>(三)、客户反馈和投诉处理的机制建设</w:t>
        </w:r>
        <w:r>
          <w:tab/>
        </w:r>
        <w:r>
          <w:fldChar w:fldCharType="begin"/>
        </w:r>
        <w:r>
          <w:instrText xml:space="preserve"> PAGEREF _Toc16645 \h </w:instrText>
        </w:r>
        <w:r>
          <w:fldChar w:fldCharType="separate"/>
        </w:r>
        <w:r>
          <w:t>6</w:t>
        </w:r>
        <w:r>
          <w:fldChar w:fldCharType="end"/>
        </w:r>
      </w:hyperlink>
    </w:p>
    <w:p>
      <w:pPr>
        <w:pStyle w:val="TOC1"/>
        <w:tabs>
          <w:tab w:val="right" w:leader="dot" w:pos="8306"/>
        </w:tabs>
      </w:pPr>
      <w:hyperlink w:anchor="_Toc19243" w:history="1">
        <w:r>
          <w:rPr>
            <w:rFonts w:ascii="仿宋" w:eastAsia="仿宋" w:hAnsi="仿宋" w:cs="仿宋" w:hint="eastAsia"/>
            <w:lang w:eastAsia="zh-CN"/>
          </w:rPr>
          <w:t>二、创新商业模式和价值创造</w:t>
        </w:r>
        <w:r>
          <w:tab/>
        </w:r>
        <w:r>
          <w:fldChar w:fldCharType="begin"/>
        </w:r>
        <w:r>
          <w:instrText xml:space="preserve"> PAGEREF _Toc19243 \h </w:instrText>
        </w:r>
        <w:r>
          <w:fldChar w:fldCharType="separate"/>
        </w:r>
        <w:r>
          <w:t>8</w:t>
        </w:r>
        <w:r>
          <w:fldChar w:fldCharType="end"/>
        </w:r>
      </w:hyperlink>
    </w:p>
    <w:p>
      <w:pPr>
        <w:pStyle w:val="TOC2"/>
        <w:tabs>
          <w:tab w:val="right" w:leader="dot" w:pos="8306"/>
        </w:tabs>
      </w:pPr>
      <w:hyperlink w:anchor="_Toc18648" w:history="1">
        <w:r>
          <w:rPr>
            <w:rFonts w:ascii="仿宋" w:eastAsia="仿宋" w:hAnsi="仿宋" w:cs="仿宋" w:hint="eastAsia"/>
            <w:lang w:eastAsia="zh-CN"/>
          </w:rPr>
          <w:t>(一)、创新商业模式的介绍和实例分析</w:t>
        </w:r>
        <w:r>
          <w:tab/>
        </w:r>
        <w:r>
          <w:fldChar w:fldCharType="begin"/>
        </w:r>
        <w:r>
          <w:instrText xml:space="preserve"> PAGEREF _Toc18648 \h </w:instrText>
        </w:r>
        <w:r>
          <w:fldChar w:fldCharType="separate"/>
        </w:r>
        <w:r>
          <w:t>8</w:t>
        </w:r>
        <w:r>
          <w:fldChar w:fldCharType="end"/>
        </w:r>
      </w:hyperlink>
    </w:p>
    <w:p>
      <w:pPr>
        <w:pStyle w:val="TOC2"/>
        <w:tabs>
          <w:tab w:val="right" w:leader="dot" w:pos="8306"/>
        </w:tabs>
      </w:pPr>
      <w:hyperlink w:anchor="_Toc3493" w:history="1">
        <w:r>
          <w:rPr>
            <w:rFonts w:ascii="仿宋" w:eastAsia="仿宋" w:hAnsi="仿宋" w:cs="仿宋" w:hint="eastAsia"/>
            <w:lang w:eastAsia="zh-CN"/>
          </w:rPr>
          <w:t>(二)、商业模式创新对核苷类药物项目价值的影响</w:t>
        </w:r>
        <w:r>
          <w:tab/>
        </w:r>
        <w:r>
          <w:fldChar w:fldCharType="begin"/>
        </w:r>
        <w:r>
          <w:instrText xml:space="preserve"> PAGEREF _Toc3493 \h </w:instrText>
        </w:r>
        <w:r>
          <w:fldChar w:fldCharType="separate"/>
        </w:r>
        <w:r>
          <w:t>8</w:t>
        </w:r>
        <w:r>
          <w:fldChar w:fldCharType="end"/>
        </w:r>
      </w:hyperlink>
    </w:p>
    <w:p>
      <w:pPr>
        <w:pStyle w:val="TOC2"/>
        <w:tabs>
          <w:tab w:val="right" w:leader="dot" w:pos="8306"/>
        </w:tabs>
      </w:pPr>
      <w:hyperlink w:anchor="_Toc3890" w:history="1">
        <w:r>
          <w:rPr>
            <w:rFonts w:ascii="仿宋" w:eastAsia="仿宋" w:hAnsi="仿宋" w:cs="仿宋" w:hint="eastAsia"/>
            <w:lang w:eastAsia="zh-CN"/>
          </w:rPr>
          <w:t>(三)、商业模式持续创新和迭代发展的策略</w:t>
        </w:r>
        <w:r>
          <w:tab/>
        </w:r>
        <w:r>
          <w:fldChar w:fldCharType="begin"/>
        </w:r>
        <w:r>
          <w:instrText xml:space="preserve"> PAGEREF _Toc3890 \h </w:instrText>
        </w:r>
        <w:r>
          <w:fldChar w:fldCharType="separate"/>
        </w:r>
        <w:r>
          <w:t>9</w:t>
        </w:r>
        <w:r>
          <w:fldChar w:fldCharType="end"/>
        </w:r>
      </w:hyperlink>
    </w:p>
    <w:p>
      <w:pPr>
        <w:pStyle w:val="TOC1"/>
        <w:tabs>
          <w:tab w:val="right" w:leader="dot" w:pos="8306"/>
        </w:tabs>
      </w:pPr>
      <w:hyperlink w:anchor="_Toc15963" w:history="1">
        <w:r>
          <w:rPr>
            <w:rFonts w:ascii="仿宋" w:eastAsia="仿宋" w:hAnsi="仿宋" w:cs="仿宋" w:hint="eastAsia"/>
            <w:lang w:eastAsia="zh-CN"/>
          </w:rPr>
          <w:t>三、核苷类药物项目概论</w:t>
        </w:r>
        <w:r>
          <w:tab/>
        </w:r>
        <w:r>
          <w:fldChar w:fldCharType="begin"/>
        </w:r>
        <w:r>
          <w:instrText xml:space="preserve"> PAGEREF _Toc15963 \h </w:instrText>
        </w:r>
        <w:r>
          <w:fldChar w:fldCharType="separate"/>
        </w:r>
        <w:r>
          <w:t>10</w:t>
        </w:r>
        <w:r>
          <w:fldChar w:fldCharType="end"/>
        </w:r>
      </w:hyperlink>
    </w:p>
    <w:p>
      <w:pPr>
        <w:pStyle w:val="TOC2"/>
        <w:tabs>
          <w:tab w:val="right" w:leader="dot" w:pos="8306"/>
        </w:tabs>
      </w:pPr>
      <w:hyperlink w:anchor="_Toc27232" w:history="1">
        <w:r>
          <w:rPr>
            <w:rFonts w:ascii="仿宋" w:eastAsia="仿宋" w:hAnsi="仿宋" w:cs="仿宋" w:hint="eastAsia"/>
            <w:lang w:eastAsia="zh-CN"/>
          </w:rPr>
          <w:t>(一)、核苷类药物项目名称及承办单位</w:t>
        </w:r>
        <w:r>
          <w:tab/>
        </w:r>
        <w:r>
          <w:fldChar w:fldCharType="begin"/>
        </w:r>
        <w:r>
          <w:instrText xml:space="preserve"> PAGEREF _Toc27232 \h </w:instrText>
        </w:r>
        <w:r>
          <w:fldChar w:fldCharType="separate"/>
        </w:r>
        <w:r>
          <w:t>10</w:t>
        </w:r>
        <w:r>
          <w:fldChar w:fldCharType="end"/>
        </w:r>
      </w:hyperlink>
    </w:p>
    <w:p>
      <w:pPr>
        <w:pStyle w:val="TOC2"/>
        <w:tabs>
          <w:tab w:val="right" w:leader="dot" w:pos="8306"/>
        </w:tabs>
      </w:pPr>
      <w:hyperlink w:anchor="_Toc31492" w:history="1">
        <w:r>
          <w:rPr>
            <w:rFonts w:ascii="仿宋" w:eastAsia="仿宋" w:hAnsi="仿宋" w:cs="仿宋" w:hint="eastAsia"/>
            <w:lang w:eastAsia="zh-CN"/>
          </w:rPr>
          <w:t>(二)、核苷类药物项目拟建地址</w:t>
        </w:r>
        <w:r>
          <w:tab/>
        </w:r>
        <w:r>
          <w:fldChar w:fldCharType="begin"/>
        </w:r>
        <w:r>
          <w:instrText xml:space="preserve"> PAGEREF _Toc31492 \h </w:instrText>
        </w:r>
        <w:r>
          <w:fldChar w:fldCharType="separate"/>
        </w:r>
        <w:r>
          <w:t>11</w:t>
        </w:r>
        <w:r>
          <w:fldChar w:fldCharType="end"/>
        </w:r>
      </w:hyperlink>
    </w:p>
    <w:p>
      <w:pPr>
        <w:pStyle w:val="TOC2"/>
        <w:tabs>
          <w:tab w:val="right" w:leader="dot" w:pos="8306"/>
        </w:tabs>
      </w:pPr>
      <w:hyperlink w:anchor="_Toc1900" w:history="1">
        <w:r>
          <w:rPr>
            <w:rFonts w:ascii="仿宋" w:eastAsia="仿宋" w:hAnsi="仿宋" w:cs="仿宋" w:hint="eastAsia"/>
            <w:lang w:eastAsia="zh-CN"/>
          </w:rPr>
          <w:t>(三)、核苷类药物项目提出的背景</w:t>
        </w:r>
        <w:r>
          <w:tab/>
        </w:r>
        <w:r>
          <w:fldChar w:fldCharType="begin"/>
        </w:r>
        <w:r>
          <w:instrText xml:space="preserve"> PAGEREF _Toc1900 \h </w:instrText>
        </w:r>
        <w:r>
          <w:fldChar w:fldCharType="separate"/>
        </w:r>
        <w:r>
          <w:t>12</w:t>
        </w:r>
        <w:r>
          <w:fldChar w:fldCharType="end"/>
        </w:r>
      </w:hyperlink>
    </w:p>
    <w:p>
      <w:pPr>
        <w:pStyle w:val="TOC2"/>
        <w:tabs>
          <w:tab w:val="right" w:leader="dot" w:pos="8306"/>
        </w:tabs>
      </w:pPr>
      <w:hyperlink w:anchor="_Toc29164" w:history="1">
        <w:r>
          <w:rPr>
            <w:rFonts w:ascii="仿宋" w:eastAsia="仿宋" w:hAnsi="仿宋" w:cs="仿宋" w:hint="eastAsia"/>
            <w:lang w:eastAsia="zh-CN"/>
          </w:rPr>
          <w:t>(四)、报告研究范围</w:t>
        </w:r>
        <w:r>
          <w:tab/>
        </w:r>
        <w:r>
          <w:fldChar w:fldCharType="begin"/>
        </w:r>
        <w:r>
          <w:instrText xml:space="preserve"> PAGEREF _Toc29164 \h </w:instrText>
        </w:r>
        <w:r>
          <w:fldChar w:fldCharType="separate"/>
        </w:r>
        <w:r>
          <w:t>13</w:t>
        </w:r>
        <w:r>
          <w:fldChar w:fldCharType="end"/>
        </w:r>
      </w:hyperlink>
    </w:p>
    <w:p>
      <w:pPr>
        <w:pStyle w:val="TOC2"/>
        <w:tabs>
          <w:tab w:val="right" w:leader="dot" w:pos="8306"/>
        </w:tabs>
      </w:pPr>
      <w:hyperlink w:anchor="_Toc25398" w:history="1">
        <w:r>
          <w:rPr>
            <w:rFonts w:ascii="仿宋" w:eastAsia="仿宋" w:hAnsi="仿宋" w:cs="仿宋" w:hint="eastAsia"/>
            <w:lang w:eastAsia="zh-CN"/>
          </w:rPr>
          <w:t>(五)、核苷类药物项目建设必要性分析</w:t>
        </w:r>
        <w:r>
          <w:tab/>
        </w:r>
        <w:r>
          <w:fldChar w:fldCharType="begin"/>
        </w:r>
        <w:r>
          <w:instrText xml:space="preserve"> PAGEREF _Toc25398 \h </w:instrText>
        </w:r>
        <w:r>
          <w:fldChar w:fldCharType="separate"/>
        </w:r>
        <w:r>
          <w:t>13</w:t>
        </w:r>
        <w:r>
          <w:fldChar w:fldCharType="end"/>
        </w:r>
      </w:hyperlink>
    </w:p>
    <w:p>
      <w:pPr>
        <w:pStyle w:val="TOC2"/>
        <w:tabs>
          <w:tab w:val="right" w:leader="dot" w:pos="8306"/>
        </w:tabs>
      </w:pPr>
      <w:hyperlink w:anchor="_Toc7466" w:history="1">
        <w:r>
          <w:rPr>
            <w:rFonts w:ascii="仿宋" w:eastAsia="仿宋" w:hAnsi="仿宋" w:cs="仿宋" w:hint="eastAsia"/>
            <w:lang w:eastAsia="zh-CN"/>
          </w:rPr>
          <w:t>(六)、产品方案</w:t>
        </w:r>
        <w:r>
          <w:tab/>
        </w:r>
        <w:r>
          <w:fldChar w:fldCharType="begin"/>
        </w:r>
        <w:r>
          <w:instrText xml:space="preserve"> PAGEREF _Toc7466 \h </w:instrText>
        </w:r>
        <w:r>
          <w:fldChar w:fldCharType="separate"/>
        </w:r>
        <w:r>
          <w:t>14</w:t>
        </w:r>
        <w:r>
          <w:fldChar w:fldCharType="end"/>
        </w:r>
      </w:hyperlink>
    </w:p>
    <w:p>
      <w:pPr>
        <w:pStyle w:val="TOC2"/>
        <w:tabs>
          <w:tab w:val="right" w:leader="dot" w:pos="8306"/>
        </w:tabs>
      </w:pPr>
      <w:hyperlink w:anchor="_Toc9546" w:history="1">
        <w:r>
          <w:rPr>
            <w:rFonts w:ascii="仿宋" w:eastAsia="仿宋" w:hAnsi="仿宋" w:cs="仿宋" w:hint="eastAsia"/>
            <w:lang w:eastAsia="zh-CN"/>
          </w:rPr>
          <w:t>(七)、核苷类药物项目总投资估算</w:t>
        </w:r>
        <w:r>
          <w:tab/>
        </w:r>
        <w:r>
          <w:fldChar w:fldCharType="begin"/>
        </w:r>
        <w:r>
          <w:instrText xml:space="preserve"> PAGEREF _Toc9546 \h </w:instrText>
        </w:r>
        <w:r>
          <w:fldChar w:fldCharType="separate"/>
        </w:r>
        <w:r>
          <w:t>14</w:t>
        </w:r>
        <w:r>
          <w:fldChar w:fldCharType="end"/>
        </w:r>
      </w:hyperlink>
    </w:p>
    <w:p>
      <w:pPr>
        <w:pStyle w:val="TOC2"/>
        <w:tabs>
          <w:tab w:val="right" w:leader="dot" w:pos="8306"/>
        </w:tabs>
      </w:pPr>
      <w:hyperlink w:anchor="_Toc3235" w:history="1">
        <w:r>
          <w:rPr>
            <w:rFonts w:ascii="仿宋" w:eastAsia="仿宋" w:hAnsi="仿宋" w:cs="仿宋" w:hint="eastAsia"/>
            <w:lang w:eastAsia="zh-CN"/>
          </w:rPr>
          <w:t>(八)、核苷类药物项目工艺技术装备方案的选择</w:t>
        </w:r>
        <w:r>
          <w:tab/>
        </w:r>
        <w:r>
          <w:fldChar w:fldCharType="begin"/>
        </w:r>
        <w:r>
          <w:instrText xml:space="preserve"> PAGEREF _Toc3235 \h </w:instrText>
        </w:r>
        <w:r>
          <w:fldChar w:fldCharType="separate"/>
        </w:r>
        <w:r>
          <w:t>14</w:t>
        </w:r>
        <w:r>
          <w:fldChar w:fldCharType="end"/>
        </w:r>
      </w:hyperlink>
    </w:p>
    <w:p>
      <w:pPr>
        <w:pStyle w:val="TOC2"/>
        <w:tabs>
          <w:tab w:val="right" w:leader="dot" w:pos="8306"/>
        </w:tabs>
      </w:pPr>
      <w:hyperlink w:anchor="_Toc12890" w:history="1">
        <w:r>
          <w:rPr>
            <w:rFonts w:ascii="仿宋" w:eastAsia="仿宋" w:hAnsi="仿宋" w:cs="仿宋" w:hint="eastAsia"/>
            <w:lang w:eastAsia="zh-CN"/>
          </w:rPr>
          <w:t>(九)、核苷类药物项目实施进度建议</w:t>
        </w:r>
        <w:r>
          <w:tab/>
        </w:r>
        <w:r>
          <w:fldChar w:fldCharType="begin"/>
        </w:r>
        <w:r>
          <w:instrText xml:space="preserve"> PAGEREF _Toc12890 \h </w:instrText>
        </w:r>
        <w:r>
          <w:fldChar w:fldCharType="separate"/>
        </w:r>
        <w:r>
          <w:t>14</w:t>
        </w:r>
        <w:r>
          <w:fldChar w:fldCharType="end"/>
        </w:r>
      </w:hyperlink>
    </w:p>
    <w:p>
      <w:pPr>
        <w:pStyle w:val="TOC2"/>
        <w:tabs>
          <w:tab w:val="right" w:leader="dot" w:pos="8306"/>
        </w:tabs>
      </w:pPr>
      <w:hyperlink w:anchor="_Toc23839" w:history="1">
        <w:r>
          <w:rPr>
            <w:rFonts w:ascii="仿宋" w:eastAsia="仿宋" w:hAnsi="仿宋" w:cs="仿宋" w:hint="eastAsia"/>
            <w:lang w:eastAsia="zh-CN"/>
          </w:rPr>
          <w:t>(十)、核苷类药物相关研究结论</w:t>
        </w:r>
        <w:r>
          <w:tab/>
        </w:r>
        <w:r>
          <w:fldChar w:fldCharType="begin"/>
        </w:r>
        <w:r>
          <w:instrText xml:space="preserve"> PAGEREF _Toc23839 \h </w:instrText>
        </w:r>
        <w:r>
          <w:fldChar w:fldCharType="separate"/>
        </w:r>
        <w:r>
          <w:t>15</w:t>
        </w:r>
        <w:r>
          <w:fldChar w:fldCharType="end"/>
        </w:r>
      </w:hyperlink>
    </w:p>
    <w:p>
      <w:pPr>
        <w:pStyle w:val="TOC2"/>
        <w:tabs>
          <w:tab w:val="right" w:leader="dot" w:pos="8306"/>
        </w:tabs>
      </w:pPr>
      <w:hyperlink w:anchor="_Toc15234" w:history="1">
        <w:r>
          <w:rPr>
            <w:rFonts w:ascii="仿宋" w:eastAsia="仿宋" w:hAnsi="仿宋" w:cs="仿宋" w:hint="eastAsia"/>
            <w:lang w:eastAsia="zh-CN"/>
          </w:rPr>
          <w:t>(十一)、核苷类药物项目规划及市场分析</w:t>
        </w:r>
        <w:r>
          <w:tab/>
        </w:r>
        <w:r>
          <w:fldChar w:fldCharType="begin"/>
        </w:r>
        <w:r>
          <w:instrText xml:space="preserve"> PAGEREF _Toc15234 \h </w:instrText>
        </w:r>
        <w:r>
          <w:fldChar w:fldCharType="separate"/>
        </w:r>
        <w:r>
          <w:t>15</w:t>
        </w:r>
        <w:r>
          <w:fldChar w:fldCharType="end"/>
        </w:r>
      </w:hyperlink>
    </w:p>
    <w:p>
      <w:pPr>
        <w:pStyle w:val="TOC1"/>
        <w:tabs>
          <w:tab w:val="right" w:leader="dot" w:pos="8306"/>
        </w:tabs>
      </w:pPr>
      <w:hyperlink w:anchor="_Toc11507" w:history="1">
        <w:r>
          <w:rPr>
            <w:rFonts w:ascii="仿宋" w:eastAsia="仿宋" w:hAnsi="仿宋" w:cs="仿宋" w:hint="eastAsia"/>
            <w:lang w:eastAsia="zh-CN"/>
          </w:rPr>
          <w:t>四、质量管理和产品认证</w:t>
        </w:r>
        <w:r>
          <w:tab/>
        </w:r>
        <w:r>
          <w:fldChar w:fldCharType="begin"/>
        </w:r>
        <w:r>
          <w:instrText xml:space="preserve"> PAGEREF _Toc11507 \h </w:instrText>
        </w:r>
        <w:r>
          <w:fldChar w:fldCharType="separate"/>
        </w:r>
        <w:r>
          <w:t>16</w:t>
        </w:r>
        <w:r>
          <w:fldChar w:fldCharType="end"/>
        </w:r>
      </w:hyperlink>
    </w:p>
    <w:p>
      <w:pPr>
        <w:pStyle w:val="TOC2"/>
        <w:tabs>
          <w:tab w:val="right" w:leader="dot" w:pos="8306"/>
        </w:tabs>
      </w:pPr>
      <w:hyperlink w:anchor="_Toc30917" w:history="1">
        <w:r>
          <w:rPr>
            <w:rFonts w:ascii="仿宋" w:eastAsia="仿宋" w:hAnsi="仿宋" w:cs="仿宋" w:hint="eastAsia"/>
            <w:lang w:eastAsia="zh-CN"/>
          </w:rPr>
          <w:t>(一)、质量管理体系和产品认证要求</w:t>
        </w:r>
        <w:r>
          <w:tab/>
        </w:r>
        <w:r>
          <w:fldChar w:fldCharType="begin"/>
        </w:r>
        <w:r>
          <w:instrText xml:space="preserve"> PAGEREF _Toc30917 \h </w:instrText>
        </w:r>
        <w:r>
          <w:fldChar w:fldCharType="separate"/>
        </w:r>
        <w:r>
          <w:t>16</w:t>
        </w:r>
        <w:r>
          <w:fldChar w:fldCharType="end"/>
        </w:r>
      </w:hyperlink>
    </w:p>
    <w:p>
      <w:pPr>
        <w:pStyle w:val="TOC2"/>
        <w:tabs>
          <w:tab w:val="right" w:leader="dot" w:pos="8306"/>
        </w:tabs>
      </w:pPr>
      <w:hyperlink w:anchor="_Toc8974" w:history="1">
        <w:r>
          <w:rPr>
            <w:rFonts w:ascii="仿宋" w:eastAsia="仿宋" w:hAnsi="仿宋" w:cs="仿宋" w:hint="eastAsia"/>
            <w:lang w:eastAsia="zh-CN"/>
          </w:rPr>
          <w:t>(二)、质量控制的关键环节和措施</w:t>
        </w:r>
        <w:r>
          <w:tab/>
        </w:r>
        <w:r>
          <w:fldChar w:fldCharType="begin"/>
        </w:r>
        <w:r>
          <w:instrText xml:space="preserve"> PAGEREF _Toc8974 \h </w:instrText>
        </w:r>
        <w:r>
          <w:fldChar w:fldCharType="separate"/>
        </w:r>
        <w:r>
          <w:t>17</w:t>
        </w:r>
        <w:r>
          <w:fldChar w:fldCharType="end"/>
        </w:r>
      </w:hyperlink>
    </w:p>
    <w:p>
      <w:pPr>
        <w:pStyle w:val="TOC2"/>
        <w:tabs>
          <w:tab w:val="right" w:leader="dot" w:pos="8306"/>
        </w:tabs>
      </w:pPr>
      <w:hyperlink w:anchor="_Toc28774" w:history="1">
        <w:r>
          <w:rPr>
            <w:rFonts w:ascii="仿宋" w:eastAsia="仿宋" w:hAnsi="仿宋" w:cs="仿宋" w:hint="eastAsia"/>
            <w:lang w:eastAsia="zh-CN"/>
          </w:rPr>
          <w:t>(三)、质量问题和改进措施的跟踪和处理</w:t>
        </w:r>
        <w:r>
          <w:tab/>
        </w:r>
        <w:r>
          <w:fldChar w:fldCharType="begin"/>
        </w:r>
        <w:r>
          <w:instrText xml:space="preserve"> PAGEREF _Toc28774 \h </w:instrText>
        </w:r>
        <w:r>
          <w:fldChar w:fldCharType="separate"/>
        </w:r>
        <w:r>
          <w:t>18</w:t>
        </w:r>
        <w:r>
          <w:fldChar w:fldCharType="end"/>
        </w:r>
      </w:hyperlink>
    </w:p>
    <w:p>
      <w:pPr>
        <w:pStyle w:val="TOC1"/>
        <w:tabs>
          <w:tab w:val="right" w:leader="dot" w:pos="8306"/>
        </w:tabs>
      </w:pPr>
      <w:hyperlink w:anchor="_Toc881" w:history="1">
        <w:r>
          <w:rPr>
            <w:rFonts w:ascii="仿宋" w:eastAsia="仿宋" w:hAnsi="仿宋" w:cs="仿宋" w:hint="eastAsia"/>
            <w:lang w:eastAsia="zh-CN"/>
          </w:rPr>
          <w:t>五、核苷类药物项目综合评价</w:t>
        </w:r>
        <w:r>
          <w:tab/>
        </w:r>
        <w:r>
          <w:fldChar w:fldCharType="begin"/>
        </w:r>
        <w:r>
          <w:instrText xml:space="preserve"> PAGEREF _Toc881 \h </w:instrText>
        </w:r>
        <w:r>
          <w:fldChar w:fldCharType="separate"/>
        </w:r>
        <w:r>
          <w:t>19</w:t>
        </w:r>
        <w:r>
          <w:fldChar w:fldCharType="end"/>
        </w:r>
      </w:hyperlink>
    </w:p>
    <w:p>
      <w:pPr>
        <w:pStyle w:val="TOC2"/>
        <w:tabs>
          <w:tab w:val="right" w:leader="dot" w:pos="8306"/>
        </w:tabs>
      </w:pPr>
      <w:hyperlink w:anchor="_Toc31239" w:history="1">
        <w:r>
          <w:rPr>
            <w:rFonts w:ascii="仿宋" w:eastAsia="仿宋" w:hAnsi="仿宋" w:cs="仿宋" w:hint="eastAsia"/>
            <w:lang w:eastAsia="zh-CN"/>
          </w:rPr>
          <w:t>(一)、核苷类药物项目建设期总体设计</w:t>
        </w:r>
        <w:r>
          <w:tab/>
        </w:r>
        <w:r>
          <w:fldChar w:fldCharType="begin"/>
        </w:r>
        <w:r>
          <w:instrText xml:space="preserve"> PAGEREF _Toc31239 \h </w:instrText>
        </w:r>
        <w:r>
          <w:fldChar w:fldCharType="separate"/>
        </w:r>
        <w:r>
          <w:t>20</w:t>
        </w:r>
        <w:r>
          <w:fldChar w:fldCharType="end"/>
        </w:r>
      </w:hyperlink>
    </w:p>
    <w:p>
      <w:pPr>
        <w:pStyle w:val="TOC2"/>
        <w:tabs>
          <w:tab w:val="right" w:leader="dot" w:pos="8306"/>
        </w:tabs>
      </w:pPr>
      <w:hyperlink w:anchor="_Toc25684" w:history="1">
        <w:r>
          <w:rPr>
            <w:rFonts w:ascii="仿宋" w:eastAsia="仿宋" w:hAnsi="仿宋" w:cs="仿宋" w:hint="eastAsia"/>
            <w:lang w:eastAsia="zh-CN"/>
          </w:rPr>
          <w:t>(二)、核苷类药物项目实施保障措施</w:t>
        </w:r>
        <w:r>
          <w:tab/>
        </w:r>
        <w:r>
          <w:fldChar w:fldCharType="begin"/>
        </w:r>
        <w:r>
          <w:instrText xml:space="preserve"> PAGEREF _Toc25684 \h </w:instrText>
        </w:r>
        <w:r>
          <w:fldChar w:fldCharType="separate"/>
        </w:r>
        <w:r>
          <w:t>20</w:t>
        </w:r>
        <w:r>
          <w:fldChar w:fldCharType="end"/>
        </w:r>
      </w:hyperlink>
    </w:p>
    <w:p>
      <w:pPr>
        <w:pStyle w:val="TOC1"/>
        <w:tabs>
          <w:tab w:val="right" w:leader="dot" w:pos="8306"/>
        </w:tabs>
      </w:pPr>
      <w:hyperlink w:anchor="_Toc25519" w:history="1">
        <w:r>
          <w:rPr>
            <w:rFonts w:ascii="仿宋" w:eastAsia="仿宋" w:hAnsi="仿宋" w:cs="仿宋" w:hint="eastAsia"/>
            <w:lang w:eastAsia="zh-CN"/>
          </w:rPr>
          <w:t>六、核苷类药物项目合作协议和合同</w:t>
        </w:r>
        <w:r>
          <w:tab/>
        </w:r>
        <w:r>
          <w:fldChar w:fldCharType="begin"/>
        </w:r>
        <w:r>
          <w:instrText xml:space="preserve"> PAGEREF _Toc25519 \h </w:instrText>
        </w:r>
        <w:r>
          <w:fldChar w:fldCharType="separate"/>
        </w:r>
        <w:r>
          <w:t>21</w:t>
        </w:r>
        <w:r>
          <w:fldChar w:fldCharType="end"/>
        </w:r>
      </w:hyperlink>
    </w:p>
    <w:p>
      <w:pPr>
        <w:pStyle w:val="TOC2"/>
        <w:tabs>
          <w:tab w:val="right" w:leader="dot" w:pos="8306"/>
        </w:tabs>
      </w:pPr>
      <w:hyperlink w:anchor="_Toc29064" w:history="1">
        <w:r>
          <w:rPr>
            <w:rFonts w:ascii="仿宋" w:eastAsia="仿宋" w:hAnsi="仿宋" w:cs="仿宋" w:hint="eastAsia"/>
            <w:lang w:eastAsia="zh-CN"/>
          </w:rPr>
          <w:t>(一)、核苷类药物项目合作协议的主要内容和条款</w:t>
        </w:r>
        <w:r>
          <w:tab/>
        </w:r>
        <w:r>
          <w:fldChar w:fldCharType="begin"/>
        </w:r>
        <w:r>
          <w:instrText xml:space="preserve"> PAGEREF _Toc29064 \h </w:instrText>
        </w:r>
        <w:r>
          <w:fldChar w:fldCharType="separate"/>
        </w:r>
        <w:r>
          <w:t>21</w:t>
        </w:r>
        <w:r>
          <w:fldChar w:fldCharType="end"/>
        </w:r>
      </w:hyperlink>
    </w:p>
    <w:p>
      <w:pPr>
        <w:pStyle w:val="TOC2"/>
        <w:tabs>
          <w:tab w:val="right" w:leader="dot" w:pos="8306"/>
        </w:tabs>
      </w:pPr>
      <w:hyperlink w:anchor="_Toc4143" w:history="1">
        <w:r>
          <w:rPr>
            <w:rFonts w:ascii="仿宋" w:eastAsia="仿宋" w:hAnsi="仿宋" w:cs="仿宋" w:hint="eastAsia"/>
            <w:lang w:eastAsia="zh-CN"/>
          </w:rPr>
          <w:t>(二)、核苷类药物项目合同的主要内容和条款</w:t>
        </w:r>
        <w:r>
          <w:tab/>
        </w:r>
        <w:r>
          <w:fldChar w:fldCharType="begin"/>
        </w:r>
        <w:r>
          <w:instrText xml:space="preserve"> PAGEREF _Toc4143 \h </w:instrText>
        </w:r>
        <w:r>
          <w:fldChar w:fldCharType="separate"/>
        </w:r>
        <w:r>
          <w:t>22</w:t>
        </w:r>
        <w:r>
          <w:fldChar w:fldCharType="end"/>
        </w:r>
      </w:hyperlink>
    </w:p>
    <w:p>
      <w:pPr>
        <w:pStyle w:val="TOC2"/>
        <w:tabs>
          <w:tab w:val="right" w:leader="dot" w:pos="8306"/>
        </w:tabs>
      </w:pPr>
      <w:hyperlink w:anchor="_Toc22487" w:history="1">
        <w:r>
          <w:rPr>
            <w:rFonts w:ascii="仿宋" w:eastAsia="仿宋" w:hAnsi="仿宋" w:cs="仿宋" w:hint="eastAsia"/>
            <w:lang w:eastAsia="zh-CN"/>
          </w:rPr>
          <w:t>(三)、合作方之间的关系和权益保障</w:t>
        </w:r>
        <w:r>
          <w:tab/>
        </w:r>
        <w:r>
          <w:fldChar w:fldCharType="begin"/>
        </w:r>
        <w:r>
          <w:instrText xml:space="preserve"> PAGEREF _Toc22487 \h </w:instrText>
        </w:r>
        <w:r>
          <w:fldChar w:fldCharType="separate"/>
        </w:r>
        <w:r>
          <w:t>23</w:t>
        </w:r>
        <w:r>
          <w:fldChar w:fldCharType="end"/>
        </w:r>
      </w:hyperlink>
    </w:p>
    <w:p>
      <w:pPr>
        <w:pStyle w:val="TOC1"/>
        <w:tabs>
          <w:tab w:val="right" w:leader="dot" w:pos="8306"/>
        </w:tabs>
      </w:pPr>
      <w:hyperlink w:anchor="_Toc24954" w:history="1">
        <w:r>
          <w:rPr>
            <w:rFonts w:ascii="仿宋" w:eastAsia="仿宋" w:hAnsi="仿宋" w:cs="仿宋" w:hint="eastAsia"/>
            <w:lang w:eastAsia="zh-CN"/>
          </w:rPr>
          <w:t>七、数字化转型和智能化升级</w:t>
        </w:r>
        <w:r>
          <w:tab/>
        </w:r>
        <w:r>
          <w:fldChar w:fldCharType="begin"/>
        </w:r>
        <w:r>
          <w:instrText xml:space="preserve"> PAGEREF _Toc24954 \h </w:instrText>
        </w:r>
        <w:r>
          <w:fldChar w:fldCharType="separate"/>
        </w:r>
        <w:r>
          <w:t>24</w:t>
        </w:r>
        <w:r>
          <w:fldChar w:fldCharType="end"/>
        </w:r>
      </w:hyperlink>
    </w:p>
    <w:p>
      <w:pPr>
        <w:pStyle w:val="TOC2"/>
        <w:tabs>
          <w:tab w:val="right" w:leader="dot" w:pos="8306"/>
        </w:tabs>
      </w:pPr>
      <w:hyperlink w:anchor="_Toc110" w:history="1">
        <w:r>
          <w:rPr>
            <w:rFonts w:ascii="仿宋" w:eastAsia="仿宋" w:hAnsi="仿宋" w:cs="仿宋" w:hint="eastAsia"/>
            <w:lang w:eastAsia="zh-CN"/>
          </w:rPr>
          <w:t>(一)、数字化转型和智能化升级的概念和实践</w:t>
        </w:r>
        <w:r>
          <w:tab/>
        </w:r>
        <w:r>
          <w:fldChar w:fldCharType="begin"/>
        </w:r>
        <w:r>
          <w:instrText xml:space="preserve"> PAGEREF _Toc110 \h </w:instrText>
        </w:r>
        <w:r>
          <w:fldChar w:fldCharType="separate"/>
        </w:r>
        <w:r>
          <w:t>24</w:t>
        </w:r>
        <w:r>
          <w:fldChar w:fldCharType="end"/>
        </w:r>
      </w:hyperlink>
    </w:p>
    <w:p>
      <w:pPr>
        <w:pStyle w:val="TOC2"/>
        <w:tabs>
          <w:tab w:val="right" w:leader="dot" w:pos="8306"/>
        </w:tabs>
      </w:pPr>
      <w:hyperlink w:anchor="_Toc5867" w:history="1">
        <w:r>
          <w:rPr>
            <w:rFonts w:ascii="仿宋" w:eastAsia="仿宋" w:hAnsi="仿宋" w:cs="仿宋" w:hint="eastAsia"/>
            <w:lang w:eastAsia="zh-CN"/>
          </w:rPr>
          <w:t>(二)、数字化和智能化对核苷类药物项目发展的影响和前景</w:t>
        </w:r>
        <w:r>
          <w:tab/>
        </w:r>
        <w:r>
          <w:fldChar w:fldCharType="begin"/>
        </w:r>
        <w:r>
          <w:instrText xml:space="preserve"> PAGEREF _Toc5867 \h </w:instrText>
        </w:r>
        <w:r>
          <w:fldChar w:fldCharType="separate"/>
        </w:r>
        <w:r>
          <w:t>25</w:t>
        </w:r>
        <w:r>
          <w:fldChar w:fldCharType="end"/>
        </w:r>
      </w:hyperlink>
    </w:p>
    <w:p>
      <w:pPr>
        <w:pStyle w:val="TOC1"/>
        <w:tabs>
          <w:tab w:val="right" w:leader="dot" w:pos="8306"/>
        </w:tabs>
      </w:pPr>
      <w:hyperlink w:anchor="_Toc17561" w:history="1">
        <w:r>
          <w:rPr>
            <w:rFonts w:ascii="仿宋" w:eastAsia="仿宋" w:hAnsi="仿宋" w:cs="仿宋" w:hint="eastAsia"/>
            <w:lang w:eastAsia="zh-CN"/>
          </w:rPr>
          <w:t>八、客户服务和消费者权益保护</w:t>
        </w:r>
        <w:r>
          <w:tab/>
        </w:r>
        <w:r>
          <w:fldChar w:fldCharType="begin"/>
        </w:r>
        <w:r>
          <w:instrText xml:space="preserve"> PAGEREF _Toc17561 \h </w:instrText>
        </w:r>
        <w:r>
          <w:fldChar w:fldCharType="separate"/>
        </w:r>
        <w:r>
          <w:t>27</w:t>
        </w:r>
        <w:r>
          <w:fldChar w:fldCharType="end"/>
        </w:r>
      </w:hyperlink>
    </w:p>
    <w:p>
      <w:pPr>
        <w:pStyle w:val="TOC2"/>
        <w:tabs>
          <w:tab w:val="right" w:leader="dot" w:pos="8306"/>
        </w:tabs>
      </w:pPr>
      <w:hyperlink w:anchor="_Toc18064" w:history="1">
        <w:r>
          <w:rPr>
            <w:rFonts w:ascii="仿宋" w:eastAsia="仿宋" w:hAnsi="仿宋" w:cs="仿宋" w:hint="eastAsia"/>
            <w:lang w:eastAsia="zh-CN"/>
          </w:rPr>
          <w:t>(一)、客户服务的标准和流程</w:t>
        </w:r>
        <w:r>
          <w:tab/>
        </w:r>
        <w:r>
          <w:fldChar w:fldCharType="begin"/>
        </w:r>
        <w:r>
          <w:instrText xml:space="preserve"> PAGEREF _Toc18064 \h </w:instrText>
        </w:r>
        <w:r>
          <w:fldChar w:fldCharType="separate"/>
        </w:r>
        <w:r>
          <w:t>27</w:t>
        </w:r>
        <w:r>
          <w:fldChar w:fldCharType="end"/>
        </w:r>
      </w:hyperlink>
    </w:p>
    <w:p>
      <w:pPr>
        <w:pStyle w:val="TOC2"/>
        <w:tabs>
          <w:tab w:val="right" w:leader="dot" w:pos="8306"/>
        </w:tabs>
      </w:pPr>
      <w:hyperlink w:anchor="_Toc17494" w:history="1">
        <w:r>
          <w:rPr>
            <w:rFonts w:ascii="仿宋" w:eastAsia="仿宋" w:hAnsi="仿宋" w:cs="仿宋" w:hint="eastAsia"/>
            <w:lang w:eastAsia="zh-CN"/>
          </w:rPr>
          <w:t>(二)、消费者权益保护的措施和办法</w:t>
        </w:r>
        <w:r>
          <w:tab/>
        </w:r>
        <w:r>
          <w:fldChar w:fldCharType="begin"/>
        </w:r>
        <w:r>
          <w:instrText xml:space="preserve"> PAGEREF _Toc17494 \h </w:instrText>
        </w:r>
        <w:r>
          <w:fldChar w:fldCharType="separate"/>
        </w:r>
        <w:r>
          <w:t>28</w:t>
        </w:r>
        <w:r>
          <w:fldChar w:fldCharType="end"/>
        </w:r>
      </w:hyperlink>
    </w:p>
    <w:p>
      <w:pPr>
        <w:pStyle w:val="TOC2"/>
        <w:tabs>
          <w:tab w:val="right" w:leader="dot" w:pos="8306"/>
        </w:tabs>
      </w:pPr>
      <w:hyperlink w:anchor="_Toc4592" w:history="1">
        <w:r>
          <w:rPr>
            <w:rFonts w:ascii="仿宋" w:eastAsia="仿宋" w:hAnsi="仿宋" w:cs="仿宋" w:hint="eastAsia"/>
            <w:lang w:eastAsia="zh-CN"/>
          </w:rPr>
          <w:t>(三)、客户反馈和投诉处理的机制建设</w:t>
        </w:r>
        <w:r>
          <w:tab/>
        </w:r>
        <w:r>
          <w:fldChar w:fldCharType="begin"/>
        </w:r>
        <w:r>
          <w:instrText xml:space="preserve"> PAGEREF _Toc4592 \h </w:instrText>
        </w:r>
        <w:r>
          <w:fldChar w:fldCharType="separate"/>
        </w:r>
        <w:r>
          <w:t>30</w:t>
        </w:r>
        <w:r>
          <w:fldChar w:fldCharType="end"/>
        </w:r>
      </w:hyperlink>
    </w:p>
    <w:p>
      <w:pPr>
        <w:pStyle w:val="TOC1"/>
        <w:tabs>
          <w:tab w:val="right" w:leader="dot" w:pos="8306"/>
        </w:tabs>
      </w:pPr>
      <w:hyperlink w:anchor="_Toc7821" w:history="1">
        <w:r>
          <w:rPr>
            <w:rFonts w:ascii="仿宋" w:eastAsia="仿宋" w:hAnsi="仿宋" w:cs="仿宋" w:hint="eastAsia"/>
            <w:lang w:eastAsia="zh-CN"/>
          </w:rPr>
          <w:t>九、未来发展趋势和战略规划</w:t>
        </w:r>
        <w:r>
          <w:tab/>
        </w:r>
        <w:r>
          <w:fldChar w:fldCharType="begin"/>
        </w:r>
        <w:r>
          <w:instrText xml:space="preserve"> PAGEREF _Toc7821 \h </w:instrText>
        </w:r>
        <w:r>
          <w:fldChar w:fldCharType="separate"/>
        </w:r>
        <w:r>
          <w:t>31</w:t>
        </w:r>
        <w:r>
          <w:fldChar w:fldCharType="end"/>
        </w:r>
      </w:hyperlink>
    </w:p>
    <w:p>
      <w:pPr>
        <w:pStyle w:val="TOC2"/>
        <w:tabs>
          <w:tab w:val="right" w:leader="dot" w:pos="8306"/>
        </w:tabs>
      </w:pPr>
      <w:hyperlink w:anchor="_Toc31210" w:history="1">
        <w:r>
          <w:rPr>
            <w:rFonts w:ascii="仿宋" w:eastAsia="仿宋" w:hAnsi="仿宋" w:cs="仿宋" w:hint="eastAsia"/>
            <w:lang w:eastAsia="zh-CN"/>
          </w:rPr>
          <w:t>(一)、核苷类药物行业未来发展趋势的预测</w:t>
        </w:r>
        <w:r>
          <w:tab/>
        </w:r>
        <w:r>
          <w:fldChar w:fldCharType="begin"/>
        </w:r>
        <w:r>
          <w:instrText xml:space="preserve"> PAGEREF _Toc31210 \h </w:instrText>
        </w:r>
        <w:r>
          <w:fldChar w:fldCharType="separate"/>
        </w:r>
        <w:r>
          <w:t>31</w:t>
        </w:r>
        <w:r>
          <w:fldChar w:fldCharType="end"/>
        </w:r>
      </w:hyperlink>
    </w:p>
    <w:p>
      <w:pPr>
        <w:pStyle w:val="TOC2"/>
        <w:tabs>
          <w:tab w:val="right" w:leader="dot" w:pos="8306"/>
        </w:tabs>
        <w:sectPr>
          <w:headerReference w:type="default" r:id="rId7"/>
          <w:footerReference w:type="default" r:id="rId8"/>
          <w:type w:val="nextPage"/>
          <w:pgSz w:w="11906" w:h="16838"/>
          <w:pgMar w:top="1440" w:right="1800" w:bottom="1440" w:left="1800" w:header="851" w:footer="992" w:gutter="0"/>
          <w:pgNumType w:start="2"/>
          <w:cols w:num="1" w:space="425"/>
          <w:titlePg w:val="0"/>
          <w:docGrid w:type="lines" w:linePitch="312" w:charSpace="0"/>
        </w:sectPr>
      </w:pPr>
      <w:hyperlink w:anchor="_Toc32744" w:history="1">
        <w:r>
          <w:rPr>
            <w:rFonts w:ascii="仿宋" w:eastAsia="仿宋" w:hAnsi="仿宋" w:cs="仿宋" w:hint="eastAsia"/>
            <w:lang w:eastAsia="zh-CN"/>
          </w:rPr>
          <w:t>(二)、核苷类药物项目产品在未来的发展和规划</w:t>
        </w:r>
        <w:r>
          <w:tab/>
        </w:r>
        <w:r>
          <w:fldChar w:fldCharType="begin"/>
        </w:r>
        <w:r>
          <w:instrText xml:space="preserve"> PAGEREF _Toc32744 \h </w:instrText>
        </w:r>
        <w:r>
          <w:fldChar w:fldCharType="separate"/>
        </w:r>
        <w:r>
          <w:t>32</w:t>
        </w:r>
        <w:r>
          <w:fldChar w:fldCharType="end"/>
        </w:r>
      </w:hyperlink>
    </w:p>
    <w:p>
      <w:pPr>
        <w:pStyle w:val="TOC2"/>
        <w:tabs>
          <w:tab w:val="right" w:leader="dot" w:pos="8306"/>
        </w:tabs>
      </w:pPr>
      <w:hyperlink w:anchor="_Toc4764" w:history="1">
        <w:r>
          <w:rPr>
            <w:rFonts w:ascii="仿宋" w:eastAsia="仿宋" w:hAnsi="仿宋" w:cs="仿宋" w:hint="eastAsia"/>
            <w:lang w:eastAsia="zh-CN"/>
          </w:rPr>
          <w:t>(三)、核苷类药物项目的战略规划和实施方案</w:t>
        </w:r>
        <w:r>
          <w:tab/>
        </w:r>
        <w:r>
          <w:fldChar w:fldCharType="begin"/>
        </w:r>
        <w:r>
          <w:instrText xml:space="preserve"> PAGEREF _Toc4764 \h </w:instrText>
        </w:r>
        <w:r>
          <w:fldChar w:fldCharType="separate"/>
        </w:r>
        <w:r>
          <w:t>34</w:t>
        </w:r>
        <w:r>
          <w:fldChar w:fldCharType="end"/>
        </w:r>
      </w:hyperlink>
    </w:p>
    <w:p>
      <w:pPr>
        <w:pStyle w:val="TOC1"/>
        <w:tabs>
          <w:tab w:val="right" w:leader="dot" w:pos="8306"/>
        </w:tabs>
      </w:pPr>
      <w:hyperlink w:anchor="_Toc26025" w:history="1">
        <w:r>
          <w:rPr>
            <w:rFonts w:ascii="仿宋" w:eastAsia="仿宋" w:hAnsi="仿宋" w:cs="仿宋" w:hint="eastAsia"/>
            <w:lang w:eastAsia="zh-CN"/>
          </w:rPr>
          <w:t>十、企业文化和员工培训</w:t>
        </w:r>
        <w:r>
          <w:tab/>
        </w:r>
        <w:r>
          <w:fldChar w:fldCharType="begin"/>
        </w:r>
        <w:r>
          <w:instrText xml:space="preserve"> PAGEREF _Toc26025 \h </w:instrText>
        </w:r>
        <w:r>
          <w:fldChar w:fldCharType="separate"/>
        </w:r>
        <w:r>
          <w:t>35</w:t>
        </w:r>
        <w:r>
          <w:fldChar w:fldCharType="end"/>
        </w:r>
      </w:hyperlink>
    </w:p>
    <w:p>
      <w:pPr>
        <w:pStyle w:val="TOC2"/>
        <w:tabs>
          <w:tab w:val="right" w:leader="dot" w:pos="8306"/>
        </w:tabs>
      </w:pPr>
      <w:hyperlink w:anchor="_Toc8053" w:history="1">
        <w:r>
          <w:rPr>
            <w:rFonts w:ascii="仿宋" w:eastAsia="仿宋" w:hAnsi="仿宋" w:cs="仿宋" w:hint="eastAsia"/>
            <w:lang w:eastAsia="zh-CN"/>
          </w:rPr>
          <w:t>(一)、企业文化的建设和传承</w:t>
        </w:r>
        <w:r>
          <w:tab/>
        </w:r>
        <w:r>
          <w:fldChar w:fldCharType="begin"/>
        </w:r>
        <w:r>
          <w:instrText xml:space="preserve"> PAGEREF _Toc8053 \h </w:instrText>
        </w:r>
        <w:r>
          <w:fldChar w:fldCharType="separate"/>
        </w:r>
        <w:r>
          <w:t>35</w:t>
        </w:r>
        <w:r>
          <w:fldChar w:fldCharType="end"/>
        </w:r>
      </w:hyperlink>
    </w:p>
    <w:p>
      <w:pPr>
        <w:pStyle w:val="TOC2"/>
        <w:tabs>
          <w:tab w:val="right" w:leader="dot" w:pos="8306"/>
        </w:tabs>
      </w:pPr>
      <w:hyperlink w:anchor="_Toc7150" w:history="1">
        <w:r>
          <w:rPr>
            <w:rFonts w:ascii="仿宋" w:eastAsia="仿宋" w:hAnsi="仿宋" w:cs="仿宋" w:hint="eastAsia"/>
            <w:lang w:eastAsia="zh-CN"/>
          </w:rPr>
          <w:t>(二)、员工培训的方案和实施</w:t>
        </w:r>
        <w:r>
          <w:tab/>
        </w:r>
        <w:r>
          <w:fldChar w:fldCharType="begin"/>
        </w:r>
        <w:r>
          <w:instrText xml:space="preserve"> PAGEREF _Toc7150 \h </w:instrText>
        </w:r>
        <w:r>
          <w:fldChar w:fldCharType="separate"/>
        </w:r>
        <w:r>
          <w:t>36</w:t>
        </w:r>
        <w:r>
          <w:fldChar w:fldCharType="end"/>
        </w:r>
      </w:hyperlink>
    </w:p>
    <w:p>
      <w:pPr>
        <w:pStyle w:val="TOC2"/>
        <w:tabs>
          <w:tab w:val="right" w:leader="dot" w:pos="8306"/>
        </w:tabs>
      </w:pPr>
      <w:hyperlink w:anchor="_Toc8410" w:history="1">
        <w:r>
          <w:rPr>
            <w:rFonts w:ascii="仿宋" w:eastAsia="仿宋" w:hAnsi="仿宋" w:cs="仿宋" w:hint="eastAsia"/>
            <w:lang w:eastAsia="zh-CN"/>
          </w:rPr>
          <w:t>(三)、企业文化和员工培训的互动和融合</w:t>
        </w:r>
        <w:r>
          <w:tab/>
        </w:r>
        <w:r>
          <w:fldChar w:fldCharType="begin"/>
        </w:r>
        <w:r>
          <w:instrText xml:space="preserve"> PAGEREF _Toc8410 \h </w:instrText>
        </w:r>
        <w:r>
          <w:fldChar w:fldCharType="separate"/>
        </w:r>
        <w:r>
          <w:t>38</w:t>
        </w:r>
        <w:r>
          <w:fldChar w:fldCharType="end"/>
        </w:r>
      </w:hyperlink>
    </w:p>
    <w:p>
      <w:pPr>
        <w:pStyle w:val="TOC1"/>
        <w:tabs>
          <w:tab w:val="right" w:leader="dot" w:pos="8306"/>
        </w:tabs>
      </w:pPr>
      <w:hyperlink w:anchor="_Toc31548" w:history="1">
        <w:r>
          <w:rPr>
            <w:rFonts w:ascii="仿宋" w:eastAsia="仿宋" w:hAnsi="仿宋" w:cs="仿宋" w:hint="eastAsia"/>
            <w:lang w:eastAsia="zh-CN"/>
          </w:rPr>
          <w:t>十一、核苷类药物可行性项目环境保护</w:t>
        </w:r>
        <w:r>
          <w:tab/>
        </w:r>
        <w:r>
          <w:fldChar w:fldCharType="begin"/>
        </w:r>
        <w:r>
          <w:instrText xml:space="preserve"> PAGEREF _Toc31548 \h </w:instrText>
        </w:r>
        <w:r>
          <w:fldChar w:fldCharType="separate"/>
        </w:r>
        <w:r>
          <w:t>39</w:t>
        </w:r>
        <w:r>
          <w:fldChar w:fldCharType="end"/>
        </w:r>
      </w:hyperlink>
    </w:p>
    <w:p>
      <w:pPr>
        <w:pStyle w:val="TOC2"/>
        <w:tabs>
          <w:tab w:val="right" w:leader="dot" w:pos="8306"/>
        </w:tabs>
      </w:pPr>
      <w:hyperlink w:anchor="_Toc26642" w:history="1">
        <w:r>
          <w:rPr>
            <w:rFonts w:ascii="仿宋" w:eastAsia="仿宋" w:hAnsi="仿宋" w:cs="仿宋" w:hint="eastAsia"/>
            <w:lang w:eastAsia="zh-CN"/>
          </w:rPr>
          <w:t>(一)、核苷类药物项目污染物的来源</w:t>
        </w:r>
        <w:r>
          <w:tab/>
        </w:r>
        <w:r>
          <w:fldChar w:fldCharType="begin"/>
        </w:r>
        <w:r>
          <w:instrText xml:space="preserve"> PAGEREF _Toc26642 \h </w:instrText>
        </w:r>
        <w:r>
          <w:fldChar w:fldCharType="separate"/>
        </w:r>
        <w:r>
          <w:t>39</w:t>
        </w:r>
        <w:r>
          <w:fldChar w:fldCharType="end"/>
        </w:r>
      </w:hyperlink>
    </w:p>
    <w:p>
      <w:pPr>
        <w:pStyle w:val="TOC2"/>
        <w:tabs>
          <w:tab w:val="right" w:leader="dot" w:pos="8306"/>
        </w:tabs>
      </w:pPr>
      <w:hyperlink w:anchor="_Toc18256" w:history="1">
        <w:r>
          <w:rPr>
            <w:rFonts w:ascii="仿宋" w:eastAsia="仿宋" w:hAnsi="仿宋" w:cs="仿宋" w:hint="eastAsia"/>
            <w:lang w:eastAsia="zh-CN"/>
          </w:rPr>
          <w:t>(二)、核苷类药物项目污染物的治理</w:t>
        </w:r>
        <w:r>
          <w:tab/>
        </w:r>
        <w:r>
          <w:fldChar w:fldCharType="begin"/>
        </w:r>
        <w:r>
          <w:instrText xml:space="preserve"> PAGEREF _Toc18256 \h </w:instrText>
        </w:r>
        <w:r>
          <w:fldChar w:fldCharType="separate"/>
        </w:r>
        <w:r>
          <w:t>40</w:t>
        </w:r>
        <w:r>
          <w:fldChar w:fldCharType="end"/>
        </w:r>
      </w:hyperlink>
    </w:p>
    <w:p>
      <w:pPr>
        <w:pStyle w:val="TOC2"/>
        <w:tabs>
          <w:tab w:val="right" w:leader="dot" w:pos="8306"/>
        </w:tabs>
      </w:pPr>
      <w:hyperlink w:anchor="_Toc11079" w:history="1">
        <w:r>
          <w:rPr>
            <w:rFonts w:ascii="仿宋" w:eastAsia="仿宋" w:hAnsi="仿宋" w:cs="仿宋" w:hint="eastAsia"/>
            <w:lang w:eastAsia="zh-CN"/>
          </w:rPr>
          <w:t>(三)、核苷类药物项目环境保护结论</w:t>
        </w:r>
        <w:r>
          <w:tab/>
        </w:r>
        <w:r>
          <w:fldChar w:fldCharType="begin"/>
        </w:r>
        <w:r>
          <w:instrText xml:space="preserve"> PAGEREF _Toc11079 \h </w:instrText>
        </w:r>
        <w:r>
          <w:fldChar w:fldCharType="separate"/>
        </w:r>
        <w:r>
          <w:t>41</w:t>
        </w:r>
        <w:r>
          <w:fldChar w:fldCharType="end"/>
        </w:r>
      </w:hyperlink>
    </w:p>
    <w:p>
      <w:pPr>
        <w:pStyle w:val="TOC1"/>
        <w:tabs>
          <w:tab w:val="right" w:leader="dot" w:pos="8306"/>
        </w:tabs>
      </w:pPr>
      <w:hyperlink w:anchor="_Toc24962" w:history="1">
        <w:r>
          <w:rPr>
            <w:rFonts w:ascii="仿宋" w:eastAsia="仿宋" w:hAnsi="仿宋" w:cs="仿宋" w:hint="eastAsia"/>
            <w:lang w:eastAsia="zh-CN"/>
          </w:rPr>
          <w:t>十二、信息披露和透明度管理</w:t>
        </w:r>
        <w:r>
          <w:tab/>
        </w:r>
        <w:r>
          <w:fldChar w:fldCharType="begin"/>
        </w:r>
        <w:r>
          <w:instrText xml:space="preserve"> PAGEREF _Toc24962 \h </w:instrText>
        </w:r>
        <w:r>
          <w:fldChar w:fldCharType="separate"/>
        </w:r>
        <w:r>
          <w:t>43</w:t>
        </w:r>
        <w:r>
          <w:fldChar w:fldCharType="end"/>
        </w:r>
      </w:hyperlink>
    </w:p>
    <w:p>
      <w:pPr>
        <w:pStyle w:val="TOC2"/>
        <w:tabs>
          <w:tab w:val="right" w:leader="dot" w:pos="8306"/>
        </w:tabs>
      </w:pPr>
      <w:hyperlink w:anchor="_Toc8929" w:history="1">
        <w:r>
          <w:rPr>
            <w:rFonts w:ascii="仿宋" w:eastAsia="仿宋" w:hAnsi="仿宋" w:cs="仿宋" w:hint="eastAsia"/>
            <w:lang w:eastAsia="zh-CN"/>
          </w:rPr>
          <w:t>(一)、信息披露的内容和方式选择</w:t>
        </w:r>
        <w:r>
          <w:tab/>
        </w:r>
        <w:r>
          <w:fldChar w:fldCharType="begin"/>
        </w:r>
        <w:r>
          <w:instrText xml:space="preserve"> PAGEREF _Toc8929 \h </w:instrText>
        </w:r>
        <w:r>
          <w:fldChar w:fldCharType="separate"/>
        </w:r>
        <w:r>
          <w:t>43</w:t>
        </w:r>
        <w:r>
          <w:fldChar w:fldCharType="end"/>
        </w:r>
      </w:hyperlink>
    </w:p>
    <w:p>
      <w:pPr>
        <w:pStyle w:val="TOC2"/>
        <w:tabs>
          <w:tab w:val="right" w:leader="dot" w:pos="8306"/>
        </w:tabs>
      </w:pPr>
      <w:hyperlink w:anchor="_Toc21314" w:history="1">
        <w:r>
          <w:rPr>
            <w:rFonts w:ascii="仿宋" w:eastAsia="仿宋" w:hAnsi="仿宋" w:cs="仿宋" w:hint="eastAsia"/>
            <w:lang w:eastAsia="zh-CN"/>
          </w:rPr>
          <w:t>(二)、透明度管理的目标和实施措施</w:t>
        </w:r>
        <w:r>
          <w:tab/>
        </w:r>
        <w:r>
          <w:fldChar w:fldCharType="begin"/>
        </w:r>
        <w:r>
          <w:instrText xml:space="preserve"> PAGEREF _Toc21314 \h </w:instrText>
        </w:r>
        <w:r>
          <w:fldChar w:fldCharType="separate"/>
        </w:r>
        <w:r>
          <w:t>44</w:t>
        </w:r>
        <w:r>
          <w:fldChar w:fldCharType="end"/>
        </w:r>
      </w:hyperlink>
    </w:p>
    <w:p>
      <w:pPr>
        <w:pStyle w:val="TOC2"/>
        <w:tabs>
          <w:tab w:val="right" w:leader="dot" w:pos="8306"/>
        </w:tabs>
      </w:pPr>
      <w:hyperlink w:anchor="_Toc17043" w:history="1">
        <w:r>
          <w:rPr>
            <w:rFonts w:ascii="仿宋" w:eastAsia="仿宋" w:hAnsi="仿宋" w:cs="仿宋" w:hint="eastAsia"/>
            <w:lang w:eastAsia="zh-CN"/>
          </w:rPr>
          <w:t>(三)、信息反馈和意见征集的机制建设</w:t>
        </w:r>
        <w:r>
          <w:tab/>
        </w:r>
        <w:r>
          <w:fldChar w:fldCharType="begin"/>
        </w:r>
        <w:r>
          <w:instrText xml:space="preserve"> PAGEREF _Toc17043 \h </w:instrText>
        </w:r>
        <w:r>
          <w:fldChar w:fldCharType="separate"/>
        </w:r>
        <w:r>
          <w:t>45</w:t>
        </w:r>
        <w:r>
          <w:fldChar w:fldCharType="end"/>
        </w:r>
      </w:hyperlink>
    </w:p>
    <w:p>
      <w:pPr>
        <w:pStyle w:val="TOC1"/>
        <w:tabs>
          <w:tab w:val="right" w:leader="dot" w:pos="8306"/>
        </w:tabs>
      </w:pPr>
      <w:hyperlink w:anchor="_Toc6517" w:history="1">
        <w:r>
          <w:rPr>
            <w:rFonts w:ascii="仿宋" w:eastAsia="仿宋" w:hAnsi="仿宋" w:cs="仿宋" w:hint="eastAsia"/>
            <w:lang w:eastAsia="zh-CN"/>
          </w:rPr>
          <w:t>十三、产品定价和销售策略</w:t>
        </w:r>
        <w:r>
          <w:tab/>
        </w:r>
        <w:r>
          <w:fldChar w:fldCharType="begin"/>
        </w:r>
        <w:r>
          <w:instrText xml:space="preserve"> PAGEREF _Toc6517 \h </w:instrText>
        </w:r>
        <w:r>
          <w:fldChar w:fldCharType="separate"/>
        </w:r>
        <w:r>
          <w:t>46</w:t>
        </w:r>
        <w:r>
          <w:fldChar w:fldCharType="end"/>
        </w:r>
      </w:hyperlink>
    </w:p>
    <w:p>
      <w:pPr>
        <w:pStyle w:val="TOC2"/>
        <w:tabs>
          <w:tab w:val="right" w:leader="dot" w:pos="8306"/>
        </w:tabs>
      </w:pPr>
      <w:hyperlink w:anchor="_Toc29631" w:history="1">
        <w:r>
          <w:rPr>
            <w:rFonts w:ascii="仿宋" w:eastAsia="仿宋" w:hAnsi="仿宋" w:cs="仿宋" w:hint="eastAsia"/>
            <w:lang w:eastAsia="zh-CN"/>
          </w:rPr>
          <w:t>(一)、产品定价的原则和策略</w:t>
        </w:r>
        <w:r>
          <w:tab/>
        </w:r>
        <w:r>
          <w:fldChar w:fldCharType="begin"/>
        </w:r>
        <w:r>
          <w:instrText xml:space="preserve"> PAGEREF _Toc29631 \h </w:instrText>
        </w:r>
        <w:r>
          <w:fldChar w:fldCharType="separate"/>
        </w:r>
        <w:r>
          <w:t>46</w:t>
        </w:r>
        <w:r>
          <w:fldChar w:fldCharType="end"/>
        </w:r>
      </w:hyperlink>
    </w:p>
    <w:p>
      <w:pPr>
        <w:pStyle w:val="TOC2"/>
        <w:tabs>
          <w:tab w:val="right" w:leader="dot" w:pos="8306"/>
        </w:tabs>
      </w:pPr>
      <w:hyperlink w:anchor="_Toc8124" w:history="1">
        <w:r>
          <w:rPr>
            <w:rFonts w:ascii="仿宋" w:eastAsia="仿宋" w:hAnsi="仿宋" w:cs="仿宋" w:hint="eastAsia"/>
            <w:lang w:eastAsia="zh-CN"/>
          </w:rPr>
          <w:t>(二)、销售渠道的选择和拓展</w:t>
        </w:r>
        <w:r>
          <w:tab/>
        </w:r>
        <w:r>
          <w:fldChar w:fldCharType="begin"/>
        </w:r>
        <w:r>
          <w:instrText xml:space="preserve"> PAGEREF _Toc8124 \h </w:instrText>
        </w:r>
        <w:r>
          <w:fldChar w:fldCharType="separate"/>
        </w:r>
        <w:r>
          <w:t>48</w:t>
        </w:r>
        <w:r>
          <w:fldChar w:fldCharType="end"/>
        </w:r>
      </w:hyperlink>
    </w:p>
    <w:p>
      <w:pPr>
        <w:pStyle w:val="TOC2"/>
        <w:tabs>
          <w:tab w:val="right" w:leader="dot" w:pos="8306"/>
        </w:tabs>
      </w:pPr>
      <w:hyperlink w:anchor="_Toc9257" w:history="1">
        <w:r>
          <w:rPr>
            <w:rFonts w:ascii="仿宋" w:eastAsia="仿宋" w:hAnsi="仿宋" w:cs="仿宋" w:hint="eastAsia"/>
            <w:lang w:eastAsia="zh-CN"/>
          </w:rPr>
          <w:t>(三)、销售促进和营销活动的策划和实施</w:t>
        </w:r>
        <w:r>
          <w:tab/>
        </w:r>
        <w:r>
          <w:fldChar w:fldCharType="begin"/>
        </w:r>
        <w:r>
          <w:instrText xml:space="preserve"> PAGEREF _Toc9257 \h </w:instrText>
        </w:r>
        <w:r>
          <w:fldChar w:fldCharType="separate"/>
        </w:r>
        <w:r>
          <w:t>50</w:t>
        </w:r>
        <w:r>
          <w:fldChar w:fldCharType="end"/>
        </w:r>
      </w:hyperlink>
    </w:p>
    <w:p>
      <w:pPr>
        <w:pStyle w:val="TOC1"/>
        <w:tabs>
          <w:tab w:val="right" w:leader="dot" w:pos="8306"/>
        </w:tabs>
      </w:pPr>
      <w:hyperlink w:anchor="_Toc4839" w:history="1">
        <w:r>
          <w:rPr>
            <w:rFonts w:ascii="仿宋" w:eastAsia="仿宋" w:hAnsi="仿宋" w:cs="仿宋" w:hint="eastAsia"/>
            <w:lang w:eastAsia="zh-CN"/>
          </w:rPr>
          <w:t>十四、技术创新和研发成果转化</w:t>
        </w:r>
        <w:r>
          <w:tab/>
        </w:r>
        <w:r>
          <w:fldChar w:fldCharType="begin"/>
        </w:r>
        <w:r>
          <w:instrText xml:space="preserve"> PAGEREF _Toc4839 \h </w:instrText>
        </w:r>
        <w:r>
          <w:fldChar w:fldCharType="separate"/>
        </w:r>
        <w:r>
          <w:t>51</w:t>
        </w:r>
        <w:r>
          <w:fldChar w:fldCharType="end"/>
        </w:r>
      </w:hyperlink>
    </w:p>
    <w:p>
      <w:pPr>
        <w:pStyle w:val="TOC2"/>
        <w:tabs>
          <w:tab w:val="right" w:leader="dot" w:pos="8306"/>
        </w:tabs>
      </w:pPr>
      <w:hyperlink w:anchor="_Toc21261" w:history="1">
        <w:r>
          <w:rPr>
            <w:rFonts w:ascii="仿宋" w:eastAsia="仿宋" w:hAnsi="仿宋" w:cs="仿宋" w:hint="eastAsia"/>
            <w:lang w:eastAsia="zh-CN"/>
          </w:rPr>
          <w:t>(一)、技术创新的目标和途径</w:t>
        </w:r>
        <w:r>
          <w:tab/>
        </w:r>
        <w:r>
          <w:fldChar w:fldCharType="begin"/>
        </w:r>
        <w:r>
          <w:instrText xml:space="preserve"> PAGEREF _Toc21261 \h </w:instrText>
        </w:r>
        <w:r>
          <w:fldChar w:fldCharType="separate"/>
        </w:r>
        <w:r>
          <w:t>51</w:t>
        </w:r>
        <w:r>
          <w:fldChar w:fldCharType="end"/>
        </w:r>
      </w:hyperlink>
    </w:p>
    <w:p>
      <w:pPr>
        <w:pStyle w:val="TOC2"/>
        <w:tabs>
          <w:tab w:val="right" w:leader="dot" w:pos="8306"/>
        </w:tabs>
      </w:pPr>
      <w:hyperlink w:anchor="_Toc11306" w:history="1">
        <w:r>
          <w:rPr>
            <w:rFonts w:ascii="仿宋" w:eastAsia="仿宋" w:hAnsi="仿宋" w:cs="仿宋" w:hint="eastAsia"/>
            <w:lang w:eastAsia="zh-CN"/>
          </w:rPr>
          <w:t>(二)、研发成果转化的流程和机制</w:t>
        </w:r>
        <w:r>
          <w:tab/>
        </w:r>
        <w:r>
          <w:fldChar w:fldCharType="begin"/>
        </w:r>
        <w:r>
          <w:instrText xml:space="preserve"> PAGEREF _Toc11306 \h </w:instrText>
        </w:r>
        <w:r>
          <w:fldChar w:fldCharType="separate"/>
        </w:r>
        <w:r>
          <w:t>53</w:t>
        </w:r>
        <w:r>
          <w:fldChar w:fldCharType="end"/>
        </w:r>
      </w:hyperlink>
    </w:p>
    <w:p>
      <w:pPr>
        <w:pStyle w:val="TOC2"/>
        <w:tabs>
          <w:tab w:val="right" w:leader="dot" w:pos="8306"/>
        </w:tabs>
      </w:pPr>
      <w:hyperlink w:anchor="_Toc22546" w:history="1">
        <w:r>
          <w:rPr>
            <w:rFonts w:ascii="仿宋" w:eastAsia="仿宋" w:hAnsi="仿宋" w:cs="仿宋" w:hint="eastAsia"/>
            <w:lang w:eastAsia="zh-CN"/>
          </w:rPr>
          <w:t>(三)、技术创新和研发成果转化的风险控制</w:t>
        </w:r>
        <w:r>
          <w:tab/>
        </w:r>
        <w:r>
          <w:fldChar w:fldCharType="begin"/>
        </w:r>
        <w:r>
          <w:instrText xml:space="preserve"> PAGEREF _Toc22546 \h </w:instrText>
        </w:r>
        <w:r>
          <w:fldChar w:fldCharType="separate"/>
        </w:r>
        <w:r>
          <w:t>54</w:t>
        </w:r>
        <w:r>
          <w:fldChar w:fldCharType="end"/>
        </w:r>
      </w:hyperlink>
    </w:p>
    <w:p>
      <w:pPr>
        <w:sectPr>
          <w:headerReference w:type="default" r:id="rId9"/>
          <w:footerReference w:type="default" r:id="rId10"/>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
      <w:r>
        <w:rPr>
          <w:rFonts w:ascii="仿宋" w:eastAsia="仿宋" w:hAnsi="仿宋" w:cs="仿宋" w:hint="eastAsia"/>
          <w:lang w:eastAsia="zh-CN"/>
        </w:rPr>
        <w:t>绪论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本研究的主要目的是评估 [项目/决策名称] 的可行性。我们将对该项目的各个方面进行全面分析，包括市场潜力、技术可行性、财务可行性、法律和法规合规性、环境和社会可行性等。通过这些评估，我们旨在为您提供决策支持，使您能够在决定是否继续前进之前拥有充分的信息。</w:t>
      </w:r>
    </w:p>
    <w:p>
      <w:pPr>
        <w:pStyle w:val="Heading1"/>
        <w:ind w:firstLine="560" w:firstLineChars="200"/>
        <w:rPr>
          <w:rFonts w:ascii="仿宋" w:eastAsia="仿宋" w:hAnsi="仿宋" w:cs="仿宋" w:hint="eastAsia"/>
          <w:sz w:val="28"/>
          <w:lang w:eastAsia="zh-CN"/>
        </w:rPr>
      </w:pPr>
      <w:bookmarkStart w:id="2" w:name="_Toc16146"/>
      <w:r>
        <w:rPr>
          <w:rFonts w:ascii="仿宋" w:eastAsia="仿宋" w:hAnsi="仿宋" w:cs="仿宋" w:hint="eastAsia"/>
          <w:sz w:val="28"/>
          <w:lang w:eastAsia="zh-CN"/>
        </w:rPr>
        <w:t>一、客户服务和消费者权益保护</w:t>
      </w:r>
      <w:bookmarkEnd w:id="2"/>
    </w:p>
    <w:p>
      <w:pPr>
        <w:pStyle w:val="Heading2"/>
        <w:rPr>
          <w:rFonts w:ascii="仿宋" w:eastAsia="仿宋" w:hAnsi="仿宋" w:cs="仿宋" w:hint="eastAsia"/>
          <w:lang w:eastAsia="zh-CN"/>
        </w:rPr>
      </w:pPr>
      <w:bookmarkStart w:id="3" w:name="_Toc20523"/>
      <w:r>
        <w:rPr>
          <w:rFonts w:ascii="仿宋" w:eastAsia="仿宋" w:hAnsi="仿宋" w:cs="仿宋" w:hint="eastAsia"/>
          <w:lang w:eastAsia="zh-CN"/>
        </w:rPr>
        <w:t>(一)、客户服务的标准和流程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客户服务标准的制定：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服务定位：明确核苷类药物项目产品的服务定位和目标客户群体，确定服务的核心价值和差异化特点。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服务质量标准：制定客户服务的质量标准，包括响应时间、问题解决率、客户满意度等指标，以确保服务质量的稳定和提升。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沟通和礼仪准则：制定客户沟通和互动的准则，包括礼貌待客、积极倾听、专业回应等，以提升客户体验和建立良好的客户关系。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售后支持：确定售后支持的范围和方式，包括技术支持、维修保养、产品更新等，以满足客户的售后需求。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客户服务流程的建立：</w:t>
      </w:r>
    </w:p>
    <w:p>
      <w:pPr>
        <w:ind w:firstLine="560" w:firstLineChars="200"/>
        <w:rPr>
          <w:rFonts w:ascii="仿宋" w:eastAsia="仿宋" w:hAnsi="仿宋" w:cs="仿宋" w:hint="eastAsia"/>
          <w:sz w:val="28"/>
        </w:rPr>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客户接触点识别：识别核苷类药物项目产品与客户接触的各个环节和渠道，包括电话、邮件、在线聊天、社交媒体等，以确保全面的客户服务覆盖。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服务请求管理：建立客户服务请求的管理流程，包括服务请求的接收、记录、分配和跟踪，以确保及时响应和问题解决。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技术支持和培训：建立技术支持和培训的流程，包括技术人员的安排和培训计划，以提供专业的技术支持和培训服务。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投诉处理和反馈机制：建立客户投诉处理和反馈机制，包括投诉接收、调查、解决和反馈，以及持续改进的措施，以提高客户满意度和忠诚度。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数据分析和改进：建立客户服务数据的收集和分析机制，评估客户服务的绩效和问题点，及时调整和改进客户服务流程和标准。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培训和人员管理：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培训计划：制定客户服务人员的培训计划，包括产品知识、沟通技巧、问题解决能力等方面的培训，以提升客户服务的专业水平。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人员配置：合理配置客户服务人员的数量和结构，确保客户服务团队的有效运作和资源利用。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绩效评估和激励：建立客户服务人员的绩效评估机制，设定相关指标和激励措施，激发客户服务团队的积极性和动力。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技术支持和工具：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技术支持系统：建立技术支持系统，包括知识库、故障排除工具、远程支持等，以提供高效的技术支持服务。</w:t>
      </w:r>
    </w:p>
    <w:p>
      <w:pPr>
        <w:ind w:firstLine="560" w:firstLineChars="200"/>
        <w:rPr>
          <w:rFonts w:ascii="仿宋" w:eastAsia="仿宋" w:hAnsi="仿宋" w:cs="仿宋" w:hint="eastAsia"/>
          <w:sz w:val="28"/>
        </w:rPr>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CRM系统：使用客户关系管理系统，记录客户信息、服务记录和反馈，以实现客户信息的集中管理和个性化服务的提供。</w:t>
      </w:r>
    </w:p>
    <w:p>
      <w:pPr>
        <w:pStyle w:val="Heading2"/>
        <w:ind w:firstLine="560" w:firstLineChars="200"/>
        <w:rPr>
          <w:rFonts w:ascii="仿宋" w:eastAsia="仿宋" w:hAnsi="仿宋" w:cs="仿宋" w:hint="eastAsia"/>
          <w:sz w:val="28"/>
          <w:lang w:eastAsia="zh-CN"/>
        </w:rPr>
      </w:pPr>
      <w:bookmarkStart w:id="4" w:name="_Toc20304"/>
      <w:r>
        <w:rPr>
          <w:rFonts w:ascii="仿宋" w:eastAsia="仿宋" w:hAnsi="仿宋" w:cs="仿宋" w:hint="eastAsia"/>
          <w:sz w:val="28"/>
          <w:lang w:eastAsia="zh-CN"/>
        </w:rPr>
        <w:t>(二)、消费者权益保护的措施和办法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法律法规遵守：</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了解相关法律法规：研究核苷类药物项目产品所涉及的消费者权益保护相关法律法规，如消费者权益保护法、产品质量法等，确保核苷类药物项目产品的合规性。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严格遵守法律法规：确保核苷类药物项目产品在生产、销售和售后服务过程中严格遵守相关法律法规，包括产品质量、产品安全、产品标识等方面的要求。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产品质量保证：</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质量控制体系：建立完善的质量控制体系，包括原材料采购、生产工艺、产品检验等环节，确保产品质量符合标准和规定。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售后服务保障：建立健全的售后服务体系，包括产品质量问题的投诉处理、退换货政策、维修保养等，确保消费者在购买后能够得到及时的支持和解决方案。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信息透明和宣传：</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产品信息披露：提供准确、清晰、完整的产品信息，包括产品特性、使用说明、质量标准等，确保消费者能够全面了解产品。</w:t>
      </w:r>
    </w:p>
    <w:p>
      <w:pPr>
        <w:ind w:firstLine="560" w:firstLineChars="200"/>
        <w:rPr>
          <w:rFonts w:ascii="仿宋" w:eastAsia="仿宋" w:hAnsi="仿宋" w:cs="仿宋" w:hint="eastAsia"/>
          <w:sz w:val="28"/>
        </w:rPr>
      </w:pPr>
      <w:r>
        <w:rPr>
          <w:rFonts w:ascii="仿宋" w:eastAsia="仿宋" w:hAnsi="仿宋" w:cs="仿宋" w:hint="eastAsia"/>
          <w:sz w:val="28"/>
          <w:lang w:eastAsia="zh-CN"/>
        </w:rPr>
        <w:t>宣传真实性：确保产品宣传和广告内容真实、准确，不夸大产品的性能和效果，避免误导消费者。</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投诉处理和争议解决：</w:t>
      </w:r>
    </w:p>
    <w:p>
      <w:pPr>
        <w:ind w:firstLine="560" w:firstLineChars="200"/>
        <w:rPr>
          <w:rFonts w:ascii="仿宋" w:eastAsia="仿宋" w:hAnsi="仿宋" w:cs="仿宋" w:hint="eastAsia"/>
          <w:sz w:val="28"/>
        </w:rPr>
        <w:sectPr>
          <w:headerReference w:type="default" r:id="rId15"/>
          <w:footerReference w:type="default" r:id="rId16"/>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投诉渠道设立：建立便捷的投诉渠道，包括客服热线、在线投诉平台等，方便消费者提出投诉和意见反馈。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投诉处理流程：建立投诉处理流程，包括投诉受理、调查核实、问题解决和反馈等环节，确保及时、公正地处理消费者投诉。</w:t>
      </w:r>
    </w:p>
    <w:p>
      <w:pPr>
        <w:ind w:firstLine="560" w:firstLineChars="200"/>
        <w:rPr>
          <w:rFonts w:ascii="仿宋" w:eastAsia="仿宋" w:hAnsi="仿宋" w:cs="仿宋" w:hint="eastAsia"/>
          <w:sz w:val="28"/>
        </w:rPr>
      </w:pPr>
      <w:r>
        <w:rPr>
          <w:rFonts w:ascii="仿宋" w:eastAsia="仿宋" w:hAnsi="仿宋" w:cs="仿宋" w:hint="eastAsia"/>
          <w:sz w:val="28"/>
          <w:lang w:eastAsia="zh-CN"/>
        </w:rPr>
        <w:t>争议解决机制：提供争议解决的途径，如调解、仲裁、法律诉讼等，为消费者提供公正、有效的解决途径。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消费者教育和宣传：</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消费者权益宣传：开展消费者权益保护的宣传活动，提高消费者对权益保护的认知和意识，增强消费者的知识和能力。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消费者教育：开展消费者教育活动，提供消费指导、产品知识等培训，帮助消费者做出明智的购买决策。</w:t>
      </w:r>
    </w:p>
    <w:p>
      <w:pPr>
        <w:pStyle w:val="Heading2"/>
        <w:ind w:firstLine="560" w:firstLineChars="200"/>
        <w:rPr>
          <w:rFonts w:ascii="仿宋" w:eastAsia="仿宋" w:hAnsi="仿宋" w:cs="仿宋" w:hint="eastAsia"/>
          <w:sz w:val="28"/>
          <w:lang w:eastAsia="zh-CN"/>
        </w:rPr>
      </w:pPr>
      <w:bookmarkStart w:id="5" w:name="_Toc16645"/>
      <w:r>
        <w:rPr>
          <w:rFonts w:ascii="仿宋" w:eastAsia="仿宋" w:hAnsi="仿宋" w:cs="仿宋" w:hint="eastAsia"/>
          <w:sz w:val="28"/>
          <w:lang w:eastAsia="zh-CN"/>
        </w:rPr>
        <w:t>(三)、客户反馈和投诉处理的机制建设</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反馈渠道的建立：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多样化的反馈渠道：建立多种途径供客户提供反馈，包括在线反馈表单、客服热线、电子邮件、社交媒体等，以方便客户随时表达意见和反馈。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反馈渠道的宣传：积极宣传反馈渠道，提高客户对反馈渠道的知晓度和使用率。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反馈收集和整理：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反馈信息的记录和分类：建立反馈信息的记录系统，对收集到的反馈进行分类和整理，以便后续的分析和处理。</w:t>
      </w:r>
    </w:p>
    <w:p>
      <w:pPr>
        <w:ind w:firstLine="560" w:firstLineChars="200"/>
        <w:rPr>
          <w:rFonts w:ascii="仿宋" w:eastAsia="仿宋" w:hAnsi="仿宋" w:cs="仿宋" w:hint="eastAsia"/>
          <w:sz w:val="28"/>
        </w:rPr>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数据分析和洞察：对反馈信息进行数据分析，挖掘客户需求和问题的共性和趋势，为后续的改进措施提供依据。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投诉处理流程的建立：</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投诉受理和登记：建立投诉受理的流程和机制，确保投诉信息的准确记录和登记，包括投诉内容、投诉人信息、投诉时间等。</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调查和核实：对投诉进行调查和核实，了解问题的具体情况和原因，确保投诉处理的公正性和客观性。</w:t>
      </w:r>
    </w:p>
    <w:p>
      <w:pPr>
        <w:ind w:firstLine="560" w:firstLineChars="200"/>
        <w:rPr>
          <w:rFonts w:ascii="仿宋" w:eastAsia="仿宋" w:hAnsi="仿宋" w:cs="仿宋" w:hint="eastAsia"/>
          <w:sz w:val="28"/>
        </w:rPr>
      </w:pPr>
      <w:r>
        <w:rPr>
          <w:rFonts w:ascii="仿宋" w:eastAsia="仿宋" w:hAnsi="仿宋" w:cs="仿宋" w:hint="eastAsia"/>
          <w:sz w:val="28"/>
          <w:lang w:eastAsia="zh-CN"/>
        </w:rPr>
        <w:t>问题解决和反馈：制定问题解决的方案，并及时与客户沟通和解释，解决客户的问题，并向客户反馈处理结果。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投诉处理人员的培训和能力提升：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培训计划和培训内容：制定投诉处理人员的培训计划，包括投诉处理流程、沟通技巧、问题解决能力等方面的培训，提升投诉处理人员的专业水平。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持续学习和知识更新：建立持续学习和知识更新的机制，使投诉处理人员能够及时了解最新的产品信息、服务标准和投诉处理技巧。</w:t>
      </w:r>
    </w:p>
    <w:p>
      <w:pPr>
        <w:ind w:firstLine="560" w:firstLineChars="200"/>
        <w:rPr>
          <w:rFonts w:ascii="仿宋" w:eastAsia="仿宋" w:hAnsi="仿宋" w:cs="仿宋" w:hint="eastAsia"/>
          <w:sz w:val="28"/>
        </w:rPr>
      </w:pPr>
      <w:r>
        <w:rPr>
          <w:rFonts w:ascii="仿宋" w:eastAsia="仿宋" w:hAnsi="仿宋" w:cs="仿宋" w:hint="eastAsia"/>
          <w:sz w:val="28"/>
          <w:lang w:eastAsia="zh-CN"/>
        </w:rPr>
        <w:t>投诉处理结果的监测和改进：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监测指标的设定：建立投诉处理结果的监测指标，包括投诉处理时效、问题解决率、客户满意度等，评估投诉处理的效果。</w:t>
      </w:r>
    </w:p>
    <w:p>
      <w:pPr>
        <w:ind w:firstLine="560" w:firstLineChars="200"/>
        <w:rPr>
          <w:rFonts w:ascii="仿宋" w:eastAsia="仿宋" w:hAnsi="仿宋" w:cs="仿宋" w:hint="eastAsia"/>
          <w:sz w:val="28"/>
        </w:rPr>
        <w:sectPr>
          <w:headerReference w:type="default" r:id="rId19"/>
          <w:footerReference w:type="default" r:id="rId20"/>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持续改进措施：根据投诉处理结果和客户反馈，及时调整和改进投诉处理流程和标准，提高投诉处理的效率和质量。</w:t>
      </w:r>
    </w:p>
    <w:p>
      <w:pPr>
        <w:pStyle w:val="Heading1"/>
        <w:ind w:firstLine="560" w:firstLineChars="200"/>
        <w:rPr>
          <w:rFonts w:ascii="仿宋" w:eastAsia="仿宋" w:hAnsi="仿宋" w:cs="仿宋" w:hint="eastAsia"/>
          <w:sz w:val="28"/>
          <w:lang w:eastAsia="zh-CN"/>
        </w:rPr>
      </w:pPr>
      <w:bookmarkStart w:id="6" w:name="_Toc19243"/>
      <w:r>
        <w:rPr>
          <w:rFonts w:ascii="仿宋" w:eastAsia="仿宋" w:hAnsi="仿宋" w:cs="仿宋" w:hint="eastAsia"/>
          <w:sz w:val="28"/>
          <w:lang w:eastAsia="zh-CN"/>
        </w:rPr>
        <w:t>二、创新商业模式和价值创造</w:t>
      </w:r>
      <w:bookmarkEnd w:id="6"/>
    </w:p>
    <w:p>
      <w:pPr>
        <w:pStyle w:val="Heading2"/>
        <w:rPr>
          <w:rFonts w:ascii="仿宋" w:eastAsia="仿宋" w:hAnsi="仿宋" w:cs="仿宋" w:hint="eastAsia"/>
          <w:lang w:eastAsia="zh-CN"/>
        </w:rPr>
      </w:pPr>
      <w:bookmarkStart w:id="7" w:name="_Toc18648"/>
      <w:r>
        <w:rPr>
          <w:rFonts w:ascii="仿宋" w:eastAsia="仿宋" w:hAnsi="仿宋" w:cs="仿宋" w:hint="eastAsia"/>
          <w:lang w:eastAsia="zh-CN"/>
        </w:rPr>
        <w:t>(一)、创新商业模式的介绍和实例分析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创新商业模式的介绍：创新商业模式是指在现有市场和资源的基础上，通过创新和变革，开创新的商业模式，实现商业目标和可持续发展。创新商业模式包括产品或服务的创新、市场营销的创新、收入模式的创新、供应链的创新等方面。创新商业模式能够带来新的商业机会、增加企业的竞争力、提高客户价值、降低成本和风险等多重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实例分析：以共享经济模式为例，共享经济是一种基于互联网和移动互联网的创新商业模式，通过共享资源、共享服务和共享平台，实现资源的最大化利用和效率提升。共享经济模式的实现，需要解决资源共享、信任机制、平台建设等多个问题。例如，共享单车企业可以通过建立智能锁和移动支付系统，实现自助租借和归还，降低管理成本和提高用户体验；共享住宿企业可以通过建立信任评价机制和保险机制，提高用户信任度和安全性；共享办公企业可以通过提供灵活的租赁方式和共享办公设施，降低企业成本和提高工作效率。</w:t>
      </w:r>
    </w:p>
    <w:p>
      <w:pPr>
        <w:pStyle w:val="Heading2"/>
        <w:ind w:firstLine="560" w:firstLineChars="200"/>
        <w:rPr>
          <w:rFonts w:ascii="仿宋" w:eastAsia="仿宋" w:hAnsi="仿宋" w:cs="仿宋" w:hint="eastAsia"/>
          <w:sz w:val="28"/>
          <w:lang w:eastAsia="zh-CN"/>
        </w:rPr>
      </w:pPr>
      <w:bookmarkStart w:id="8" w:name="_Toc3493"/>
      <w:r>
        <w:rPr>
          <w:rFonts w:ascii="仿宋" w:eastAsia="仿宋" w:hAnsi="仿宋" w:cs="仿宋" w:hint="eastAsia"/>
          <w:sz w:val="28"/>
          <w:lang w:eastAsia="zh-CN"/>
        </w:rPr>
        <w:t>(二)、商业模式创新对核苷类药物项目价值的影响</w:t>
      </w:r>
      <w:bookmarkEnd w:id="8"/>
    </w:p>
    <w:p>
      <w:pPr>
        <w:ind w:firstLine="560" w:firstLineChars="200"/>
        <w:rPr>
          <w:rFonts w:ascii="仿宋" w:eastAsia="仿宋" w:hAnsi="仿宋" w:cs="仿宋" w:hint="eastAsia"/>
          <w:sz w:val="28"/>
        </w:rPr>
        <w:sectPr>
          <w:headerReference w:type="default" r:id="rId21"/>
          <w:footerReference w:type="default" r:id="rId22"/>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价值提升：商业模式创新可以带来新的商业机会和增值服务，提高产品或服务的附加值和差异化竞争力，从而提升核苷类药物项目的市场价值和商业价值。例如，通过采用订阅制或付费会员制等收入模式创新，可以增加核苷类药物项目的收入来源和稳定性；通过采用共享经济模式或区块链技术等供应链创新，可以降低成本和风险，提高效率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商业模式创新可以带来新的商业模式和商业生态，打破传统的竞争格局，创造新的竞争优势。例如，通过采用平台经济模式或社交化营销模式等市场营销创新，可以拓展核苷类药物项目的市场份额和用户群体；通过采用云计算或物联网技术等技术创新，可以提高核苷类药物项目的技术水平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商业模式创新可以带来新的商业模式和商业生态，促进核苷类药物项目的可持续发展。例如，通过采用循环经济模式或绿色供应链模式等可持续发展创新，可以降低核苷类药物项目的环境影响和社会风险，提高核苷类药物项目的社会责任和企业形象。</w:t>
      </w:r>
    </w:p>
    <w:p>
      <w:pPr>
        <w:pStyle w:val="Heading2"/>
        <w:ind w:firstLine="560" w:firstLineChars="200"/>
        <w:rPr>
          <w:rFonts w:ascii="仿宋" w:eastAsia="仿宋" w:hAnsi="仿宋" w:cs="仿宋" w:hint="eastAsia"/>
          <w:sz w:val="28"/>
          <w:lang w:eastAsia="zh-CN"/>
        </w:rPr>
      </w:pPr>
      <w:bookmarkStart w:id="9" w:name="_Toc3890"/>
      <w:r>
        <w:rPr>
          <w:rFonts w:ascii="仿宋" w:eastAsia="仿宋" w:hAnsi="仿宋" w:cs="仿宋" w:hint="eastAsia"/>
          <w:sz w:val="28"/>
          <w:lang w:eastAsia="zh-CN"/>
        </w:rPr>
        <w:t>(三)、商业模式持续创新和迭代发展的策略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持续创新：商业模式持续创新是指不断地寻找新的商业机会和创新点，通过创新和变革，实现商业目标和可持续发展。持续创新需要建立创新机制和创新文化，鼓励团队成员提出新的创意和建议，同时需要建立创新评估和实施机制，对创新点进行评估和筛选，制定创新计划和实施方案。</w:t>
      </w:r>
    </w:p>
    <w:p>
      <w:pPr>
        <w:ind w:firstLine="560" w:firstLineChars="200"/>
        <w:rPr>
          <w:rFonts w:ascii="仿宋" w:eastAsia="仿宋" w:hAnsi="仿宋" w:cs="仿宋" w:hint="eastAsia"/>
          <w:sz w:val="28"/>
        </w:rPr>
        <w:sectPr>
          <w:headerReference w:type="default" r:id="rId23"/>
          <w:footerReference w:type="default" r:id="rId24"/>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迭代发展：商业模式迭代发展是指不断地对商业模式进行调整和优化，通过实践和反馈，不断地改进和完善商业模式，实现商业目标和可持续发展。迭代发展需要建立反馈机制和数据分析机制，及时了解用户反馈和市场信息，对商业模式进行调整和优化，同时需要建立迭代管理和实施机制，对商业模式的改进进行跟踪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策略建议：为了实现商业模式的持续创新和迭代发展，我们需要建立以下策略建议：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建立创新和迭代的文化和机制，鼓励团队成员提出新的创意和建议，同时建立创新评估和实施机制，对创新点进行评估和筛选，制定创新计划和实施方案。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建立反馈和数据分析机制，及时了解用户反馈和市场信息，对商业模式进行调整和优化，同时建立迭代管理和实施机制，对商业模式的改进进行跟踪和管理。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注重社会责任和可持续发展，将商业模式的持续创新和迭代发展与社会责任和可持续发展相结合，实现商业目标和社会效益的双赢。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建立有效的沟通机制和团队协作机制，明确团队成员的角色和职责，注重团队文化的建立和维护，确保商业模式的持续创新和迭代发展的顺利实施。</w:t>
      </w:r>
    </w:p>
    <w:p>
      <w:pPr>
        <w:pStyle w:val="Heading1"/>
        <w:ind w:firstLine="560" w:firstLineChars="200"/>
        <w:rPr>
          <w:rFonts w:ascii="仿宋" w:eastAsia="仿宋" w:hAnsi="仿宋" w:cs="仿宋" w:hint="eastAsia"/>
          <w:sz w:val="28"/>
          <w:lang w:eastAsia="zh-CN"/>
        </w:rPr>
      </w:pPr>
      <w:bookmarkStart w:id="10" w:name="_Toc15963"/>
      <w:r>
        <w:rPr>
          <w:rFonts w:ascii="仿宋" w:eastAsia="仿宋" w:hAnsi="仿宋" w:cs="仿宋" w:hint="eastAsia"/>
          <w:sz w:val="28"/>
          <w:lang w:eastAsia="zh-CN"/>
        </w:rPr>
        <w:t>三、核苷类药物项目概论</w:t>
      </w:r>
      <w:bookmarkEnd w:id="10"/>
    </w:p>
    <w:p>
      <w:pPr>
        <w:pStyle w:val="Heading2"/>
        <w:rPr>
          <w:rFonts w:ascii="仿宋" w:eastAsia="仿宋" w:hAnsi="仿宋" w:cs="仿宋" w:hint="eastAsia"/>
          <w:lang w:eastAsia="zh-CN"/>
        </w:rPr>
      </w:pPr>
      <w:bookmarkStart w:id="11" w:name="_Toc27232"/>
      <w:r>
        <w:rPr>
          <w:rFonts w:ascii="仿宋" w:eastAsia="仿宋" w:hAnsi="仿宋" w:cs="仿宋" w:hint="eastAsia"/>
          <w:lang w:eastAsia="zh-CN"/>
        </w:rPr>
        <w:t>(一)、核苷类药物项目名称及承办单位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核苷类药物项目名称：核苷类药物建设项目</w:t>
      </w:r>
    </w:p>
    <w:p>
      <w:pPr>
        <w:ind w:firstLine="560" w:firstLineChars="200"/>
        <w:rPr>
          <w:rFonts w:ascii="仿宋" w:eastAsia="仿宋" w:hAnsi="仿宋" w:cs="仿宋" w:hint="eastAsia"/>
          <w:sz w:val="28"/>
        </w:rPr>
        <w:sectPr>
          <w:headerReference w:type="default" r:id="rId25"/>
          <w:footerReference w:type="default" r:id="rId26"/>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2、核苷类药物项目建设性质：新建</w:t>
      </w:r>
    </w:p>
    <w:p>
      <w:pPr>
        <w:pStyle w:val="Heading2"/>
        <w:ind w:firstLine="560" w:firstLineChars="200"/>
        <w:rPr>
          <w:rFonts w:ascii="仿宋" w:eastAsia="仿宋" w:hAnsi="仿宋" w:cs="仿宋" w:hint="eastAsia"/>
          <w:sz w:val="28"/>
          <w:lang w:eastAsia="zh-CN"/>
        </w:rPr>
      </w:pPr>
      <w:bookmarkStart w:id="12" w:name="_Toc31492"/>
      <w:r>
        <w:rPr>
          <w:rFonts w:ascii="仿宋" w:eastAsia="仿宋" w:hAnsi="仿宋" w:cs="仿宋" w:hint="eastAsia"/>
          <w:sz w:val="28"/>
          <w:lang w:eastAsia="zh-CN"/>
        </w:rPr>
        <w:t>(二)、核苷类药物项目拟建地址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1、核苷类药物项目规划地址：某某某某经济开发区。</w:t>
      </w:r>
    </w:p>
    <w:p>
      <w:pPr>
        <w:ind w:firstLine="560" w:firstLineChars="200"/>
        <w:rPr>
          <w:rFonts w:ascii="仿宋" w:eastAsia="仿宋" w:hAnsi="仿宋" w:cs="仿宋" w:hint="eastAsia"/>
          <w:sz w:val="28"/>
        </w:rPr>
      </w:pPr>
      <w:r>
        <w:rPr>
          <w:rFonts w:ascii="仿宋" w:eastAsia="仿宋" w:hAnsi="仿宋" w:cs="仿宋" w:hint="eastAsia"/>
          <w:sz w:val="28"/>
          <w:lang w:eastAsia="zh-CN"/>
        </w:rPr>
        <w:t>2、根据《中国制造2025》等实施意见的要求，我们在核苷类药物项目实施地开展社会经济分析时，必须坚持创新、协调、绿色、开放和共享的发展理念，以适应和引领经济发展的新常态。我们要抓住全球制造业格局重大调整和我国实施制造强国战略的机遇，充分利用当地制造业和信息化的基础优势，以先进装备制造业为突破口，以智能制造为核心和主攻方向，以新一代信息技术与制造业深度融合为切入点，推动先进装备制造业的快速发展，带动当地制造业的转型升级。最终，我们将当地打造为“中国制造2025”示范区和世界先进制造业新高地。</w:t>
      </w:r>
    </w:p>
    <w:p>
      <w:pPr>
        <w:ind w:firstLine="560" w:firstLineChars="200"/>
        <w:rPr>
          <w:rFonts w:ascii="仿宋" w:eastAsia="仿宋" w:hAnsi="仿宋" w:cs="仿宋" w:hint="eastAsia"/>
          <w:sz w:val="28"/>
        </w:rPr>
      </w:pPr>
      <w:r>
        <w:rPr>
          <w:rFonts w:ascii="仿宋" w:eastAsia="仿宋" w:hAnsi="仿宋" w:cs="仿宋" w:hint="eastAsia"/>
          <w:sz w:val="28"/>
          <w:lang w:eastAsia="zh-CN"/>
        </w:rPr>
        <w:t>3、在当地市先进装备制造业发展基础上有扶有控，有保有压，通过结构性、差别化的土地供应，规划和完善多层次、全方位的产业空间载体，促进产业集聚化、高端化发展。同时，改革创新，提高土地利用率，在土地整备、二次开发利用、产业用地用房供给等方面取得突破，释放产业发展空间，促进产业转型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4、我们将通过社会化、市场化运作，加强工业园区的物流、文化、生活、医疗教育等基础配套设施建设，筑巢引凤，安商稳企，努力将重点工业园区建设成为基础设施完善、配套功能齐全、人居环境优美、产业布局合理、经济发展强劲的现代化工业园区。</w:t>
      </w:r>
    </w:p>
    <w:p>
      <w:pPr>
        <w:ind w:firstLine="560" w:firstLineChars="200"/>
        <w:rPr>
          <w:rFonts w:ascii="仿宋" w:eastAsia="仿宋" w:hAnsi="仿宋" w:cs="仿宋" w:hint="eastAsia"/>
          <w:sz w:val="28"/>
        </w:rPr>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5、我们将进一步推广“互联网+制造”的模式，推动制造业的数字化、网络化、智能化，提高制造业的质量和效益，实现从制造大国向制造强国的转变。同时，我们也将注重环境保护和可持续发展，推进绿色制造和循环经济发展，确保经济发展的同时，保护好生态环境，实现经济、社会和环境的协调发展。</w:t>
      </w:r>
    </w:p>
    <w:p>
      <w:pPr>
        <w:pStyle w:val="Heading2"/>
        <w:ind w:firstLine="560" w:firstLineChars="200"/>
        <w:rPr>
          <w:rFonts w:ascii="仿宋" w:eastAsia="仿宋" w:hAnsi="仿宋" w:cs="仿宋" w:hint="eastAsia"/>
          <w:sz w:val="28"/>
          <w:lang w:eastAsia="zh-CN"/>
        </w:rPr>
      </w:pPr>
      <w:bookmarkStart w:id="13" w:name="_Toc1900"/>
      <w:r>
        <w:rPr>
          <w:rFonts w:ascii="仿宋" w:eastAsia="仿宋" w:hAnsi="仿宋" w:cs="仿宋" w:hint="eastAsia"/>
          <w:sz w:val="28"/>
          <w:lang w:eastAsia="zh-CN"/>
        </w:rPr>
        <w:t>(三)、核苷类药物项目提出的背景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许多公司在当今的核苷类药物行业中寻求创新的方法来提高效率和降低成本。这个核苷类药物项目旨在解决这一需求，为核苷类药物相关企业提供全新的解决方案，以帮助他们提高生产效率、降低成本并获得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核苷类药物行业的快速发展，竞争也日益激烈。核苷类药物相关企业需要不断创新才能在市场上取得成功。这个核苷类药物项目旨在为行业提供一种创新的解决方案，以帮助企业提高生产效率、降低成本并获得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的核苷类药物行业中，许多企业面临着一些共同的问题，如高成本、低效率、资源浪费等等。这些问题不仅影响了核苷类药物相关企业的盈利能力，还限制了他们的发展潜力。这个核苷类药物项目旨在解决这些问题，并为企业提供一种创新的解决方案，以帮助他们提高生产效率、降低成本并获得竞争优势。</w:t>
      </w:r>
    </w:p>
    <w:p>
      <w:pPr>
        <w:ind w:firstLine="560" w:firstLineChars="200"/>
        <w:rPr>
          <w:rFonts w:ascii="仿宋" w:eastAsia="仿宋" w:hAnsi="仿宋" w:cs="仿宋" w:hint="eastAsia"/>
          <w:sz w:val="28"/>
        </w:rPr>
        <w:sectPr>
          <w:headerReference w:type="default" r:id="rId29"/>
          <w:footerReference w:type="default" r:id="rId30"/>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科技的快速发展，核苷类药物行业也在不断变化。企业需要不断更新他们的技术以跟上市场的变化。这个核苷类药物项目旨在为行业提供一种创新的解决方案，以帮助企业利用最新的技术来提高生产效率、降低成本并获得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作为一个处于转型期的国家，在经济发展方面长期保持着良好的基本面。然而，在前进的道路上，我们面临着一些长期积累的结构性和体制性问题，需要解决。供给侧和需求侧是我国经济增长的两个重要方面，只有通过改革才能解决发展中的问题。另外，《中国制造2025》的发布不仅有利于推动我国传统制造业的转型升级，还进一步明确了未来我国具有发展潜力和空间的战略性新兴产业。这为我国未来产业经济的发展指明了方向，有利于优化资源配置，提高经济效率和经济质量。它对于保障我国经济的平稳、健康发展起到了关键性的作用。我们通过实施《中国制造2025》，能够推动产业结构升级，提高科技创新能力，增强企业竞争力，促进经济的可持续发展。</w:t>
      </w:r>
    </w:p>
    <w:p>
      <w:pPr>
        <w:pStyle w:val="Heading2"/>
        <w:ind w:firstLine="560" w:firstLineChars="200"/>
        <w:rPr>
          <w:rFonts w:ascii="仿宋" w:eastAsia="仿宋" w:hAnsi="仿宋" w:cs="仿宋" w:hint="eastAsia"/>
          <w:sz w:val="28"/>
          <w:lang w:eastAsia="zh-CN"/>
        </w:rPr>
      </w:pPr>
      <w:bookmarkStart w:id="14" w:name="_Toc29164"/>
      <w:r>
        <w:rPr>
          <w:rFonts w:ascii="仿宋" w:eastAsia="仿宋" w:hAnsi="仿宋" w:cs="仿宋" w:hint="eastAsia"/>
          <w:sz w:val="28"/>
          <w:lang w:eastAsia="zh-CN"/>
        </w:rPr>
        <w:t>(四)、报告研究范围</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本报告主要对国内外核苷类药物相关市场的供需情况和建设规模进行深入研究、分析和预测，并提出主要技术经济指标，为核苷类药物相关项目能否实施提供一个更为科学的评估。报告内容仅供参考。</w:t>
      </w:r>
    </w:p>
    <w:p>
      <w:pPr>
        <w:pStyle w:val="Heading2"/>
        <w:ind w:firstLine="560" w:firstLineChars="200"/>
        <w:rPr>
          <w:rFonts w:ascii="仿宋" w:eastAsia="仿宋" w:hAnsi="仿宋" w:cs="仿宋" w:hint="eastAsia"/>
          <w:sz w:val="28"/>
          <w:lang w:eastAsia="zh-CN"/>
        </w:rPr>
      </w:pPr>
      <w:bookmarkStart w:id="15" w:name="_Toc25398"/>
      <w:r>
        <w:rPr>
          <w:rFonts w:ascii="仿宋" w:eastAsia="仿宋" w:hAnsi="仿宋" w:cs="仿宋" w:hint="eastAsia"/>
          <w:sz w:val="28"/>
          <w:lang w:eastAsia="zh-CN"/>
        </w:rPr>
        <w:t>(五)、核苷类药物项目建设必要性分析</w:t>
      </w:r>
      <w:bookmarkEnd w:id="15"/>
    </w:p>
    <w:p>
      <w:pPr>
        <w:ind w:firstLine="560" w:firstLineChars="200"/>
        <w:rPr>
          <w:rFonts w:ascii="仿宋" w:eastAsia="仿宋" w:hAnsi="仿宋" w:cs="仿宋" w:hint="eastAsia"/>
          <w:sz w:val="28"/>
        </w:rPr>
        <w:sectPr>
          <w:headerReference w:type="default" r:id="rId31"/>
          <w:footerReference w:type="default" r:id="rId32"/>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当前，关键领域和前沿方向的信息技术、新能源、新材料、生物技术等正经历着革命性的突破，同时这些领域之间也正在发生交叉融合。这将引发一场全新的产业变革，对全球制造业带来颠覆性的影响，逐步改变着全球制造业的格局。尤其值得注意的是，新一代信息技术与制造业的深度融合将推动制造模式、生产组织方式以及产业形态的彻底变革。发达国家如德国的工业4.0、美国的工业互联网、法国的新工业等，都以建立制造业竞争优势为目标，正在加快在信息基础设施、核心技术产业、数据战略资产以及以智能制造为核心的网络经济体系等领域进行战略布局，以保持技术和产业领域的领先地位，稳占全球价值链高端制造领域的有利地位。这无疑对我国的产业结构升级提出了挑战，然而与此同时，也为我国制造业的发展提供了重要的契机。</w:t>
      </w:r>
    </w:p>
    <w:p>
      <w:pPr>
        <w:pStyle w:val="Heading2"/>
        <w:ind w:firstLine="560" w:firstLineChars="200"/>
        <w:rPr>
          <w:rFonts w:ascii="仿宋" w:eastAsia="仿宋" w:hAnsi="仿宋" w:cs="仿宋" w:hint="eastAsia"/>
          <w:sz w:val="28"/>
          <w:lang w:eastAsia="zh-CN"/>
        </w:rPr>
      </w:pPr>
      <w:bookmarkStart w:id="16" w:name="_Toc7466"/>
      <w:r>
        <w:rPr>
          <w:rFonts w:ascii="仿宋" w:eastAsia="仿宋" w:hAnsi="仿宋" w:cs="仿宋" w:hint="eastAsia"/>
          <w:sz w:val="28"/>
          <w:lang w:eastAsia="zh-CN"/>
        </w:rPr>
        <w:t>(六)、产品方案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本核苷类药物项目投产后的生产经营范围是：核苷类药物相关行业及衍生产业。</w:t>
      </w:r>
    </w:p>
    <w:p>
      <w:pPr>
        <w:pStyle w:val="Heading2"/>
        <w:ind w:firstLine="560" w:firstLineChars="200"/>
        <w:rPr>
          <w:rFonts w:ascii="仿宋" w:eastAsia="仿宋" w:hAnsi="仿宋" w:cs="仿宋" w:hint="eastAsia"/>
          <w:sz w:val="28"/>
          <w:lang w:eastAsia="zh-CN"/>
        </w:rPr>
      </w:pPr>
      <w:bookmarkStart w:id="17" w:name="_Toc9546"/>
      <w:r>
        <w:rPr>
          <w:rFonts w:ascii="仿宋" w:eastAsia="仿宋" w:hAnsi="仿宋" w:cs="仿宋" w:hint="eastAsia"/>
          <w:sz w:val="28"/>
          <w:lang w:eastAsia="zh-CN"/>
        </w:rPr>
        <w:t>(七)、核苷类药物项目总投资估算</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核苷类药物相关项目固定资产投资：XXXXX万元。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流动资金：XXXXX万元。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核苷类药物项目总投资：XXXXX万元人。</w:t>
      </w:r>
    </w:p>
    <w:p>
      <w:pPr>
        <w:pStyle w:val="Heading2"/>
        <w:ind w:firstLine="560" w:firstLineChars="200"/>
        <w:rPr>
          <w:rFonts w:ascii="仿宋" w:eastAsia="仿宋" w:hAnsi="仿宋" w:cs="仿宋" w:hint="eastAsia"/>
          <w:sz w:val="28"/>
          <w:lang w:eastAsia="zh-CN"/>
        </w:rPr>
      </w:pPr>
      <w:bookmarkStart w:id="18" w:name="_Toc3235"/>
      <w:r>
        <w:rPr>
          <w:rFonts w:ascii="仿宋" w:eastAsia="仿宋" w:hAnsi="仿宋" w:cs="仿宋" w:hint="eastAsia"/>
          <w:sz w:val="28"/>
          <w:lang w:eastAsia="zh-CN"/>
        </w:rPr>
        <w:t>(八)、核苷类药物项目工艺技术装备方案的选择</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本方案已经达到目前国内较为先进的水平，是根据“保护环境和节约能源”的原则，在调研分析的基础上综合考虑而得出的。</w:t>
      </w:r>
    </w:p>
    <w:p>
      <w:pPr>
        <w:pStyle w:val="Heading2"/>
        <w:ind w:firstLine="560" w:firstLineChars="200"/>
        <w:rPr>
          <w:rFonts w:ascii="仿宋" w:eastAsia="仿宋" w:hAnsi="仿宋" w:cs="仿宋" w:hint="eastAsia"/>
          <w:sz w:val="28"/>
          <w:lang w:eastAsia="zh-CN"/>
        </w:rPr>
      </w:pPr>
      <w:bookmarkStart w:id="19" w:name="_Toc12890"/>
      <w:r>
        <w:rPr>
          <w:rFonts w:ascii="仿宋" w:eastAsia="仿宋" w:hAnsi="仿宋" w:cs="仿宋" w:hint="eastAsia"/>
          <w:sz w:val="28"/>
          <w:lang w:eastAsia="zh-CN"/>
        </w:rPr>
        <w:t>(九)、核苷类药物项目实施进度建议</w:t>
      </w:r>
      <w:bookmarkEnd w:id="19"/>
    </w:p>
    <w:p>
      <w:pPr>
        <w:ind w:firstLine="560" w:firstLineChars="200"/>
        <w:rPr>
          <w:rFonts w:ascii="仿宋" w:eastAsia="仿宋" w:hAnsi="仿宋" w:cs="仿宋" w:hint="eastAsia"/>
          <w:sz w:val="28"/>
        </w:rPr>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核苷类药物项目建设期：XX个月。</w:t>
      </w:r>
    </w:p>
    <w:p>
      <w:pPr>
        <w:pStyle w:val="Heading2"/>
        <w:ind w:firstLine="560" w:firstLineChars="200"/>
        <w:rPr>
          <w:rFonts w:ascii="仿宋" w:eastAsia="仿宋" w:hAnsi="仿宋" w:cs="仿宋" w:hint="eastAsia"/>
          <w:sz w:val="28"/>
          <w:lang w:eastAsia="zh-CN"/>
        </w:rPr>
      </w:pPr>
      <w:bookmarkStart w:id="20" w:name="_Toc23839"/>
      <w:r>
        <w:rPr>
          <w:rFonts w:ascii="仿宋" w:eastAsia="仿宋" w:hAnsi="仿宋" w:cs="仿宋" w:hint="eastAsia"/>
          <w:sz w:val="28"/>
          <w:lang w:eastAsia="zh-CN"/>
        </w:rPr>
        <w:t>(十)、核苷类药物相关研究结论</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随着中国国民经济的快速持续发展，市场对核苷类药物的需求量不断增加。本核苷类药物项目的建设符合国家产业政策和行业发展规划，核苷类药物将在国内市场上有广阔的畅销空间，具有良好的发展前景和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2、核苷类药物项目拟建设在xxx开发区，选址符合工业核苷类药物项目用地规划，且该区域交通运输便利。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3、拟建工程总投资额为xxxxx万元，其中：固定资产投资xxxxx万元，流动资金为xxxxx万元。核苷类药物项目实施后，企业年销售收入预计为xxxxx万元，年利税为xxxxx万元，其中：年利润为xxxxx万元，纳税总额为x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根据预测，核苷类药物项目的税后平均投资利润率预计为xxxxx%，税后平均投资利税率预计为xxxxx%，全部投资回报率预计为xxxxx%，全部投资回收期为(建设期)年(含建设期)。因此，核苷类药物项目的实施预计可取得较好的经济效益，故核苷类药物项目是可行的。</w:t>
      </w:r>
    </w:p>
    <w:p>
      <w:pPr>
        <w:pStyle w:val="Heading2"/>
        <w:ind w:firstLine="560" w:firstLineChars="200"/>
        <w:rPr>
          <w:rFonts w:ascii="仿宋" w:eastAsia="仿宋" w:hAnsi="仿宋" w:cs="仿宋" w:hint="eastAsia"/>
          <w:sz w:val="28"/>
          <w:lang w:eastAsia="zh-CN"/>
        </w:rPr>
      </w:pPr>
      <w:bookmarkStart w:id="21" w:name="_Toc15234"/>
      <w:r>
        <w:rPr>
          <w:rFonts w:ascii="仿宋" w:eastAsia="仿宋" w:hAnsi="仿宋" w:cs="仿宋" w:hint="eastAsia"/>
          <w:sz w:val="28"/>
          <w:lang w:eastAsia="zh-CN"/>
        </w:rPr>
        <w:t>(十一)、核苷类药物项目规划及市场分析</w:t>
      </w:r>
      <w:bookmarkEnd w:id="21"/>
    </w:p>
    <w:p>
      <w:pPr>
        <w:ind w:firstLine="560" w:firstLineChars="200"/>
        <w:rPr>
          <w:rFonts w:ascii="仿宋" w:eastAsia="仿宋" w:hAnsi="仿宋" w:cs="仿宋" w:hint="eastAsia"/>
          <w:sz w:val="28"/>
        </w:rPr>
        <w:sectPr>
          <w:headerReference w:type="default" r:id="rId35"/>
          <w:footerReference w:type="default" r:id="rId36"/>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根据国内市场需求状况，本核苷类药物项目的规划产品为核苷类药物。该产品主要应用于XXXX领域。我国是人口大国，近几年对核苷类药物的消费量迅速增长，为核苷类药物提供了更为广阔的市场前景，同时也为该领域的发展做出了积极的贡献。</w:t>
      </w:r>
    </w:p>
    <w:p>
      <w:pPr>
        <w:pStyle w:val="Heading1"/>
        <w:ind w:firstLine="560" w:firstLineChars="200"/>
        <w:rPr>
          <w:rFonts w:ascii="仿宋" w:eastAsia="仿宋" w:hAnsi="仿宋" w:cs="仿宋" w:hint="eastAsia"/>
          <w:sz w:val="28"/>
          <w:lang w:eastAsia="zh-CN"/>
        </w:rPr>
      </w:pPr>
      <w:bookmarkStart w:id="22" w:name="_Toc11507"/>
      <w:r>
        <w:rPr>
          <w:rFonts w:ascii="仿宋" w:eastAsia="仿宋" w:hAnsi="仿宋" w:cs="仿宋" w:hint="eastAsia"/>
          <w:sz w:val="28"/>
          <w:lang w:eastAsia="zh-CN"/>
        </w:rPr>
        <w:t>四、质量管理和产品认证</w:t>
      </w:r>
      <w:bookmarkEnd w:id="22"/>
    </w:p>
    <w:p>
      <w:pPr>
        <w:pStyle w:val="Heading2"/>
        <w:rPr>
          <w:rFonts w:ascii="仿宋" w:eastAsia="仿宋" w:hAnsi="仿宋" w:cs="仿宋" w:hint="eastAsia"/>
          <w:lang w:eastAsia="zh-CN"/>
        </w:rPr>
      </w:pPr>
      <w:bookmarkStart w:id="23" w:name="_Toc30917"/>
      <w:r>
        <w:rPr>
          <w:rFonts w:ascii="仿宋" w:eastAsia="仿宋" w:hAnsi="仿宋" w:cs="仿宋" w:hint="eastAsia"/>
          <w:lang w:eastAsia="zh-CN"/>
        </w:rPr>
        <w:t>(一)、质量管理体系和产品认证要求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体系：我们需要建立完善的质量管理体系，以确保核苷类药物项目产品的品质可靠性和符合相关的标准和法规要求。这包括制定质量管理计划、建立质量管理体系文件、实施质量控制和质量保证等方面。我们可以参考国际标准化组织（ISO）的相关标准和最佳实践，如ISO 9001等，来指导我们的质量管理体系建设和实施。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认证要求：我们需要了解并满足相关的产品认证要求，以确保核苷类药物项目产品能够符合国内和国际市场的标准和法规要求。这包括安全认证、环保认证、电磁兼容性认证等方面。我们可以通过了解市场需求和竞争情况，选择适合的认证标准和机构，并进行认证申请和审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监控和改进：我们需要建立有效的质量监控和改进机制，以及时发现和解决产品质量问题，并不断提升产品质量和安全性。这包括建立质量监控计划、实施质量检测和测试、分析和应用质量数据等方面。同时，我们还需要建立客户反馈机制，及时了解客户的反馈和意见，并采取相应的措施进行改进。</w:t>
      </w:r>
    </w:p>
    <w:p>
      <w:pPr>
        <w:ind w:firstLine="560" w:firstLineChars="200"/>
        <w:rPr>
          <w:rFonts w:ascii="仿宋" w:eastAsia="仿宋" w:hAnsi="仿宋" w:cs="仿宋" w:hint="eastAsia"/>
          <w:sz w:val="28"/>
        </w:rPr>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供应链管理：我们需要建立完善的供应链管理体系，以确保核苷类药物项目产品的供应链质量和安全性。这包括选择可靠的供应商、建立供应商评估和管理机制、建立供应链风险管理机制等方面。我们可以参考供应链管理的最佳实践和标准，如ISO</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28000等，来指导我们的供应链管理工作。</w:t>
      </w:r>
    </w:p>
    <w:p>
      <w:pPr>
        <w:pStyle w:val="Heading2"/>
        <w:ind w:firstLine="560" w:firstLineChars="200"/>
        <w:rPr>
          <w:rFonts w:ascii="仿宋" w:eastAsia="仿宋" w:hAnsi="仿宋" w:cs="仿宋" w:hint="eastAsia"/>
          <w:sz w:val="28"/>
          <w:lang w:eastAsia="zh-CN"/>
        </w:rPr>
      </w:pPr>
      <w:bookmarkStart w:id="24" w:name="_Toc8974"/>
      <w:r>
        <w:rPr>
          <w:rFonts w:ascii="仿宋" w:eastAsia="仿宋" w:hAnsi="仿宋" w:cs="仿宋" w:hint="eastAsia"/>
          <w:sz w:val="28"/>
          <w:lang w:eastAsia="zh-CN"/>
        </w:rPr>
        <w:t>(二)、质量控制的关键环节和措施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关键环节：质量控制的关键环节包括原材料采购、生产过程控制和最终产品检验。在原材料采购环节，我们需要确保选择合格的供应商，并建立供应商评估和管理机制，以确保原材料的质量和可靠性。在生产过程控制环节，我们需要建立严格的工艺控制和操作规范，监控生产过程中的关键参数，以确保产品的一致性和稳定性。在最终产品检验环节，我们需要进行全面的产品检测和测试，以确保产品符合相关的质量标准和规范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措施：为了实施有效的质量控制，我们可以采取以下措施：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建立质量控制计划：制定详细的质量控制计划，明确质量控制的目标、方法和责任分工。确保质量控制的全面性和系统性。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建立标准和规范：制定产品质量标准和生产工艺规范，明确产品的质量要求和生产过程的操作规范。确保产品的一致性和符合性。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培训和教育：对生产人员进行质量控制方面的培训和教育，提高其质量意识和操作技能。确保生产过程的正确执行和质量控制的有效实施。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过程监控和数据分析：建立过程监控机制，监测生产过程中的关键参数，并进行数据分析，及时发现和纠正问题。确保生产过程的稳定性和可控性。</w:t>
      </w:r>
    </w:p>
    <w:p>
      <w:pPr>
        <w:ind w:firstLine="560" w:firstLineChars="200"/>
        <w:rPr>
          <w:rFonts w:ascii="仿宋" w:eastAsia="仿宋" w:hAnsi="仿宋" w:cs="仿宋" w:hint="eastAsia"/>
          <w:sz w:val="28"/>
        </w:rPr>
        <w:sectPr>
          <w:headerReference w:type="default" r:id="rId39"/>
          <w:footerReference w:type="default" r:id="rId40"/>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抽样检验和全面检测：采用抽样检验和全面检测相结合的方式，对最终产品进行质量检验。确保产品的符合性和合格性。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持续改进：建立持续改进机制，通过收集和分析质量数据、客户反馈和市场信息，识别潜在问题和改进机会，并采取相应的措施进行改进。确保质量控制的持续优化和提升。</w:t>
      </w:r>
    </w:p>
    <w:p>
      <w:pPr>
        <w:pStyle w:val="Heading2"/>
        <w:ind w:firstLine="560" w:firstLineChars="200"/>
        <w:rPr>
          <w:rFonts w:ascii="仿宋" w:eastAsia="仿宋" w:hAnsi="仿宋" w:cs="仿宋" w:hint="eastAsia"/>
          <w:sz w:val="28"/>
          <w:lang w:eastAsia="zh-CN"/>
        </w:rPr>
      </w:pPr>
      <w:bookmarkStart w:id="25" w:name="_Toc28774"/>
      <w:r>
        <w:rPr>
          <w:rFonts w:ascii="仿宋" w:eastAsia="仿宋" w:hAnsi="仿宋" w:cs="仿宋" w:hint="eastAsia"/>
          <w:sz w:val="28"/>
          <w:lang w:eastAsia="zh-CN"/>
        </w:rPr>
        <w:t>(三)、质量问题和改进措施的跟踪和处理</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质量问题的跟踪和处理：我们需要建立完善的质量问题跟踪和处理机制，及时发现和解决产品质量问题。这包括建立质量问题报告和记录机制、建立质量问题分类和分析方法、制定质量问题解决方案、实施质量问题改进措施等方面。同时，我们还需要建立质量问题的反馈机制，及时了解客户和市场的反馈和意见，并采取相应的措施进行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措施的实施：我们需要建立持续改进机制，通过收集和分析质量数据、客户反馈和市场信息，识别潜在问题和改进机会，并采取相应的措施进行改进。这包括制定改进计划、实施改进措施、评估改进效果等方面。同时，我们还需要建立改进措施的跟踪和反馈机制，及时了解改进措施的实施情况和效果，并进行调整和优化。</w:t>
      </w:r>
    </w:p>
    <w:p>
      <w:pPr>
        <w:ind w:firstLine="560" w:firstLineChars="200"/>
        <w:rPr>
          <w:rFonts w:ascii="仿宋" w:eastAsia="仿宋" w:hAnsi="仿宋" w:cs="仿宋" w:hint="eastAsia"/>
          <w:sz w:val="28"/>
        </w:rPr>
        <w:sectPr>
          <w:headerReference w:type="default" r:id="rId41"/>
          <w:footerReference w:type="default" r:id="rId42"/>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质量问题和改进措施的持续优化：我们需要建立持续优化机制，通过不断地跟踪和处理质量问题，及时发现和解决潜在问题，并采取相应的措施进行持续优化。这包括建立质量问题和改进措施的分析和评估机制、建立质量问题和改进措施的知识库、建立质量问题和改进措施的分享和交流机制等方面。</w:t>
      </w:r>
    </w:p>
    <w:p>
      <w:pPr>
        <w:pStyle w:val="Heading1"/>
        <w:ind w:firstLine="560" w:firstLineChars="200"/>
        <w:rPr>
          <w:rFonts w:ascii="仿宋" w:eastAsia="仿宋" w:hAnsi="仿宋" w:cs="仿宋" w:hint="eastAsia"/>
          <w:sz w:val="28"/>
          <w:lang w:eastAsia="zh-CN"/>
        </w:rPr>
      </w:pPr>
      <w:bookmarkStart w:id="26" w:name="_Toc881"/>
      <w:r>
        <w:rPr>
          <w:rFonts w:ascii="仿宋" w:eastAsia="仿宋" w:hAnsi="仿宋" w:cs="仿宋" w:hint="eastAsia"/>
          <w:sz w:val="28"/>
          <w:lang w:eastAsia="zh-CN"/>
        </w:rPr>
        <w:t>五、核苷类药物项目综合评价</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经过深入而细致的市场调研与政策咨询，XXXX有限公司深刻洞察了当前市场的风貌以及政策环境。这样的调查使我们坚信，核苷类药物项目不仅与国家产业政策紧密契合，还与地方产品规划相互呼应，同时也与公司的长远经营愿景高度一致。这使得核苷类药物项目不仅在经济层面，更在战略规划层面成为公司未来的主要利润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的原料供应充足，技术方案成熟稳定，市场需求广泛，这为核苷类药物项目的可持续发展提供了坚实基础，保障了产品的供应链畅通和价格的稳定性。核苷类药物项目预计将创造丰厚的经济效益，并产生显著的社会效益，为地方经济的蓬勃发展和人民生活水平的提升贡献积极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和分析显示，核苷类药物项目有清晰的市场定位和明确的目标客户群体，足以满足广泛的消费者需求。环保分析表明，核苷类药物项目的生产过程符合环保要求，将不会对周围环境造成负面影响。投资分析则揭示出核苷类药物项目的高投资回报率以及较短的投资回收期，凸显了其投资价值的高度。</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所需的公用工程和配套设施充足，如水、电、气等，能够满足核苷类药物项目的正常运营需求。针对工艺技术和主要设备的选型方案，充分的分析表明，所采用的技术和设备都是成熟可靠的，能够保障高效率的生产和卓越品质的产品制造。</w:t>
      </w:r>
    </w:p>
    <w:p>
      <w:pPr>
        <w:ind w:firstLine="560" w:firstLineChars="200"/>
        <w:rPr>
          <w:rFonts w:ascii="仿宋" w:eastAsia="仿宋" w:hAnsi="仿宋" w:cs="仿宋" w:hint="eastAsia"/>
          <w:sz w:val="28"/>
        </w:rPr>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综上所述，核苷类药物项目拥有明显的市场竞争优势，不仅能够带来显著的经济效益，还将产生积极的社会效益。这使得它成为一个备受投资和发展的有前景的核苷类药物项目。</w:t>
      </w:r>
    </w:p>
    <w:p>
      <w:pPr>
        <w:pStyle w:val="Heading2"/>
        <w:ind w:firstLine="560" w:firstLineChars="200"/>
        <w:rPr>
          <w:rFonts w:ascii="仿宋" w:eastAsia="仿宋" w:hAnsi="仿宋" w:cs="仿宋" w:hint="eastAsia"/>
          <w:sz w:val="28"/>
          <w:lang w:eastAsia="zh-CN"/>
        </w:rPr>
      </w:pPr>
      <w:bookmarkStart w:id="27" w:name="_Toc31239"/>
      <w:r>
        <w:rPr>
          <w:rFonts w:ascii="仿宋" w:eastAsia="仿宋" w:hAnsi="仿宋" w:cs="仿宋" w:hint="eastAsia"/>
          <w:sz w:val="28"/>
          <w:lang w:eastAsia="zh-CN"/>
        </w:rPr>
        <w:t>(一)、核苷类药物项目建设期总体设计</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核苷类药物项目的建设期限规划为XXX个月。从核苷类药物项目可行性研究报告的编制到工程竣工验收、投产运营共需XXX个月的时间。在土建施工和设备安装过程中，需要同时制定施工计划、招聘和培训人员。待工程完工后，便可进行投产运营。</w:t>
      </w:r>
    </w:p>
    <w:p>
      <w:pPr>
        <w:pStyle w:val="Heading2"/>
        <w:ind w:firstLine="560" w:firstLineChars="200"/>
        <w:rPr>
          <w:rFonts w:ascii="仿宋" w:eastAsia="仿宋" w:hAnsi="仿宋" w:cs="仿宋" w:hint="eastAsia"/>
          <w:sz w:val="28"/>
          <w:lang w:eastAsia="zh-CN"/>
        </w:rPr>
      </w:pPr>
      <w:bookmarkStart w:id="28" w:name="_Toc25684"/>
      <w:r>
        <w:rPr>
          <w:rFonts w:ascii="仿宋" w:eastAsia="仿宋" w:hAnsi="仿宋" w:cs="仿宋" w:hint="eastAsia"/>
          <w:sz w:val="28"/>
          <w:lang w:eastAsia="zh-CN"/>
        </w:rPr>
        <w:t>(二)、核苷类药物项目实施保障措施</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实施核苷类药物项目的保障措施如下：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组织管理保障：我们将建立完善的组织管理体系，制定详细的核苷类药物项目实施计划和时间表，并明确每个成员的职责和任务。同时，定期召开核苷类药物项目进展会议，及时了解核苷类药物项目进展情况并解决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2、技术支持保障：我们将提供专业的技术支持，包括相关领域的专家指导和解决方案，以确保核苷类药物项目的技术实现和稳定运行。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3、人力资源保障：我们将提供充足的人力资源，确保核苷类药物项目团队成员具备必要的技能和经验，并定期进行培训和技能提升。</w:t>
      </w:r>
    </w:p>
    <w:p>
      <w:pPr>
        <w:ind w:firstLine="560" w:firstLineChars="200"/>
        <w:rPr>
          <w:rFonts w:ascii="仿宋" w:eastAsia="仿宋" w:hAnsi="仿宋" w:cs="仿宋" w:hint="eastAsia"/>
          <w:sz w:val="28"/>
        </w:rPr>
        <w:sectPr>
          <w:headerReference w:type="default" r:id="rId45"/>
          <w:footerReference w:type="default" r:id="rId46"/>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4、资金保障：我们将为核苷类药物项目提供充足的资金支持，确保及时支付核苷类药物项目的各项开支。</w:t>
      </w:r>
    </w:p>
    <w:p>
      <w:pPr>
        <w:ind w:firstLine="560" w:firstLineChars="200"/>
        <w:rPr>
          <w:rFonts w:ascii="仿宋" w:eastAsia="仿宋" w:hAnsi="仿宋" w:cs="仿宋" w:hint="eastAsia"/>
          <w:sz w:val="28"/>
        </w:rPr>
      </w:pPr>
      <w:r>
        <w:rPr>
          <w:rFonts w:ascii="仿宋" w:eastAsia="仿宋" w:hAnsi="仿宋" w:cs="仿宋" w:hint="eastAsia"/>
          <w:sz w:val="28"/>
          <w:lang w:eastAsia="zh-CN"/>
        </w:rPr>
        <w:t>5、风险管理保障：我们将制定完善的风险管理计划，预测并应对核苷类药物项目实施过程中可能出现的问题，确保核苷类药物项目的稳定进行。</w:t>
      </w:r>
    </w:p>
    <w:p>
      <w:pPr>
        <w:pStyle w:val="Heading1"/>
        <w:ind w:firstLine="560" w:firstLineChars="200"/>
        <w:rPr>
          <w:rFonts w:ascii="仿宋" w:eastAsia="仿宋" w:hAnsi="仿宋" w:cs="仿宋" w:hint="eastAsia"/>
          <w:sz w:val="28"/>
          <w:lang w:eastAsia="zh-CN"/>
        </w:rPr>
      </w:pPr>
      <w:bookmarkStart w:id="29" w:name="_Toc25519"/>
      <w:r>
        <w:rPr>
          <w:rFonts w:ascii="仿宋" w:eastAsia="仿宋" w:hAnsi="仿宋" w:cs="仿宋" w:hint="eastAsia"/>
          <w:sz w:val="28"/>
          <w:lang w:eastAsia="zh-CN"/>
        </w:rPr>
        <w:t>六、核苷类药物项目合作协议和合同</w:t>
      </w:r>
      <w:bookmarkEnd w:id="29"/>
    </w:p>
    <w:p>
      <w:pPr>
        <w:pStyle w:val="Heading2"/>
        <w:rPr>
          <w:rFonts w:ascii="仿宋" w:eastAsia="仿宋" w:hAnsi="仿宋" w:cs="仿宋" w:hint="eastAsia"/>
          <w:lang w:eastAsia="zh-CN"/>
        </w:rPr>
      </w:pPr>
      <w:bookmarkStart w:id="30" w:name="_Toc29064"/>
      <w:r>
        <w:rPr>
          <w:rFonts w:ascii="仿宋" w:eastAsia="仿宋" w:hAnsi="仿宋" w:cs="仿宋" w:hint="eastAsia"/>
          <w:lang w:eastAsia="zh-CN"/>
        </w:rPr>
        <w:t>(一)、核苷类药物项目合作协议的主要内容和条款</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合作目的和范围：明确合作的目标和范围，阐述各方的合作意图和目标，确保各方对核苷类药物项目的理解一致。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合作方式和机构：说明合作的方式和机构，包括合作的形式（如合资、合作、联合开发等），合作的组织结构和决策机制，以及各方的权力和义务。</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资金投入和分配：规定各方的资金投入和分配方式，包括各方的出资比例、出资方式、资金使用和分配原则等。此外，还可以明确资金回收和分红的机制和条件。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知识产权和技术转让：阐述各方在核苷类药物项目中所涉及的知识产权归属和使用权，明确技术转让的方式、条件和费用，保护各方的合法权益。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保密条款：约定各方在合作过程中应遵守的保密义务，保护核苷类药物项目的商业机密和敏感信息，防止信息泄露和不当使用。</w:t>
      </w:r>
    </w:p>
    <w:p>
      <w:pPr>
        <w:ind w:firstLine="560" w:firstLineChars="200"/>
        <w:rPr>
          <w:rFonts w:ascii="仿宋" w:eastAsia="仿宋" w:hAnsi="仿宋" w:cs="仿宋" w:hint="eastAsia"/>
          <w:sz w:val="28"/>
        </w:rPr>
        <w:sectPr>
          <w:headerReference w:type="default" r:id="rId47"/>
          <w:footerReference w:type="default" r:id="rId48"/>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违约责任和纠纷解决：明确各方的违约责任和违约后的处理方式，规定纠纷解决的途径和程序，以确保合作的顺利进行和纠纷的及时解决。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合作期限和终止条件：规定合作的期限和终止条件，包括合作期限的起止时间、终止的条件和程序，以及终止后的权益保障和清算方式。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其他条款：根据具体核苷类药物项目的需要，可以包括其他相关条款，如保险责任、人员配备、合作宣传等。</w:t>
      </w:r>
    </w:p>
    <w:p>
      <w:pPr>
        <w:pStyle w:val="Heading2"/>
        <w:ind w:firstLine="560" w:firstLineChars="200"/>
        <w:rPr>
          <w:rFonts w:ascii="仿宋" w:eastAsia="仿宋" w:hAnsi="仿宋" w:cs="仿宋" w:hint="eastAsia"/>
          <w:sz w:val="28"/>
          <w:lang w:eastAsia="zh-CN"/>
        </w:rPr>
      </w:pPr>
      <w:bookmarkStart w:id="31" w:name="_Toc4143"/>
      <w:r>
        <w:rPr>
          <w:rFonts w:ascii="仿宋" w:eastAsia="仿宋" w:hAnsi="仿宋" w:cs="仿宋" w:hint="eastAsia"/>
          <w:sz w:val="28"/>
          <w:lang w:eastAsia="zh-CN"/>
        </w:rPr>
        <w:t>(二)、核苷类药物项目合同的主要内容和条款</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合同目的和范围：明确合同的目的和范围，阐述各方的合作意图和目标，确保各方对核苷类药物项目的理解一致。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合同双方和联系方式：详细列出合同的双方及其联系方式，包括核苷类药物项目发起方和合作方的名称、地址、联系人等信息。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核苷类药物项目描述和工作范围：具体描述核苷类药物项目的内容和工作范围，包括核苷类药物项目的目标、任务、交付物和工作时间等要求。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合同价款和支付方式：规定合同价款和支付方式，包括合同价款的金额、支付方式（一次性支付、分期支付等）和支付时间节点。</w:t>
      </w:r>
    </w:p>
    <w:p>
      <w:pPr>
        <w:ind w:firstLine="560" w:firstLineChars="200"/>
        <w:rPr>
          <w:rFonts w:ascii="仿宋" w:eastAsia="仿宋" w:hAnsi="仿宋" w:cs="仿宋" w:hint="eastAsia"/>
          <w:sz w:val="28"/>
        </w:rPr>
      </w:pPr>
      <w:r>
        <w:rPr>
          <w:rFonts w:ascii="仿宋" w:eastAsia="仿宋" w:hAnsi="仿宋" w:cs="仿宋" w:hint="eastAsia"/>
          <w:sz w:val="28"/>
          <w:lang w:eastAsia="zh-CN"/>
        </w:rPr>
        <w:t>合同执行和管理：明确合同的执行和管理机制，包括核苷类药物项目的组织结构、决策机制、沟通方式和报告要求等。</w:t>
      </w:r>
    </w:p>
    <w:p>
      <w:pPr>
        <w:ind w:firstLine="560" w:firstLineChars="200"/>
        <w:rPr>
          <w:rFonts w:ascii="仿宋" w:eastAsia="仿宋" w:hAnsi="仿宋" w:cs="仿宋" w:hint="eastAsia"/>
          <w:sz w:val="28"/>
        </w:rPr>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合同变更和解除：约定合同变更和解除的条件和程序，包括变更和解除的申请、审批和通知方式，以及变更和解除后的权益保障和清算方式。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违约责任和纠纷解决：明确各方的违约责任和违约后的处理方式，规定纠纷解决的途径和程序，以确保合同的履行和纠纷的及时解决。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保密条款：约定各方在合作过程中应遵守的保密义务，保护核苷类药物项目的商业机密和敏感信息，防止信息泄露和不当使用。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法律适用和管辖：确定合同的法律适用和管辖法院，以确保合同的有效性和争议的解决。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其他条款：根据具体核苷类药物项目的需要，可以包括其他相关条款，如知识产权归属、保险责任、人员配备、合同终止等。</w:t>
      </w:r>
    </w:p>
    <w:p>
      <w:pPr>
        <w:pStyle w:val="Heading2"/>
        <w:ind w:firstLine="560" w:firstLineChars="200"/>
        <w:rPr>
          <w:rFonts w:ascii="仿宋" w:eastAsia="仿宋" w:hAnsi="仿宋" w:cs="仿宋" w:hint="eastAsia"/>
          <w:sz w:val="28"/>
          <w:lang w:eastAsia="zh-CN"/>
        </w:rPr>
      </w:pPr>
      <w:bookmarkStart w:id="32" w:name="_Toc22487"/>
      <w:r>
        <w:rPr>
          <w:rFonts w:ascii="仿宋" w:eastAsia="仿宋" w:hAnsi="仿宋" w:cs="仿宋" w:hint="eastAsia"/>
          <w:sz w:val="28"/>
          <w:lang w:eastAsia="zh-CN"/>
        </w:rPr>
        <w:t>(三)、合作方之间的关系和权益保障</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合作方角色和责任：明确各合作方的角色和责任，确保各方在核苷类药物项目中的定位清晰，任务明确，避免任务重叠或责任不清的情况发生。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协作机制和沟通方式：建立有效的协作机制和沟通方式，包括定期会议、工作报告、沟通平台等，以促进信息共享、问题解决和决策的高效进行。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决策机制和权力分配：明确决策机制和权力分配方式，确保合作方在决策过程中的参与和权益，避免单方面决策或权力过于集中的情况。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资源投入和分配：明确各合作方的资源投入和分配方式，包括资金、人力、设备等，确保资源的合理配置和充分利用。</w:t>
      </w:r>
    </w:p>
    <w:p>
      <w:pPr>
        <w:ind w:firstLine="560" w:firstLineChars="200"/>
        <w:rPr>
          <w:rFonts w:ascii="仿宋" w:eastAsia="仿宋" w:hAnsi="仿宋" w:cs="仿宋" w:hint="eastAsia"/>
          <w:sz w:val="28"/>
        </w:rPr>
        <w:sectPr>
          <w:headerReference w:type="default" r:id="rId51"/>
          <w:footerReference w:type="default" r:id="rId52"/>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知识产权和技术共享：约定知识产权的归属和使用方式，明确技术共享的条件和机制，保护各方的合法权益，促进创新和技术进步。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风险分担和责任承担：明确各合作方在核苷类药物项目中的风险分担和责任承担方式，确保各方在面临风险时能够共同应对和承担责任。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绩效评估和奖惩机制：建立绩效评估和奖惩机制，对各合作方的工作和成果进行评估，并根据评估结果给予相应的奖励或惩罚，激励各方的积极参与和贡献。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保密和竞争限制：约定各合作方在合作期间和合作结束后的保密义务和竞争限制，保护核苷类药物项目的商业机密和敏感信息，防止信息泄露和不当使用。</w:t>
      </w:r>
    </w:p>
    <w:p>
      <w:pPr>
        <w:pStyle w:val="Heading1"/>
        <w:ind w:firstLine="560" w:firstLineChars="200"/>
        <w:rPr>
          <w:rFonts w:ascii="仿宋" w:eastAsia="仿宋" w:hAnsi="仿宋" w:cs="仿宋" w:hint="eastAsia"/>
          <w:sz w:val="28"/>
          <w:lang w:eastAsia="zh-CN"/>
        </w:rPr>
      </w:pPr>
      <w:bookmarkStart w:id="33" w:name="_Toc24954"/>
      <w:r>
        <w:rPr>
          <w:rFonts w:ascii="仿宋" w:eastAsia="仿宋" w:hAnsi="仿宋" w:cs="仿宋" w:hint="eastAsia"/>
          <w:sz w:val="28"/>
          <w:lang w:eastAsia="zh-CN"/>
        </w:rPr>
        <w:t>七、数字化转型和智能化升级</w:t>
      </w:r>
      <w:bookmarkEnd w:id="33"/>
    </w:p>
    <w:p>
      <w:pPr>
        <w:pStyle w:val="Heading2"/>
        <w:rPr>
          <w:rFonts w:ascii="仿宋" w:eastAsia="仿宋" w:hAnsi="仿宋" w:cs="仿宋" w:hint="eastAsia"/>
          <w:lang w:eastAsia="zh-CN"/>
        </w:rPr>
      </w:pPr>
      <w:bookmarkStart w:id="34" w:name="_Toc110"/>
      <w:r>
        <w:rPr>
          <w:rFonts w:ascii="仿宋" w:eastAsia="仿宋" w:hAnsi="仿宋" w:cs="仿宋" w:hint="eastAsia"/>
          <w:lang w:eastAsia="zh-CN"/>
        </w:rPr>
        <w:t>(一)、数字化转型和智能化升级的概念和实践</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概念：数字化转型是指将传统业务模式和业务流程转变为数字化模式和数字化流程，通过数字技术和信息化手段，提高业务效率和创新能力，实现商业目标和可持续发展。智能化升级是指将数字化转型进一步升级为智能化模式，通过人工智能、大数据、物联网等技术，实现业务自动化、智能化和个性化，提高商业价值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实践：数字化转型和智能化升级的实践需要从以下几个方面入手：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3" w:history="1">
        <w:r>
          <w:rPr>
            <w:rFonts w:ascii="SimSun" w:eastAsia="SimSun" w:hAnsi="SimSun" w:cs="SimSun"/>
            <w:b/>
            <w:bCs/>
            <w:color w:val="0000EE"/>
            <w:kern w:val="0"/>
            <w:sz w:val="30"/>
            <w:szCs w:val="30"/>
            <w:u w:val="single" w:color="0000EE"/>
          </w:rPr>
          <w:t>https://d.book118.com/885134131003011034</w:t>
        </w:r>
      </w:hyperlink>
    </w:p>
    <w:p>
      <w:pPr>
        <w:ind w:firstLine="560" w:firstLineChars="200"/>
        <w:rPr>
          <w:rFonts w:ascii="仿宋" w:eastAsia="仿宋" w:hAnsi="仿宋" w:cs="仿宋" w:hint="eastAsia"/>
          <w:sz w:val="28"/>
        </w:rPr>
      </w:pPr>
    </w:p>
    <w:sectPr>
      <w:headerReference w:type="default" r:id="rId54"/>
      <w:footerReference w:type="default" r:id="rId55"/>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核苷类药物可行性报告/专业报告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3F6136"/>
    <w:rsid w:val="323F61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yperlink" Target="https://d.book118.com/885134131003011034" TargetMode="External" /><Relationship Id="rId54" Type="http://schemas.openxmlformats.org/officeDocument/2006/relationships/header" Target="header25.xml" /><Relationship Id="rId55" Type="http://schemas.openxmlformats.org/officeDocument/2006/relationships/footer" Target="footer25.xml" /><Relationship Id="rId56" Type="http://schemas.openxmlformats.org/officeDocument/2006/relationships/theme" Target="theme/theme1.xml" /><Relationship Id="rId57" Type="http://schemas.openxmlformats.org/officeDocument/2006/relationships/styles" Target="styles.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2023-12-15T18:56:00Z</dcterms:created>
  <dcterms:modified xsi:type="dcterms:W3CDTF">2023-12-15T18:56:18Z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