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2024年遥感软件行业趋势报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6022"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_Toc26022 \h </w:instrText>
        </w:r>
        <w:r>
          <w:fldChar w:fldCharType="separate"/>
        </w:r>
        <w:r>
          <w:t>4</w:t>
        </w:r>
        <w:r>
          <w:fldChar w:fldCharType="end"/>
        </w:r>
      </w:hyperlink>
    </w:p>
    <w:p>
      <w:pPr>
        <w:pStyle w:val="TOC1"/>
        <w:tabs>
          <w:tab w:val="right" w:leader="dot" w:pos="8306"/>
        </w:tabs>
      </w:pPr>
      <w:hyperlink w:anchor="_Toc12733" w:history="1">
        <w:r>
          <w:rPr>
            <w:rFonts w:ascii="微软雅黑" w:eastAsia="微软雅黑" w:hAnsi="微软雅黑" w:cs="微软雅黑" w:hint="eastAsia"/>
            <w:color w:val="001CAC" w:themeColor="hyperlink" w:themeShade="BF"/>
            <w:szCs w:val="32"/>
            <w:lang w:eastAsia="zh-CN"/>
          </w:rPr>
          <w:t>一、遥感软件行业财务管理分析</w:t>
        </w:r>
        <w:r>
          <w:tab/>
        </w:r>
        <w:r>
          <w:fldChar w:fldCharType="begin"/>
        </w:r>
        <w:r>
          <w:instrText xml:space="preserve"> PAGEREF _Toc12733 \h </w:instrText>
        </w:r>
        <w:r>
          <w:fldChar w:fldCharType="separate"/>
        </w:r>
        <w:r>
          <w:t>4</w:t>
        </w:r>
        <w:r>
          <w:fldChar w:fldCharType="end"/>
        </w:r>
      </w:hyperlink>
    </w:p>
    <w:p>
      <w:pPr>
        <w:pStyle w:val="TOC2"/>
        <w:tabs>
          <w:tab w:val="right" w:leader="dot" w:pos="8306"/>
        </w:tabs>
      </w:pPr>
      <w:hyperlink w:anchor="_Toc3173" w:history="1">
        <w:r>
          <w:rPr>
            <w:rFonts w:ascii="宋体" w:eastAsia="宋体" w:hAnsi="宋体" w:cs="宋体" w:hint="eastAsia"/>
            <w:bCs w:val="0"/>
            <w:szCs w:val="28"/>
            <w:lang w:eastAsia="zh-CN"/>
          </w:rPr>
          <w:t>(一)、遥感软件行业财务管理制度</w:t>
        </w:r>
        <w:r>
          <w:tab/>
        </w:r>
        <w:r>
          <w:fldChar w:fldCharType="begin"/>
        </w:r>
        <w:r>
          <w:instrText xml:space="preserve"> PAGEREF _Toc3173 \h </w:instrText>
        </w:r>
        <w:r>
          <w:fldChar w:fldCharType="separate"/>
        </w:r>
        <w:r>
          <w:t>4</w:t>
        </w:r>
        <w:r>
          <w:fldChar w:fldCharType="end"/>
        </w:r>
      </w:hyperlink>
    </w:p>
    <w:p>
      <w:pPr>
        <w:pStyle w:val="TOC2"/>
        <w:tabs>
          <w:tab w:val="right" w:leader="dot" w:pos="8306"/>
        </w:tabs>
      </w:pPr>
      <w:hyperlink w:anchor="_Toc32599" w:history="1">
        <w:r>
          <w:rPr>
            <w:rFonts w:ascii="宋体" w:eastAsia="宋体" w:hAnsi="宋体" w:cs="宋体" w:hint="eastAsia"/>
            <w:bCs w:val="0"/>
            <w:szCs w:val="28"/>
            <w:lang w:eastAsia="zh-CN"/>
          </w:rPr>
          <w:t>(二)、遥感软件行业经济效益分析</w:t>
        </w:r>
        <w:r>
          <w:tab/>
        </w:r>
        <w:r>
          <w:fldChar w:fldCharType="begin"/>
        </w:r>
        <w:r>
          <w:instrText xml:space="preserve"> PAGEREF _Toc32599 \h </w:instrText>
        </w:r>
        <w:r>
          <w:fldChar w:fldCharType="separate"/>
        </w:r>
        <w:r>
          <w:t>5</w:t>
        </w:r>
        <w:r>
          <w:fldChar w:fldCharType="end"/>
        </w:r>
      </w:hyperlink>
    </w:p>
    <w:p>
      <w:pPr>
        <w:pStyle w:val="TOC2"/>
        <w:tabs>
          <w:tab w:val="right" w:leader="dot" w:pos="8306"/>
        </w:tabs>
      </w:pPr>
      <w:hyperlink w:anchor="_Toc7854" w:history="1">
        <w:r>
          <w:rPr>
            <w:rFonts w:ascii="宋体" w:eastAsia="宋体" w:hAnsi="宋体" w:cs="宋体" w:hint="eastAsia"/>
            <w:bCs w:val="0"/>
            <w:szCs w:val="28"/>
            <w:lang w:eastAsia="zh-CN"/>
          </w:rPr>
          <w:t>(三)、遥感软件行业收入及成本核算</w:t>
        </w:r>
        <w:r>
          <w:tab/>
        </w:r>
        <w:r>
          <w:fldChar w:fldCharType="begin"/>
        </w:r>
        <w:r>
          <w:instrText xml:space="preserve"> PAGEREF _Toc7854 \h </w:instrText>
        </w:r>
        <w:r>
          <w:fldChar w:fldCharType="separate"/>
        </w:r>
        <w:r>
          <w:t>7</w:t>
        </w:r>
        <w:r>
          <w:fldChar w:fldCharType="end"/>
        </w:r>
      </w:hyperlink>
    </w:p>
    <w:p>
      <w:pPr>
        <w:pStyle w:val="TOC2"/>
        <w:tabs>
          <w:tab w:val="right" w:leader="dot" w:pos="8306"/>
        </w:tabs>
      </w:pPr>
      <w:hyperlink w:anchor="_Toc5457" w:history="1">
        <w:r>
          <w:rPr>
            <w:rFonts w:ascii="宋体" w:eastAsia="宋体" w:hAnsi="宋体" w:cs="宋体" w:hint="eastAsia"/>
            <w:bCs w:val="0"/>
            <w:szCs w:val="28"/>
            <w:lang w:eastAsia="zh-CN"/>
          </w:rPr>
          <w:t>(四)、遥感软件行业成本管理</w:t>
        </w:r>
        <w:r>
          <w:tab/>
        </w:r>
        <w:r>
          <w:fldChar w:fldCharType="begin"/>
        </w:r>
        <w:r>
          <w:instrText xml:space="preserve"> PAGEREF _Toc5457 \h </w:instrText>
        </w:r>
        <w:r>
          <w:fldChar w:fldCharType="separate"/>
        </w:r>
        <w:r>
          <w:t>8</w:t>
        </w:r>
        <w:r>
          <w:fldChar w:fldCharType="end"/>
        </w:r>
      </w:hyperlink>
    </w:p>
    <w:p>
      <w:pPr>
        <w:pStyle w:val="TOC1"/>
        <w:tabs>
          <w:tab w:val="right" w:leader="dot" w:pos="8306"/>
        </w:tabs>
      </w:pPr>
      <w:hyperlink w:anchor="_Toc15331" w:history="1">
        <w:r>
          <w:rPr>
            <w:rFonts w:ascii="微软雅黑" w:eastAsia="微软雅黑" w:hAnsi="微软雅黑" w:cs="微软雅黑" w:hint="eastAsia"/>
            <w:color w:val="001CAC" w:themeColor="hyperlink" w:themeShade="BF"/>
            <w:szCs w:val="32"/>
            <w:lang w:eastAsia="zh-CN"/>
          </w:rPr>
          <w:t>二、资金筹措与投资分析</w:t>
        </w:r>
        <w:r>
          <w:tab/>
        </w:r>
        <w:r>
          <w:fldChar w:fldCharType="begin"/>
        </w:r>
        <w:r>
          <w:instrText xml:space="preserve"> PAGEREF _Toc15331 \h </w:instrText>
        </w:r>
        <w:r>
          <w:fldChar w:fldCharType="separate"/>
        </w:r>
        <w:r>
          <w:t>12</w:t>
        </w:r>
        <w:r>
          <w:fldChar w:fldCharType="end"/>
        </w:r>
      </w:hyperlink>
    </w:p>
    <w:p>
      <w:pPr>
        <w:pStyle w:val="TOC2"/>
        <w:tabs>
          <w:tab w:val="right" w:leader="dot" w:pos="8306"/>
        </w:tabs>
      </w:pPr>
      <w:hyperlink w:anchor="_Toc20335" w:history="1">
        <w:r>
          <w:rPr>
            <w:rFonts w:ascii="宋体" w:eastAsia="宋体" w:hAnsi="宋体" w:cs="宋体" w:hint="eastAsia"/>
            <w:bCs w:val="0"/>
            <w:szCs w:val="28"/>
            <w:lang w:eastAsia="zh-CN"/>
          </w:rPr>
          <w:t>(一)、资金需求与筹措计划</w:t>
        </w:r>
        <w:r>
          <w:tab/>
        </w:r>
        <w:r>
          <w:fldChar w:fldCharType="begin"/>
        </w:r>
        <w:r>
          <w:instrText xml:space="preserve"> PAGEREF _Toc20335 \h </w:instrText>
        </w:r>
        <w:r>
          <w:fldChar w:fldCharType="separate"/>
        </w:r>
        <w:r>
          <w:t>12</w:t>
        </w:r>
        <w:r>
          <w:fldChar w:fldCharType="end"/>
        </w:r>
      </w:hyperlink>
    </w:p>
    <w:p>
      <w:pPr>
        <w:pStyle w:val="TOC2"/>
        <w:tabs>
          <w:tab w:val="right" w:leader="dot" w:pos="8306"/>
        </w:tabs>
      </w:pPr>
      <w:hyperlink w:anchor="_Toc19188" w:history="1">
        <w:r>
          <w:rPr>
            <w:rFonts w:ascii="宋体" w:eastAsia="宋体" w:hAnsi="宋体" w:cs="宋体" w:hint="eastAsia"/>
            <w:bCs w:val="0"/>
            <w:szCs w:val="28"/>
            <w:lang w:eastAsia="zh-CN"/>
          </w:rPr>
          <w:t>(二)、投资分析与回报预期</w:t>
        </w:r>
        <w:r>
          <w:tab/>
        </w:r>
        <w:r>
          <w:fldChar w:fldCharType="begin"/>
        </w:r>
        <w:r>
          <w:instrText xml:space="preserve"> PAGEREF _Toc19188 \h </w:instrText>
        </w:r>
        <w:r>
          <w:fldChar w:fldCharType="separate"/>
        </w:r>
        <w:r>
          <w:t>12</w:t>
        </w:r>
        <w:r>
          <w:fldChar w:fldCharType="end"/>
        </w:r>
      </w:hyperlink>
    </w:p>
    <w:p>
      <w:pPr>
        <w:pStyle w:val="TOC1"/>
        <w:tabs>
          <w:tab w:val="right" w:leader="dot" w:pos="8306"/>
        </w:tabs>
      </w:pPr>
      <w:hyperlink w:anchor="_Toc4632" w:history="1">
        <w:r>
          <w:rPr>
            <w:rFonts w:ascii="微软雅黑" w:eastAsia="微软雅黑" w:hAnsi="微软雅黑" w:cs="微软雅黑" w:hint="eastAsia"/>
            <w:color w:val="001CAC" w:themeColor="hyperlink" w:themeShade="BF"/>
            <w:szCs w:val="32"/>
            <w:lang w:eastAsia="zh-CN"/>
          </w:rPr>
          <w:t>三、遥感软件行业制度建设与执行</w:t>
        </w:r>
        <w:r>
          <w:tab/>
        </w:r>
        <w:r>
          <w:fldChar w:fldCharType="begin"/>
        </w:r>
        <w:r>
          <w:instrText xml:space="preserve"> PAGEREF _Toc4632 \h </w:instrText>
        </w:r>
        <w:r>
          <w:fldChar w:fldCharType="separate"/>
        </w:r>
        <w:r>
          <w:t>13</w:t>
        </w:r>
        <w:r>
          <w:fldChar w:fldCharType="end"/>
        </w:r>
      </w:hyperlink>
    </w:p>
    <w:p>
      <w:pPr>
        <w:pStyle w:val="TOC2"/>
        <w:tabs>
          <w:tab w:val="right" w:leader="dot" w:pos="8306"/>
        </w:tabs>
      </w:pPr>
      <w:hyperlink w:anchor="_Toc15103" w:history="1">
        <w:r>
          <w:rPr>
            <w:rFonts w:ascii="宋体" w:eastAsia="宋体" w:hAnsi="宋体" w:cs="宋体" w:hint="eastAsia"/>
            <w:bCs w:val="0"/>
            <w:szCs w:val="28"/>
            <w:lang w:eastAsia="zh-CN"/>
          </w:rPr>
          <w:t>(一)、公司制度体系规划</w:t>
        </w:r>
        <w:r>
          <w:tab/>
        </w:r>
        <w:r>
          <w:fldChar w:fldCharType="begin"/>
        </w:r>
        <w:r>
          <w:instrText xml:space="preserve"> PAGEREF _Toc15103 \h </w:instrText>
        </w:r>
        <w:r>
          <w:fldChar w:fldCharType="separate"/>
        </w:r>
        <w:r>
          <w:t>13</w:t>
        </w:r>
        <w:r>
          <w:fldChar w:fldCharType="end"/>
        </w:r>
      </w:hyperlink>
    </w:p>
    <w:p>
      <w:pPr>
        <w:pStyle w:val="TOC2"/>
        <w:tabs>
          <w:tab w:val="right" w:leader="dot" w:pos="8306"/>
        </w:tabs>
      </w:pPr>
      <w:hyperlink w:anchor="_Toc768" w:history="1">
        <w:r>
          <w:rPr>
            <w:rFonts w:ascii="宋体" w:eastAsia="宋体" w:hAnsi="宋体" w:cs="宋体" w:hint="eastAsia"/>
            <w:bCs w:val="0"/>
            <w:szCs w:val="28"/>
            <w:lang w:eastAsia="zh-CN"/>
          </w:rPr>
          <w:t>(二)、员工手册编制与更新</w:t>
        </w:r>
        <w:r>
          <w:tab/>
        </w:r>
        <w:r>
          <w:fldChar w:fldCharType="begin"/>
        </w:r>
        <w:r>
          <w:instrText xml:space="preserve"> PAGEREF _Toc768 \h </w:instrText>
        </w:r>
        <w:r>
          <w:fldChar w:fldCharType="separate"/>
        </w:r>
        <w:r>
          <w:t>15</w:t>
        </w:r>
        <w:r>
          <w:fldChar w:fldCharType="end"/>
        </w:r>
      </w:hyperlink>
    </w:p>
    <w:p>
      <w:pPr>
        <w:pStyle w:val="TOC2"/>
        <w:tabs>
          <w:tab w:val="right" w:leader="dot" w:pos="8306"/>
        </w:tabs>
      </w:pPr>
      <w:hyperlink w:anchor="_Toc27087" w:history="1">
        <w:r>
          <w:rPr>
            <w:rFonts w:ascii="宋体" w:eastAsia="宋体" w:hAnsi="宋体" w:cs="宋体" w:hint="eastAsia"/>
            <w:bCs w:val="0"/>
            <w:szCs w:val="28"/>
            <w:lang w:eastAsia="zh-CN"/>
          </w:rPr>
          <w:t>(三)、制度宣导与培训</w:t>
        </w:r>
        <w:r>
          <w:tab/>
        </w:r>
        <w:r>
          <w:fldChar w:fldCharType="begin"/>
        </w:r>
        <w:r>
          <w:instrText xml:space="preserve"> PAGEREF _Toc27087 \h </w:instrText>
        </w:r>
        <w:r>
          <w:fldChar w:fldCharType="separate"/>
        </w:r>
        <w:r>
          <w:t>16</w:t>
        </w:r>
        <w:r>
          <w:fldChar w:fldCharType="end"/>
        </w:r>
      </w:hyperlink>
    </w:p>
    <w:p>
      <w:pPr>
        <w:pStyle w:val="TOC2"/>
        <w:tabs>
          <w:tab w:val="right" w:leader="dot" w:pos="8306"/>
        </w:tabs>
      </w:pPr>
      <w:hyperlink w:anchor="_Toc9246" w:history="1">
        <w:r>
          <w:rPr>
            <w:rFonts w:ascii="宋体" w:eastAsia="宋体" w:hAnsi="宋体" w:cs="宋体" w:hint="eastAsia"/>
            <w:bCs w:val="0"/>
            <w:szCs w:val="28"/>
            <w:lang w:eastAsia="zh-CN"/>
          </w:rPr>
          <w:t>(四)、主要防范措施</w:t>
        </w:r>
        <w:r>
          <w:tab/>
        </w:r>
        <w:r>
          <w:fldChar w:fldCharType="begin"/>
        </w:r>
        <w:r>
          <w:instrText xml:space="preserve"> PAGEREF _Toc9246 \h </w:instrText>
        </w:r>
        <w:r>
          <w:fldChar w:fldCharType="separate"/>
        </w:r>
        <w:r>
          <w:t>17</w:t>
        </w:r>
        <w:r>
          <w:fldChar w:fldCharType="end"/>
        </w:r>
      </w:hyperlink>
    </w:p>
    <w:p>
      <w:pPr>
        <w:pStyle w:val="TOC2"/>
        <w:tabs>
          <w:tab w:val="right" w:leader="dot" w:pos="8306"/>
        </w:tabs>
      </w:pPr>
      <w:hyperlink w:anchor="_Toc26476" w:history="1">
        <w:r>
          <w:rPr>
            <w:rFonts w:ascii="宋体" w:eastAsia="宋体" w:hAnsi="宋体" w:cs="宋体" w:hint="eastAsia"/>
            <w:bCs w:val="0"/>
            <w:szCs w:val="28"/>
            <w:lang w:eastAsia="zh-CN"/>
          </w:rPr>
          <w:t>(五)、制度优化与更新</w:t>
        </w:r>
        <w:r>
          <w:tab/>
        </w:r>
        <w:r>
          <w:fldChar w:fldCharType="begin"/>
        </w:r>
        <w:r>
          <w:instrText xml:space="preserve"> PAGEREF _Toc26476 \h </w:instrText>
        </w:r>
        <w:r>
          <w:fldChar w:fldCharType="separate"/>
        </w:r>
        <w:r>
          <w:t>18</w:t>
        </w:r>
        <w:r>
          <w:fldChar w:fldCharType="end"/>
        </w:r>
      </w:hyperlink>
    </w:p>
    <w:p>
      <w:pPr>
        <w:pStyle w:val="TOC1"/>
        <w:tabs>
          <w:tab w:val="right" w:leader="dot" w:pos="8306"/>
        </w:tabs>
      </w:pPr>
      <w:hyperlink w:anchor="_Toc19334" w:history="1">
        <w:r>
          <w:rPr>
            <w:rFonts w:ascii="微软雅黑" w:eastAsia="微软雅黑" w:hAnsi="微软雅黑" w:cs="微软雅黑" w:hint="eastAsia"/>
            <w:color w:val="001CAC" w:themeColor="hyperlink" w:themeShade="BF"/>
            <w:szCs w:val="32"/>
            <w:lang w:eastAsia="zh-CN"/>
          </w:rPr>
          <w:t>四、市场营销与推广策略</w:t>
        </w:r>
        <w:r>
          <w:tab/>
        </w:r>
        <w:r>
          <w:fldChar w:fldCharType="begin"/>
        </w:r>
        <w:r>
          <w:instrText xml:space="preserve"> PAGEREF _Toc19334 \h </w:instrText>
        </w:r>
        <w:r>
          <w:fldChar w:fldCharType="separate"/>
        </w:r>
        <w:r>
          <w:t>18</w:t>
        </w:r>
        <w:r>
          <w:fldChar w:fldCharType="end"/>
        </w:r>
      </w:hyperlink>
    </w:p>
    <w:p>
      <w:pPr>
        <w:pStyle w:val="TOC2"/>
        <w:tabs>
          <w:tab w:val="right" w:leader="dot" w:pos="8306"/>
        </w:tabs>
      </w:pPr>
      <w:hyperlink w:anchor="_Toc18204" w:history="1">
        <w:r>
          <w:rPr>
            <w:rFonts w:ascii="宋体" w:eastAsia="宋体" w:hAnsi="宋体" w:cs="宋体" w:hint="eastAsia"/>
            <w:bCs w:val="0"/>
            <w:szCs w:val="28"/>
            <w:lang w:eastAsia="zh-CN"/>
          </w:rPr>
          <w:t>(一)、目标市场分析</w:t>
        </w:r>
        <w:r>
          <w:tab/>
        </w:r>
        <w:r>
          <w:fldChar w:fldCharType="begin"/>
        </w:r>
        <w:r>
          <w:instrText xml:space="preserve"> PAGEREF _Toc18204 \h </w:instrText>
        </w:r>
        <w:r>
          <w:fldChar w:fldCharType="separate"/>
        </w:r>
        <w:r>
          <w:t>18</w:t>
        </w:r>
        <w:r>
          <w:fldChar w:fldCharType="end"/>
        </w:r>
      </w:hyperlink>
    </w:p>
    <w:p>
      <w:pPr>
        <w:pStyle w:val="TOC2"/>
        <w:tabs>
          <w:tab w:val="right" w:leader="dot" w:pos="8306"/>
        </w:tabs>
      </w:pPr>
      <w:hyperlink w:anchor="_Toc1755" w:history="1">
        <w:r>
          <w:rPr>
            <w:rFonts w:ascii="宋体" w:eastAsia="宋体" w:hAnsi="宋体" w:cs="宋体" w:hint="eastAsia"/>
            <w:bCs w:val="0"/>
            <w:szCs w:val="28"/>
            <w:lang w:eastAsia="zh-CN"/>
          </w:rPr>
          <w:t>(二)、市场定位与竞争分析</w:t>
        </w:r>
        <w:r>
          <w:tab/>
        </w:r>
        <w:r>
          <w:fldChar w:fldCharType="begin"/>
        </w:r>
        <w:r>
          <w:instrText xml:space="preserve"> PAGEREF _Toc1755 \h </w:instrText>
        </w:r>
        <w:r>
          <w:fldChar w:fldCharType="separate"/>
        </w:r>
        <w:r>
          <w:t>19</w:t>
        </w:r>
        <w:r>
          <w:fldChar w:fldCharType="end"/>
        </w:r>
      </w:hyperlink>
    </w:p>
    <w:p>
      <w:pPr>
        <w:pStyle w:val="TOC2"/>
        <w:tabs>
          <w:tab w:val="right" w:leader="dot" w:pos="8306"/>
        </w:tabs>
      </w:pPr>
      <w:hyperlink w:anchor="_Toc29065" w:history="1">
        <w:r>
          <w:rPr>
            <w:rFonts w:ascii="宋体" w:eastAsia="宋体" w:hAnsi="宋体" w:cs="宋体" w:hint="eastAsia"/>
            <w:bCs w:val="0"/>
            <w:szCs w:val="28"/>
            <w:lang w:eastAsia="zh-CN"/>
          </w:rPr>
          <w:t>(三)、推广与宣传策略</w:t>
        </w:r>
        <w:r>
          <w:tab/>
        </w:r>
        <w:r>
          <w:fldChar w:fldCharType="begin"/>
        </w:r>
        <w:r>
          <w:instrText xml:space="preserve"> PAGEREF _Toc29065 \h </w:instrText>
        </w:r>
        <w:r>
          <w:fldChar w:fldCharType="separate"/>
        </w:r>
        <w:r>
          <w:t>19</w:t>
        </w:r>
        <w:r>
          <w:fldChar w:fldCharType="end"/>
        </w:r>
      </w:hyperlink>
    </w:p>
    <w:p>
      <w:pPr>
        <w:pStyle w:val="TOC1"/>
        <w:tabs>
          <w:tab w:val="right" w:leader="dot" w:pos="8306"/>
        </w:tabs>
      </w:pPr>
      <w:hyperlink w:anchor="_Toc12143" w:history="1">
        <w:r>
          <w:rPr>
            <w:rFonts w:ascii="微软雅黑" w:eastAsia="微软雅黑" w:hAnsi="微软雅黑" w:cs="微软雅黑" w:hint="eastAsia"/>
            <w:color w:val="001CAC" w:themeColor="hyperlink" w:themeShade="BF"/>
            <w:szCs w:val="32"/>
            <w:lang w:eastAsia="zh-CN"/>
          </w:rPr>
          <w:t>五、制度运行与优化</w:t>
        </w:r>
        <w:r>
          <w:tab/>
        </w:r>
        <w:r>
          <w:fldChar w:fldCharType="begin"/>
        </w:r>
        <w:r>
          <w:instrText xml:space="preserve"> PAGEREF _Toc12143 \h </w:instrText>
        </w:r>
        <w:r>
          <w:fldChar w:fldCharType="separate"/>
        </w:r>
        <w:r>
          <w:t>19</w:t>
        </w:r>
        <w:r>
          <w:fldChar w:fldCharType="end"/>
        </w:r>
      </w:hyperlink>
    </w:p>
    <w:p>
      <w:pPr>
        <w:pStyle w:val="TOC2"/>
        <w:tabs>
          <w:tab w:val="right" w:leader="dot" w:pos="8306"/>
        </w:tabs>
      </w:pPr>
      <w:hyperlink w:anchor="_Toc18656" w:history="1">
        <w:r>
          <w:rPr>
            <w:rFonts w:ascii="宋体" w:eastAsia="宋体" w:hAnsi="宋体" w:cs="宋体" w:hint="eastAsia"/>
            <w:bCs w:val="0"/>
            <w:szCs w:val="28"/>
            <w:lang w:eastAsia="zh-CN"/>
          </w:rPr>
          <w:t>(一)、制度执行与监督</w:t>
        </w:r>
        <w:r>
          <w:tab/>
        </w:r>
        <w:r>
          <w:fldChar w:fldCharType="begin"/>
        </w:r>
        <w:r>
          <w:instrText xml:space="preserve"> PAGEREF _Toc18656 \h </w:instrText>
        </w:r>
        <w:r>
          <w:fldChar w:fldCharType="separate"/>
        </w:r>
        <w:r>
          <w:t>19</w:t>
        </w:r>
        <w:r>
          <w:fldChar w:fldCharType="end"/>
        </w:r>
      </w:hyperlink>
    </w:p>
    <w:p>
      <w:pPr>
        <w:pStyle w:val="TOC2"/>
        <w:tabs>
          <w:tab w:val="right" w:leader="dot" w:pos="8306"/>
        </w:tabs>
      </w:pPr>
      <w:hyperlink w:anchor="_Toc23632" w:history="1">
        <w:r>
          <w:rPr>
            <w:rFonts w:ascii="宋体" w:eastAsia="宋体" w:hAnsi="宋体" w:cs="宋体" w:hint="eastAsia"/>
            <w:bCs w:val="0"/>
            <w:szCs w:val="28"/>
            <w:lang w:eastAsia="zh-CN"/>
          </w:rPr>
          <w:t>(二)、制度优化与更新</w:t>
        </w:r>
        <w:r>
          <w:tab/>
        </w:r>
        <w:r>
          <w:fldChar w:fldCharType="begin"/>
        </w:r>
        <w:r>
          <w:instrText xml:space="preserve"> PAGEREF _Toc23632 \h </w:instrText>
        </w:r>
        <w:r>
          <w:fldChar w:fldCharType="separate"/>
        </w:r>
        <w:r>
          <w:t>20</w:t>
        </w:r>
        <w:r>
          <w:fldChar w:fldCharType="end"/>
        </w:r>
      </w:hyperlink>
    </w:p>
    <w:p>
      <w:pPr>
        <w:pStyle w:val="TOC1"/>
        <w:tabs>
          <w:tab w:val="right" w:leader="dot" w:pos="8306"/>
        </w:tabs>
      </w:pPr>
      <w:hyperlink w:anchor="_Toc14122" w:history="1">
        <w:r>
          <w:rPr>
            <w:rFonts w:ascii="微软雅黑" w:eastAsia="微软雅黑" w:hAnsi="微软雅黑" w:cs="微软雅黑" w:hint="eastAsia"/>
            <w:color w:val="001CAC" w:themeColor="hyperlink" w:themeShade="BF"/>
            <w:szCs w:val="32"/>
            <w:lang w:eastAsia="zh-CN"/>
          </w:rPr>
          <w:t>六、遥感软件行业人力资源管理策略</w:t>
        </w:r>
        <w:r>
          <w:tab/>
        </w:r>
        <w:r>
          <w:fldChar w:fldCharType="begin"/>
        </w:r>
        <w:r>
          <w:instrText xml:space="preserve"> PAGEREF _Toc14122 \h </w:instrText>
        </w:r>
        <w:r>
          <w:fldChar w:fldCharType="separate"/>
        </w:r>
        <w:r>
          <w:t>21</w:t>
        </w:r>
        <w:r>
          <w:fldChar w:fldCharType="end"/>
        </w:r>
      </w:hyperlink>
    </w:p>
    <w:p>
      <w:pPr>
        <w:pStyle w:val="TOC2"/>
        <w:tabs>
          <w:tab w:val="right" w:leader="dot" w:pos="8306"/>
        </w:tabs>
      </w:pPr>
      <w:hyperlink w:anchor="_Toc2512" w:history="1">
        <w:r>
          <w:rPr>
            <w:rFonts w:ascii="宋体" w:eastAsia="宋体" w:hAnsi="宋体" w:cs="宋体" w:hint="eastAsia"/>
            <w:bCs w:val="0"/>
            <w:szCs w:val="28"/>
            <w:lang w:eastAsia="zh-CN"/>
          </w:rPr>
          <w:t>(一)、遥感软件行业人力资源管理原则</w:t>
        </w:r>
        <w:r>
          <w:tab/>
        </w:r>
        <w:r>
          <w:fldChar w:fldCharType="begin"/>
        </w:r>
        <w:r>
          <w:instrText xml:space="preserve"> PAGEREF _Toc2512 \h </w:instrText>
        </w:r>
        <w:r>
          <w:fldChar w:fldCharType="separate"/>
        </w:r>
        <w:r>
          <w:t>21</w:t>
        </w:r>
        <w:r>
          <w:fldChar w:fldCharType="end"/>
        </w:r>
      </w:hyperlink>
    </w:p>
    <w:p>
      <w:pPr>
        <w:pStyle w:val="TOC2"/>
        <w:tabs>
          <w:tab w:val="right" w:leader="dot" w:pos="8306"/>
        </w:tabs>
      </w:pPr>
      <w:hyperlink w:anchor="_Toc16431" w:history="1">
        <w:r>
          <w:rPr>
            <w:rFonts w:ascii="宋体" w:eastAsia="宋体" w:hAnsi="宋体" w:cs="宋体" w:hint="eastAsia"/>
            <w:bCs w:val="0"/>
            <w:szCs w:val="28"/>
            <w:lang w:eastAsia="zh-CN"/>
          </w:rPr>
          <w:t>(二)、遥感软件行业劳动关系管理</w:t>
        </w:r>
        <w:r>
          <w:tab/>
        </w:r>
        <w:r>
          <w:fldChar w:fldCharType="begin"/>
        </w:r>
        <w:r>
          <w:instrText xml:space="preserve"> PAGEREF _Toc16431 \h </w:instrText>
        </w:r>
        <w:r>
          <w:fldChar w:fldCharType="separate"/>
        </w:r>
        <w:r>
          <w:t>24</w:t>
        </w:r>
        <w:r>
          <w:fldChar w:fldCharType="end"/>
        </w:r>
      </w:hyperlink>
    </w:p>
    <w:p>
      <w:pPr>
        <w:pStyle w:val="TOC2"/>
        <w:tabs>
          <w:tab w:val="right" w:leader="dot" w:pos="8306"/>
        </w:tabs>
      </w:pPr>
      <w:hyperlink w:anchor="_Toc19026" w:history="1">
        <w:r>
          <w:rPr>
            <w:rFonts w:ascii="宋体" w:eastAsia="宋体" w:hAnsi="宋体" w:cs="宋体" w:hint="eastAsia"/>
            <w:bCs w:val="0"/>
            <w:szCs w:val="28"/>
            <w:lang w:eastAsia="zh-CN"/>
          </w:rPr>
          <w:t>(三)、遥感软件行业人员配置方案</w:t>
        </w:r>
        <w:r>
          <w:tab/>
        </w:r>
        <w:r>
          <w:fldChar w:fldCharType="begin"/>
        </w:r>
        <w:r>
          <w:instrText xml:space="preserve"> PAGEREF _Toc19026 \h </w:instrText>
        </w:r>
        <w:r>
          <w:fldChar w:fldCharType="separate"/>
        </w:r>
        <w:r>
          <w:t>25</w:t>
        </w:r>
        <w:r>
          <w:fldChar w:fldCharType="end"/>
        </w:r>
      </w:hyperlink>
    </w:p>
    <w:p>
      <w:pPr>
        <w:pStyle w:val="TOC2"/>
        <w:tabs>
          <w:tab w:val="right" w:leader="dot" w:pos="8306"/>
        </w:tabs>
      </w:pPr>
      <w:hyperlink w:anchor="_Toc15259" w:history="1">
        <w:r>
          <w:rPr>
            <w:rFonts w:ascii="宋体" w:eastAsia="宋体" w:hAnsi="宋体" w:cs="宋体" w:hint="eastAsia"/>
            <w:bCs w:val="0"/>
            <w:szCs w:val="28"/>
            <w:lang w:eastAsia="zh-CN"/>
          </w:rPr>
          <w:t>(四)、遥感软件行业员工招聘方案</w:t>
        </w:r>
        <w:r>
          <w:tab/>
        </w:r>
        <w:r>
          <w:fldChar w:fldCharType="begin"/>
        </w:r>
        <w:r>
          <w:instrText xml:space="preserve"> PAGEREF _Toc15259 \h </w:instrText>
        </w:r>
        <w:r>
          <w:fldChar w:fldCharType="separate"/>
        </w:r>
        <w:r>
          <w:t>26</w:t>
        </w:r>
        <w:r>
          <w:fldChar w:fldCharType="end"/>
        </w:r>
      </w:hyperlink>
    </w:p>
    <w:p>
      <w:pPr>
        <w:pStyle w:val="TOC2"/>
        <w:tabs>
          <w:tab w:val="right" w:leader="dot" w:pos="8306"/>
        </w:tabs>
      </w:pPr>
      <w:hyperlink w:anchor="_Toc12887" w:history="1">
        <w:r>
          <w:rPr>
            <w:rFonts w:ascii="宋体" w:eastAsia="宋体" w:hAnsi="宋体" w:cs="宋体" w:hint="eastAsia"/>
            <w:bCs w:val="0"/>
            <w:szCs w:val="28"/>
            <w:lang w:eastAsia="zh-CN"/>
          </w:rPr>
          <w:t>(五)、遥感软件行业绩效和薪酬管理方案</w:t>
        </w:r>
        <w:r>
          <w:tab/>
        </w:r>
        <w:r>
          <w:fldChar w:fldCharType="begin"/>
        </w:r>
        <w:r>
          <w:instrText xml:space="preserve"> PAGEREF _Toc12887 \h </w:instrText>
        </w:r>
        <w:r>
          <w:fldChar w:fldCharType="separate"/>
        </w:r>
        <w:r>
          <w:t>27</w:t>
        </w:r>
        <w:r>
          <w:fldChar w:fldCharType="end"/>
        </w:r>
      </w:hyperlink>
    </w:p>
    <w:p>
      <w:pPr>
        <w:pStyle w:val="TOC2"/>
        <w:tabs>
          <w:tab w:val="right" w:leader="dot" w:pos="8306"/>
        </w:tabs>
      </w:pPr>
      <w:hyperlink w:anchor="_Toc16716" w:history="1">
        <w:r>
          <w:rPr>
            <w:rFonts w:ascii="宋体" w:eastAsia="宋体" w:hAnsi="宋体" w:cs="宋体" w:hint="eastAsia"/>
            <w:bCs w:val="0"/>
            <w:szCs w:val="28"/>
            <w:lang w:eastAsia="zh-CN"/>
          </w:rPr>
          <w:t>(六)、遥感软件行业员工福利管理方案</w:t>
        </w:r>
        <w:r>
          <w:tab/>
        </w:r>
        <w:r>
          <w:fldChar w:fldCharType="begin"/>
        </w:r>
        <w:r>
          <w:instrText xml:space="preserve"> PAGEREF _Toc16716 \h </w:instrText>
        </w:r>
        <w:r>
          <w:fldChar w:fldCharType="separate"/>
        </w:r>
        <w:r>
          <w:t>29</w:t>
        </w:r>
        <w:r>
          <w:fldChar w:fldCharType="end"/>
        </w:r>
      </w:hyperlink>
    </w:p>
    <w:p>
      <w:pPr>
        <w:pStyle w:val="TOC1"/>
        <w:tabs>
          <w:tab w:val="right" w:leader="dot" w:pos="8306"/>
        </w:tabs>
      </w:pPr>
      <w:hyperlink w:anchor="_Toc549" w:history="1">
        <w:r>
          <w:rPr>
            <w:rFonts w:ascii="微软雅黑" w:eastAsia="微软雅黑" w:hAnsi="微软雅黑" w:cs="微软雅黑" w:hint="eastAsia"/>
            <w:color w:val="001CAC" w:themeColor="hyperlink" w:themeShade="BF"/>
            <w:szCs w:val="32"/>
            <w:lang w:eastAsia="zh-CN"/>
          </w:rPr>
          <w:t>七、项目运营与管理</w:t>
        </w:r>
        <w:r>
          <w:tab/>
        </w:r>
        <w:r>
          <w:fldChar w:fldCharType="begin"/>
        </w:r>
        <w:r>
          <w:instrText xml:space="preserve"> PAGEREF _Toc549 \h </w:instrText>
        </w:r>
        <w:r>
          <w:fldChar w:fldCharType="separate"/>
        </w:r>
        <w:r>
          <w:t>31</w:t>
        </w:r>
        <w:r>
          <w:fldChar w:fldCharType="end"/>
        </w:r>
      </w:hyperlink>
    </w:p>
    <w:p>
      <w:pPr>
        <w:pStyle w:val="TOC2"/>
        <w:tabs>
          <w:tab w:val="right" w:leader="dot" w:pos="8306"/>
        </w:tabs>
      </w:pPr>
      <w:hyperlink w:anchor="_Toc24802" w:history="1">
        <w:r>
          <w:rPr>
            <w:rFonts w:ascii="宋体" w:eastAsia="宋体" w:hAnsi="宋体" w:cs="宋体" w:hint="eastAsia"/>
            <w:bCs w:val="0"/>
            <w:szCs w:val="28"/>
            <w:lang w:eastAsia="zh-CN"/>
          </w:rPr>
          <w:t>(一)、运营模式选择</w:t>
        </w:r>
        <w:r>
          <w:tab/>
        </w:r>
        <w:r>
          <w:fldChar w:fldCharType="begin"/>
        </w:r>
        <w:r>
          <w:instrText xml:space="preserve"> PAGEREF _Toc24802 \h </w:instrText>
        </w:r>
        <w:r>
          <w:fldChar w:fldCharType="separate"/>
        </w:r>
        <w:r>
          <w:t>31</w:t>
        </w:r>
        <w:r>
          <w:fldChar w:fldCharType="end"/>
        </w:r>
      </w:hyperlink>
    </w:p>
    <w:p>
      <w:pPr>
        <w:pStyle w:val="TOC2"/>
        <w:tabs>
          <w:tab w:val="right" w:leader="dot" w:pos="8306"/>
        </w:tabs>
      </w:pPr>
      <w:hyperlink w:anchor="_Toc24961" w:history="1">
        <w:r>
          <w:rPr>
            <w:rFonts w:ascii="宋体" w:eastAsia="宋体" w:hAnsi="宋体" w:cs="宋体" w:hint="eastAsia"/>
            <w:bCs w:val="0"/>
            <w:szCs w:val="28"/>
            <w:lang w:eastAsia="zh-CN"/>
          </w:rPr>
          <w:t>(二)、人力资源规划</w:t>
        </w:r>
        <w:r>
          <w:tab/>
        </w:r>
        <w:r>
          <w:fldChar w:fldCharType="begin"/>
        </w:r>
        <w:r>
          <w:instrText xml:space="preserve"> PAGEREF _Toc24961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93" w:history="1">
        <w:r>
          <w:rPr>
            <w:rFonts w:ascii="宋体" w:eastAsia="宋体" w:hAnsi="宋体" w:cs="宋体" w:hint="eastAsia"/>
            <w:bCs w:val="0"/>
            <w:szCs w:val="28"/>
            <w:lang w:eastAsia="zh-CN"/>
          </w:rPr>
          <w:t>(三)、财务管理计划</w:t>
        </w:r>
        <w:r>
          <w:tab/>
        </w:r>
        <w:r>
          <w:fldChar w:fldCharType="begin"/>
        </w:r>
        <w:r>
          <w:instrText xml:space="preserve"> PAGEREF _Toc18193 \h </w:instrText>
        </w:r>
        <w:r>
          <w:fldChar w:fldCharType="separate"/>
        </w:r>
        <w:r>
          <w:t>32</w:t>
        </w:r>
        <w:r>
          <w:fldChar w:fldCharType="end"/>
        </w:r>
      </w:hyperlink>
    </w:p>
    <w:p>
      <w:pPr>
        <w:pStyle w:val="TOC2"/>
        <w:tabs>
          <w:tab w:val="right" w:leader="dot" w:pos="8306"/>
        </w:tabs>
      </w:pPr>
      <w:hyperlink w:anchor="_Toc26188" w:history="1">
        <w:r>
          <w:rPr>
            <w:rFonts w:ascii="宋体" w:eastAsia="宋体" w:hAnsi="宋体" w:cs="宋体" w:hint="eastAsia"/>
            <w:bCs w:val="0"/>
            <w:szCs w:val="28"/>
            <w:lang w:eastAsia="zh-CN"/>
          </w:rPr>
          <w:t>(四)、供应链管理</w:t>
        </w:r>
        <w:r>
          <w:tab/>
        </w:r>
        <w:r>
          <w:fldChar w:fldCharType="begin"/>
        </w:r>
        <w:r>
          <w:instrText xml:space="preserve"> PAGEREF _Toc26188 \h </w:instrText>
        </w:r>
        <w:r>
          <w:fldChar w:fldCharType="separate"/>
        </w:r>
        <w:r>
          <w:t>33</w:t>
        </w:r>
        <w:r>
          <w:fldChar w:fldCharType="end"/>
        </w:r>
      </w:hyperlink>
    </w:p>
    <w:p>
      <w:pPr>
        <w:pStyle w:val="TOC1"/>
        <w:tabs>
          <w:tab w:val="right" w:leader="dot" w:pos="8306"/>
        </w:tabs>
      </w:pPr>
      <w:hyperlink w:anchor="_Toc17989" w:history="1">
        <w:r>
          <w:rPr>
            <w:rFonts w:ascii="微软雅黑" w:eastAsia="微软雅黑" w:hAnsi="微软雅黑" w:cs="微软雅黑" w:hint="eastAsia"/>
            <w:color w:val="001CAC" w:themeColor="hyperlink" w:themeShade="BF"/>
            <w:szCs w:val="32"/>
            <w:lang w:eastAsia="zh-CN"/>
          </w:rPr>
          <w:t>八、质量与技术管理</w:t>
        </w:r>
        <w:r>
          <w:tab/>
        </w:r>
        <w:r>
          <w:fldChar w:fldCharType="begin"/>
        </w:r>
        <w:r>
          <w:instrText xml:space="preserve"> PAGEREF _Toc17989 \h </w:instrText>
        </w:r>
        <w:r>
          <w:fldChar w:fldCharType="separate"/>
        </w:r>
        <w:r>
          <w:t>34</w:t>
        </w:r>
        <w:r>
          <w:fldChar w:fldCharType="end"/>
        </w:r>
      </w:hyperlink>
    </w:p>
    <w:p>
      <w:pPr>
        <w:pStyle w:val="TOC2"/>
        <w:tabs>
          <w:tab w:val="right" w:leader="dot" w:pos="8306"/>
        </w:tabs>
      </w:pPr>
      <w:hyperlink w:anchor="_Toc9484" w:history="1">
        <w:r>
          <w:rPr>
            <w:rFonts w:ascii="宋体" w:eastAsia="宋体" w:hAnsi="宋体" w:cs="宋体" w:hint="eastAsia"/>
            <w:bCs w:val="0"/>
            <w:szCs w:val="28"/>
            <w:lang w:eastAsia="zh-CN"/>
          </w:rPr>
          <w:t>(一)、质量管理体系建设</w:t>
        </w:r>
        <w:r>
          <w:tab/>
        </w:r>
        <w:r>
          <w:fldChar w:fldCharType="begin"/>
        </w:r>
        <w:r>
          <w:instrText xml:space="preserve"> PAGEREF _Toc9484 \h </w:instrText>
        </w:r>
        <w:r>
          <w:fldChar w:fldCharType="separate"/>
        </w:r>
        <w:r>
          <w:t>34</w:t>
        </w:r>
        <w:r>
          <w:fldChar w:fldCharType="end"/>
        </w:r>
      </w:hyperlink>
    </w:p>
    <w:p>
      <w:pPr>
        <w:pStyle w:val="TOC2"/>
        <w:tabs>
          <w:tab w:val="right" w:leader="dot" w:pos="8306"/>
        </w:tabs>
      </w:pPr>
      <w:hyperlink w:anchor="_Toc9617" w:history="1">
        <w:r>
          <w:rPr>
            <w:rFonts w:ascii="宋体" w:eastAsia="宋体" w:hAnsi="宋体" w:cs="宋体" w:hint="eastAsia"/>
            <w:bCs w:val="0"/>
            <w:szCs w:val="28"/>
            <w:lang w:eastAsia="zh-CN"/>
          </w:rPr>
          <w:t>(二)、技术标准与创新</w:t>
        </w:r>
        <w:r>
          <w:tab/>
        </w:r>
        <w:r>
          <w:fldChar w:fldCharType="begin"/>
        </w:r>
        <w:r>
          <w:instrText xml:space="preserve"> PAGEREF _Toc9617 \h </w:instrText>
        </w:r>
        <w:r>
          <w:fldChar w:fldCharType="separate"/>
        </w:r>
        <w:r>
          <w:t>35</w:t>
        </w:r>
        <w:r>
          <w:fldChar w:fldCharType="end"/>
        </w:r>
      </w:hyperlink>
    </w:p>
    <w:p>
      <w:pPr>
        <w:pStyle w:val="TOC1"/>
        <w:tabs>
          <w:tab w:val="right" w:leader="dot" w:pos="8306"/>
        </w:tabs>
      </w:pPr>
      <w:hyperlink w:anchor="_Toc17056" w:history="1">
        <w:r>
          <w:rPr>
            <w:rFonts w:ascii="微软雅黑" w:eastAsia="微软雅黑" w:hAnsi="微软雅黑" w:cs="微软雅黑" w:hint="eastAsia"/>
            <w:color w:val="001CAC" w:themeColor="hyperlink" w:themeShade="BF"/>
            <w:szCs w:val="32"/>
            <w:lang w:eastAsia="zh-CN"/>
          </w:rPr>
          <w:t>九、遥感软件行业投资管理策略</w:t>
        </w:r>
        <w:r>
          <w:tab/>
        </w:r>
        <w:r>
          <w:fldChar w:fldCharType="begin"/>
        </w:r>
        <w:r>
          <w:instrText xml:space="preserve"> PAGEREF _Toc17056 \h </w:instrText>
        </w:r>
        <w:r>
          <w:fldChar w:fldCharType="separate"/>
        </w:r>
        <w:r>
          <w:t>36</w:t>
        </w:r>
        <w:r>
          <w:fldChar w:fldCharType="end"/>
        </w:r>
      </w:hyperlink>
    </w:p>
    <w:p>
      <w:pPr>
        <w:pStyle w:val="TOC2"/>
        <w:tabs>
          <w:tab w:val="right" w:leader="dot" w:pos="8306"/>
        </w:tabs>
      </w:pPr>
      <w:hyperlink w:anchor="_Toc28684" w:history="1">
        <w:r>
          <w:rPr>
            <w:rFonts w:ascii="宋体" w:eastAsia="宋体" w:hAnsi="宋体" w:cs="宋体" w:hint="eastAsia"/>
            <w:bCs w:val="0"/>
            <w:szCs w:val="28"/>
            <w:lang w:eastAsia="zh-CN"/>
          </w:rPr>
          <w:t>(一)、遥感软件行业投资估算主要内容</w:t>
        </w:r>
        <w:r>
          <w:tab/>
        </w:r>
        <w:r>
          <w:fldChar w:fldCharType="begin"/>
        </w:r>
        <w:r>
          <w:instrText xml:space="preserve"> PAGEREF _Toc28684 \h </w:instrText>
        </w:r>
        <w:r>
          <w:fldChar w:fldCharType="separate"/>
        </w:r>
        <w:r>
          <w:t>36</w:t>
        </w:r>
        <w:r>
          <w:fldChar w:fldCharType="end"/>
        </w:r>
      </w:hyperlink>
    </w:p>
    <w:p>
      <w:pPr>
        <w:pStyle w:val="TOC2"/>
        <w:tabs>
          <w:tab w:val="right" w:leader="dot" w:pos="8306"/>
        </w:tabs>
      </w:pPr>
      <w:hyperlink w:anchor="_Toc30896" w:history="1">
        <w:r>
          <w:rPr>
            <w:rFonts w:ascii="宋体" w:eastAsia="宋体" w:hAnsi="宋体" w:cs="宋体" w:hint="eastAsia"/>
            <w:bCs w:val="0"/>
            <w:szCs w:val="28"/>
            <w:lang w:eastAsia="zh-CN"/>
          </w:rPr>
          <w:t>(二)、遥感软件行业设备购置投资费用管理</w:t>
        </w:r>
        <w:r>
          <w:tab/>
        </w:r>
        <w:r>
          <w:fldChar w:fldCharType="begin"/>
        </w:r>
        <w:r>
          <w:instrText xml:space="preserve"> PAGEREF _Toc30896 \h </w:instrText>
        </w:r>
        <w:r>
          <w:fldChar w:fldCharType="separate"/>
        </w:r>
        <w:r>
          <w:t>38</w:t>
        </w:r>
        <w:r>
          <w:fldChar w:fldCharType="end"/>
        </w:r>
      </w:hyperlink>
    </w:p>
    <w:p>
      <w:pPr>
        <w:pStyle w:val="TOC2"/>
        <w:tabs>
          <w:tab w:val="right" w:leader="dot" w:pos="8306"/>
        </w:tabs>
      </w:pPr>
      <w:hyperlink w:anchor="_Toc4093" w:history="1">
        <w:r>
          <w:rPr>
            <w:rFonts w:ascii="宋体" w:eastAsia="宋体" w:hAnsi="宋体" w:cs="宋体" w:hint="eastAsia"/>
            <w:bCs w:val="0"/>
            <w:szCs w:val="28"/>
            <w:lang w:eastAsia="zh-CN"/>
          </w:rPr>
          <w:t>(三)、遥感软件行业装修施工投资费用管理</w:t>
        </w:r>
        <w:r>
          <w:tab/>
        </w:r>
        <w:r>
          <w:fldChar w:fldCharType="begin"/>
        </w:r>
        <w:r>
          <w:instrText xml:space="preserve"> PAGEREF _Toc4093 \h </w:instrText>
        </w:r>
        <w:r>
          <w:fldChar w:fldCharType="separate"/>
        </w:r>
        <w:r>
          <w:t>42</w:t>
        </w:r>
        <w:r>
          <w:fldChar w:fldCharType="end"/>
        </w:r>
      </w:hyperlink>
    </w:p>
    <w:p>
      <w:pPr>
        <w:pStyle w:val="TOC2"/>
        <w:tabs>
          <w:tab w:val="right" w:leader="dot" w:pos="8306"/>
        </w:tabs>
      </w:pPr>
      <w:hyperlink w:anchor="_Toc19104" w:history="1">
        <w:r>
          <w:rPr>
            <w:rFonts w:ascii="宋体" w:eastAsia="宋体" w:hAnsi="宋体" w:cs="宋体" w:hint="eastAsia"/>
            <w:bCs w:val="0"/>
            <w:szCs w:val="28"/>
            <w:lang w:eastAsia="zh-CN"/>
          </w:rPr>
          <w:t>(四)、遥感软件行业流动资金管理</w:t>
        </w:r>
        <w:r>
          <w:tab/>
        </w:r>
        <w:r>
          <w:fldChar w:fldCharType="begin"/>
        </w:r>
        <w:r>
          <w:instrText xml:space="preserve"> PAGEREF _Toc19104 \h </w:instrText>
        </w:r>
        <w:r>
          <w:fldChar w:fldCharType="separate"/>
        </w:r>
        <w:r>
          <w:t>44</w:t>
        </w:r>
        <w:r>
          <w:fldChar w:fldCharType="end"/>
        </w:r>
      </w:hyperlink>
    </w:p>
    <w:p>
      <w:pPr>
        <w:pStyle w:val="TOC1"/>
        <w:tabs>
          <w:tab w:val="right" w:leader="dot" w:pos="8306"/>
        </w:tabs>
      </w:pPr>
      <w:hyperlink w:anchor="_Toc7304" w:history="1">
        <w:r>
          <w:rPr>
            <w:rFonts w:ascii="微软雅黑" w:eastAsia="微软雅黑" w:hAnsi="微软雅黑" w:cs="微软雅黑" w:hint="eastAsia"/>
            <w:color w:val="001CAC" w:themeColor="hyperlink" w:themeShade="BF"/>
            <w:szCs w:val="32"/>
            <w:lang w:eastAsia="zh-CN"/>
          </w:rPr>
          <w:t>十、质量管理与持续改进</w:t>
        </w:r>
        <w:r>
          <w:tab/>
        </w:r>
        <w:r>
          <w:fldChar w:fldCharType="begin"/>
        </w:r>
        <w:r>
          <w:instrText xml:space="preserve"> PAGEREF _Toc7304 \h </w:instrText>
        </w:r>
        <w:r>
          <w:fldChar w:fldCharType="separate"/>
        </w:r>
        <w:r>
          <w:t>46</w:t>
        </w:r>
        <w:r>
          <w:fldChar w:fldCharType="end"/>
        </w:r>
      </w:hyperlink>
    </w:p>
    <w:p>
      <w:pPr>
        <w:pStyle w:val="TOC2"/>
        <w:tabs>
          <w:tab w:val="right" w:leader="dot" w:pos="8306"/>
        </w:tabs>
      </w:pPr>
      <w:hyperlink w:anchor="_Toc22282" w:history="1">
        <w:r>
          <w:rPr>
            <w:rFonts w:ascii="宋体" w:eastAsia="宋体" w:hAnsi="宋体" w:cs="宋体" w:hint="eastAsia"/>
            <w:bCs w:val="0"/>
            <w:szCs w:val="28"/>
            <w:lang w:eastAsia="zh-CN"/>
          </w:rPr>
          <w:t>(一)、质量管理体系建设</w:t>
        </w:r>
        <w:r>
          <w:tab/>
        </w:r>
        <w:r>
          <w:fldChar w:fldCharType="begin"/>
        </w:r>
        <w:r>
          <w:instrText xml:space="preserve"> PAGEREF _Toc22282 \h </w:instrText>
        </w:r>
        <w:r>
          <w:fldChar w:fldCharType="separate"/>
        </w:r>
        <w:r>
          <w:t>46</w:t>
        </w:r>
        <w:r>
          <w:fldChar w:fldCharType="end"/>
        </w:r>
      </w:hyperlink>
    </w:p>
    <w:p>
      <w:pPr>
        <w:pStyle w:val="TOC2"/>
        <w:tabs>
          <w:tab w:val="right" w:leader="dot" w:pos="8306"/>
        </w:tabs>
      </w:pPr>
      <w:hyperlink w:anchor="_Toc13764" w:history="1">
        <w:r>
          <w:rPr>
            <w:rFonts w:ascii="宋体" w:eastAsia="宋体" w:hAnsi="宋体" w:cs="宋体" w:hint="eastAsia"/>
            <w:bCs w:val="0"/>
            <w:szCs w:val="28"/>
            <w:lang w:eastAsia="zh-CN"/>
          </w:rPr>
          <w:t>(二)、生产过程控制与优化</w:t>
        </w:r>
        <w:r>
          <w:tab/>
        </w:r>
        <w:r>
          <w:fldChar w:fldCharType="begin"/>
        </w:r>
        <w:r>
          <w:instrText xml:space="preserve"> PAGEREF _Toc13764 \h </w:instrText>
        </w:r>
        <w:r>
          <w:fldChar w:fldCharType="separate"/>
        </w:r>
        <w:r>
          <w:t>47</w:t>
        </w:r>
        <w:r>
          <w:fldChar w:fldCharType="end"/>
        </w:r>
      </w:hyperlink>
    </w:p>
    <w:p>
      <w:pPr>
        <w:pStyle w:val="TOC2"/>
        <w:tabs>
          <w:tab w:val="right" w:leader="dot" w:pos="8306"/>
        </w:tabs>
      </w:pPr>
      <w:hyperlink w:anchor="_Toc21000" w:history="1">
        <w:r>
          <w:rPr>
            <w:rFonts w:ascii="宋体" w:eastAsia="宋体" w:hAnsi="宋体" w:cs="宋体" w:hint="eastAsia"/>
            <w:bCs w:val="0"/>
            <w:szCs w:val="28"/>
            <w:lang w:eastAsia="zh-CN"/>
          </w:rPr>
          <w:t>(三)、产品质量检验与测试</w:t>
        </w:r>
        <w:r>
          <w:tab/>
        </w:r>
        <w:r>
          <w:fldChar w:fldCharType="begin"/>
        </w:r>
        <w:r>
          <w:instrText xml:space="preserve"> PAGEREF _Toc21000 \h </w:instrText>
        </w:r>
        <w:r>
          <w:fldChar w:fldCharType="separate"/>
        </w:r>
        <w:r>
          <w:t>48</w:t>
        </w:r>
        <w:r>
          <w:fldChar w:fldCharType="end"/>
        </w:r>
      </w:hyperlink>
    </w:p>
    <w:p>
      <w:pPr>
        <w:pStyle w:val="TOC2"/>
        <w:tabs>
          <w:tab w:val="right" w:leader="dot" w:pos="8306"/>
        </w:tabs>
      </w:pPr>
      <w:hyperlink w:anchor="_Toc27220" w:history="1">
        <w:r>
          <w:rPr>
            <w:rFonts w:ascii="宋体" w:eastAsia="宋体" w:hAnsi="宋体" w:cs="宋体" w:hint="eastAsia"/>
            <w:bCs w:val="0"/>
            <w:szCs w:val="28"/>
            <w:lang w:eastAsia="zh-CN"/>
          </w:rPr>
          <w:t>(四)、用户反馈与质量改进</w:t>
        </w:r>
        <w:r>
          <w:tab/>
        </w:r>
        <w:r>
          <w:fldChar w:fldCharType="begin"/>
        </w:r>
        <w:r>
          <w:instrText xml:space="preserve"> PAGEREF _Toc27220 \h </w:instrText>
        </w:r>
        <w:r>
          <w:fldChar w:fldCharType="separate"/>
        </w:r>
        <w:r>
          <w:t>48</w:t>
        </w:r>
        <w:r>
          <w:fldChar w:fldCharType="end"/>
        </w:r>
      </w:hyperlink>
    </w:p>
    <w:p>
      <w:pPr>
        <w:pStyle w:val="TOC1"/>
        <w:tabs>
          <w:tab w:val="right" w:leader="dot" w:pos="8306"/>
        </w:tabs>
      </w:pPr>
      <w:hyperlink w:anchor="_Toc22233" w:history="1">
        <w:r>
          <w:rPr>
            <w:rFonts w:ascii="微软雅黑" w:eastAsia="微软雅黑" w:hAnsi="微软雅黑" w:cs="微软雅黑" w:hint="eastAsia"/>
            <w:color w:val="001CAC" w:themeColor="hyperlink" w:themeShade="BF"/>
            <w:szCs w:val="32"/>
            <w:lang w:eastAsia="zh-CN"/>
          </w:rPr>
          <w:t>十一、遥感软件行业公司治理与社会责任</w:t>
        </w:r>
        <w:r>
          <w:tab/>
        </w:r>
        <w:r>
          <w:fldChar w:fldCharType="begin"/>
        </w:r>
        <w:r>
          <w:instrText xml:space="preserve"> PAGEREF _Toc22233 \h </w:instrText>
        </w:r>
        <w:r>
          <w:fldChar w:fldCharType="separate"/>
        </w:r>
        <w:r>
          <w:t>49</w:t>
        </w:r>
        <w:r>
          <w:fldChar w:fldCharType="end"/>
        </w:r>
      </w:hyperlink>
    </w:p>
    <w:p>
      <w:pPr>
        <w:pStyle w:val="TOC2"/>
        <w:tabs>
          <w:tab w:val="right" w:leader="dot" w:pos="8306"/>
        </w:tabs>
      </w:pPr>
      <w:hyperlink w:anchor="_Toc15102" w:history="1">
        <w:r>
          <w:rPr>
            <w:rFonts w:ascii="宋体" w:eastAsia="宋体" w:hAnsi="宋体" w:cs="宋体" w:hint="eastAsia"/>
            <w:bCs w:val="0"/>
            <w:szCs w:val="28"/>
            <w:lang w:eastAsia="zh-CN"/>
          </w:rPr>
          <w:t>(一)、公司治理结构</w:t>
        </w:r>
        <w:r>
          <w:tab/>
        </w:r>
        <w:r>
          <w:fldChar w:fldCharType="begin"/>
        </w:r>
        <w:r>
          <w:instrText xml:space="preserve"> PAGEREF _Toc15102 \h </w:instrText>
        </w:r>
        <w:r>
          <w:fldChar w:fldCharType="separate"/>
        </w:r>
        <w:r>
          <w:t>49</w:t>
        </w:r>
        <w:r>
          <w:fldChar w:fldCharType="end"/>
        </w:r>
      </w:hyperlink>
    </w:p>
    <w:p>
      <w:pPr>
        <w:pStyle w:val="TOC2"/>
        <w:tabs>
          <w:tab w:val="right" w:leader="dot" w:pos="8306"/>
        </w:tabs>
      </w:pPr>
      <w:hyperlink w:anchor="_Toc29605" w:history="1">
        <w:r>
          <w:rPr>
            <w:rFonts w:ascii="宋体" w:eastAsia="宋体" w:hAnsi="宋体" w:cs="宋体" w:hint="eastAsia"/>
            <w:bCs w:val="0"/>
            <w:szCs w:val="28"/>
            <w:lang w:eastAsia="zh-CN"/>
          </w:rPr>
          <w:t>(二)、董事会运作与决策</w:t>
        </w:r>
        <w:r>
          <w:tab/>
        </w:r>
        <w:r>
          <w:fldChar w:fldCharType="begin"/>
        </w:r>
        <w:r>
          <w:instrText xml:space="preserve"> PAGEREF _Toc29605 \h </w:instrText>
        </w:r>
        <w:r>
          <w:fldChar w:fldCharType="separate"/>
        </w:r>
        <w:r>
          <w:t>50</w:t>
        </w:r>
        <w:r>
          <w:fldChar w:fldCharType="end"/>
        </w:r>
      </w:hyperlink>
    </w:p>
    <w:p>
      <w:pPr>
        <w:pStyle w:val="TOC2"/>
        <w:tabs>
          <w:tab w:val="right" w:leader="dot" w:pos="8306"/>
        </w:tabs>
      </w:pPr>
      <w:hyperlink w:anchor="_Toc13275" w:history="1">
        <w:r>
          <w:rPr>
            <w:rFonts w:ascii="宋体" w:eastAsia="宋体" w:hAnsi="宋体" w:cs="宋体" w:hint="eastAsia"/>
            <w:bCs w:val="0"/>
            <w:szCs w:val="28"/>
            <w:lang w:eastAsia="zh-CN"/>
          </w:rPr>
          <w:t>(三)、内部控制与审计</w:t>
        </w:r>
        <w:r>
          <w:tab/>
        </w:r>
        <w:r>
          <w:fldChar w:fldCharType="begin"/>
        </w:r>
        <w:r>
          <w:instrText xml:space="preserve"> PAGEREF _Toc13275 \h </w:instrText>
        </w:r>
        <w:r>
          <w:fldChar w:fldCharType="separate"/>
        </w:r>
        <w:r>
          <w:t>50</w:t>
        </w:r>
        <w:r>
          <w:fldChar w:fldCharType="end"/>
        </w:r>
      </w:hyperlink>
    </w:p>
    <w:p>
      <w:pPr>
        <w:pStyle w:val="TOC2"/>
        <w:tabs>
          <w:tab w:val="right" w:leader="dot" w:pos="8306"/>
        </w:tabs>
      </w:pPr>
      <w:hyperlink w:anchor="_Toc10348" w:history="1">
        <w:r>
          <w:rPr>
            <w:rFonts w:ascii="宋体" w:eastAsia="宋体" w:hAnsi="宋体" w:cs="宋体" w:hint="eastAsia"/>
            <w:bCs w:val="0"/>
            <w:szCs w:val="28"/>
            <w:lang w:eastAsia="zh-CN"/>
          </w:rPr>
          <w:t>(四)、法律法规合规体系</w:t>
        </w:r>
        <w:r>
          <w:tab/>
        </w:r>
        <w:r>
          <w:fldChar w:fldCharType="begin"/>
        </w:r>
        <w:r>
          <w:instrText xml:space="preserve"> PAGEREF _Toc10348 \h </w:instrText>
        </w:r>
        <w:r>
          <w:fldChar w:fldCharType="separate"/>
        </w:r>
        <w:r>
          <w:t>51</w:t>
        </w:r>
        <w:r>
          <w:fldChar w:fldCharType="end"/>
        </w:r>
      </w:hyperlink>
    </w:p>
    <w:p>
      <w:pPr>
        <w:pStyle w:val="TOC2"/>
        <w:tabs>
          <w:tab w:val="right" w:leader="dot" w:pos="8306"/>
        </w:tabs>
      </w:pPr>
      <w:hyperlink w:anchor="_Toc4107" w:history="1">
        <w:r>
          <w:rPr>
            <w:rFonts w:ascii="宋体" w:eastAsia="宋体" w:hAnsi="宋体" w:cs="宋体" w:hint="eastAsia"/>
            <w:bCs w:val="0"/>
            <w:szCs w:val="28"/>
            <w:lang w:eastAsia="zh-CN"/>
          </w:rPr>
          <w:t>(五)、企业社会责任与道德经营</w:t>
        </w:r>
        <w:r>
          <w:tab/>
        </w:r>
        <w:r>
          <w:fldChar w:fldCharType="begin"/>
        </w:r>
        <w:r>
          <w:instrText xml:space="preserve"> PAGEREF _Toc4107 \h </w:instrText>
        </w:r>
        <w:r>
          <w:fldChar w:fldCharType="separate"/>
        </w:r>
        <w:r>
          <w:t>52</w:t>
        </w:r>
        <w:r>
          <w:fldChar w:fldCharType="end"/>
        </w:r>
      </w:hyperlink>
    </w:p>
    <w:p>
      <w:pPr>
        <w:pStyle w:val="TOC1"/>
        <w:tabs>
          <w:tab w:val="right" w:leader="dot" w:pos="8306"/>
        </w:tabs>
      </w:pPr>
      <w:hyperlink w:anchor="_Toc6759" w:history="1">
        <w:r>
          <w:rPr>
            <w:rFonts w:ascii="微软雅黑" w:eastAsia="微软雅黑" w:hAnsi="微软雅黑" w:cs="微软雅黑" w:hint="eastAsia"/>
            <w:color w:val="001CAC" w:themeColor="hyperlink" w:themeShade="BF"/>
            <w:szCs w:val="32"/>
            <w:lang w:eastAsia="zh-CN"/>
          </w:rPr>
          <w:t>十二、项目管理与团队协作</w:t>
        </w:r>
        <w:r>
          <w:tab/>
        </w:r>
        <w:r>
          <w:fldChar w:fldCharType="begin"/>
        </w:r>
        <w:r>
          <w:instrText xml:space="preserve"> PAGEREF _Toc6759 \h </w:instrText>
        </w:r>
        <w:r>
          <w:fldChar w:fldCharType="separate"/>
        </w:r>
        <w:r>
          <w:t>53</w:t>
        </w:r>
        <w:r>
          <w:fldChar w:fldCharType="end"/>
        </w:r>
      </w:hyperlink>
    </w:p>
    <w:p>
      <w:pPr>
        <w:pStyle w:val="TOC2"/>
        <w:tabs>
          <w:tab w:val="right" w:leader="dot" w:pos="8306"/>
        </w:tabs>
      </w:pPr>
      <w:hyperlink w:anchor="_Toc17434" w:history="1">
        <w:r>
          <w:rPr>
            <w:rFonts w:ascii="宋体" w:eastAsia="宋体" w:hAnsi="宋体" w:cs="宋体" w:hint="eastAsia"/>
            <w:bCs w:val="0"/>
            <w:szCs w:val="28"/>
            <w:lang w:eastAsia="zh-CN"/>
          </w:rPr>
          <w:t>(一)、项目管理方法论</w:t>
        </w:r>
        <w:r>
          <w:tab/>
        </w:r>
        <w:r>
          <w:fldChar w:fldCharType="begin"/>
        </w:r>
        <w:r>
          <w:instrText xml:space="preserve"> PAGEREF _Toc17434 \h </w:instrText>
        </w:r>
        <w:r>
          <w:fldChar w:fldCharType="separate"/>
        </w:r>
        <w:r>
          <w:t>53</w:t>
        </w:r>
        <w:r>
          <w:fldChar w:fldCharType="end"/>
        </w:r>
      </w:hyperlink>
    </w:p>
    <w:p>
      <w:pPr>
        <w:pStyle w:val="TOC2"/>
        <w:tabs>
          <w:tab w:val="right" w:leader="dot" w:pos="8306"/>
        </w:tabs>
      </w:pPr>
      <w:hyperlink w:anchor="_Toc1883" w:history="1">
        <w:r>
          <w:rPr>
            <w:rFonts w:ascii="宋体" w:eastAsia="宋体" w:hAnsi="宋体" w:cs="宋体" w:hint="eastAsia"/>
            <w:bCs w:val="0"/>
            <w:szCs w:val="28"/>
            <w:lang w:eastAsia="zh-CN"/>
          </w:rPr>
          <w:t>(二)、团队组建与角色分工</w:t>
        </w:r>
        <w:r>
          <w:tab/>
        </w:r>
        <w:r>
          <w:fldChar w:fldCharType="begin"/>
        </w:r>
        <w:r>
          <w:instrText xml:space="preserve"> PAGEREF _Toc1883 \h </w:instrText>
        </w:r>
        <w:r>
          <w:fldChar w:fldCharType="separate"/>
        </w:r>
        <w:r>
          <w:t>53</w:t>
        </w:r>
        <w:r>
          <w:fldChar w:fldCharType="end"/>
        </w:r>
      </w:hyperlink>
    </w:p>
    <w:p>
      <w:pPr>
        <w:pStyle w:val="TOC2"/>
        <w:tabs>
          <w:tab w:val="right" w:leader="dot" w:pos="8306"/>
        </w:tabs>
      </w:pPr>
      <w:hyperlink w:anchor="_Toc27767" w:history="1">
        <w:r>
          <w:rPr>
            <w:rFonts w:ascii="宋体" w:eastAsia="宋体" w:hAnsi="宋体" w:cs="宋体" w:hint="eastAsia"/>
            <w:bCs w:val="0"/>
            <w:szCs w:val="28"/>
            <w:lang w:eastAsia="zh-CN"/>
          </w:rPr>
          <w:t>(三)、团队沟通与协作机制</w:t>
        </w:r>
        <w:r>
          <w:tab/>
        </w:r>
        <w:r>
          <w:fldChar w:fldCharType="begin"/>
        </w:r>
        <w:r>
          <w:instrText xml:space="preserve"> PAGEREF _Toc27767 \h </w:instrText>
        </w:r>
        <w:r>
          <w:fldChar w:fldCharType="separate"/>
        </w:r>
        <w:r>
          <w:t>54</w:t>
        </w:r>
        <w:r>
          <w:fldChar w:fldCharType="end"/>
        </w:r>
      </w:hyperlink>
    </w:p>
    <w:p>
      <w:pPr>
        <w:pStyle w:val="TOC2"/>
        <w:tabs>
          <w:tab w:val="right" w:leader="dot" w:pos="8306"/>
        </w:tabs>
      </w:pPr>
      <w:hyperlink w:anchor="_Toc8376" w:history="1">
        <w:r>
          <w:rPr>
            <w:rFonts w:ascii="宋体" w:eastAsia="宋体" w:hAnsi="宋体" w:cs="宋体" w:hint="eastAsia"/>
            <w:bCs w:val="0"/>
            <w:szCs w:val="28"/>
            <w:lang w:eastAsia="zh-CN"/>
          </w:rPr>
          <w:t>(四)、项目风险管理与应对</w:t>
        </w:r>
        <w:r>
          <w:tab/>
        </w:r>
        <w:r>
          <w:fldChar w:fldCharType="begin"/>
        </w:r>
        <w:r>
          <w:instrText xml:space="preserve"> PAGEREF _Toc8376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6022"/>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遥感软件行业研究报告致力于对遥感软件行业进行详尽研究和分析，旨在为遥感软件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2733"/>
      <w:r>
        <w:rPr>
          <w:rFonts w:ascii="微软雅黑" w:eastAsia="微软雅黑" w:hAnsi="微软雅黑" w:cs="微软雅黑" w:hint="eastAsia"/>
          <w:color w:val="2E54A1" w:themeColor="accent1" w:themeShade="BF"/>
          <w:sz w:val="32"/>
          <w:szCs w:val="32"/>
          <w:lang w:eastAsia="zh-CN"/>
        </w:rPr>
        <w:t>一、遥感软件行业财务管理分析</w:t>
      </w:r>
      <w:bookmarkEnd w:id="2"/>
    </w:p>
    <w:p>
      <w:pPr>
        <w:pStyle w:val="Heading2"/>
        <w:spacing w:line="480" w:lineRule="auto"/>
        <w:rPr>
          <w:rFonts w:ascii="宋体" w:eastAsia="宋体" w:hAnsi="宋体" w:cs="宋体" w:hint="eastAsia"/>
          <w:bCs w:val="0"/>
          <w:sz w:val="28"/>
          <w:szCs w:val="28"/>
          <w:lang w:eastAsia="zh-CN"/>
        </w:rPr>
      </w:pPr>
      <w:bookmarkStart w:id="3" w:name="_Toc3173"/>
      <w:r>
        <w:rPr>
          <w:rFonts w:ascii="宋体" w:eastAsia="宋体" w:hAnsi="宋体" w:cs="宋体" w:hint="eastAsia"/>
          <w:b/>
          <w:bCs w:val="0"/>
          <w:sz w:val="28"/>
          <w:szCs w:val="28"/>
          <w:lang w:eastAsia="zh-CN"/>
        </w:rPr>
        <w:t>(一)、遥感软件行业财务管理制度</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1.会计制度设计：确保财务记录准确无误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会计制度是整个财务管理体系的基础。遥感软件行业将精心设计并实施一套适应企业实际情况的会计制度，以确保财务记录的准确性和可靠性。这包括明确的账务分类、科目设置，遵循相关法规和会计准则的会计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2.预算管理体系：实现资源优化配置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管理体系是企业实现资源优化配置、有效控制开支的关键。遥感软件行业将制定详尽的预算计划，全面涵盖各个部门和项目，以确保资源的最大化利用。明确的预算指标将帮助实时监控财务状况，实现合理的资源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3.内部控制机制：规范流程，防范潜在风险</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为规范财务流程、防范潜在风险，遥感软件行业将建立健全的内部控制机制。明确的财务流程和程序，设立内部审计体系，旨在确保资源正确使用，降低财务失误和不当行为的风险,提高内部管理的有效性。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4.资产管理政策：科学配置，全方位保护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资产是企业价值的核心，遥感软件行业将制定细致的资产管理政策。这包括对固定资产的管理和维护，定期的清查和评估，以确保资产得到合理配置和全方位的保护，提高资产的使用效益。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5.财务报告与透明度：提供及时、准确的信息建立及时、准确的财务报告体系对于企业决策和信誉至关重要。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遥感软件行业将确保财务报告符合相关法规和准则，向利益相关方提供透明度。规范的报表生成和审核流程将提高报表的可靠性，增强与利益相关方的沟通。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6.税务合规管理：降低潜在税务风险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在税务方面，遥感软件行业将建立严格的税务合规管理制度，确保企业严格遵守相关税收法规。及时、准确的报税和合法的税收优惠使用将降低潜在的税务风险，确保企业在税收方面的合法权益。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7.成本控制策略：提高运营效益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成本控制是财务管理的一项重要任务。遥感软件行业将制定成本控制策略，包括合理的成本核算体系和成本控制流程，以提高运营效益，确保企业在竞争激烈的市场中保持竞争力。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遥感软件行业将能够建立一个有序、高效、合规的财务管理体系，为企业的可持续发展提供坚实的财务支持。这将有助于企业更好地适应市场变化，把握商机，实现经济效益和社会责任的双丰收。</w:t>
      </w:r>
    </w:p>
    <w:p>
      <w:pPr>
        <w:pStyle w:val="Heading2"/>
        <w:spacing w:line="480" w:lineRule="auto"/>
        <w:rPr>
          <w:rFonts w:ascii="宋体" w:eastAsia="宋体" w:hAnsi="宋体" w:cs="宋体" w:hint="eastAsia"/>
          <w:bCs w:val="0"/>
          <w:sz w:val="28"/>
          <w:szCs w:val="28"/>
          <w:lang w:eastAsia="zh-CN"/>
        </w:rPr>
      </w:pPr>
      <w:bookmarkStart w:id="4" w:name="_Toc32599"/>
      <w:r>
        <w:rPr>
          <w:rFonts w:ascii="宋体" w:eastAsia="宋体" w:hAnsi="宋体" w:cs="宋体" w:hint="eastAsia"/>
          <w:b/>
          <w:bCs w:val="0"/>
          <w:sz w:val="28"/>
          <w:szCs w:val="28"/>
          <w:lang w:eastAsia="zh-CN"/>
        </w:rPr>
        <w:t>(二)、遥感软件行业经济效益分析</w:t>
      </w:r>
      <w:bookmarkEnd w:id="4"/>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在遥感软件行业的战略运作中,各项策略和实践均为企业带来了显著的经济效益。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(一)客户需求稳定增长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深入了解客户的需求，并不断提升产品或服务的质量，成功地实现了客户需求的稳定增长。这种客户导向的战略不仅提高了市场份额，还增强了客户忠诚度。稳定的客户增长为公司创造了可观的经济效益，包括重复购买和口碑传播所带来的潜在市场扩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(二)多元化服务增加收入来源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引入多元化服务，遥感软件行业成功地扩大了收入来源。不仅仅依赖于单一产品或服务，公司通过提供多样化的选择，满足了不同客户群体的需求。这种战略性的多元化不仅提高了客户满意度，还降低了市场风险，为公司创造了更为稳健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(三)专业技能提升收益水平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对员工的专业技能进行持续投资，提升了服务水平和遥感软件行业竞争力。高水平的专业技能不仅吸引了更多高端客户，还使公司能够提供更高附加值的服务。这不仅提高了客户的满意度，还直接反映在公司的收益水平上,为企业创造了更为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(四)市场竞争激烈但仍有发展空间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所处市场竞争激烈，遥感软件行业通过持续创新和高效的市场定位找到了发展的空间。公司不仅在现有市场保持了竞争力，还通过拓展新市场实现了增长。这种灵活的战略让公司在激烈竞争中立于不败之地，创造了可观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(五)运营管理效率提升盈利能力</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引入高效的运营管理体系，降低了成本、提高了资源利用效率。这种高效率的运营不仅提高了产品或服务的生产能力，还降低了运营风险。高效的运营管理直接带动了盈利水平的提升，为企业创造了持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(六)市场推广提升知名度与影响力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的市场推广战略使遥感软件行业在市场上建立了卓越的知名度与影响力。通过巧妙的品牌建设和广告活动，公司吸引了更多的目标客户，加强了市场份额。这种广泛认知直接转化为企业的销售业绩，为公司创造了强大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综合来看，通过不断创新和战略调整，遥感软件行业在多个方面实现了卓越的经济效益。这不仅为公司在竞争激烈的市场中立于不败之地，还为未来的可持续发展翼定了坚实的基础。</w:t>
      </w:r>
    </w:p>
    <w:p>
      <w:pPr>
        <w:pStyle w:val="Heading2"/>
        <w:spacing w:line="480" w:lineRule="auto"/>
        <w:rPr>
          <w:rFonts w:ascii="宋体" w:eastAsia="宋体" w:hAnsi="宋体" w:cs="宋体" w:hint="eastAsia"/>
          <w:bCs w:val="0"/>
          <w:sz w:val="28"/>
          <w:szCs w:val="28"/>
          <w:lang w:eastAsia="zh-CN"/>
        </w:rPr>
      </w:pPr>
      <w:bookmarkStart w:id="5" w:name="_Toc7854"/>
      <w:r>
        <w:rPr>
          <w:rFonts w:ascii="宋体" w:eastAsia="宋体" w:hAnsi="宋体" w:cs="宋体" w:hint="eastAsia"/>
          <w:b/>
          <w:bCs w:val="0"/>
          <w:sz w:val="28"/>
          <w:szCs w:val="28"/>
          <w:lang w:eastAsia="zh-CN"/>
        </w:rPr>
        <w:t>(三)、遥感软件行业收入及成本核算</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收入核算：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销售渠道多元化：遥感软件行业通过多元化的销售渠道，包括线上平台、实体店铺和合作伙伴，实现了销售收入的多元来源。这种多元化策略不仅降低了市场风险，还有效扩大了潜在客户群体，为企业带来了更为稳健的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2.定价策略：公司通过精密的定价策略，根据市场需求、产品附加值和竞争情况灵活调整价格。这种巧妙的定价策略既能够满足客户的支付能力,又能够最大化产品的市场价值,确保了收入的最大化。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3.客户关系管理：通过建立健全的客户关系管理系统,PCABS成功维护了大量忠诚客户。忠实客户不仅带来了持续的重复购买，还通过口碑传播为公司吸引了新客户，进一步增加了收入。</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4.新产品推广：公司通过不断推出新产品，不仅满足了市场的新需求,也创造了额外的销售收入。有效的新产品推广策略使PCABS始终处于市场关注的中心，为企业带来了更多的商机。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1.供应链优化：通过与供应商建立紧密的合作关系，遥感软件行业实现了供应链的优化。合理的库存管理、生产计划和物流流程的优化，有效降低了采购成本，提高了生产效率。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2.生产技术升级：公司持续投资于生产技术的升级，提高了生产线的自动化程度和效率。这不仅降低了人力成本，还减少了生产过程中的误差，为公司带来了更高的生产效益。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3.成本控制策略：通过建立严格的成本控制策略，公司对各项费用进行了有效的管控。审慎的预算和费用审批流程，确保了成本的合理分配，从而有效提升了公司的盈利能力。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人才培养：为确保公司的技术水平处于业界领先地位，遥感软件行业注重技术人才的培养和引进。高水平的技术团队不仅提高了产品研发的效率，还降低了外包成本，为公司带来了技术创新和成本控制的双重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通过精细的收入及成本核算遥感软件行业有效地实现了盈利的管理。这一管理实践不仅使公司在市场竞争中保持了竞争力,还为未来的可持续发展翼定了坚实的财务基础。</w:t>
      </w:r>
    </w:p>
    <w:p>
      <w:pPr>
        <w:pStyle w:val="Heading2"/>
        <w:spacing w:line="480" w:lineRule="auto"/>
        <w:rPr>
          <w:rFonts w:ascii="宋体" w:eastAsia="宋体" w:hAnsi="宋体" w:cs="宋体" w:hint="eastAsia"/>
          <w:bCs w:val="0"/>
          <w:sz w:val="28"/>
          <w:szCs w:val="28"/>
          <w:lang w:eastAsia="zh-CN"/>
        </w:rPr>
      </w:pPr>
      <w:bookmarkStart w:id="6" w:name="_Toc5457"/>
      <w:r>
        <w:rPr>
          <w:rFonts w:ascii="宋体" w:eastAsia="宋体" w:hAnsi="宋体" w:cs="宋体" w:hint="eastAsia"/>
          <w:b/>
          <w:bCs w:val="0"/>
          <w:sz w:val="28"/>
          <w:szCs w:val="28"/>
          <w:lang w:eastAsia="zh-CN"/>
        </w:rPr>
        <w:t>(四)、遥感软件行业成本管理</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(一)租金成本管理：</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在租金成本管理方面，遥感软件行业采用了一系列有效的措施来降低租金支出：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1.谈判优惠租金：公司与房东保持密切关系，通过谈判和签订长期租赁协议，争取到更有竞争力的租金优惠，从而有效降低了固定租金支出。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2.灵活的租赁方案：遥感软件行业灵活运用租赁方案，根据业务季节性或需求变化,选择短期或长期租赁,以最大程度地满足业务需求，并在租金支出方面实现更好的成本控制。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3.空间优化：公司进行空间利用的优化，确保租用的空间充分满足业务需求，避免浪费。通过评估不同部门的实际需求，避免租赁过多或过大的场地，降低了租金成本。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(二)原材料成本管理：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遥感软件行业在原材料成本管理上采用了一系列有效的策略来提高采购的经济效益：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1.供应链优化：通过与供应商建立战略性合作关系，实施供应链的优化，确保原材料的高质量和有竞争力的价格。这不仅降低了采购成本，还提高了原材料的可用性和稳定性。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2.多元化供应商：遥感软件行业采用多元化的供应商战略，避免对单一供应商过度依赖，减少了潜在的供应风险，并通过竞争性谈判获得更有利的价格和条款。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3.实时库存管理：公司实施了实时库存管理系统，通过对原材料库存的及时监控和调整，减少了库存积压，避免了资金的长时间占用，从而优化了原材料成本。</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(三)人工成本管理：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在人工成本管理方面，遥感软件行业通过以下方式实现了有效的人力资源成本管理：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1.培训与发展：公司注重员工的培训与发展，提高员工的综合素质，使其在岗位上更加熟练和高效，从而提高人工投入的产出比，实现了人力资源的最大化利用。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2.绩效激励制度：引入科学合理的绩效激励制度，根据员工的表现和贡献程度进行薪酬激励，激发员工的积极性和创造力，同时控制了人工成本的增长。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3.灵活用工：针对业务波动性较大的情况，公司采用灵活用工的方式，如临时工、兼职工等，以更好地满足生产需求，同时有效控制了人工成本。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(四)折旧成本管理：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在固定资产折旧成本管理方面，遥感软件行业采取了以下策略：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1.合理折旧政策：公司采用合理的折旧政策，根据资产的使用寿命和价值变化，选择直线法或加速折旧法，确保折旧成本与资产的实际价值变化相匹配。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2.定期维护与更新：定期对固定资产进行维护和更新，确保其正常运作和延长使用寿命。通过及时的维护，可以有效减少由于设备故障而引起的额外维修费用，同时保持设备在高效状态下运行，降低了折旧成本。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3.资产管理系统：公司建立了高效的资产管理系统，对固定资产进行精准的跟踪和管理。通过对资产的详细记录，能够准确计算折旧费用，并及时更新资产状况，确保了折旧成本的准确计量。</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4.技术创新与替代：遥感软件行业注重技术创新，不断寻求新的设备和技术，以提高生产效率和降低维护成本。在设备老化时，及时进行替代，避免了由于老旧设备引起的高额折旧成本。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(五)营销推广成本管理：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在营销推广成本管理方面，遥感软件行业采取了一系列策略来确保有效的市场推广同时控制成本：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1.数字化营销：公司通过数字化营销手段，如社交媒体广告、搜索引擎优化等，实现了更精准的定位和更低的推广成本。数字化营销不仅提高了广告投入的效益，还提升了市场覆盖面。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2.合作伙伴关系：与合作伙伴建立战略伙伴关系，共享市场推广成本。合作伙伴可以是遥感软件行业内的相关企业、社交媒体平台或其他有共同目标的品牌，通过合作，降低了广告宣传的成本。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3.数据分析与效果评估：公司通过数据分析工具对营销活动的效果进行实时监测和评估。这有助于识别高效的推广渠道和策略，使市场推广活动更具成本效益。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4.活动策划与执行：精心策划和执行各类营销活动，以确保推广活动能够吸引目标受众。通过合理的活动预算和成本管控，公司在推广过程中有效降低了相关费用。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5.品牌合作与赞助：与其他品牌进行合作与赞助，通过共同推广活动，实现成本共担，同时提升品牌知名度。这种联合推广不仅降低了单独推广的成本，还扩大了市场影响。</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通过以上成本管理实践，遥感软件行业在租金、原材料、人工、折旧以及营销推广等方面取得了良好的平衡，有效降低了不必要的开支，为企业的可持续发展提供了强有力的支持。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15331"/>
      <w:r>
        <w:rPr>
          <w:rFonts w:ascii="微软雅黑" w:eastAsia="微软雅黑" w:hAnsi="微软雅黑" w:cs="微软雅黑" w:hint="eastAsia"/>
          <w:color w:val="2E54A1" w:themeColor="accent1" w:themeShade="BF"/>
          <w:sz w:val="32"/>
          <w:szCs w:val="32"/>
          <w:lang w:eastAsia="zh-CN"/>
        </w:rPr>
        <w:t>二、资金筹措与投资分析</w:t>
      </w:r>
      <w:bookmarkEnd w:id="7"/>
    </w:p>
    <w:p>
      <w:pPr>
        <w:pStyle w:val="Heading2"/>
        <w:spacing w:line="480" w:lineRule="auto"/>
        <w:rPr>
          <w:rFonts w:ascii="宋体" w:eastAsia="宋体" w:hAnsi="宋体" w:cs="宋体" w:hint="eastAsia"/>
          <w:bCs w:val="0"/>
          <w:sz w:val="28"/>
          <w:szCs w:val="28"/>
          <w:lang w:eastAsia="zh-CN"/>
        </w:rPr>
      </w:pPr>
      <w:bookmarkStart w:id="8" w:name="_Toc20335"/>
      <w:r>
        <w:rPr>
          <w:rFonts w:ascii="宋体" w:eastAsia="宋体" w:hAnsi="宋体" w:cs="宋体" w:hint="eastAsia"/>
          <w:b/>
          <w:bCs w:val="0"/>
          <w:sz w:val="28"/>
          <w:szCs w:val="28"/>
          <w:lang w:eastAsia="zh-CN"/>
        </w:rPr>
        <w:t>(一)、资金需求与筹措计划</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遥感软件行业项目启动之初,充足的资金是确保项目成功实施的关键要素。首先，我们进行了详细的资金需求分析，考虑到项目的各个阶段，包括研发、市场推广、运营等方面的费用。通过制定合理的预算，明确了项目整体的资金需求。为了筹措这些资金，我们制定了多元化的筹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的筹措途径主要包括银行贷款、股权融资以及可能的政府补助。通过与多家银行洽谈贷款条件，我们力求获得较低利率和灵活的还款期限,以确保项目在财务方面的可持续性。同时,开展股权融资，吸引潜在投资者，为项目引入更多的资金。此外，积极了解相关的政府支持政策，争取符合条件的项目获得更多的补助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在资金的使用方面，我们将资金重点用于项目的关键节点，如研发和市场推广阶段。通过科学合理的资金分配，确保了项目在关键领域的竞争力，提高了项目整体的成功概率。</w:t>
      </w:r>
    </w:p>
    <w:p>
      <w:pPr>
        <w:pStyle w:val="Heading2"/>
        <w:spacing w:line="480" w:lineRule="auto"/>
        <w:rPr>
          <w:rFonts w:ascii="宋体" w:eastAsia="宋体" w:hAnsi="宋体" w:cs="宋体" w:hint="eastAsia"/>
          <w:bCs w:val="0"/>
          <w:sz w:val="28"/>
          <w:szCs w:val="28"/>
          <w:lang w:eastAsia="zh-CN"/>
        </w:rPr>
      </w:pPr>
      <w:bookmarkStart w:id="9" w:name="_Toc19188"/>
      <w:r>
        <w:rPr>
          <w:rFonts w:ascii="宋体" w:eastAsia="宋体" w:hAnsi="宋体" w:cs="宋体" w:hint="eastAsia"/>
          <w:b/>
          <w:bCs w:val="0"/>
          <w:sz w:val="28"/>
          <w:szCs w:val="28"/>
          <w:lang w:eastAsia="zh-CN"/>
        </w:rPr>
        <w:t>(二)、投资分析与回报预期</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投资分析，考虑了项目的风险与回报。首先，通过对遥感软件行业趋势和市场规模的深入研究,我们对项目的市场地位和前景进行了合理的估算。同时，对竞争对手进行深入分析，识别了项目可能面临的潜在风险。</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在资金投入方面，我们对各个阶段的成本进行了详细的估算，包括初期投资、运营费用和市场推广费用等。通过制定详细的财务计划，我们清晰地了解了项目在不同时间段内的资金流动情况。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在回报预期方面，我们通过制定合理的商业计划和财务模型，对项目的盈利能力进行了全面的评估。考虑到市场的不确定性，我们在回报预期中进行了风险分析,确保投资者能够清晰了解潜在的风险和回报比。</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0" w:name="_Toc4632"/>
      <w:r>
        <w:rPr>
          <w:rFonts w:ascii="微软雅黑" w:eastAsia="微软雅黑" w:hAnsi="微软雅黑" w:cs="微软雅黑" w:hint="eastAsia"/>
          <w:color w:val="2E54A1" w:themeColor="accent1" w:themeShade="BF"/>
          <w:sz w:val="32"/>
          <w:szCs w:val="32"/>
          <w:lang w:eastAsia="zh-CN"/>
        </w:rPr>
        <w:t>三、遥感软件行业制度建设与执行</w:t>
      </w:r>
      <w:bookmarkEnd w:id="10"/>
    </w:p>
    <w:p>
      <w:pPr>
        <w:pStyle w:val="Heading2"/>
        <w:spacing w:line="480" w:lineRule="auto"/>
        <w:rPr>
          <w:rFonts w:ascii="宋体" w:eastAsia="宋体" w:hAnsi="宋体" w:cs="宋体" w:hint="eastAsia"/>
          <w:bCs w:val="0"/>
          <w:sz w:val="28"/>
          <w:szCs w:val="28"/>
          <w:lang w:eastAsia="zh-CN"/>
        </w:rPr>
      </w:pPr>
      <w:bookmarkStart w:id="11" w:name="_Toc15103"/>
      <w:r>
        <w:rPr>
          <w:rFonts w:ascii="宋体" w:eastAsia="宋体" w:hAnsi="宋体" w:cs="宋体" w:hint="eastAsia"/>
          <w:b/>
          <w:bCs w:val="0"/>
          <w:sz w:val="28"/>
          <w:szCs w:val="28"/>
          <w:lang w:eastAsia="zh-CN"/>
        </w:rPr>
        <w:t>(一)、公司制度体系规划</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公司制度体系规划是确保企业内部运营有序、高效的关键步骤。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在遥感软件行业,我们致力于建立一套完备而灵活的公司制度体系，以促进组织内部的协同合作、明确责任、规范行为。下面是我们公司制度体系规划的主要方向：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法律法规合规：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治社会,公司治理的首要任务之一是确保公司的各项运营活动符合国家和地区的法律法规。我们制定了明确而全面的合规制度，涵盖了从生产经营到员工权益的各个层面。首先，我们建立了专业的法务团队,负责定期对公司的各项运营活动进行法律审核和风险评估。其次，我们积极参与遥感软件行业协会，保持对遥感软件行业法规的敏感性和及时性,以确保公司在法规变化中能够做出迅速而准确的调整。此外，我们强调员工的法律意识培养，定期开展法律法规的培训，使全体员工都能够清晰理解和遵守相关法规,从而构建一个合法合规的企业运营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人力资源管理：</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人力资源是企业发展的核心。我们着重于建立全面而灵活的人力资源管理制度,以保证员工的合法权益和公司的长期发展。首先，我们规定了招聘的程序和标准，确保招聘过程的公正与透明。其次，我们关注员工培训，建立了系统的培训计划，根据员工的职业发展路径和业务需求进行有针对性的培训。此外，我们实行了灵活的薪酬体系，以激励员工的工作积极性和创造力。绩效考核与薪酬激励相结合，确保员工的付出与公司整体目标的一致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是公司治理的核心之一,直接关系到公司的经济健康和稳定性。我们制定了严格的财务管理制度，确保公司的财务运作合理透明。首先，我们遵循国家的会计准则，定期对财务报表进行编制和审核，以确保报表的真实准确。其次，我们实行了预算管理制度，对各项支出进行明确的预算安排，从而提高对财务风险的控制水平。此外，我们注重内部审计，定期进行内部审计，发现潜在问题并及时进行调整。这一全面的财务管理制度确保了公司经济运作的安全性和可持续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4.信息技术安全：在数字化时代，信息技术安全至关重要。我们规划了信息技术安全制度，包括网络安全、数据隐私保护、信息系统管理等方面，以应对日益复杂的网络威胁。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信息技术管理：</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代企业运营中，信息技术是推动公司发展的引擎之一。在公司治理中，我们建立了完善的信息技术管理制度，以确保信息的安全性和运作的高效性。首先，我们实施了信息安全管理制度，确保公司敏感信息的保密性和完整性。其次,我们注重信息技术的更新和升级，建立了信息技术发展规划，对关键系统进行定期的维护和升级，以适应业务发展的需要。此外，我们加强了对员工的信息技术培训，提高员工的信息安全意识和应对信息技术变革的能力。这一系统的信息技术管理制度确保了公司在数字化时代的竞争力和创新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环境与社会责任管理：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治理的一个重要方面是对环境和社会责任的管理。我们秉持可持续发展的理念，建立了全面的环境与社会责任管理制度。首先，我们关注生产过程中的环保问题，推行绿色生产理念，选择环保材料和工艺，减少生产对环境的影响。其次，我们积极参与社区建设和公益事业，回馈社会，履行企业的社会责任。此外，我们定期进行环境与社会责任的评估，不断优化管理制度，提高公司的社会形象和社会影响力。这一综合性的环境与社会责任管理制度确保了公司在经济发展的同时，也能够实现对环境和社会的可持续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这些制度体系的规划和执行将为遥感软件行业提供有力的组织支持促进公司在市场中持续稳健的发展。同时，我们将不断根据内外部环境的变化进行优化和更新，以确保公司制度体系的适应性和可持续性。</w:t>
      </w:r>
    </w:p>
    <w:p>
      <w:pPr>
        <w:pStyle w:val="Heading2"/>
        <w:spacing w:line="480" w:lineRule="auto"/>
        <w:rPr>
          <w:rFonts w:ascii="宋体" w:eastAsia="宋体" w:hAnsi="宋体" w:cs="宋体" w:hint="eastAsia"/>
          <w:bCs w:val="0"/>
          <w:sz w:val="28"/>
          <w:szCs w:val="28"/>
          <w:lang w:eastAsia="zh-CN"/>
        </w:rPr>
      </w:pPr>
      <w:bookmarkStart w:id="12" w:name="_Toc768"/>
      <w:r>
        <w:rPr>
          <w:rFonts w:ascii="宋体" w:eastAsia="宋体" w:hAnsi="宋体" w:cs="宋体" w:hint="eastAsia"/>
          <w:b/>
          <w:bCs w:val="0"/>
          <w:sz w:val="28"/>
          <w:szCs w:val="28"/>
          <w:lang w:eastAsia="zh-CN"/>
        </w:rPr>
        <w:t>(二)、员工手册编制与更新</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员工手册编制：</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sz w:val="24"/>
          <w:szCs w:val="24"/>
          <w:lang w:eastAsia="zh-CN"/>
        </w:rPr>
        <w:t>员工手册是公司内部管理的基础文件之一，具有规范员工行为、传达企业文化、明确权责的作用。我们制定员工手册的过程中，首先明确定义公司的核心价值观和文化理念,确保员工手册能够真实反映公司的经营理念。其次，我们详细罗列员工的权利和义务，明确各种政策和规定，以便员工清晰了解公司的期望和要求。同时，我们注重员工手册的易读性和实用性，使其成为员工日常工作的参考工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员工手册更新：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由于外部环境和公司内部情况的不断变化，员工手册需要定期更新以适应新的需求和法规变动。我们设立了专门的手册管理团队，负责定期审查和更新员工手册。在更新过程中,我们与各部门密切合作，收集员工的反馈意见,确保手册的内容更加贴近实际工作需求。同时，我们对新政策的引入和旧政策的修改进行梳理,确保员工手册的内容全面、准确、具有权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员工手册的沟通与培训：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份好的员工手册需要得到员工的理解和遵守。因此，我们注重通过多种途径对员工手册进行有效的沟通和培训。首先，我们定期组织员工手册的培训课程,确保新员工在入职时能够全面了解手册内容。其次，我们通过内部通知、企业社交平台等途径，及时向员工推送手册更新的重要内容。此外，我们鼓励员工提出对手册的建议和疑问，保持与员工的良好沟通渠道，以确保员工手册的实际有效性。</w:t>
      </w:r>
    </w:p>
    <w:p>
      <w:pPr>
        <w:pStyle w:val="Heading2"/>
        <w:spacing w:line="480" w:lineRule="auto"/>
        <w:rPr>
          <w:rFonts w:ascii="宋体" w:eastAsia="宋体" w:hAnsi="宋体" w:cs="宋体" w:hint="eastAsia"/>
          <w:bCs w:val="0"/>
          <w:sz w:val="28"/>
          <w:szCs w:val="28"/>
          <w:lang w:eastAsia="zh-CN"/>
        </w:rPr>
      </w:pPr>
      <w:bookmarkStart w:id="13" w:name="_Toc27087"/>
      <w:r>
        <w:rPr>
          <w:rFonts w:ascii="宋体" w:eastAsia="宋体" w:hAnsi="宋体" w:cs="宋体" w:hint="eastAsia"/>
          <w:b/>
          <w:bCs w:val="0"/>
          <w:sz w:val="28"/>
          <w:szCs w:val="28"/>
          <w:lang w:eastAsia="zh-CN"/>
        </w:rPr>
        <w:t>(三)、制度宣导与培训</w:t>
      </w:r>
      <w:bookmarkEnd w:id="13"/>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遥感软件行业,我们视制度宣导与培训为公司文化建设的基石，为确保员工深入理解和遵守公司规定而采取了一系列有针对性的措施。首先，我们定期组织制度宣讲会，由相关管理人员深入浅出地解读各项制度的背景、目的和具体操作流程。通过生动的案例和互动式的分享，员工更容易理解制度的实质。其次，我们实施了多层次、多形式的培训计划，覆盖各个层级和岗位，确保员工对公司制度的理解水平达到公司期望的标准。通过这些宣导与培训活动,我们旨在营造积极向上的企业氛围，使员工在实际工作中更加规范、高效。培训效果评估与持续改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制度宣导与培训的实效性,我们注重对培训效果进行评估，并持续改进培训方案。我们建立了培训效果评估体系，通过定期调研和反馈，了解员工对培训内容的理解情况和应用效果。同时，我们鼓励员工提出改进建议,形成培训的闭环反馈机制。基于评估结果，我们及时调整培训计划,增强培训的针对性和实用性。通过这一过程，我们不仅能够更好地满足员工的学习需求,还能够使公司的文化理念深入人心，为企业的长期发展翼定坚实基础。</w:t>
      </w:r>
    </w:p>
    <w:p>
      <w:pPr>
        <w:pStyle w:val="Heading2"/>
        <w:spacing w:line="480" w:lineRule="auto"/>
        <w:rPr>
          <w:rFonts w:ascii="宋体" w:eastAsia="宋体" w:hAnsi="宋体" w:cs="宋体" w:hint="eastAsia"/>
          <w:bCs w:val="0"/>
          <w:sz w:val="28"/>
          <w:szCs w:val="28"/>
          <w:lang w:eastAsia="zh-CN"/>
        </w:rPr>
      </w:pPr>
      <w:bookmarkStart w:id="14" w:name="_Toc9246"/>
      <w:r>
        <w:rPr>
          <w:rFonts w:ascii="宋体" w:eastAsia="宋体" w:hAnsi="宋体" w:cs="宋体" w:hint="eastAsia"/>
          <w:b/>
          <w:bCs w:val="0"/>
          <w:sz w:val="28"/>
          <w:szCs w:val="28"/>
          <w:lang w:eastAsia="zh-CN"/>
        </w:rPr>
        <w:t>(四)、主要防范措施</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深知制度执行与监督是公司治理的关键环节,直接关系到公司的健康发展和良好运营。为此，我们建立了专门的制度执行团队，负责全面监督各项制度的执行情况。该团队通过定期的内部审核，深入各个部门，全面了解制度执行的情况，并向高层管理层报告执行效果。这有助于及时发现问题，确保公司各项制度得以切实贯彻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员工监督与举报机制：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员工主动参与制度的监督，为此设立了匿名举报机制。员工可以安全、便捷地通过该机制反映制度执行中的问题，保障了监督渠道的畅通性。这种开放透明的机制有助于发现制度执行中的潜在问题，及时纠正，维护了公司内部的公正性和公平性。</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检查与反馈，确保公司的各项规定得到切实执行。领导的参与和重视为公司的整体治理水平提供了强有力的支持，使制度执行与监督更加有力、有序地推进。通过这一系列的机制和措施，我们不仅加强了公司内部管理，更提升了公司的透明度和规范化程度，为企业的可持续发展创造了有力保障。</w:t>
      </w:r>
    </w:p>
    <w:p>
      <w:pPr>
        <w:pStyle w:val="Heading2"/>
        <w:spacing w:line="480" w:lineRule="auto"/>
        <w:rPr>
          <w:rFonts w:ascii="宋体" w:eastAsia="宋体" w:hAnsi="宋体" w:cs="宋体" w:hint="eastAsia"/>
          <w:bCs w:val="0"/>
          <w:sz w:val="28"/>
          <w:szCs w:val="28"/>
          <w:lang w:eastAsia="zh-CN"/>
        </w:rPr>
      </w:pPr>
      <w:bookmarkStart w:id="15" w:name="_Toc26476"/>
      <w:r>
        <w:rPr>
          <w:rFonts w:ascii="宋体" w:eastAsia="宋体" w:hAnsi="宋体" w:cs="宋体" w:hint="eastAsia"/>
          <w:b/>
          <w:bCs w:val="0"/>
          <w:sz w:val="28"/>
          <w:szCs w:val="28"/>
          <w:lang w:eastAsia="zh-CN"/>
        </w:rPr>
        <w:t>(五)、制度优化与更新</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遥感软件行业,我们深谙制度的优化与更新是公司持续发展和适应变化的必要环节。为此，我们成立了制度管理委员会，由各相关部门的专业人员组成，负责定期审查公司的各项制度。在审查过程中，我们不仅仅倚重内部专业人员的见解，更注重倾听员工的建议和意见，从各方面汇聚反馈信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制度管理委员会注重与时俱进，密切关注法规和遥感软件行业标准的变化。通过定期的法规研讨和调研，我们能够及时了解变化趋势，做出相应调整，确保公司制度与法规的完全符合。此外，我们通过与同遥感软件行业的企业进行经验分享，汲取先进管理理念，使制度更具前瞻性和实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重要的是，我们致力于构建一个符合公司实际情况、具有弹性和活力的治理体系。制度的优化与更新不仅仅是为了符合外部要求，更是为了内部更好地激发创新力、提高执行力，以适应市场竞争的激烈变化。通过这一系列持续而有序的优化与更新措施，我们确保了公司制度的灵活性和适应性，为公司的可持续成功打下了坚实的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6" w:name="_Toc19334"/>
      <w:r>
        <w:rPr>
          <w:rFonts w:ascii="微软雅黑" w:eastAsia="微软雅黑" w:hAnsi="微软雅黑" w:cs="微软雅黑" w:hint="eastAsia"/>
          <w:color w:val="2E54A1" w:themeColor="accent1" w:themeShade="BF"/>
          <w:sz w:val="32"/>
          <w:szCs w:val="32"/>
          <w:lang w:eastAsia="zh-CN"/>
        </w:rPr>
        <w:t>四、市场营销与推广策略</w:t>
      </w:r>
      <w:bookmarkEnd w:id="16"/>
    </w:p>
    <w:p>
      <w:pPr>
        <w:pStyle w:val="Heading2"/>
        <w:spacing w:line="480" w:lineRule="auto"/>
        <w:rPr>
          <w:rFonts w:ascii="宋体" w:eastAsia="宋体" w:hAnsi="宋体" w:cs="宋体" w:hint="eastAsia"/>
          <w:bCs w:val="0"/>
          <w:sz w:val="28"/>
          <w:szCs w:val="28"/>
          <w:lang w:eastAsia="zh-CN"/>
        </w:rPr>
      </w:pPr>
      <w:bookmarkStart w:id="17" w:name="_Toc18204"/>
      <w:r>
        <w:rPr>
          <w:rFonts w:ascii="宋体" w:eastAsia="宋体" w:hAnsi="宋体" w:cs="宋体" w:hint="eastAsia"/>
          <w:b/>
          <w:bCs w:val="0"/>
          <w:sz w:val="28"/>
          <w:szCs w:val="28"/>
          <w:lang w:eastAsia="zh-CN"/>
        </w:rPr>
        <w:t>(一)、目标市场分析</w:t>
      </w:r>
      <w:bookmarkEnd w:id="17"/>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18" w:name="_Toc1755"/>
      <w:r>
        <w:rPr>
          <w:rFonts w:ascii="宋体" w:eastAsia="宋体" w:hAnsi="宋体" w:cs="宋体" w:hint="eastAsia"/>
          <w:b/>
          <w:bCs w:val="0"/>
          <w:sz w:val="28"/>
          <w:szCs w:val="28"/>
          <w:lang w:eastAsia="zh-CN"/>
        </w:rPr>
        <w:t>(二)、市场定位与竞争分析</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19" w:name="_Toc29065"/>
      <w:r>
        <w:rPr>
          <w:rFonts w:ascii="宋体" w:eastAsia="宋体" w:hAnsi="宋体" w:cs="宋体" w:hint="eastAsia"/>
          <w:b/>
          <w:bCs w:val="0"/>
          <w:sz w:val="28"/>
          <w:szCs w:val="28"/>
          <w:lang w:eastAsia="zh-CN"/>
        </w:rPr>
        <w:t>(三)、推广与宣传策略</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项目在市场中的知名度,我们实施了多渠道的推广和宣传策略。通过社交媒体、搜索引擎优化和线下活动等多种手段，我们全面覆盖了目标受众，增加了项目在各渠道上的曝光度。同时，我们注重内容营销，通过高质量的文章、视频和漫画等形式，吸引用户的关注和互动，提升了项目的专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致力于口碑营销和建立紧密的合作伙伴关系。通过客户满意度调查和用户评价，我们努力创造正面的口碑，提高用户对项目的信任感。与相关遥感软件行业的合作伙伴建立紧密的关系，通过互惠互利的方式共同推广，进一步扩大了项目的影响力。</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0" w:name="_Toc12143"/>
      <w:r>
        <w:rPr>
          <w:rFonts w:ascii="微软雅黑" w:eastAsia="微软雅黑" w:hAnsi="微软雅黑" w:cs="微软雅黑" w:hint="eastAsia"/>
          <w:color w:val="2E54A1" w:themeColor="accent1" w:themeShade="BF"/>
          <w:sz w:val="32"/>
          <w:szCs w:val="32"/>
          <w:lang w:eastAsia="zh-CN"/>
        </w:rPr>
        <w:t>五、制度运行与优化</w:t>
      </w:r>
      <w:bookmarkEnd w:id="20"/>
    </w:p>
    <w:p>
      <w:pPr>
        <w:pStyle w:val="Heading2"/>
        <w:spacing w:line="480" w:lineRule="auto"/>
        <w:rPr>
          <w:rFonts w:ascii="宋体" w:eastAsia="宋体" w:hAnsi="宋体" w:cs="宋体" w:hint="eastAsia"/>
          <w:bCs w:val="0"/>
          <w:sz w:val="28"/>
          <w:szCs w:val="28"/>
          <w:lang w:eastAsia="zh-CN"/>
        </w:rPr>
      </w:pPr>
      <w:bookmarkStart w:id="21" w:name="_Toc18656"/>
      <w:r>
        <w:rPr>
          <w:rFonts w:ascii="宋体" w:eastAsia="宋体" w:hAnsi="宋体" w:cs="宋体" w:hint="eastAsia"/>
          <w:b/>
          <w:bCs w:val="0"/>
          <w:sz w:val="28"/>
          <w:szCs w:val="28"/>
          <w:lang w:eastAsia="zh-CN"/>
        </w:rPr>
        <w:t>(一)、制度执行与监督</w:t>
      </w:r>
      <w:bookmarkEnd w:id="21"/>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复定坚实基础。</w:t>
      </w:r>
    </w:p>
    <w:p>
      <w:pPr>
        <w:pStyle w:val="Heading2"/>
        <w:spacing w:line="480" w:lineRule="auto"/>
        <w:rPr>
          <w:rFonts w:ascii="宋体" w:eastAsia="宋体" w:hAnsi="宋体" w:cs="宋体" w:hint="eastAsia"/>
          <w:bCs w:val="0"/>
          <w:sz w:val="28"/>
          <w:szCs w:val="28"/>
          <w:lang w:eastAsia="zh-CN"/>
        </w:rPr>
      </w:pPr>
      <w:bookmarkStart w:id="22" w:name="_Toc23632"/>
      <w:r>
        <w:rPr>
          <w:rFonts w:ascii="宋体" w:eastAsia="宋体" w:hAnsi="宋体" w:cs="宋体" w:hint="eastAsia"/>
          <w:b/>
          <w:bCs w:val="0"/>
          <w:sz w:val="28"/>
          <w:szCs w:val="28"/>
          <w:lang w:eastAsia="zh-CN"/>
        </w:rPr>
        <w:t>(二)、制度优化与更新</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为了更好地适应外部环境的变化和公司内部的发展需求,我们密切关注法规和遥感软件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3" w:name="_Toc14122"/>
      <w:r>
        <w:rPr>
          <w:rFonts w:ascii="微软雅黑" w:eastAsia="微软雅黑" w:hAnsi="微软雅黑" w:cs="微软雅黑" w:hint="eastAsia"/>
          <w:color w:val="2E54A1" w:themeColor="accent1" w:themeShade="BF"/>
          <w:sz w:val="32"/>
          <w:szCs w:val="32"/>
          <w:lang w:eastAsia="zh-CN"/>
        </w:rPr>
        <w:t>六、遥感软件行业人力资源管理策略</w:t>
      </w:r>
      <w:bookmarkEnd w:id="23"/>
    </w:p>
    <w:p>
      <w:pPr>
        <w:pStyle w:val="Heading2"/>
        <w:spacing w:line="480" w:lineRule="auto"/>
        <w:rPr>
          <w:rFonts w:ascii="宋体" w:eastAsia="宋体" w:hAnsi="宋体" w:cs="宋体" w:hint="eastAsia"/>
          <w:bCs w:val="0"/>
          <w:sz w:val="28"/>
          <w:szCs w:val="28"/>
          <w:lang w:eastAsia="zh-CN"/>
        </w:rPr>
      </w:pPr>
      <w:bookmarkStart w:id="24" w:name="_Toc2512"/>
      <w:r>
        <w:rPr>
          <w:rFonts w:ascii="宋体" w:eastAsia="宋体" w:hAnsi="宋体" w:cs="宋体" w:hint="eastAsia"/>
          <w:b/>
          <w:bCs w:val="0"/>
          <w:sz w:val="28"/>
          <w:szCs w:val="28"/>
          <w:lang w:eastAsia="zh-CN"/>
        </w:rPr>
        <w:t>(一)、遥感软件行业人力资源管理原则</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1.择优而用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才招聘中，择优而用是确保企业长期成功的首要原则。通过细致入微的面试和评估流程,我们能够识别并吸引具备适应力、技能娴熟、经验丰富的候选人。这种选择最适合职位需求的方法，将为团队的协同工作和业务目标的实现翼定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注重员工培训与发展是建设富有创造力和创新力团队的关键步骤。我们制定个性化的培训计划，以提高员工的专业技能，并通过提供职业发展通道,激发员工的学习热情,使其在职业生涯中持续进步。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3.公平薪酬体系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建立公平合理的薪酬体系，是对员工贡献和表现的公正回报。我们致力于确保薪酬结构的透明度，以便员工理解薪酬决策的依据，激发其更高的工作积极性和创造力。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4.激励与奖励</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激励机制和奖励制度是激发员工积极性的有效手段。通过设立晋升机会、提供年终奖金、优厚的员工福利等，我们努力确保员工在公司取得显著成就时能够得到公平而有力的回报。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5.平等对待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在招聘、晋升、薪酬等决策中，我们始终坚持平等对待的原则，不受性别、年龄、种族、宗教信仰等因素的干扰。这有助于建立一个公正、平等的工作环境，吸引并留住多样化的人才。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6.工作生活平衡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我们关注员工的工作生活平衡，通过灵活的工作时间和假期政策，帮助员工更好地平衡工作和生活。这种关心有助于提高员工的工作满意度，增强员工对公司的忠诚度。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7.沟通透明</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保持沟通的透明度对于员工的投入和理解至关重要。我们建立开放的沟通渠道，及时与员工分享公司的发展战略、目标和变化，以确保员工始终了解公司的方向和决策过程。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8.多元团队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我们鼓励多元团队的建设，通过招聘具有不同背景、经验和观点的人才，创造一个充满创造力和创新力的工作环境。多元团队有助于更好地适应市场变化，提高公司的灵活性和竞争力。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9.员工参与与反馈</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优而用的原则中，员工参与与反馈是关键的环节。我们鼓励员工积极参与公司决策的过程,通过员工意见收集、定期座谈会等方式，倾听他们的声音，了解他们的需求和期望。这不仅有助于更好地满足员工的个体差异，还增加了员工对公司决策的理解和认同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10.灵活工作制度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培养与发展的过程中，我们致力于建立灵活的工作制度。理解每个员工的工作风格和生活需求,我们提供弹性的工作时间和远程办公选项。这种灵活性有助于员工更好地平衡工作和生活，提高他们的工作效率和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11.精神健康关怀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平薪酬体系的建立不仅涉及物质回报,也关乎员工的整体幸福感。因此，我们注重员工的精神健康。提供心理健康支持、灵活的工作安排以及定期的团队活动，有助于维护员工的心理健康，提高他们的工作积极性和生活品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12.创新激励机制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激励与奖励不仅体现在薪酬上，还包括对员工创新的认可。我们设立创新激励机制，奖励提出创意和优化方案的员工。这激发了员工的创造力，推动公司在不断变化的市场中保持竞争优势。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13.持续学习文化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在平等对待的基础上,我们倡导持续学习的文化。为员工提供不断学习的机会，包括专业培训、知识分享平台等。这有助于员工不断提升自己的专业技能，适应遥感软件行业和市场的快速变化。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14.领导力培养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激励与奖励制度中，注重对内部领导力的培养。通过领导力培训计划、mentor制度等，我们培养和提升公司内部的领导层。强大的领导团队是公司持续发展的重要支撑。</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15.社会责任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平等对待的原则承载了公司的社会责任。我们将社会责任融入企业文化，通过参与公益活动、环保倡议等方式，使员工参与到社会责任的实践中。这不仅有助于树立公司的良好社会形象，也让员工感到自己是一个更有意义的组织的一部分。</w:t>
      </w:r>
    </w:p>
    <w:p>
      <w:pPr>
        <w:pStyle w:val="Heading2"/>
        <w:spacing w:line="480" w:lineRule="auto"/>
        <w:rPr>
          <w:rFonts w:ascii="宋体" w:eastAsia="宋体" w:hAnsi="宋体" w:cs="宋体" w:hint="eastAsia"/>
          <w:bCs w:val="0"/>
          <w:sz w:val="28"/>
          <w:szCs w:val="28"/>
          <w:lang w:eastAsia="zh-CN"/>
        </w:rPr>
      </w:pPr>
      <w:bookmarkStart w:id="25" w:name="_Toc16431"/>
      <w:r>
        <w:rPr>
          <w:rFonts w:ascii="宋体" w:eastAsia="宋体" w:hAnsi="宋体" w:cs="宋体" w:hint="eastAsia"/>
          <w:b/>
          <w:bCs w:val="0"/>
          <w:sz w:val="28"/>
          <w:szCs w:val="28"/>
          <w:lang w:eastAsia="zh-CN"/>
        </w:rPr>
        <w:t>(二)、遥感软件行业劳动关系管理</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1.招聘与录用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计遥感软件行业人员配置方案时,我们首先聚焦于招聘与录用的关键步骤。明确每个职位的技能要求和角色职责,我们通过多渠道的招聘，如招聘网站、社交平台以及校园招聘，寻找适应性强、经验丰富、专业技能突出的候选人。通过细致的面试和评估程序，确保新员工的优质加入，为团队的多元化和协同工作翼定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2.员工培训与发展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素养和创新能力，我们关注员工培训与发展。制定全面的培训计划，结合内外部培训资源、专业课程和团队活动，提高员工的专业技能和团队协作水平。鼓励员工参与职业发展规划，为其提供晋升通道和跨部门学习机会,推动员工在职业生涯中的不断进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3.薪酬与福利管理</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4"/>
          <w:szCs w:val="24"/>
          <w:lang w:eastAsia="zh-CN"/>
        </w:rPr>
        <w:t>制定公平透明的薪酬与福利管理是吸引和留住优秀人才的关键。建立绩效考核体系，将薪酬与员工贡献直接挂钩，确保员工对薪酬结构的理解和认同。提供丰富多样的福利待遇，包括灵活的工作制度、健康保险和员工活动,关注员工的全面福祉，提升员工对企业的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4.绩效激励与奖励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关注绩效激励与奖励机制，我们通过设立明确的绩效评估标准，激发员工的工作积极性。每年的绩效评估中，提供公正的晋升机会、奖金和其他形式的奖励，以回报员工的出色表现，同时建立起积极的工作激励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5.团队建设与沟通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打造一个协调高效的遥感软件行业团队,我们实施了多层次的团队建设与沟通机制。定期组织团队活动、培训课程和座谈会，促进团队成员之间的相互了解和信任。建立了开放透明的沟通渠道，确保领导与团队之间能够进行有效的信息共享，提高团队的协同工作效率，推动整体业务发展。</w:t>
      </w:r>
    </w:p>
    <w:p>
      <w:pPr>
        <w:pStyle w:val="Heading2"/>
        <w:spacing w:line="480" w:lineRule="auto"/>
        <w:rPr>
          <w:rFonts w:ascii="宋体" w:eastAsia="宋体" w:hAnsi="宋体" w:cs="宋体" w:hint="eastAsia"/>
          <w:bCs w:val="0"/>
          <w:sz w:val="28"/>
          <w:szCs w:val="28"/>
          <w:lang w:eastAsia="zh-CN"/>
        </w:rPr>
      </w:pPr>
      <w:bookmarkStart w:id="26" w:name="_Toc19026"/>
      <w:r>
        <w:rPr>
          <w:rFonts w:ascii="宋体" w:eastAsia="宋体" w:hAnsi="宋体" w:cs="宋体" w:hint="eastAsia"/>
          <w:b/>
          <w:bCs w:val="0"/>
          <w:sz w:val="28"/>
          <w:szCs w:val="28"/>
          <w:lang w:eastAsia="zh-CN"/>
        </w:rPr>
        <w:t>(三)、遥感软件行业人员配置方案</w:t>
      </w:r>
      <w:bookmarkEnd w:id="2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1.项目经理：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职责：负责项目的整体规划、执行和监控，协调项目团队的工作，确保项目目标的达成。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技能：项目管理经验、领导能力、沟通协调能力。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2.项目团队成员(根据项目需求而定，可能包括):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业务分析师：负责收集和分析业务需求，协助制定项目计划。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开发人员：负责系统或产品的开发工作。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测试人员：负责测试和验证产品的功能和质量。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设计师：负责项目相关设计工作，可能包括图形设计、系统架构设计等。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3.技术支持团队：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职责：提供项目实施后的技术支持和维护服务。</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https://d.book118.com/885323222012011042</w:t>
        </w:r>
      </w:hyperlink>
    </w:p>
    <w:p>
      <w:pPr>
        <w:spacing w:line="480" w:lineRule="auto"/>
        <w:ind w:firstLine="420" w:firstLineChars="0"/>
        <w:rPr>
          <w:rFonts w:ascii="宋体" w:eastAsia="宋体" w:hAnsi="宋体" w:cs="宋体" w:hint="eastAsia"/>
          <w:sz w:val="24"/>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2BEB7460"/>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885323222012011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