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12"/>
        <w:framePr w:w="7938" w:h="1134" w:hRule="exact" w:hSpace="125" w:vSpace="181" w:wrap="around" w:vAnchor="page" w:hAnchor="page" w:x="2150" w:y="14630" w:anchorLock="1"/>
        <w:rPr>
          <w:rFonts w:ascii="Times New Roman"/>
        </w:rPr>
      </w:pPr>
      <w:bookmarkStart w:id="0" w:name="SectionMark0"/>
      <w:r>
        <w:rPr>
          <w:rFonts w:ascii="黑体" w:eastAsia="黑体"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GBSendClear" style="width:396pt;height:56.25pt" coordsize="21600,21600" o:preferrelative="t" filled="f" stroked="f">
            <v:stroke joinstyle="miter"/>
            <v:imagedata r:id="rId7" o:title="GBSendClear"/>
            <o:lock v:ext="edit" aspectratio="t"/>
            <w10:anchorlock/>
          </v:shape>
        </w:pict>
      </w:r>
    </w:p>
    <w:p>
      <w:pPr>
        <w:pStyle w:val="a18"/>
        <w:rPr>
          <w:rFonts w:eastAsia="黑体"/>
          <w:color w:val="000000"/>
          <w:sz w:val="52"/>
          <w:szCs w:val="52"/>
        </w:rPr>
      </w:pPr>
      <w:r>
        <w:rPr>
          <w:rFonts w:eastAsia="黑体"/>
          <w:color w:val="000000"/>
          <w:sz w:val="52"/>
          <w:szCs w:val="52"/>
        </w:rPr>
        <w:pict>
          <v:line id="_x0000_s1066" o:spid="_x0000_s1026" style="mso-height-relative:page;mso-width-relative:page;mso-wrap-distance-bottom:0;mso-wrap-distance-left:9pt;mso-wrap-distance-right:9pt;mso-wrap-distance-top:0;position:absolute;z-index:251658240" from="0,700pt" to="482pt,700.05pt" coordsize="21600,21600" o:preferrelative="t">
            <w10:wrap type="square"/>
          </v:line>
        </w:pict>
      </w:r>
      <w:r>
        <w:rPr>
          <w:rFonts w:eastAsia="黑体"/>
          <w:color w:val="000000"/>
          <w:sz w:val="52"/>
          <w:szCs w:val="52"/>
        </w:rPr>
        <w:pict>
          <v:shapetype id="_x0000_t202" coordsize="21600,21600" o:spt="202" path="m,l,21600r21600,l21600,xe">
            <v:stroke joinstyle="miter"/>
            <v:path gradientshapeok="t" o:connecttype="rect"/>
          </v:shapetype>
          <v:shape id="fmFrame6" o:spid="_x0000_s1027" type="#_x0000_t202" style="width:212.15pt;height:24.6pt;margin-top:674.3pt;margin-left:269.85pt;mso-height-relative:page;mso-position-horizontal-relative:margin;mso-position-vertical-relative:margin;mso-width-relative:page;position:absolute;z-index:251659264" coordsize="21600,21600" o:preferrelative="t" stroked="f">
            <v:stroke joinstyle="miter"/>
            <v:textbox inset="0,0,0,0">
              <w:txbxContent>
                <w:p>
                  <w:pPr>
                    <w:pStyle w:val="a59"/>
                  </w:pPr>
                  <w:r>
                    <w:rPr>
                      <w:rFonts w:ascii="黑体" w:hAnsi="黑体" w:hint="eastAsia"/>
                    </w:rPr>
                    <w:t>XXXX</w:t>
                  </w:r>
                  <w:r>
                    <w:rPr>
                      <w:rFonts w:ascii="黑体" w:hAnsi="黑体"/>
                    </w:rPr>
                    <w:t>-</w:t>
                  </w:r>
                  <w:r>
                    <w:rPr>
                      <w:rFonts w:ascii="黑体" w:hAnsi="黑体" w:hint="eastAsia"/>
                    </w:rPr>
                    <w:t>XX</w:t>
                  </w:r>
                  <w:r>
                    <w:rPr>
                      <w:rFonts w:ascii="黑体" w:hAnsi="黑体"/>
                    </w:rPr>
                    <w:t>-</w:t>
                  </w:r>
                  <w:r>
                    <w:rPr>
                      <w:rFonts w:ascii="黑体" w:hAnsi="黑体" w:hint="eastAsia"/>
                    </w:rPr>
                    <w:t>XX</w:t>
                  </w:r>
                  <w:r>
                    <w:t>实施</w:t>
                  </w:r>
                </w:p>
                <w:p>
                  <w:pPr>
                    <w:pStyle w:val="a37"/>
                    <w:wordWrap w:val="0"/>
                    <w:ind w:right="700"/>
                  </w:pPr>
                </w:p>
              </w:txbxContent>
            </v:textbox>
            <w10:wrap anchorx="margin" anchory="margin"/>
            <w10:anchorlock/>
          </v:shape>
        </w:pict>
      </w:r>
      <w:r>
        <w:rPr>
          <w:rFonts w:eastAsia="黑体"/>
          <w:color w:val="000000"/>
          <w:sz w:val="52"/>
          <w:szCs w:val="52"/>
        </w:rPr>
        <w:pict>
          <v:shape id="fmFrame5" o:spid="_x0000_s1028" type="#_x0000_t202" style="width:185.6pt;height:24.6pt;margin-top:674.3pt;margin-left:0;mso-height-relative:page;mso-position-horizontal-relative:margin;mso-position-vertical-relative:margin;mso-width-relative:page;position:absolute;z-index:251660288" coordsize="21600,21600" o:preferrelative="t" stroked="f">
            <v:stroke joinstyle="miter"/>
            <v:textbox inset="0,0,0,0">
              <w:txbxContent>
                <w:p>
                  <w:pPr>
                    <w:rPr>
                      <w:rFonts w:ascii="黑体" w:eastAsia="黑体" w:hAnsi="黑体"/>
                      <w:sz w:val="28"/>
                      <w:szCs w:val="28"/>
                    </w:rPr>
                  </w:pPr>
                  <w:r>
                    <w:rPr>
                      <w:rFonts w:ascii="黑体" w:eastAsia="黑体" w:hAnsi="黑体" w:hint="eastAsia"/>
                      <w:sz w:val="28"/>
                      <w:szCs w:val="28"/>
                    </w:rPr>
                    <w:t>XXXX</w:t>
                  </w:r>
                  <w:r>
                    <w:rPr>
                      <w:rFonts w:ascii="黑体" w:eastAsia="黑体" w:hAnsi="黑体"/>
                      <w:sz w:val="28"/>
                      <w:szCs w:val="28"/>
                    </w:rPr>
                    <w:t>-</w:t>
                  </w:r>
                  <w:r>
                    <w:rPr>
                      <w:rFonts w:ascii="黑体" w:eastAsia="黑体" w:hAnsi="黑体" w:hint="eastAsia"/>
                      <w:sz w:val="28"/>
                      <w:szCs w:val="28"/>
                    </w:rPr>
                    <w:t>XX</w:t>
                  </w:r>
                  <w:r>
                    <w:rPr>
                      <w:rFonts w:ascii="黑体" w:eastAsia="黑体" w:hAnsi="黑体"/>
                      <w:sz w:val="28"/>
                      <w:szCs w:val="28"/>
                    </w:rPr>
                    <w:t>-</w:t>
                  </w:r>
                  <w:r>
                    <w:rPr>
                      <w:rFonts w:ascii="黑体" w:eastAsia="黑体" w:hAnsi="黑体" w:hint="eastAsia"/>
                      <w:sz w:val="28"/>
                      <w:szCs w:val="28"/>
                    </w:rPr>
                    <w:t>XX</w:t>
                  </w:r>
                  <w:r>
                    <w:rPr>
                      <w:rFonts w:ascii="黑体" w:eastAsia="黑体" w:hAnsi="黑体"/>
                      <w:sz w:val="28"/>
                      <w:szCs w:val="28"/>
                    </w:rPr>
                    <w:t>发布</w:t>
                  </w:r>
                </w:p>
              </w:txbxContent>
            </v:textbox>
            <w10:wrap anchorx="margin" anchory="margin"/>
            <w10:anchorlock/>
          </v:shape>
        </w:pict>
      </w:r>
      <w:r>
        <w:rPr>
          <w:rFonts w:eastAsia="黑体"/>
          <w:color w:val="000000"/>
          <w:sz w:val="52"/>
          <w:szCs w:val="52"/>
        </w:rPr>
        <w:pict>
          <v:shape id="fmFrame3" o:spid="_x0000_s1029" type="#_x0000_t202" style="width:477.35pt;height:57.3pt;margin-top:110.35pt;margin-left:0;mso-height-relative:page;mso-position-horizontal-relative:margin;mso-position-vertical-relative:margin;mso-width-relative:page;position:absolute;z-index:251661312" coordsize="21600,21600" o:preferrelative="t" stroked="f">
            <v:stroke joinstyle="miter"/>
            <v:textbox inset="0,0,0,0">
              <w:txbxContent>
                <w:p>
                  <w:pPr>
                    <w:pStyle w:val="2"/>
                    <w:rPr>
                      <w:rFonts w:ascii="黑体" w:eastAsia="黑体" w:hAnsi="黑体"/>
                      <w:szCs w:val="28"/>
                    </w:rPr>
                  </w:pPr>
                  <w:r>
                    <w:rPr>
                      <w:rFonts w:ascii="黑体" w:eastAsia="黑体" w:hAnsi="黑体"/>
                    </w:rPr>
                    <w:t xml:space="preserve">GB/T </w:t>
                  </w:r>
                  <w:r>
                    <w:rPr>
                      <w:rFonts w:ascii="黑体" w:eastAsia="黑体" w:hAnsi="黑体" w:hint="eastAsia"/>
                      <w:szCs w:val="28"/>
                    </w:rPr>
                    <w:t>XXXXX</w:t>
                  </w:r>
                  <w:r>
                    <w:rPr>
                      <w:rFonts w:ascii="黑体" w:eastAsia="黑体" w:hAnsi="黑体"/>
                    </w:rPr>
                    <w:t>—</w:t>
                  </w:r>
                  <w:r>
                    <w:rPr>
                      <w:rFonts w:ascii="黑体" w:eastAsia="黑体" w:hAnsi="黑体" w:hint="eastAsia"/>
                      <w:szCs w:val="28"/>
                    </w:rPr>
                    <w:t>XXXX</w:t>
                  </w:r>
                </w:p>
                <w:p>
                  <w:pPr>
                    <w:pStyle w:val="2"/>
                    <w:rPr>
                      <w:rFonts w:ascii="黑体" w:eastAsia="黑体" w:hAnsi="黑体"/>
                      <w:szCs w:val="28"/>
                    </w:rPr>
                  </w:pPr>
                </w:p>
                <w:p>
                  <w:pPr>
                    <w:pStyle w:val="2"/>
                    <w:spacing w:before="57"/>
                    <w:rPr>
                      <w:rFonts w:ascii="黑体" w:eastAsia="黑体" w:hAnsi="黑体"/>
                      <w:szCs w:val="28"/>
                    </w:rPr>
                  </w:pPr>
                </w:p>
                <w:p>
                  <w:pPr>
                    <w:pStyle w:val="2"/>
                    <w:rPr>
                      <w:rFonts w:ascii="黑体" w:eastAsia="黑体" w:hAnsi="黑体"/>
                      <w:szCs w:val="28"/>
                    </w:rPr>
                  </w:pPr>
                </w:p>
                <w:p>
                  <w:pPr>
                    <w:pStyle w:val="2"/>
                    <w:rPr>
                      <w:rFonts w:ascii="黑体" w:eastAsia="黑体" w:hAnsi="黑体"/>
                    </w:rPr>
                  </w:pPr>
                </w:p>
                <w:p>
                  <w:pPr>
                    <w:pStyle w:val="a14"/>
                  </w:pPr>
                </w:p>
              </w:txbxContent>
            </v:textbox>
            <w10:wrap anchorx="margin" anchory="margin"/>
            <w10:anchorlock/>
          </v:shape>
        </w:pict>
      </w:r>
      <w:r>
        <w:rPr>
          <w:rFonts w:eastAsia="黑体"/>
          <w:color w:val="000000"/>
          <w:sz w:val="52"/>
          <w:szCs w:val="52"/>
        </w:rPr>
        <w:pict>
          <v:shape id="HBPicture" o:spid="_x0000_s1030" type="#_x0000_t75" style="width:110.5pt;height:56.7pt;margin-top:8.45pt;margin-left:337.35pt;mso-height-relative:page;mso-position-horizontal-relative:margin;mso-position-vertical-relative:margin;mso-width-relative:page;position:absolute;z-index:251662336" coordsize="21600,21600" o:preferrelative="t" filled="f" stroked="f">
            <v:stroke joinstyle="miter"/>
            <v:imagedata r:id="rId8" o:title=""/>
            <o:lock v:ext="edit" aspectratio="t"/>
            <w10:wrap anchorx="margin" anchory="margin"/>
            <w10:anchorlock/>
          </v:shape>
        </w:pict>
      </w:r>
      <w:r>
        <w:rPr>
          <w:rFonts w:eastAsia="黑体"/>
          <w:color w:val="000000"/>
          <w:sz w:val="52"/>
          <w:szCs w:val="52"/>
        </w:rPr>
        <w:pict>
          <v:shape id="fmFrame2" o:spid="_x0000_s1031" type="#_x0000_t202" style="width:481.9pt;height:30.8pt;margin-top:79.6pt;margin-left:0;mso-height-relative:page;mso-position-horizontal-relative:margin;mso-position-vertical-relative:margin;mso-width-relative:page;position:absolute;z-index:251663360" coordsize="21600,21600" o:preferrelative="t" stroked="f">
            <v:stroke joinstyle="miter"/>
            <v:textbox inset="0,0,0,0">
              <w:txbxContent>
                <w:p>
                  <w:pPr>
                    <w:pStyle w:val="a0"/>
                    <w:rPr>
                      <w:sz w:val="48"/>
                      <w:szCs w:val="48"/>
                    </w:rPr>
                  </w:pPr>
                  <w:r>
                    <w:rPr>
                      <w:rFonts w:hint="eastAsia"/>
                      <w:sz w:val="48"/>
                      <w:szCs w:val="48"/>
                    </w:rPr>
                    <w:t>中华人民共和国国家标准</w:t>
                  </w:r>
                </w:p>
              </w:txbxContent>
            </v:textbox>
            <w10:wrap anchorx="margin" anchory="margin"/>
            <w10:anchorlock/>
          </v:shape>
        </w:pict>
      </w:r>
      <w:r>
        <w:rPr>
          <w:rFonts w:eastAsia="黑体"/>
          <w:color w:val="000000"/>
          <w:sz w:val="52"/>
          <w:szCs w:val="52"/>
        </w:rPr>
        <w:pict>
          <v:shape id="fmFrame1" o:spid="_x0000_s1032" type="#_x0000_t202" style="width:482pt;height:32.75pt;margin-top:0;margin-left:0;mso-height-relative:page;mso-position-horizontal-relative:margin;mso-position-vertical-relative:margin;mso-width-relative:page;position:absolute;z-index:251664384" coordsize="21600,21600" o:preferrelative="t" stroked="f">
            <v:stroke joinstyle="miter"/>
            <v:textbox inset="0,0,0,0">
              <w:txbxContent>
                <w:p>
                  <w:pPr>
                    <w:pStyle w:val="a43"/>
                    <w:rPr>
                      <w:rFonts w:ascii="黑体" w:hAnsi="黑体"/>
                    </w:rPr>
                  </w:pPr>
                  <w:r>
                    <w:rPr>
                      <w:rFonts w:ascii="黑体" w:hAnsi="黑体"/>
                    </w:rPr>
                    <w:t>ICS 35.040</w:t>
                  </w:r>
                </w:p>
                <w:p>
                  <w:pPr>
                    <w:pStyle w:val="a43"/>
                  </w:pPr>
                  <w:r>
                    <w:rPr>
                      <w:rFonts w:ascii="黑体" w:hAnsi="黑体"/>
                    </w:rPr>
                    <w:t>L80</w:t>
                  </w:r>
                </w:p>
              </w:txbxContent>
            </v:textbox>
            <w10:wrap anchorx="margin" anchory="margin"/>
            <w10:anchorlock/>
          </v:shape>
        </w:pict>
      </w:r>
    </w:p>
    <w:p>
      <w:pPr>
        <w:pStyle w:val="a18"/>
        <w:rPr>
          <w:rFonts w:eastAsia="黑体"/>
          <w:color w:val="000000"/>
          <w:sz w:val="52"/>
          <w:szCs w:val="52"/>
        </w:rPr>
      </w:pPr>
    </w:p>
    <w:p>
      <w:pPr>
        <w:pStyle w:val="a18"/>
        <w:rPr>
          <w:rFonts w:eastAsia="黑体"/>
          <w:color w:val="000000"/>
          <w:sz w:val="52"/>
          <w:szCs w:val="52"/>
        </w:rPr>
      </w:pPr>
    </w:p>
    <w:p>
      <w:pPr>
        <w:pStyle w:val="a18"/>
        <w:rPr>
          <w:rFonts w:eastAsia="黑体"/>
          <w:color w:val="000000"/>
          <w:sz w:val="52"/>
          <w:szCs w:val="52"/>
        </w:rPr>
      </w:pPr>
    </w:p>
    <w:p>
      <w:pPr>
        <w:pStyle w:val="a18"/>
        <w:rPr>
          <w:rFonts w:eastAsia="黑体"/>
          <w:color w:val="000000"/>
          <w:sz w:val="52"/>
          <w:szCs w:val="52"/>
        </w:rPr>
      </w:pPr>
    </w:p>
    <w:p>
      <w:pPr>
        <w:pStyle w:val="a18"/>
        <w:rPr>
          <w:rFonts w:eastAsia="黑体"/>
          <w:color w:val="000000"/>
          <w:sz w:val="52"/>
          <w:szCs w:val="52"/>
        </w:rPr>
      </w:pPr>
    </w:p>
    <w:p>
      <w:pPr>
        <w:pStyle w:val="a18"/>
        <w:rPr>
          <w:rFonts w:eastAsia="黑体"/>
          <w:color w:val="000000"/>
          <w:sz w:val="52"/>
          <w:szCs w:val="52"/>
        </w:rPr>
      </w:pPr>
    </w:p>
    <w:p>
      <w:pPr>
        <w:pStyle w:val="a18"/>
        <w:rPr>
          <w:rFonts w:eastAsia="黑体"/>
          <w:color w:val="000000"/>
          <w:sz w:val="52"/>
          <w:szCs w:val="52"/>
        </w:rPr>
      </w:pPr>
      <w:r>
        <w:rPr>
          <w:rFonts w:eastAsia="黑体"/>
          <w:color w:val="000000"/>
          <w:sz w:val="52"/>
          <w:szCs w:val="52"/>
        </w:rPr>
        <w:t>信息</w:t>
      </w:r>
      <w:r>
        <w:rPr>
          <w:rFonts w:eastAsia="黑体" w:hint="eastAsia"/>
          <w:color w:val="000000"/>
          <w:sz w:val="52"/>
          <w:szCs w:val="52"/>
        </w:rPr>
        <w:t>安全</w:t>
      </w:r>
      <w:r>
        <w:rPr>
          <w:rFonts w:eastAsia="黑体"/>
          <w:color w:val="000000"/>
          <w:sz w:val="52"/>
          <w:szCs w:val="52"/>
        </w:rPr>
        <w:t xml:space="preserve">技术 </w:t>
      </w:r>
    </w:p>
    <w:p>
      <w:pPr>
        <w:pStyle w:val="a18"/>
        <w:rPr>
          <w:rFonts w:eastAsia="黑体"/>
          <w:color w:val="000000"/>
          <w:sz w:val="52"/>
          <w:szCs w:val="52"/>
        </w:rPr>
      </w:pPr>
      <w:r>
        <w:rPr>
          <w:rFonts w:eastAsia="黑体"/>
          <w:color w:val="000000"/>
          <w:sz w:val="52"/>
          <w:szCs w:val="52"/>
        </w:rPr>
        <w:t>安全域名系统实施指南</w:t>
      </w:r>
    </w:p>
    <w:p>
      <w:pPr>
        <w:pStyle w:val="a17"/>
        <w:tabs>
          <w:tab w:val="left" w:pos="3420"/>
        </w:tabs>
        <w:rPr>
          <w:rFonts w:ascii="黑体" w:hAnsi="黑体"/>
        </w:rPr>
      </w:pPr>
      <w:r>
        <w:rPr>
          <w:rFonts w:ascii="黑体" w:eastAsia="黑体" w:hAnsi="黑体" w:hint="eastAsia"/>
          <w:color w:val="000000"/>
          <w:sz w:val="28"/>
          <w:szCs w:val="28"/>
        </w:rPr>
        <w:t>Information security technology</w:t>
      </w:r>
      <w:r>
        <w:rPr>
          <w:rFonts w:ascii="黑体" w:hAnsi="黑体"/>
        </w:rPr>
        <w:t xml:space="preserve"> </w:t>
      </w:r>
      <w:r>
        <w:rPr>
          <w:rFonts w:ascii="黑体" w:hAnsi="黑体" w:hint="eastAsia"/>
        </w:rPr>
        <w:t>—</w:t>
      </w:r>
    </w:p>
    <w:p>
      <w:pPr>
        <w:pStyle w:val="a17"/>
        <w:tabs>
          <w:tab w:val="left" w:pos="3420"/>
        </w:tabs>
        <w:rPr>
          <w:rFonts w:ascii="黑体" w:eastAsia="黑体" w:hAnsi="黑体"/>
          <w:color w:val="000000"/>
          <w:sz w:val="28"/>
          <w:szCs w:val="28"/>
        </w:rPr>
      </w:pPr>
      <w:r>
        <w:rPr>
          <w:rFonts w:ascii="黑体" w:hAnsi="黑体"/>
        </w:rPr>
        <w:t xml:space="preserve"> </w:t>
      </w:r>
      <w:r>
        <w:rPr>
          <w:rFonts w:ascii="黑体" w:eastAsia="黑体" w:hAnsi="黑体" w:hint="eastAsia"/>
          <w:color w:val="000000"/>
          <w:sz w:val="28"/>
          <w:szCs w:val="28"/>
        </w:rPr>
        <w:t>Secure domain name system deployment guide</w:t>
      </w:r>
    </w:p>
    <w:p>
      <w:pPr>
        <w:pStyle w:val="a17"/>
        <w:tabs>
          <w:tab w:val="left" w:pos="3420"/>
        </w:tabs>
        <w:rPr>
          <w:rFonts w:ascii="Times New Roman"/>
          <w:color w:val="000000"/>
        </w:rPr>
      </w:pPr>
      <w:r>
        <w:rPr>
          <w:rFonts w:ascii="Times New Roman"/>
          <w:color w:val="000000"/>
        </w:rPr>
        <w:t>（</w:t>
      </w:r>
      <w:r>
        <w:rPr>
          <w:rFonts w:ascii="Times New Roman" w:hint="eastAsia"/>
          <w:color w:val="000000"/>
        </w:rPr>
        <w:t>征求意见</w:t>
      </w:r>
      <w:r>
        <w:rPr>
          <w:rFonts w:ascii="Times New Roman"/>
          <w:color w:val="000000"/>
        </w:rPr>
        <w:t>稿）</w:t>
      </w:r>
    </w:p>
    <w:p>
      <w:pPr>
        <w:pStyle w:val="a17"/>
        <w:tabs>
          <w:tab w:val="left" w:pos="3420"/>
        </w:tabs>
        <w:rPr>
          <w:rFonts w:ascii="Times New Roman"/>
          <w:color w:val="000000"/>
        </w:rPr>
      </w:pPr>
      <w:r>
        <w:rPr>
          <w:rFonts w:ascii="Times New Roman" w:hint="eastAsia"/>
          <w:color w:val="000000"/>
        </w:rPr>
        <w:t>（在提交反馈意见时，请将您知道的相关专利连同支持性文件一并附上）</w:t>
      </w:r>
    </w:p>
    <w:p>
      <w:pPr>
        <w:pStyle w:val="a20"/>
        <w:rPr>
          <w:color w:val="000000"/>
        </w:rPr>
      </w:pPr>
      <w:r>
        <w:rPr>
          <w:color w:val="000000"/>
        </w:rPr>
        <w:pict>
          <v:line id="_x0000_s1078" o:spid="_x0000_s1033" style="mso-height-relative:page;mso-position-vertical-relative:page;mso-width-relative:page;position:absolute;z-index:251665408" from="-3.7pt,196pt" to="478.2pt,196pt" coordsize="21600,21600">
            <w10:anchorlock/>
          </v:line>
        </w:pict>
      </w:r>
    </w:p>
    <w:p/>
    <w:p/>
    <w:p/>
    <w:p>
      <w:pPr>
        <w:tabs>
          <w:tab w:val="left" w:pos="3315"/>
        </w:tabs>
      </w:pPr>
      <w:r>
        <w:tab/>
      </w:r>
    </w:p>
    <w:p/>
    <w:p>
      <w:pPr>
        <w:sectPr>
          <w:headerReference w:type="even" r:id="rId9"/>
          <w:headerReference w:type="default" r:id="rId10"/>
          <w:footerReference w:type="even" r:id="rId11"/>
          <w:footerReference w:type="default" r:id="rId12"/>
          <w:headerReference w:type="first" r:id="rId13"/>
          <w:footerReference w:type="first" r:id="rId14"/>
          <w:pgSz w:w="11907" w:h="16839"/>
          <w:pgMar w:top="567" w:right="851" w:bottom="1134" w:left="1418" w:header="0" w:footer="0" w:gutter="0"/>
          <w:pgNumType w:start="1"/>
          <w:cols w:num="1" w:space="425"/>
          <w:titlePg/>
          <w:docGrid w:type="lines" w:linePitch="312" w:charSpace="0"/>
        </w:sectPr>
      </w:pPr>
    </w:p>
    <w:bookmarkEnd w:id="0"/>
    <w:p>
      <w:pPr>
        <w:sectPr>
          <w:headerReference w:type="even" r:id="rId15"/>
          <w:headerReference w:type="default" r:id="rId16"/>
          <w:footerReference w:type="even" r:id="rId17"/>
          <w:footerReference w:type="default" r:id="rId18"/>
          <w:headerReference w:type="first" r:id="rId19"/>
          <w:footerReference w:type="first" r:id="rId20"/>
          <w:pgSz w:w="11907" w:h="16839"/>
          <w:pgMar w:top="1418" w:right="1134" w:bottom="1134" w:left="1418" w:header="1418" w:footer="851" w:gutter="0"/>
          <w:pgNumType w:start="1"/>
          <w:cols w:num="1" w:space="425"/>
          <w:docGrid w:type="lines" w:linePitch="312" w:charSpace="0"/>
        </w:sectPr>
      </w:pPr>
    </w:p>
    <w:p>
      <w:pPr>
        <w:sectPr>
          <w:headerReference w:type="even" r:id="rId21"/>
          <w:headerReference w:type="default" r:id="rId22"/>
          <w:footerReference w:type="even" r:id="rId23"/>
          <w:footerReference w:type="default" r:id="rId24"/>
          <w:headerReference w:type="first" r:id="rId25"/>
          <w:footerReference w:type="first" r:id="rId26"/>
          <w:pgSz w:w="11907" w:h="16839"/>
          <w:pgMar w:top="1418" w:right="1134" w:bottom="1134" w:left="1418" w:header="1418" w:footer="851" w:gutter="0"/>
          <w:pgNumType w:start="1"/>
          <w:cols w:num="1" w:space="425"/>
          <w:docGrid w:type="lines" w:linePitch="312" w:charSpace="0"/>
        </w:sectPr>
      </w:pPr>
    </w:p>
    <w:p>
      <w:pPr>
        <w:pStyle w:val="a32"/>
        <w:rPr>
          <w:rFonts w:ascii="Times New Roman"/>
          <w:color w:val="000000"/>
        </w:rPr>
      </w:pPr>
      <w:bookmarkStart w:id="1" w:name="_GoBack"/>
      <w:bookmarkEnd w:id="1"/>
      <w:bookmarkStart w:id="2" w:name="_Toc295391385"/>
      <w:bookmarkStart w:id="3" w:name="_Toc295552530"/>
      <w:bookmarkStart w:id="4" w:name="_Toc295395623"/>
      <w:bookmarkStart w:id="5" w:name="_Toc330198900"/>
      <w:bookmarkStart w:id="6" w:name="_Toc381100812"/>
      <w:bookmarkStart w:id="7" w:name="_Toc330199264"/>
      <w:bookmarkStart w:id="8" w:name="_Toc330201425"/>
      <w:bookmarkStart w:id="9" w:name="_Toc361318126"/>
      <w:bookmarkStart w:id="10" w:name="_Toc330201249"/>
      <w:bookmarkStart w:id="11" w:name="_Toc330198558"/>
      <w:bookmarkStart w:id="12" w:name="_Toc330200458"/>
      <w:bookmarkStart w:id="13" w:name="SectionMark4"/>
      <w:r>
        <w:rPr>
          <w:rFonts w:ascii="Times New Roman"/>
          <w:color w:val="000000"/>
        </w:rPr>
        <w:t>信息技术</w:t>
      </w:r>
      <w:r>
        <w:rPr>
          <w:rFonts w:hAnsi="黑体" w:hint="eastAsia"/>
          <w:szCs w:val="32"/>
        </w:rPr>
        <w:t>　</w:t>
      </w:r>
      <w:r>
        <w:rPr>
          <w:rFonts w:ascii="Times New Roman"/>
          <w:color w:val="000000"/>
        </w:rPr>
        <w:t>安全技术</w:t>
      </w:r>
      <w:r>
        <w:rPr>
          <w:rFonts w:hAnsi="黑体" w:hint="eastAsia"/>
          <w:szCs w:val="32"/>
        </w:rPr>
        <w:t>　</w:t>
      </w:r>
      <w:r>
        <w:rPr>
          <w:rFonts w:ascii="Times New Roman"/>
          <w:color w:val="000000"/>
        </w:rPr>
        <w:t>安全域名系统实施指南</w:t>
      </w:r>
      <w:bookmarkEnd w:id="2"/>
      <w:bookmarkEnd w:id="3"/>
      <w:bookmarkEnd w:id="4"/>
      <w:bookmarkEnd w:id="5"/>
      <w:bookmarkEnd w:id="6"/>
      <w:bookmarkEnd w:id="7"/>
      <w:bookmarkEnd w:id="8"/>
      <w:bookmarkEnd w:id="9"/>
      <w:bookmarkEnd w:id="10"/>
      <w:bookmarkEnd w:id="11"/>
      <w:bookmarkEnd w:id="12"/>
    </w:p>
    <w:p>
      <w:pPr>
        <w:pStyle w:val="a9"/>
        <w:spacing w:before="312" w:beforeLines="100" w:after="312" w:afterLines="100"/>
        <w:rPr>
          <w:rFonts w:ascii="Times New Roman"/>
          <w:color w:val="000000"/>
        </w:rPr>
      </w:pPr>
      <w:bookmarkStart w:id="14" w:name="_Toc90809522"/>
      <w:bookmarkStart w:id="15" w:name="_Toc330198559"/>
      <w:bookmarkStart w:id="16" w:name="_Toc330198901"/>
      <w:bookmarkStart w:id="17" w:name="_Toc120591274"/>
      <w:bookmarkStart w:id="18" w:name="_Toc381100813"/>
      <w:r>
        <w:rPr>
          <w:rFonts w:ascii="Times New Roman"/>
          <w:color w:val="000000"/>
        </w:rPr>
        <w:t>范围</w:t>
      </w:r>
      <w:bookmarkEnd w:id="14"/>
      <w:bookmarkEnd w:id="15"/>
      <w:bookmarkEnd w:id="16"/>
      <w:bookmarkEnd w:id="17"/>
      <w:bookmarkEnd w:id="18"/>
    </w:p>
    <w:p>
      <w:pPr>
        <w:spacing w:line="400" w:lineRule="exact"/>
        <w:ind w:firstLine="420" w:firstLineChars="200"/>
        <w:jc w:val="left"/>
        <w:rPr>
          <w:rFonts w:ascii="宋体" w:hAnsi="宋体"/>
          <w:color w:val="000000"/>
          <w:szCs w:val="21"/>
        </w:rPr>
      </w:pPr>
      <w:r>
        <w:rPr>
          <w:rFonts w:ascii="宋体" w:hAnsi="宋体"/>
          <w:color w:val="000000"/>
          <w:szCs w:val="21"/>
        </w:rPr>
        <w:t>本标准为组织实施一个安全</w:t>
      </w:r>
      <w:r>
        <w:rPr>
          <w:rFonts w:ascii="宋体" w:hAnsi="宋体" w:hint="eastAsia"/>
          <w:color w:val="000000"/>
          <w:szCs w:val="21"/>
        </w:rPr>
        <w:t>的域名系统提供DNS主机环境安全、DNS事务安全、DNS数据安全和DNS安全管理方面指南。</w:t>
      </w:r>
      <w:r>
        <w:rPr>
          <w:rFonts w:ascii="宋体" w:hAnsi="宋体"/>
          <w:color w:val="000000"/>
          <w:szCs w:val="21"/>
        </w:rPr>
        <w:t>本标准可作为组织内部域名系统安全管理人员的指导。</w:t>
      </w:r>
    </w:p>
    <w:p>
      <w:pPr>
        <w:spacing w:line="400" w:lineRule="exact"/>
        <w:ind w:firstLine="420" w:firstLineChars="200"/>
        <w:jc w:val="left"/>
        <w:rPr>
          <w:color w:val="000000"/>
          <w:szCs w:val="21"/>
        </w:rPr>
      </w:pPr>
      <w:bookmarkStart w:id="19" w:name="OLE_LINK4"/>
      <w:bookmarkStart w:id="20" w:name="OLE_LINK3"/>
      <w:r>
        <w:rPr>
          <w:rFonts w:ascii="宋体" w:hAnsi="宋体"/>
          <w:color w:val="000000"/>
        </w:rPr>
        <w:t>本</w:t>
      </w:r>
      <w:r>
        <w:rPr>
          <w:rFonts w:ascii="宋体" w:hAnsi="宋体" w:hint="eastAsia"/>
          <w:color w:val="000000"/>
        </w:rPr>
        <w:t>标准适用于</w:t>
      </w:r>
      <w:r>
        <w:rPr>
          <w:rFonts w:ascii="宋体" w:hAnsi="宋体"/>
          <w:color w:val="000000"/>
        </w:rPr>
        <w:t>使用BIND</w:t>
      </w:r>
      <w:r>
        <w:rPr>
          <w:rStyle w:val="FootnoteReference"/>
          <w:rFonts w:ascii="宋体" w:hAnsi="宋体"/>
          <w:color w:val="000000"/>
        </w:rPr>
        <w:footnoteReference w:customMarkFollows="1" w:id="2"/>
        <w:t xml:space="preserve">1</w:t>
      </w:r>
      <w:r>
        <w:rPr>
          <w:rStyle w:val="FootnoteReference"/>
          <w:rFonts w:ascii="Symbol" w:hAnsi="Symbol"/>
          <w:color w:val="000000"/>
        </w:rPr>
        <w:sym w:font="Symbol" w:char="F029"/>
      </w:r>
      <w:r>
        <w:rPr>
          <w:rFonts w:ascii="宋体" w:hAnsi="宋体" w:hint="eastAsia"/>
          <w:color w:val="000000"/>
        </w:rPr>
        <w:t xml:space="preserve"> </w:t>
      </w:r>
      <w:r>
        <w:rPr>
          <w:rFonts w:ascii="宋体" w:hAnsi="宋体"/>
          <w:color w:val="000000"/>
        </w:rPr>
        <w:t>DNS域名服务软件的环境。在可能的情况下，</w:t>
      </w:r>
      <w:r>
        <w:rPr>
          <w:rFonts w:ascii="宋体" w:hAnsi="宋体" w:hint="eastAsia"/>
          <w:color w:val="000000"/>
        </w:rPr>
        <w:t>本标准还可用于使用</w:t>
      </w:r>
      <w:r>
        <w:rPr>
          <w:rFonts w:ascii="宋体" w:hAnsi="宋体"/>
          <w:color w:val="000000"/>
        </w:rPr>
        <w:t>其他DNS权威软件包如NSD和Microsoft Windows Server</w:t>
      </w:r>
      <w:r>
        <w:rPr>
          <w:rFonts w:ascii="宋体" w:hAnsi="宋体" w:hint="eastAsia"/>
          <w:color w:val="000000"/>
        </w:rPr>
        <w:t>域名服务软件的环境</w:t>
      </w:r>
      <w:r>
        <w:rPr>
          <w:rFonts w:ascii="宋体" w:hAnsi="宋体"/>
          <w:color w:val="000000"/>
        </w:rPr>
        <w:t>。</w:t>
      </w:r>
      <w:bookmarkEnd w:id="19"/>
      <w:bookmarkEnd w:id="20"/>
    </w:p>
    <w:p>
      <w:pPr>
        <w:pStyle w:val="a9"/>
        <w:spacing w:before="312" w:beforeLines="100" w:after="312" w:afterLines="100"/>
        <w:rPr>
          <w:rFonts w:ascii="Times New Roman"/>
          <w:color w:val="000000"/>
        </w:rPr>
      </w:pPr>
      <w:bookmarkStart w:id="21" w:name="_Toc381100814"/>
      <w:bookmarkStart w:id="22" w:name="_Toc120591275"/>
      <w:bookmarkStart w:id="23" w:name="_Toc90809523"/>
      <w:bookmarkStart w:id="24" w:name="_Toc330198902"/>
      <w:bookmarkStart w:id="25" w:name="_Toc330198560"/>
      <w:r>
        <w:rPr>
          <w:rFonts w:ascii="Times New Roman"/>
          <w:color w:val="000000"/>
        </w:rPr>
        <w:t>规范性引用文件</w:t>
      </w:r>
      <w:bookmarkEnd w:id="21"/>
      <w:bookmarkEnd w:id="22"/>
      <w:bookmarkEnd w:id="23"/>
      <w:bookmarkEnd w:id="24"/>
      <w:bookmarkEnd w:id="25"/>
    </w:p>
    <w:p>
      <w:pPr>
        <w:spacing w:line="400" w:lineRule="exact"/>
        <w:ind w:firstLine="420" w:firstLineChars="200"/>
        <w:rPr>
          <w:rFonts w:ascii="宋体" w:hAnsi="宋体"/>
          <w:color w:val="000000"/>
          <w:szCs w:val="21"/>
        </w:rPr>
      </w:pPr>
      <w:r>
        <w:rPr>
          <w:rFonts w:ascii="宋体" w:hAnsi="宋体"/>
          <w:color w:val="000000"/>
          <w:szCs w:val="21"/>
        </w:rPr>
        <w:t>下列文件对于本文件的应用是必不可少的。凡是注日期的引用文件，仅注日期的版本适用于本文件。凡是不注日期的引用文件，其最新版本（包括所有的修改单）适用于本文件。</w:t>
      </w:r>
    </w:p>
    <w:p>
      <w:pPr>
        <w:spacing w:line="400" w:lineRule="exact"/>
        <w:ind w:firstLine="420" w:firstLineChars="200"/>
        <w:rPr>
          <w:rFonts w:ascii="宋体" w:hAnsi="宋体"/>
          <w:color w:val="000000"/>
          <w:szCs w:val="21"/>
        </w:rPr>
      </w:pPr>
      <w:r>
        <w:rPr>
          <w:rFonts w:ascii="宋体" w:hAnsi="宋体"/>
          <w:color w:val="000000"/>
          <w:szCs w:val="21"/>
        </w:rPr>
        <w:t>GB/T 5271.8</w:t>
      </w:r>
      <w:r>
        <w:rPr>
          <w:rFonts w:ascii="宋体" w:hAnsi="宋体" w:hint="eastAsia"/>
          <w:color w:val="000000"/>
          <w:szCs w:val="21"/>
        </w:rPr>
        <w:t>-2001　</w:t>
      </w:r>
      <w:r>
        <w:rPr>
          <w:rFonts w:ascii="宋体" w:hAnsi="宋体"/>
          <w:color w:val="000000"/>
          <w:szCs w:val="21"/>
        </w:rPr>
        <w:t>信息技术</w:t>
      </w:r>
      <w:r>
        <w:rPr>
          <w:rFonts w:ascii="宋体" w:hAnsi="宋体" w:hint="eastAsia"/>
          <w:color w:val="000000"/>
          <w:szCs w:val="21"/>
        </w:rPr>
        <w:t>　</w:t>
      </w:r>
      <w:r>
        <w:rPr>
          <w:rFonts w:ascii="宋体" w:hAnsi="宋体"/>
          <w:color w:val="000000"/>
          <w:szCs w:val="21"/>
        </w:rPr>
        <w:t>词汇</w:t>
      </w:r>
      <w:r>
        <w:rPr>
          <w:rFonts w:ascii="宋体" w:hAnsi="宋体" w:hint="eastAsia"/>
          <w:color w:val="000000"/>
          <w:szCs w:val="21"/>
        </w:rPr>
        <w:t>　</w:t>
      </w:r>
      <w:r>
        <w:rPr>
          <w:rFonts w:ascii="宋体" w:hAnsi="宋体"/>
          <w:color w:val="000000"/>
          <w:szCs w:val="21"/>
        </w:rPr>
        <w:t>第8部分：安全</w:t>
      </w:r>
      <w:r>
        <w:rPr>
          <w:rFonts w:ascii="宋体" w:hAnsi="宋体" w:hint="eastAsia"/>
          <w:color w:val="000000"/>
          <w:szCs w:val="21"/>
        </w:rPr>
        <w:t>（</w:t>
      </w:r>
      <w:r>
        <w:rPr>
          <w:rFonts w:ascii="宋体" w:hAnsi="宋体"/>
          <w:szCs w:val="21"/>
        </w:rPr>
        <w:t>ISO/IEC 2</w:t>
      </w:r>
      <w:r>
        <w:rPr>
          <w:rFonts w:ascii="宋体" w:hAnsi="宋体" w:hint="eastAsia"/>
          <w:szCs w:val="21"/>
        </w:rPr>
        <w:t>382-8</w:t>
      </w:r>
      <w:r>
        <w:rPr>
          <w:rFonts w:ascii="宋体" w:hAnsi="宋体"/>
          <w:szCs w:val="21"/>
        </w:rPr>
        <w:t>:</w:t>
      </w:r>
      <w:r>
        <w:rPr>
          <w:rFonts w:ascii="宋体" w:hAnsi="宋体" w:hint="eastAsia"/>
          <w:szCs w:val="21"/>
        </w:rPr>
        <w:t>1998，IDT</w:t>
      </w:r>
      <w:r>
        <w:rPr>
          <w:rFonts w:ascii="宋体" w:hAnsi="宋体" w:hint="eastAsia"/>
          <w:color w:val="000000"/>
          <w:szCs w:val="21"/>
        </w:rPr>
        <w:t>）</w:t>
      </w:r>
    </w:p>
    <w:p>
      <w:pPr>
        <w:spacing w:line="400" w:lineRule="exact"/>
        <w:ind w:firstLine="420" w:firstLineChars="200"/>
        <w:rPr>
          <w:rFonts w:ascii="宋体" w:hAnsi="宋体"/>
          <w:color w:val="000000"/>
          <w:szCs w:val="21"/>
        </w:rPr>
      </w:pPr>
      <w:r>
        <w:rPr>
          <w:rFonts w:ascii="宋体" w:hAnsi="宋体"/>
          <w:color w:val="000000"/>
          <w:szCs w:val="21"/>
        </w:rPr>
        <w:t>GB/T 5271.</w:t>
      </w:r>
      <w:r>
        <w:rPr>
          <w:rFonts w:ascii="宋体" w:hAnsi="宋体" w:hint="eastAsia"/>
          <w:color w:val="000000"/>
          <w:szCs w:val="21"/>
        </w:rPr>
        <w:t>9-2001　</w:t>
      </w:r>
      <w:r>
        <w:rPr>
          <w:rFonts w:ascii="宋体" w:hAnsi="宋体"/>
          <w:color w:val="000000"/>
          <w:szCs w:val="21"/>
        </w:rPr>
        <w:t>信息技术</w:t>
      </w:r>
      <w:r>
        <w:rPr>
          <w:rFonts w:ascii="宋体" w:hAnsi="宋体" w:hint="eastAsia"/>
          <w:color w:val="000000"/>
          <w:szCs w:val="21"/>
        </w:rPr>
        <w:t>　</w:t>
      </w:r>
      <w:r>
        <w:rPr>
          <w:rFonts w:ascii="宋体" w:hAnsi="宋体"/>
          <w:color w:val="000000"/>
          <w:szCs w:val="21"/>
        </w:rPr>
        <w:t>词汇</w:t>
      </w:r>
      <w:r>
        <w:rPr>
          <w:rFonts w:ascii="宋体" w:hAnsi="宋体" w:hint="eastAsia"/>
          <w:color w:val="000000"/>
          <w:szCs w:val="21"/>
        </w:rPr>
        <w:t>　</w:t>
      </w:r>
      <w:r>
        <w:rPr>
          <w:rFonts w:ascii="宋体" w:hAnsi="宋体"/>
          <w:color w:val="000000"/>
          <w:szCs w:val="21"/>
        </w:rPr>
        <w:t>第</w:t>
      </w:r>
      <w:r>
        <w:rPr>
          <w:rFonts w:ascii="宋体" w:hAnsi="宋体" w:hint="eastAsia"/>
          <w:color w:val="000000"/>
          <w:szCs w:val="21"/>
        </w:rPr>
        <w:t>9</w:t>
      </w:r>
      <w:r>
        <w:rPr>
          <w:rFonts w:ascii="宋体" w:hAnsi="宋体"/>
          <w:color w:val="000000"/>
          <w:szCs w:val="21"/>
        </w:rPr>
        <w:t>部分：</w:t>
      </w:r>
      <w:r>
        <w:rPr>
          <w:rFonts w:ascii="宋体" w:hAnsi="宋体" w:hint="eastAsia"/>
          <w:color w:val="000000"/>
          <w:szCs w:val="21"/>
        </w:rPr>
        <w:t>数据通信（</w:t>
      </w:r>
      <w:r>
        <w:rPr>
          <w:rFonts w:ascii="宋体" w:hAnsi="宋体"/>
          <w:szCs w:val="21"/>
        </w:rPr>
        <w:t>ISO/IEC 2</w:t>
      </w:r>
      <w:r>
        <w:rPr>
          <w:rFonts w:ascii="宋体" w:hAnsi="宋体" w:hint="eastAsia"/>
          <w:szCs w:val="21"/>
        </w:rPr>
        <w:t>382-9</w:t>
      </w:r>
      <w:r>
        <w:rPr>
          <w:rFonts w:ascii="宋体" w:hAnsi="宋体"/>
          <w:szCs w:val="21"/>
        </w:rPr>
        <w:t>:</w:t>
      </w:r>
      <w:r>
        <w:rPr>
          <w:rFonts w:ascii="宋体" w:hAnsi="宋体" w:hint="eastAsia"/>
          <w:szCs w:val="21"/>
        </w:rPr>
        <w:t>199</w:t>
      </w:r>
      <w:r>
        <w:rPr>
          <w:rFonts w:ascii="宋体" w:hAnsi="宋体"/>
          <w:szCs w:val="21"/>
        </w:rPr>
        <w:t>5</w:t>
      </w:r>
      <w:r>
        <w:rPr>
          <w:rFonts w:ascii="宋体" w:hAnsi="宋体" w:hint="eastAsia"/>
          <w:szCs w:val="21"/>
        </w:rPr>
        <w:t>，EQV）</w:t>
      </w:r>
    </w:p>
    <w:p>
      <w:pPr>
        <w:spacing w:line="400" w:lineRule="exact"/>
        <w:ind w:firstLine="420" w:firstLineChars="200"/>
        <w:rPr>
          <w:rFonts w:ascii="宋体" w:hAnsi="宋体"/>
          <w:color w:val="000000"/>
          <w:szCs w:val="21"/>
        </w:rPr>
      </w:pPr>
      <w:r>
        <w:rPr>
          <w:rFonts w:ascii="宋体" w:hAnsi="宋体" w:hint="eastAsia"/>
          <w:color w:val="000000"/>
          <w:szCs w:val="21"/>
        </w:rPr>
        <w:t>GB/T 25069-2010   信息安全技术　术语</w:t>
      </w:r>
    </w:p>
    <w:p>
      <w:pPr>
        <w:spacing w:line="400" w:lineRule="exact"/>
        <w:ind w:firstLine="420" w:firstLineChars="200"/>
        <w:rPr>
          <w:rFonts w:ascii="宋体" w:hAnsi="宋体"/>
          <w:color w:val="000000"/>
          <w:szCs w:val="21"/>
        </w:rPr>
      </w:pPr>
      <w:r>
        <w:rPr>
          <w:rFonts w:ascii="宋体" w:hAnsi="宋体" w:hint="eastAsia"/>
          <w:color w:val="000000"/>
          <w:szCs w:val="21"/>
        </w:rPr>
        <w:t>YD/T 2586-2013    域名服务系统安全扩展(DNSSEC)协议和实现要求</w:t>
      </w:r>
    </w:p>
    <w:p>
      <w:pPr>
        <w:pStyle w:val="a9"/>
        <w:spacing w:before="312" w:beforeLines="100" w:after="312" w:afterLines="100"/>
        <w:rPr>
          <w:rFonts w:ascii="Times New Roman"/>
          <w:color w:val="000000"/>
        </w:rPr>
      </w:pPr>
      <w:bookmarkStart w:id="26" w:name="_Toc330198903"/>
      <w:bookmarkStart w:id="27" w:name="_Toc330198561"/>
      <w:bookmarkStart w:id="28" w:name="_Toc381100815"/>
      <w:bookmarkStart w:id="29" w:name="_Toc120591276"/>
      <w:bookmarkStart w:id="30" w:name="_Toc90809524"/>
      <w:r>
        <w:rPr>
          <w:rFonts w:ascii="Times New Roman"/>
          <w:color w:val="000000"/>
        </w:rPr>
        <w:t>术语和定义</w:t>
      </w:r>
      <w:bookmarkEnd w:id="26"/>
      <w:bookmarkEnd w:id="27"/>
      <w:bookmarkEnd w:id="28"/>
      <w:bookmarkEnd w:id="29"/>
      <w:bookmarkEnd w:id="30"/>
    </w:p>
    <w:bookmarkEnd w:id="13"/>
    <w:p>
      <w:pPr>
        <w:spacing w:line="400" w:lineRule="exact"/>
        <w:ind w:firstLine="420" w:firstLineChars="200"/>
        <w:rPr>
          <w:color w:val="000000"/>
          <w:szCs w:val="21"/>
        </w:rPr>
      </w:pPr>
      <w:r>
        <w:rPr>
          <w:rFonts w:ascii="宋体" w:hAnsi="宋体" w:hint="eastAsia"/>
        </w:rPr>
        <w:t>GB/T 5271.8-2001、GB/T 5271.9-2001、GB/T 25069-2006-2010</w:t>
      </w:r>
      <w:r>
        <w:rPr>
          <w:rFonts w:hint="eastAsia"/>
        </w:rPr>
        <w:t>中界定的以及</w:t>
      </w:r>
      <w:r>
        <w:rPr>
          <w:rFonts w:hAnsi="宋体" w:hint="eastAsia"/>
          <w:color w:val="000000"/>
          <w:szCs w:val="21"/>
        </w:rPr>
        <w:t>下列术语和定义适用于本文件。</w:t>
      </w:r>
    </w:p>
    <w:p>
      <w:pPr>
        <w:pStyle w:val="a10"/>
        <w:numPr>
          <w:ilvl w:val="2"/>
          <w:numId w:val="10"/>
        </w:numPr>
        <w:spacing w:line="400" w:lineRule="exact"/>
        <w:rPr>
          <w:color w:val="000000"/>
        </w:rPr>
      </w:pPr>
      <w:bookmarkStart w:id="31" w:name="_Toc295391389"/>
      <w:bookmarkEnd w:id="31"/>
      <w:bookmarkStart w:id="32" w:name="_Toc295395627"/>
      <w:bookmarkEnd w:id="32"/>
      <w:bookmarkStart w:id="33" w:name="_Toc330200462"/>
      <w:bookmarkEnd w:id="33"/>
      <w:bookmarkStart w:id="34" w:name="_Toc330198904"/>
      <w:bookmarkEnd w:id="34"/>
      <w:bookmarkStart w:id="35" w:name="_Toc295397627"/>
      <w:bookmarkEnd w:id="35"/>
      <w:bookmarkStart w:id="36" w:name="_Toc295552534"/>
      <w:bookmarkEnd w:id="36"/>
      <w:bookmarkStart w:id="37" w:name="_Toc330198562"/>
      <w:bookmarkEnd w:id="37"/>
      <w:bookmarkStart w:id="38" w:name="_Toc330199268"/>
      <w:bookmarkEnd w:id="38"/>
      <w:bookmarkStart w:id="39" w:name="_Toc330201253"/>
      <w:bookmarkEnd w:id="39"/>
      <w:bookmarkStart w:id="40" w:name="_Toc330201429"/>
      <w:bookmarkEnd w:id="40"/>
      <w:bookmarkStart w:id="41" w:name="_Toc335048093"/>
      <w:bookmarkEnd w:id="41"/>
      <w:bookmarkStart w:id="42" w:name="_Toc335048413"/>
      <w:bookmarkEnd w:id="42"/>
      <w:bookmarkStart w:id="43" w:name="_Toc381100816"/>
      <w:bookmarkEnd w:id="43"/>
      <w:bookmarkStart w:id="44" w:name="_Toc361318130"/>
      <w:bookmarkEnd w:id="44"/>
    </w:p>
    <w:p>
      <w:pPr>
        <w:pStyle w:val="a10"/>
        <w:numPr>
          <w:ilvl w:val="1"/>
          <w:numId w:val="0"/>
        </w:numPr>
        <w:spacing w:line="400" w:lineRule="exact"/>
        <w:ind w:firstLine="420" w:firstLineChars="200"/>
        <w:rPr>
          <w:rFonts w:ascii="黑体" w:hAnsi="黑体"/>
          <w:color w:val="000000"/>
          <w:kern w:val="2"/>
          <w:szCs w:val="21"/>
        </w:rPr>
      </w:pPr>
      <w:bookmarkStart w:id="45" w:name="_Toc330200463"/>
      <w:bookmarkStart w:id="46" w:name="_Toc330201254"/>
      <w:bookmarkStart w:id="47" w:name="_Toc330201430"/>
      <w:bookmarkStart w:id="48" w:name="_Toc330198563"/>
      <w:bookmarkStart w:id="49" w:name="_Toc330198905"/>
      <w:bookmarkStart w:id="50" w:name="_Toc330199269"/>
      <w:bookmarkStart w:id="51" w:name="_Toc335048094"/>
      <w:bookmarkStart w:id="52" w:name="_Toc335048414"/>
      <w:bookmarkStart w:id="53" w:name="_Toc361318131"/>
      <w:bookmarkStart w:id="54" w:name="_Toc381100817"/>
      <w:bookmarkStart w:id="55" w:name="_Toc295552535"/>
      <w:r>
        <w:rPr>
          <w:rFonts w:ascii="黑体" w:hAnsi="黑体"/>
          <w:color w:val="000000"/>
          <w:kern w:val="2"/>
          <w:szCs w:val="21"/>
        </w:rPr>
        <w:t>域名系统domain name system</w:t>
      </w:r>
      <w:bookmarkEnd w:id="45"/>
      <w:bookmarkEnd w:id="46"/>
      <w:bookmarkEnd w:id="47"/>
      <w:bookmarkEnd w:id="48"/>
      <w:bookmarkEnd w:id="49"/>
      <w:bookmarkEnd w:id="50"/>
      <w:bookmarkEnd w:id="51"/>
      <w:bookmarkEnd w:id="52"/>
      <w:bookmarkEnd w:id="53"/>
      <w:bookmarkEnd w:id="54"/>
      <w:bookmarkEnd w:id="55"/>
    </w:p>
    <w:p>
      <w:pPr>
        <w:spacing w:line="400" w:lineRule="exact"/>
        <w:ind w:firstLine="420" w:firstLineChars="200"/>
        <w:rPr>
          <w:rFonts w:ascii="宋体" w:hAnsi="宋体"/>
          <w:color w:val="000000"/>
          <w:szCs w:val="21"/>
        </w:rPr>
      </w:pPr>
      <w:bookmarkStart w:id="56" w:name="_Toc295552536"/>
      <w:bookmarkStart w:id="57" w:name="_Toc361318132"/>
      <w:bookmarkStart w:id="58" w:name="_Toc330201431"/>
      <w:bookmarkStart w:id="59" w:name="_Toc335048095"/>
      <w:bookmarkStart w:id="60" w:name="_Toc335048415"/>
      <w:bookmarkStart w:id="61" w:name="_Toc330198564"/>
      <w:bookmarkStart w:id="62" w:name="_Toc330198906"/>
      <w:bookmarkStart w:id="63" w:name="_Toc330199270"/>
      <w:bookmarkStart w:id="64" w:name="_Toc330200464"/>
      <w:bookmarkStart w:id="65" w:name="_Toc330201255"/>
      <w:r>
        <w:rPr>
          <w:rFonts w:ascii="宋体" w:hAnsi="宋体"/>
          <w:color w:val="000000"/>
          <w:szCs w:val="21"/>
        </w:rPr>
        <w:t>将域名映射为某些预定义类型资源记录（Resource Record）的分布式互联网服务系统，网络中域名服务器间通过相互协作</w:t>
      </w:r>
      <w:r>
        <w:rPr>
          <w:rFonts w:ascii="宋体" w:hAnsi="宋体" w:hint="eastAsia"/>
          <w:color w:val="000000"/>
          <w:szCs w:val="21"/>
        </w:rPr>
        <w:t>，</w:t>
      </w:r>
      <w:r>
        <w:rPr>
          <w:rFonts w:ascii="宋体" w:hAnsi="宋体"/>
          <w:color w:val="000000"/>
          <w:szCs w:val="21"/>
        </w:rPr>
        <w:t>实现将域名（或者其他的查询对象）最终解析到相应的资源记录。</w:t>
      </w:r>
      <w:bookmarkEnd w:id="56"/>
      <w:bookmarkEnd w:id="57"/>
      <w:bookmarkEnd w:id="58"/>
      <w:bookmarkEnd w:id="59"/>
      <w:bookmarkEnd w:id="60"/>
      <w:bookmarkEnd w:id="61"/>
      <w:bookmarkEnd w:id="62"/>
      <w:bookmarkEnd w:id="63"/>
      <w:bookmarkEnd w:id="64"/>
      <w:bookmarkEnd w:id="65"/>
    </w:p>
    <w:p>
      <w:pPr>
        <w:spacing w:line="400" w:lineRule="exact"/>
        <w:ind w:firstLine="420" w:firstLineChars="200"/>
        <w:rPr>
          <w:rFonts w:ascii="宋体" w:hAnsi="宋体"/>
          <w:color w:val="000000"/>
          <w:szCs w:val="21"/>
        </w:rPr>
      </w:pPr>
      <w:r>
        <w:rPr>
          <w:rFonts w:ascii="宋体" w:hAnsi="宋体"/>
          <w:color w:val="000000"/>
          <w:szCs w:val="21"/>
        </w:rPr>
        <w:t>[</w:t>
      </w:r>
      <w:r>
        <w:rPr>
          <w:rFonts w:ascii="宋体" w:hAnsi="宋体" w:hint="eastAsia"/>
          <w:color w:val="000000"/>
          <w:szCs w:val="21"/>
        </w:rPr>
        <w:t>修改自</w:t>
      </w:r>
      <w:r>
        <w:rPr>
          <w:rFonts w:ascii="宋体" w:hAnsi="宋体"/>
          <w:color w:val="000000"/>
          <w:szCs w:val="21"/>
        </w:rPr>
        <w:t>YD/T 2135-2010，定义3.1.1]</w:t>
      </w:r>
    </w:p>
    <w:p>
      <w:pPr>
        <w:pStyle w:val="a10"/>
        <w:numPr>
          <w:ilvl w:val="2"/>
          <w:numId w:val="10"/>
        </w:numPr>
        <w:spacing w:line="400" w:lineRule="exact"/>
        <w:rPr>
          <w:color w:val="000000"/>
        </w:rPr>
      </w:pPr>
      <w:bookmarkStart w:id="66" w:name="_Toc295397629"/>
      <w:bookmarkEnd w:id="66"/>
      <w:bookmarkStart w:id="67" w:name="_Toc330198909"/>
      <w:bookmarkEnd w:id="67"/>
      <w:bookmarkStart w:id="68" w:name="_Toc330201258"/>
      <w:bookmarkEnd w:id="68"/>
      <w:bookmarkStart w:id="69" w:name="_Toc330199273"/>
      <w:bookmarkEnd w:id="69"/>
      <w:bookmarkStart w:id="70" w:name="_Toc295395629"/>
      <w:bookmarkEnd w:id="70"/>
      <w:bookmarkStart w:id="71" w:name="_Toc330200467"/>
      <w:bookmarkEnd w:id="71"/>
      <w:bookmarkStart w:id="72" w:name="_Toc330198567"/>
      <w:bookmarkEnd w:id="72"/>
      <w:bookmarkStart w:id="73" w:name="_Toc295391391"/>
      <w:bookmarkEnd w:id="73"/>
      <w:bookmarkStart w:id="74" w:name="_Toc361318135"/>
      <w:bookmarkEnd w:id="74"/>
      <w:bookmarkStart w:id="75" w:name="_Toc295552539"/>
      <w:bookmarkEnd w:id="75"/>
      <w:bookmarkStart w:id="76" w:name="_Toc330201434"/>
      <w:bookmarkEnd w:id="76"/>
      <w:bookmarkStart w:id="77" w:name="_Toc335048098"/>
      <w:bookmarkEnd w:id="77"/>
      <w:bookmarkStart w:id="78" w:name="_Toc335048418"/>
      <w:bookmarkEnd w:id="78"/>
      <w:bookmarkStart w:id="79" w:name="_Toc381100818"/>
      <w:bookmarkEnd w:id="79"/>
    </w:p>
    <w:p>
      <w:pPr>
        <w:pStyle w:val="a10"/>
        <w:numPr>
          <w:ilvl w:val="1"/>
          <w:numId w:val="0"/>
        </w:numPr>
        <w:spacing w:line="400" w:lineRule="exact"/>
        <w:ind w:firstLine="420" w:firstLineChars="200"/>
        <w:rPr>
          <w:rFonts w:ascii="黑体" w:hAnsi="黑体"/>
          <w:color w:val="000000"/>
          <w:kern w:val="2"/>
          <w:szCs w:val="21"/>
        </w:rPr>
      </w:pPr>
      <w:bookmarkStart w:id="80" w:name="_Toc330198568"/>
      <w:bookmarkStart w:id="81" w:name="_Toc330201435"/>
      <w:bookmarkStart w:id="82" w:name="_Toc330200468"/>
      <w:bookmarkStart w:id="83" w:name="_Toc335048419"/>
      <w:bookmarkStart w:id="84" w:name="_Toc330199274"/>
      <w:bookmarkStart w:id="85" w:name="_Toc330201259"/>
      <w:bookmarkStart w:id="86" w:name="_Toc330198910"/>
      <w:bookmarkStart w:id="87" w:name="_Toc361318136"/>
      <w:bookmarkStart w:id="88" w:name="_Toc295552540"/>
      <w:bookmarkStart w:id="89" w:name="_Toc335048099"/>
      <w:bookmarkStart w:id="90" w:name="_Toc381100819"/>
      <w:r>
        <w:rPr>
          <w:rFonts w:ascii="黑体" w:hAnsi="黑体"/>
          <w:color w:val="000000"/>
          <w:kern w:val="2"/>
          <w:szCs w:val="21"/>
        </w:rPr>
        <w:t>名字空间</w:t>
      </w:r>
      <w:bookmarkEnd w:id="80"/>
      <w:bookmarkEnd w:id="81"/>
      <w:bookmarkEnd w:id="82"/>
      <w:bookmarkEnd w:id="83"/>
      <w:bookmarkEnd w:id="84"/>
      <w:bookmarkEnd w:id="85"/>
      <w:bookmarkEnd w:id="86"/>
      <w:bookmarkEnd w:id="87"/>
      <w:bookmarkEnd w:id="88"/>
      <w:bookmarkEnd w:id="89"/>
      <w:r>
        <w:rPr>
          <w:rFonts w:ascii="黑体" w:hAnsi="黑体"/>
          <w:color w:val="000000"/>
          <w:kern w:val="2"/>
          <w:szCs w:val="21"/>
        </w:rPr>
        <w:t>name space</w:t>
      </w:r>
      <w:bookmarkEnd w:id="90"/>
    </w:p>
    <w:p>
      <w:pPr>
        <w:pStyle w:val="a10"/>
        <w:numPr>
          <w:ilvl w:val="1"/>
          <w:numId w:val="0"/>
        </w:numPr>
        <w:spacing w:line="400" w:lineRule="exact"/>
        <w:ind w:firstLine="420" w:firstLineChars="200"/>
        <w:jc w:val="left"/>
        <w:outlineLvl w:val="9"/>
        <w:rPr>
          <w:rFonts w:ascii="宋体" w:eastAsia="宋体" w:hAnsi="宋体"/>
          <w:color w:val="000000"/>
        </w:rPr>
      </w:pPr>
      <w:bookmarkStart w:id="91" w:name="_Toc335048100"/>
      <w:bookmarkStart w:id="92" w:name="_Toc295552541"/>
      <w:bookmarkStart w:id="93" w:name="_Toc330201260"/>
      <w:bookmarkStart w:id="94" w:name="_Toc330198911"/>
      <w:bookmarkStart w:id="95" w:name="_Toc335048420"/>
      <w:bookmarkStart w:id="96" w:name="_Toc381100820"/>
      <w:bookmarkStart w:id="97" w:name="_Toc330198569"/>
      <w:bookmarkStart w:id="98" w:name="_Toc330200469"/>
      <w:bookmarkStart w:id="99" w:name="_Toc330201436"/>
      <w:bookmarkStart w:id="100" w:name="_Toc330199275"/>
      <w:bookmarkStart w:id="101" w:name="_Toc361318137"/>
      <w:r>
        <w:rPr>
          <w:rFonts w:ascii="宋体" w:eastAsia="宋体" w:hAnsi="宋体"/>
          <w:color w:val="000000"/>
        </w:rPr>
        <w:t>一种</w:t>
      </w:r>
      <w:r>
        <w:rPr>
          <w:rFonts w:ascii="宋体" w:eastAsia="宋体" w:hAnsi="宋体" w:hint="eastAsia"/>
          <w:color w:val="000000"/>
        </w:rPr>
        <w:t>节点与资源集合相对应的</w:t>
      </w:r>
      <w:r>
        <w:rPr>
          <w:rFonts w:ascii="宋体" w:eastAsia="宋体" w:hAnsi="宋体"/>
          <w:color w:val="000000"/>
        </w:rPr>
        <w:t>树状结构（如图1所示）</w:t>
      </w:r>
      <w:bookmarkEnd w:id="91"/>
      <w:bookmarkEnd w:id="92"/>
      <w:bookmarkEnd w:id="93"/>
      <w:bookmarkEnd w:id="94"/>
      <w:bookmarkEnd w:id="95"/>
      <w:bookmarkEnd w:id="96"/>
      <w:bookmarkEnd w:id="97"/>
      <w:bookmarkEnd w:id="98"/>
      <w:bookmarkEnd w:id="99"/>
      <w:bookmarkEnd w:id="100"/>
      <w:bookmarkEnd w:id="101"/>
      <w:r>
        <w:rPr>
          <w:rFonts w:ascii="宋体" w:eastAsia="宋体" w:hAnsi="宋体" w:hint="eastAsia"/>
          <w:color w:val="000000"/>
        </w:rPr>
        <w:t>。</w:t>
      </w:r>
    </w:p>
    <w:p>
      <w:pPr>
        <w:pStyle w:val="a8"/>
        <w:spacing w:line="400" w:lineRule="exact"/>
        <w:ind w:firstLine="420"/>
        <w:jc w:val="left"/>
        <w:rPr>
          <w:rFonts w:ascii="Times New Roman"/>
          <w:color w:val="000000"/>
        </w:rPr>
        <w:sectPr>
          <w:headerReference w:type="even" r:id="rId27"/>
          <w:headerReference w:type="default" r:id="rId28"/>
          <w:footerReference w:type="even" r:id="rId29"/>
          <w:footerReference w:type="default" r:id="rId30"/>
          <w:headerReference w:type="first" r:id="rId31"/>
          <w:footerReference w:type="first" r:id="rId32"/>
          <w:type w:val="nextPage"/>
          <w:pgSz w:w="11907" w:h="16839"/>
          <w:pgMar w:top="1418" w:right="1134" w:bottom="1134" w:left="1418" w:header="1418" w:footer="851" w:gutter="0"/>
          <w:pgNumType w:start="2"/>
          <w:cols w:num="1" w:space="425"/>
          <w:titlePg w:val="0"/>
          <w:docGrid w:type="lines" w:linePitch="312" w:charSpace="0"/>
        </w:sectPr>
      </w:pPr>
      <w:r>
        <w:rPr>
          <w:rFonts w:hAnsi="宋体"/>
          <w:color w:val="000000"/>
        </w:rPr>
        <w:t>[</w:t>
      </w:r>
      <w:r>
        <w:rPr>
          <w:rFonts w:hAnsi="宋体" w:hint="eastAsia"/>
          <w:color w:val="000000"/>
        </w:rPr>
        <w:t>修改自</w:t>
      </w:r>
      <w:r>
        <w:rPr>
          <w:rFonts w:hAnsi="宋体"/>
          <w:color w:val="000000"/>
        </w:rPr>
        <w:t>YD/T 2135-2010，定义3.1.2]</w:t>
      </w:r>
    </w:p>
    <w:p>
      <w:pPr>
        <w:pStyle w:val="a8"/>
        <w:ind w:firstLine="420"/>
        <w:jc w:val="center"/>
        <w:rPr>
          <w:rFonts w:ascii="Times New Roman"/>
          <w:color w:val="000000"/>
        </w:rPr>
      </w:pPr>
      <w:r>
        <w:object>
          <v:shape id="_x0000_i1034" type="#_x0000_t75" style="width:330.75pt;height:181.5pt" o:ole="" coordsize="21600,21600" o:preferrelative="t" filled="f" stroked="f">
            <v:stroke joinstyle="miter"/>
            <v:imagedata r:id="rId33" o:title=""/>
            <o:lock v:ext="edit" aspectratio="t"/>
            <w10:anchorlock/>
          </v:shape>
          <o:OLEObject Type="Embed" ProgID="Visio.Drawing.11" ShapeID="_x0000_i1034" DrawAspect="Content" ObjectID="_1468075725" r:id="rId34"/>
        </w:object>
      </w:r>
    </w:p>
    <w:p>
      <w:pPr>
        <w:pStyle w:val="a8"/>
        <w:spacing w:line="400" w:lineRule="exact"/>
        <w:ind w:firstLine="420"/>
        <w:jc w:val="center"/>
        <w:rPr>
          <w:rFonts w:ascii="黑体" w:eastAsia="黑体" w:hAnsi="黑体"/>
          <w:color w:val="000000"/>
          <w:szCs w:val="21"/>
        </w:rPr>
      </w:pPr>
      <w:r>
        <w:rPr>
          <w:rFonts w:ascii="黑体" w:eastAsia="黑体" w:hAnsi="黑体"/>
          <w:color w:val="000000"/>
          <w:szCs w:val="21"/>
        </w:rPr>
        <w:t>图1 域名系统名字空间示意图</w:t>
      </w:r>
    </w:p>
    <w:p>
      <w:pPr>
        <w:pStyle w:val="a10"/>
        <w:numPr>
          <w:ilvl w:val="2"/>
          <w:numId w:val="10"/>
        </w:numPr>
        <w:spacing w:line="400" w:lineRule="exact"/>
        <w:rPr>
          <w:color w:val="000000"/>
        </w:rPr>
      </w:pPr>
      <w:bookmarkStart w:id="102" w:name="_Toc295552542"/>
      <w:bookmarkEnd w:id="102"/>
      <w:bookmarkStart w:id="103" w:name="_Toc330198570"/>
      <w:bookmarkEnd w:id="103"/>
      <w:bookmarkStart w:id="104" w:name="_Toc330198912"/>
      <w:bookmarkEnd w:id="104"/>
      <w:bookmarkStart w:id="105" w:name="_Toc330199276"/>
      <w:bookmarkEnd w:id="105"/>
      <w:bookmarkStart w:id="106" w:name="_Toc330201261"/>
      <w:bookmarkEnd w:id="106"/>
      <w:bookmarkStart w:id="107" w:name="_Toc335048101"/>
      <w:bookmarkEnd w:id="107"/>
      <w:bookmarkStart w:id="108" w:name="_Toc330200470"/>
      <w:bookmarkEnd w:id="108"/>
      <w:bookmarkStart w:id="109" w:name="_Toc335048421"/>
      <w:bookmarkEnd w:id="109"/>
      <w:bookmarkStart w:id="110" w:name="_Toc330201437"/>
      <w:bookmarkEnd w:id="110"/>
      <w:bookmarkStart w:id="111" w:name="_Toc361318138"/>
      <w:bookmarkEnd w:id="111"/>
      <w:bookmarkStart w:id="112" w:name="_Toc381100821"/>
      <w:bookmarkEnd w:id="112"/>
    </w:p>
    <w:p>
      <w:pPr>
        <w:pStyle w:val="a10"/>
        <w:numPr>
          <w:ilvl w:val="1"/>
          <w:numId w:val="0"/>
        </w:numPr>
        <w:spacing w:line="400" w:lineRule="exact"/>
        <w:ind w:firstLine="420" w:firstLineChars="200"/>
        <w:rPr>
          <w:rFonts w:ascii="黑体" w:hAnsi="黑体"/>
          <w:color w:val="000000"/>
          <w:kern w:val="2"/>
          <w:szCs w:val="21"/>
        </w:rPr>
      </w:pPr>
      <w:bookmarkStart w:id="113" w:name="_Toc330201262"/>
      <w:bookmarkStart w:id="114" w:name="_Toc330201438"/>
      <w:bookmarkStart w:id="115" w:name="_Toc335048102"/>
      <w:bookmarkStart w:id="116" w:name="_Toc335048422"/>
      <w:bookmarkStart w:id="117" w:name="_Toc361318139"/>
      <w:bookmarkStart w:id="118" w:name="_Toc295552543"/>
      <w:bookmarkStart w:id="119" w:name="_Toc381100822"/>
      <w:bookmarkStart w:id="120" w:name="_Toc330198913"/>
      <w:bookmarkStart w:id="121" w:name="_Toc330199277"/>
      <w:bookmarkStart w:id="122" w:name="_Toc330198571"/>
      <w:bookmarkStart w:id="123" w:name="_Toc330200471"/>
      <w:r>
        <w:rPr>
          <w:rFonts w:ascii="黑体" w:hAnsi="黑体"/>
          <w:color w:val="000000"/>
          <w:kern w:val="2"/>
          <w:szCs w:val="21"/>
        </w:rPr>
        <w:t>域名domain name</w:t>
      </w:r>
      <w:bookmarkEnd w:id="113"/>
      <w:bookmarkEnd w:id="114"/>
      <w:bookmarkEnd w:id="115"/>
      <w:bookmarkEnd w:id="116"/>
      <w:bookmarkEnd w:id="117"/>
      <w:bookmarkEnd w:id="118"/>
      <w:bookmarkEnd w:id="119"/>
      <w:bookmarkEnd w:id="120"/>
      <w:bookmarkEnd w:id="121"/>
      <w:bookmarkEnd w:id="122"/>
      <w:bookmarkEnd w:id="123"/>
    </w:p>
    <w:p>
      <w:pPr>
        <w:pStyle w:val="a8"/>
        <w:spacing w:line="400" w:lineRule="exact"/>
        <w:ind w:firstLine="420"/>
        <w:rPr>
          <w:rFonts w:hAnsi="宋体"/>
          <w:color w:val="000000"/>
        </w:rPr>
      </w:pPr>
      <w:r>
        <w:rPr>
          <w:rFonts w:hAnsi="宋体"/>
          <w:color w:val="000000"/>
        </w:rPr>
        <w:t>域名系统名字空间中，从当前节点到根节点的路径上所有节点标记的点分顺序连接</w:t>
      </w:r>
      <w:r>
        <w:rPr>
          <w:rFonts w:hAnsi="宋体" w:hint="eastAsia"/>
          <w:color w:val="000000"/>
        </w:rPr>
        <w:t>的字符串</w:t>
      </w:r>
      <w:r>
        <w:rPr>
          <w:rFonts w:hAnsi="宋体"/>
          <w:color w:val="000000"/>
        </w:rPr>
        <w:t>。</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2135-2010，定义3.1.3]</w:t>
      </w:r>
    </w:p>
    <w:p>
      <w:pPr>
        <w:pStyle w:val="a10"/>
        <w:numPr>
          <w:ilvl w:val="2"/>
          <w:numId w:val="10"/>
        </w:numPr>
        <w:spacing w:line="400" w:lineRule="exact"/>
        <w:rPr>
          <w:color w:val="000000"/>
        </w:rPr>
      </w:pPr>
      <w:bookmarkStart w:id="124" w:name="_Toc330198914"/>
      <w:bookmarkEnd w:id="124"/>
      <w:bookmarkStart w:id="125" w:name="_Toc330199278"/>
      <w:bookmarkEnd w:id="125"/>
      <w:bookmarkStart w:id="126" w:name="_Toc330200472"/>
      <w:bookmarkEnd w:id="126"/>
      <w:bookmarkStart w:id="127" w:name="_Toc330201263"/>
      <w:bookmarkEnd w:id="127"/>
      <w:bookmarkStart w:id="128" w:name="_Toc330198572"/>
      <w:bookmarkEnd w:id="128"/>
      <w:bookmarkStart w:id="129" w:name="_Toc295552544"/>
      <w:bookmarkEnd w:id="129"/>
      <w:bookmarkStart w:id="130" w:name="_Toc381100823"/>
      <w:bookmarkEnd w:id="130"/>
      <w:bookmarkStart w:id="131" w:name="_Toc330201439"/>
      <w:bookmarkEnd w:id="131"/>
      <w:bookmarkStart w:id="132" w:name="_Toc335048103"/>
      <w:bookmarkEnd w:id="132"/>
      <w:bookmarkStart w:id="133" w:name="_Toc361318140"/>
      <w:bookmarkEnd w:id="133"/>
      <w:bookmarkStart w:id="134" w:name="_Toc335048423"/>
      <w:bookmarkEnd w:id="134"/>
    </w:p>
    <w:p>
      <w:pPr>
        <w:pStyle w:val="a10"/>
        <w:numPr>
          <w:ilvl w:val="1"/>
          <w:numId w:val="0"/>
        </w:numPr>
        <w:spacing w:line="400" w:lineRule="exact"/>
        <w:ind w:firstLine="420" w:firstLineChars="200"/>
        <w:rPr>
          <w:rFonts w:ascii="黑体" w:hAnsi="黑体"/>
          <w:color w:val="000000"/>
        </w:rPr>
      </w:pPr>
      <w:bookmarkStart w:id="135" w:name="_Toc361318141"/>
      <w:bookmarkStart w:id="136" w:name="_Toc330198915"/>
      <w:bookmarkStart w:id="137" w:name="_Toc330199279"/>
      <w:bookmarkStart w:id="138" w:name="_Toc330200473"/>
      <w:bookmarkStart w:id="139" w:name="_Toc330201264"/>
      <w:bookmarkStart w:id="140" w:name="_Toc330198573"/>
      <w:bookmarkStart w:id="141" w:name="_Toc335048104"/>
      <w:bookmarkStart w:id="142" w:name="_Toc381100824"/>
      <w:bookmarkStart w:id="143" w:name="_Toc330201440"/>
      <w:bookmarkStart w:id="144" w:name="_Toc295552545"/>
      <w:bookmarkStart w:id="145" w:name="_Toc335048424"/>
      <w:r>
        <w:rPr>
          <w:rFonts w:ascii="黑体" w:hAnsi="黑体"/>
          <w:color w:val="000000"/>
        </w:rPr>
        <w:t>域 domain</w:t>
      </w:r>
      <w:bookmarkEnd w:id="135"/>
      <w:bookmarkEnd w:id="136"/>
      <w:bookmarkEnd w:id="137"/>
      <w:bookmarkEnd w:id="138"/>
      <w:bookmarkEnd w:id="139"/>
      <w:bookmarkEnd w:id="140"/>
      <w:bookmarkEnd w:id="141"/>
      <w:bookmarkEnd w:id="142"/>
      <w:bookmarkEnd w:id="143"/>
      <w:bookmarkEnd w:id="144"/>
      <w:bookmarkEnd w:id="145"/>
    </w:p>
    <w:p>
      <w:pPr>
        <w:pStyle w:val="a8"/>
        <w:spacing w:line="400" w:lineRule="exact"/>
        <w:ind w:firstLine="420"/>
        <w:rPr>
          <w:rFonts w:hAnsi="宋体"/>
          <w:color w:val="000000"/>
        </w:rPr>
      </w:pPr>
      <w:r>
        <w:rPr>
          <w:rFonts w:hAnsi="宋体"/>
          <w:color w:val="000000"/>
        </w:rPr>
        <w:t>域名系统名字空间中的一个子集，也就是树形结构名字空间中的一棵子树。</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2135-2010，定义3.1.4]</w:t>
      </w:r>
    </w:p>
    <w:p>
      <w:pPr>
        <w:pStyle w:val="a10"/>
        <w:numPr>
          <w:ilvl w:val="2"/>
          <w:numId w:val="10"/>
        </w:numPr>
        <w:spacing w:line="400" w:lineRule="exact"/>
        <w:rPr>
          <w:color w:val="000000"/>
        </w:rPr>
      </w:pPr>
      <w:bookmarkStart w:id="146" w:name="_Toc330198574"/>
      <w:bookmarkEnd w:id="146"/>
      <w:bookmarkStart w:id="147" w:name="_Toc295552546"/>
      <w:bookmarkEnd w:id="147"/>
      <w:bookmarkStart w:id="148" w:name="_Toc330198916"/>
      <w:bookmarkEnd w:id="148"/>
      <w:bookmarkStart w:id="149" w:name="_Toc330201441"/>
      <w:bookmarkEnd w:id="149"/>
      <w:bookmarkStart w:id="150" w:name="_Toc335048105"/>
      <w:bookmarkEnd w:id="150"/>
      <w:bookmarkStart w:id="151" w:name="_Toc330199280"/>
      <w:bookmarkEnd w:id="151"/>
      <w:bookmarkStart w:id="152" w:name="_Toc335048425"/>
      <w:bookmarkEnd w:id="152"/>
      <w:bookmarkStart w:id="153" w:name="_Toc330201265"/>
      <w:bookmarkEnd w:id="153"/>
      <w:bookmarkStart w:id="154" w:name="_Toc330200474"/>
      <w:bookmarkEnd w:id="154"/>
      <w:bookmarkStart w:id="155" w:name="_Toc381100825"/>
      <w:bookmarkEnd w:id="155"/>
      <w:bookmarkStart w:id="156" w:name="_Toc361318142"/>
      <w:bookmarkEnd w:id="156"/>
    </w:p>
    <w:p>
      <w:pPr>
        <w:pStyle w:val="a10"/>
        <w:numPr>
          <w:ilvl w:val="1"/>
          <w:numId w:val="0"/>
        </w:numPr>
        <w:spacing w:line="400" w:lineRule="exact"/>
        <w:ind w:firstLine="420" w:firstLineChars="200"/>
        <w:rPr>
          <w:rFonts w:ascii="黑体" w:hAnsi="黑体"/>
          <w:color w:val="000000"/>
        </w:rPr>
      </w:pPr>
      <w:bookmarkStart w:id="157" w:name="_Toc330201442"/>
      <w:bookmarkStart w:id="158" w:name="_Toc295552547"/>
      <w:bookmarkStart w:id="159" w:name="_Toc330199281"/>
      <w:bookmarkStart w:id="160" w:name="_Toc330198575"/>
      <w:bookmarkStart w:id="161" w:name="_Toc330198917"/>
      <w:bookmarkStart w:id="162" w:name="_Toc330200475"/>
      <w:bookmarkStart w:id="163" w:name="_Toc330201266"/>
      <w:bookmarkStart w:id="164" w:name="_Toc381100826"/>
      <w:bookmarkStart w:id="165" w:name="_Toc361318143"/>
      <w:bookmarkStart w:id="166" w:name="_Toc335048106"/>
      <w:bookmarkStart w:id="167" w:name="_Toc335048426"/>
      <w:r>
        <w:rPr>
          <w:rFonts w:ascii="黑体" w:hAnsi="黑体"/>
          <w:color w:val="000000"/>
        </w:rPr>
        <w:t>顶级域 top level domain</w:t>
      </w:r>
      <w:bookmarkEnd w:id="157"/>
      <w:bookmarkEnd w:id="158"/>
      <w:bookmarkEnd w:id="159"/>
      <w:bookmarkEnd w:id="160"/>
      <w:bookmarkEnd w:id="161"/>
      <w:bookmarkEnd w:id="162"/>
      <w:bookmarkEnd w:id="163"/>
      <w:bookmarkEnd w:id="164"/>
      <w:bookmarkEnd w:id="165"/>
      <w:bookmarkEnd w:id="166"/>
      <w:bookmarkEnd w:id="167"/>
    </w:p>
    <w:p>
      <w:pPr>
        <w:pStyle w:val="a8"/>
        <w:spacing w:line="400" w:lineRule="exact"/>
        <w:ind w:firstLine="420"/>
        <w:rPr>
          <w:rFonts w:hAnsi="宋体"/>
          <w:color w:val="000000"/>
        </w:rPr>
      </w:pPr>
      <w:r>
        <w:rPr>
          <w:rFonts w:hAnsi="宋体"/>
          <w:color w:val="000000"/>
        </w:rPr>
        <w:t>域名系统名字空间中根节点下最顶层的域。</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2135-2010，定义3.1.5]</w:t>
      </w:r>
    </w:p>
    <w:p>
      <w:pPr>
        <w:pStyle w:val="a10"/>
        <w:numPr>
          <w:ilvl w:val="2"/>
          <w:numId w:val="10"/>
        </w:numPr>
        <w:spacing w:line="400" w:lineRule="exact"/>
        <w:rPr>
          <w:color w:val="000000"/>
        </w:rPr>
      </w:pPr>
      <w:bookmarkStart w:id="168" w:name="_Toc335048427"/>
      <w:bookmarkEnd w:id="168"/>
      <w:bookmarkStart w:id="169" w:name="_Toc361318144"/>
      <w:bookmarkEnd w:id="169"/>
      <w:bookmarkStart w:id="170" w:name="_Toc330200476"/>
      <w:bookmarkEnd w:id="170"/>
      <w:bookmarkStart w:id="171" w:name="_Toc381100827"/>
      <w:bookmarkEnd w:id="171"/>
      <w:bookmarkStart w:id="172" w:name="_Toc295552548"/>
      <w:bookmarkEnd w:id="172"/>
      <w:bookmarkStart w:id="173" w:name="_Toc330199282"/>
      <w:bookmarkEnd w:id="173"/>
      <w:bookmarkStart w:id="174" w:name="_Toc330201267"/>
      <w:bookmarkEnd w:id="174"/>
      <w:bookmarkStart w:id="175" w:name="_Toc330198576"/>
      <w:bookmarkEnd w:id="175"/>
      <w:bookmarkStart w:id="176" w:name="_Toc330198918"/>
      <w:bookmarkEnd w:id="176"/>
      <w:bookmarkStart w:id="177" w:name="_Toc330201443"/>
      <w:bookmarkEnd w:id="177"/>
      <w:bookmarkStart w:id="178" w:name="_Toc335048107"/>
      <w:bookmarkEnd w:id="178"/>
    </w:p>
    <w:p>
      <w:pPr>
        <w:pStyle w:val="a10"/>
        <w:numPr>
          <w:ilvl w:val="1"/>
          <w:numId w:val="0"/>
        </w:numPr>
        <w:spacing w:line="400" w:lineRule="exact"/>
        <w:ind w:firstLine="420" w:firstLineChars="200"/>
        <w:rPr>
          <w:rFonts w:ascii="黑体" w:hAnsi="黑体"/>
          <w:color w:val="000000"/>
        </w:rPr>
      </w:pPr>
      <w:bookmarkStart w:id="179" w:name="_Toc330199283"/>
      <w:bookmarkStart w:id="180" w:name="_Toc381100828"/>
      <w:bookmarkStart w:id="181" w:name="_Toc330200477"/>
      <w:bookmarkStart w:id="182" w:name="_Toc295552549"/>
      <w:bookmarkStart w:id="183" w:name="_Toc330198577"/>
      <w:bookmarkStart w:id="184" w:name="_Toc335048428"/>
      <w:bookmarkStart w:id="185" w:name="_Toc361318145"/>
      <w:bookmarkStart w:id="186" w:name="_Toc330201268"/>
      <w:bookmarkStart w:id="187" w:name="_Toc330198919"/>
      <w:bookmarkStart w:id="188" w:name="_Toc335048108"/>
      <w:bookmarkStart w:id="189" w:name="_Toc330201444"/>
      <w:r>
        <w:rPr>
          <w:rFonts w:ascii="黑体" w:hAnsi="黑体"/>
          <w:color w:val="000000"/>
        </w:rPr>
        <w:t>资源记录 resource record</w:t>
      </w:r>
      <w:bookmarkEnd w:id="179"/>
      <w:bookmarkEnd w:id="180"/>
      <w:bookmarkEnd w:id="181"/>
      <w:bookmarkEnd w:id="182"/>
      <w:bookmarkEnd w:id="183"/>
      <w:bookmarkEnd w:id="184"/>
      <w:bookmarkEnd w:id="185"/>
      <w:bookmarkEnd w:id="186"/>
      <w:bookmarkEnd w:id="187"/>
      <w:bookmarkEnd w:id="188"/>
      <w:bookmarkEnd w:id="189"/>
    </w:p>
    <w:p>
      <w:pPr>
        <w:pStyle w:val="a8"/>
        <w:spacing w:line="400" w:lineRule="exact"/>
        <w:ind w:firstLine="420"/>
        <w:rPr>
          <w:rFonts w:hAnsi="宋体"/>
          <w:color w:val="000000"/>
        </w:rPr>
      </w:pPr>
      <w:r>
        <w:rPr>
          <w:rFonts w:hAnsi="宋体"/>
          <w:color w:val="000000"/>
        </w:rPr>
        <w:t>域名系统中用于存储与域名相关的属性信息，简称RR。</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2135-2010，定义3.1.6]</w:t>
      </w:r>
    </w:p>
    <w:p>
      <w:pPr>
        <w:pStyle w:val="a10"/>
        <w:numPr>
          <w:ilvl w:val="2"/>
          <w:numId w:val="10"/>
        </w:numPr>
        <w:spacing w:line="400" w:lineRule="exact"/>
        <w:rPr>
          <w:color w:val="000000"/>
        </w:rPr>
      </w:pPr>
      <w:bookmarkStart w:id="190" w:name="_Toc295552550"/>
      <w:bookmarkEnd w:id="190"/>
      <w:bookmarkStart w:id="191" w:name="_Toc330201269"/>
      <w:bookmarkEnd w:id="191"/>
      <w:bookmarkStart w:id="192" w:name="_Toc330198578"/>
      <w:bookmarkEnd w:id="192"/>
      <w:bookmarkStart w:id="193" w:name="_Toc330200478"/>
      <w:bookmarkEnd w:id="193"/>
      <w:bookmarkStart w:id="194" w:name="_Toc361318146"/>
      <w:bookmarkEnd w:id="194"/>
      <w:bookmarkStart w:id="195" w:name="_Toc330199284"/>
      <w:bookmarkEnd w:id="195"/>
      <w:bookmarkStart w:id="196" w:name="_Toc330198920"/>
      <w:bookmarkEnd w:id="196"/>
      <w:bookmarkStart w:id="197" w:name="_Toc330201445"/>
      <w:bookmarkEnd w:id="197"/>
      <w:bookmarkStart w:id="198" w:name="_Toc335048429"/>
      <w:bookmarkEnd w:id="198"/>
      <w:bookmarkStart w:id="199" w:name="_Toc335048109"/>
      <w:bookmarkEnd w:id="199"/>
      <w:bookmarkStart w:id="200" w:name="_Toc381100829"/>
      <w:bookmarkEnd w:id="200"/>
    </w:p>
    <w:p>
      <w:pPr>
        <w:pStyle w:val="a10"/>
        <w:numPr>
          <w:ilvl w:val="1"/>
          <w:numId w:val="0"/>
        </w:numPr>
        <w:spacing w:line="400" w:lineRule="exact"/>
        <w:ind w:firstLine="420" w:firstLineChars="200"/>
        <w:rPr>
          <w:rFonts w:ascii="黑体" w:hAnsi="黑体"/>
          <w:color w:val="000000"/>
        </w:rPr>
      </w:pPr>
      <w:bookmarkStart w:id="201" w:name="_Toc330201446"/>
      <w:bookmarkStart w:id="202" w:name="_Toc330198579"/>
      <w:bookmarkStart w:id="203" w:name="_Toc330199285"/>
      <w:bookmarkStart w:id="204" w:name="_Toc330198921"/>
      <w:bookmarkStart w:id="205" w:name="_Toc330200479"/>
      <w:bookmarkStart w:id="206" w:name="_Toc330201270"/>
      <w:bookmarkStart w:id="207" w:name="_Toc335048110"/>
      <w:bookmarkStart w:id="208" w:name="_Toc335048430"/>
      <w:bookmarkStart w:id="209" w:name="_Toc361318147"/>
      <w:bookmarkStart w:id="210" w:name="_Toc381100830"/>
      <w:bookmarkStart w:id="211" w:name="_Toc295552551"/>
      <w:r>
        <w:rPr>
          <w:rFonts w:ascii="黑体" w:hAnsi="黑体"/>
          <w:color w:val="000000"/>
        </w:rPr>
        <w:t>域名服务器 name server</w:t>
      </w:r>
      <w:bookmarkEnd w:id="201"/>
      <w:bookmarkEnd w:id="202"/>
      <w:bookmarkEnd w:id="203"/>
      <w:bookmarkEnd w:id="204"/>
      <w:bookmarkEnd w:id="205"/>
      <w:bookmarkEnd w:id="206"/>
      <w:bookmarkEnd w:id="207"/>
      <w:bookmarkEnd w:id="208"/>
      <w:bookmarkEnd w:id="209"/>
      <w:bookmarkEnd w:id="210"/>
      <w:bookmarkEnd w:id="211"/>
    </w:p>
    <w:p>
      <w:pPr>
        <w:pStyle w:val="a8"/>
        <w:spacing w:line="400" w:lineRule="exact"/>
        <w:ind w:firstLine="420"/>
        <w:rPr>
          <w:rFonts w:ascii="黑体" w:eastAsia="黑体" w:hAnsi="黑体"/>
          <w:color w:val="000000"/>
        </w:rPr>
      </w:pPr>
      <w:r>
        <w:rPr>
          <w:rFonts w:ascii="黑体" w:eastAsia="黑体" w:hAnsi="黑体"/>
          <w:color w:val="000000"/>
        </w:rPr>
        <w:t>名字服务器</w:t>
      </w:r>
    </w:p>
    <w:p>
      <w:pPr>
        <w:pStyle w:val="a8"/>
        <w:spacing w:line="400" w:lineRule="exact"/>
        <w:ind w:firstLine="420"/>
        <w:rPr>
          <w:rFonts w:hAnsi="宋体"/>
          <w:color w:val="000000"/>
        </w:rPr>
      </w:pPr>
      <w:r>
        <w:rPr>
          <w:rFonts w:hAnsi="宋体"/>
          <w:color w:val="000000"/>
        </w:rPr>
        <w:t>用于存储域名和资源记录及其他相关信息并负责处理用户的查询请求</w:t>
      </w:r>
      <w:r>
        <w:rPr>
          <w:rFonts w:hAnsi="宋体" w:hint="eastAsia"/>
          <w:color w:val="000000"/>
        </w:rPr>
        <w:t>的服务器</w:t>
      </w:r>
      <w:r>
        <w:rPr>
          <w:rFonts w:hAnsi="宋体"/>
          <w:color w:val="000000"/>
        </w:rPr>
        <w:t>。</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2135-2010，定义3.1.7]</w:t>
      </w:r>
    </w:p>
    <w:p>
      <w:pPr>
        <w:pStyle w:val="a10"/>
        <w:numPr>
          <w:ilvl w:val="2"/>
          <w:numId w:val="10"/>
        </w:numPr>
        <w:spacing w:line="400" w:lineRule="exact"/>
        <w:rPr>
          <w:color w:val="000000"/>
        </w:rPr>
      </w:pPr>
      <w:bookmarkStart w:id="212" w:name="_Toc295391395"/>
      <w:bookmarkEnd w:id="212"/>
      <w:bookmarkStart w:id="213" w:name="_Toc295391393"/>
      <w:bookmarkEnd w:id="213"/>
      <w:bookmarkStart w:id="214" w:name="_Toc295395631"/>
      <w:bookmarkEnd w:id="214"/>
      <w:bookmarkStart w:id="215" w:name="_Toc295397631"/>
      <w:bookmarkEnd w:id="215"/>
      <w:bookmarkStart w:id="216" w:name="_Toc330201271"/>
      <w:bookmarkEnd w:id="216"/>
      <w:bookmarkStart w:id="217" w:name="_Toc295395637"/>
      <w:bookmarkEnd w:id="217"/>
      <w:bookmarkStart w:id="218" w:name="_Toc381100831"/>
      <w:bookmarkEnd w:id="218"/>
      <w:bookmarkStart w:id="219" w:name="_Toc295395633"/>
      <w:bookmarkEnd w:id="219"/>
      <w:bookmarkStart w:id="220" w:name="_Toc295391399"/>
      <w:bookmarkEnd w:id="220"/>
      <w:bookmarkStart w:id="221" w:name="_Toc330199286"/>
      <w:bookmarkEnd w:id="221"/>
      <w:bookmarkStart w:id="222" w:name="_Toc295397635"/>
      <w:bookmarkEnd w:id="222"/>
      <w:bookmarkStart w:id="223" w:name="_Toc295397633"/>
      <w:bookmarkEnd w:id="223"/>
      <w:bookmarkStart w:id="224" w:name="_Toc330201447"/>
      <w:bookmarkEnd w:id="224"/>
      <w:bookmarkStart w:id="225" w:name="_Toc361318148"/>
      <w:bookmarkEnd w:id="225"/>
      <w:bookmarkStart w:id="226" w:name="_Toc295552552"/>
      <w:bookmarkEnd w:id="226"/>
      <w:bookmarkStart w:id="227" w:name="_Toc330200480"/>
      <w:bookmarkEnd w:id="227"/>
      <w:bookmarkStart w:id="228" w:name="_Toc295395635"/>
      <w:bookmarkEnd w:id="228"/>
      <w:bookmarkStart w:id="229" w:name="_Toc295397637"/>
      <w:bookmarkEnd w:id="229"/>
      <w:bookmarkStart w:id="230" w:name="_Toc335048431"/>
      <w:bookmarkEnd w:id="230"/>
      <w:bookmarkStart w:id="231" w:name="_Toc335048111"/>
      <w:bookmarkEnd w:id="231"/>
      <w:bookmarkStart w:id="232" w:name="_Toc295391397"/>
      <w:bookmarkEnd w:id="232"/>
      <w:bookmarkStart w:id="233" w:name="_Toc330198580"/>
      <w:bookmarkEnd w:id="233"/>
      <w:bookmarkStart w:id="234" w:name="_Toc330198922"/>
      <w:bookmarkEnd w:id="234"/>
    </w:p>
    <w:p>
      <w:pPr>
        <w:pStyle w:val="a10"/>
        <w:numPr>
          <w:ilvl w:val="1"/>
          <w:numId w:val="0"/>
        </w:numPr>
        <w:spacing w:line="400" w:lineRule="exact"/>
        <w:ind w:firstLine="420" w:firstLineChars="200"/>
        <w:rPr>
          <w:rFonts w:ascii="黑体" w:hAnsi="黑体"/>
          <w:color w:val="000000"/>
        </w:rPr>
      </w:pPr>
      <w:bookmarkStart w:id="235" w:name="_Toc330201272"/>
      <w:bookmarkStart w:id="236" w:name="_Toc381100832"/>
      <w:bookmarkStart w:id="237" w:name="_Toc330199287"/>
      <w:bookmarkStart w:id="238" w:name="_Toc295552553"/>
      <w:bookmarkStart w:id="239" w:name="_Toc330201448"/>
      <w:bookmarkStart w:id="240" w:name="_Toc335048432"/>
      <w:bookmarkStart w:id="241" w:name="_Toc335048112"/>
      <w:bookmarkStart w:id="242" w:name="_Toc361318149"/>
      <w:bookmarkStart w:id="243" w:name="_Toc330198923"/>
      <w:bookmarkStart w:id="244" w:name="_Toc330200481"/>
      <w:bookmarkStart w:id="245" w:name="_Toc330198581"/>
      <w:r>
        <w:rPr>
          <w:rFonts w:ascii="黑体" w:hAnsi="黑体"/>
          <w:color w:val="000000"/>
        </w:rPr>
        <w:t>区 zone</w:t>
      </w:r>
      <w:bookmarkEnd w:id="235"/>
      <w:bookmarkEnd w:id="236"/>
      <w:bookmarkEnd w:id="237"/>
      <w:bookmarkEnd w:id="238"/>
      <w:bookmarkEnd w:id="239"/>
      <w:bookmarkEnd w:id="240"/>
      <w:bookmarkEnd w:id="241"/>
      <w:bookmarkEnd w:id="242"/>
      <w:bookmarkEnd w:id="243"/>
      <w:bookmarkEnd w:id="244"/>
      <w:bookmarkEnd w:id="245"/>
    </w:p>
    <w:p>
      <w:pPr>
        <w:pStyle w:val="a8"/>
        <w:spacing w:line="400" w:lineRule="exact"/>
        <w:ind w:firstLine="420"/>
        <w:rPr>
          <w:rFonts w:hAnsi="宋体"/>
          <w:color w:val="000000"/>
        </w:rPr>
        <w:sectPr>
          <w:headerReference w:type="even" r:id="rId35"/>
          <w:headerReference w:type="default" r:id="rId36"/>
          <w:footerReference w:type="even" r:id="rId37"/>
          <w:footerReference w:type="default" r:id="rId38"/>
          <w:headerReference w:type="first" r:id="rId39"/>
          <w:footerReference w:type="first" r:id="rId40"/>
          <w:type w:val="nextPage"/>
          <w:pgSz w:w="11907" w:h="16839"/>
          <w:pgMar w:top="1418" w:right="1134" w:bottom="1134" w:left="1418" w:header="1418" w:footer="851" w:gutter="0"/>
          <w:pgNumType w:start="3"/>
          <w:cols w:num="1" w:space="425"/>
          <w:titlePg w:val="0"/>
          <w:docGrid w:type="lines" w:linePitch="312" w:charSpace="0"/>
        </w:sectPr>
      </w:pPr>
      <w:r>
        <w:rPr>
          <w:rFonts w:hAnsi="宋体"/>
          <w:color w:val="000000"/>
        </w:rPr>
        <w:t>域名系统名字空间中面向管理的基本单元。</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2135-2010，定义3.1.9]</w:t>
      </w:r>
    </w:p>
    <w:p>
      <w:pPr>
        <w:pStyle w:val="a10"/>
        <w:numPr>
          <w:ilvl w:val="2"/>
          <w:numId w:val="10"/>
        </w:numPr>
        <w:spacing w:line="400" w:lineRule="exact"/>
        <w:rPr>
          <w:color w:val="000000"/>
        </w:rPr>
      </w:pPr>
      <w:bookmarkStart w:id="246" w:name="_Toc335048433"/>
      <w:bookmarkEnd w:id="246"/>
      <w:bookmarkStart w:id="247" w:name="_Toc361318150"/>
      <w:bookmarkEnd w:id="247"/>
      <w:bookmarkStart w:id="248" w:name="_Toc335048113"/>
      <w:bookmarkEnd w:id="248"/>
      <w:bookmarkStart w:id="249" w:name="_Toc330198582"/>
      <w:bookmarkEnd w:id="249"/>
      <w:bookmarkStart w:id="250" w:name="_Toc330198924"/>
      <w:bookmarkEnd w:id="250"/>
      <w:bookmarkStart w:id="251" w:name="_Toc330201273"/>
      <w:bookmarkEnd w:id="251"/>
      <w:bookmarkStart w:id="252" w:name="_Toc381100833"/>
      <w:bookmarkEnd w:id="252"/>
      <w:bookmarkStart w:id="253" w:name="_Toc295552554"/>
      <w:bookmarkEnd w:id="253"/>
      <w:bookmarkStart w:id="254" w:name="_Toc330200482"/>
      <w:bookmarkEnd w:id="254"/>
      <w:bookmarkStart w:id="255" w:name="_Toc330199288"/>
      <w:bookmarkEnd w:id="255"/>
      <w:bookmarkStart w:id="256" w:name="_Toc330201449"/>
      <w:bookmarkEnd w:id="256"/>
    </w:p>
    <w:p>
      <w:pPr>
        <w:pStyle w:val="a10"/>
        <w:numPr>
          <w:ilvl w:val="1"/>
          <w:numId w:val="0"/>
        </w:numPr>
        <w:spacing w:line="400" w:lineRule="exact"/>
        <w:ind w:firstLine="420" w:firstLineChars="200"/>
        <w:rPr>
          <w:rFonts w:ascii="黑体" w:hAnsi="黑体"/>
          <w:color w:val="000000"/>
        </w:rPr>
      </w:pPr>
      <w:bookmarkStart w:id="257" w:name="_Toc330199289"/>
      <w:bookmarkStart w:id="258" w:name="_Toc381100834"/>
      <w:bookmarkStart w:id="259" w:name="_Toc295552555"/>
      <w:bookmarkStart w:id="260" w:name="_Toc330198583"/>
      <w:bookmarkStart w:id="261" w:name="_Toc330198925"/>
      <w:bookmarkStart w:id="262" w:name="_Toc330201450"/>
      <w:bookmarkStart w:id="263" w:name="_Toc330200483"/>
      <w:bookmarkStart w:id="264" w:name="_Toc330201274"/>
      <w:bookmarkStart w:id="265" w:name="_Toc335048434"/>
      <w:bookmarkStart w:id="266" w:name="_Toc335048114"/>
      <w:bookmarkStart w:id="267" w:name="_Toc361318151"/>
      <w:r>
        <w:rPr>
          <w:rFonts w:ascii="黑体" w:hAnsi="黑体"/>
          <w:color w:val="000000"/>
        </w:rPr>
        <w:t>权威服务器 authoritative server</w:t>
      </w:r>
      <w:bookmarkEnd w:id="257"/>
      <w:bookmarkEnd w:id="258"/>
      <w:bookmarkEnd w:id="259"/>
      <w:bookmarkEnd w:id="260"/>
      <w:bookmarkEnd w:id="261"/>
      <w:bookmarkEnd w:id="262"/>
      <w:bookmarkEnd w:id="263"/>
      <w:bookmarkEnd w:id="264"/>
      <w:bookmarkEnd w:id="265"/>
      <w:bookmarkEnd w:id="266"/>
      <w:bookmarkEnd w:id="267"/>
    </w:p>
    <w:p>
      <w:pPr>
        <w:pStyle w:val="a8"/>
        <w:spacing w:line="400" w:lineRule="exact"/>
        <w:ind w:firstLine="420"/>
        <w:rPr>
          <w:rFonts w:hAnsi="宋体"/>
          <w:color w:val="000000"/>
        </w:rPr>
      </w:pPr>
      <w:r>
        <w:rPr>
          <w:rFonts w:hAnsi="宋体" w:hint="eastAsia"/>
          <w:color w:val="000000"/>
        </w:rPr>
        <w:t>具有数据源功能</w:t>
      </w:r>
      <w:r>
        <w:rPr>
          <w:rFonts w:hAnsi="宋体"/>
          <w:color w:val="000000"/>
        </w:rPr>
        <w:t>的服务器。</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2135-2010，定义3.1.10]</w:t>
      </w:r>
    </w:p>
    <w:p>
      <w:pPr>
        <w:pStyle w:val="a10"/>
        <w:numPr>
          <w:ilvl w:val="2"/>
          <w:numId w:val="10"/>
        </w:numPr>
        <w:spacing w:line="400" w:lineRule="exact"/>
        <w:rPr>
          <w:color w:val="000000"/>
        </w:rPr>
      </w:pPr>
      <w:bookmarkStart w:id="268" w:name="_Toc361318152"/>
      <w:bookmarkEnd w:id="268"/>
      <w:bookmarkStart w:id="269" w:name="_Toc295552556"/>
      <w:bookmarkEnd w:id="269"/>
      <w:bookmarkStart w:id="270" w:name="_Toc330198926"/>
      <w:bookmarkEnd w:id="270"/>
      <w:bookmarkStart w:id="271" w:name="_Toc330199290"/>
      <w:bookmarkEnd w:id="271"/>
      <w:bookmarkStart w:id="272" w:name="_Toc330198584"/>
      <w:bookmarkEnd w:id="272"/>
      <w:bookmarkStart w:id="273" w:name="_Toc330200484"/>
      <w:bookmarkEnd w:id="273"/>
      <w:bookmarkStart w:id="274" w:name="_Toc330201451"/>
      <w:bookmarkEnd w:id="274"/>
      <w:bookmarkStart w:id="275" w:name="_Toc335048115"/>
      <w:bookmarkEnd w:id="275"/>
      <w:bookmarkStart w:id="276" w:name="_Toc335048435"/>
      <w:bookmarkEnd w:id="276"/>
      <w:bookmarkStart w:id="277" w:name="_Toc381100835"/>
      <w:bookmarkEnd w:id="277"/>
      <w:bookmarkStart w:id="278" w:name="_Toc330201275"/>
      <w:bookmarkEnd w:id="278"/>
    </w:p>
    <w:p>
      <w:pPr>
        <w:pStyle w:val="a10"/>
        <w:numPr>
          <w:ilvl w:val="1"/>
          <w:numId w:val="0"/>
        </w:numPr>
        <w:spacing w:line="400" w:lineRule="exact"/>
        <w:ind w:firstLine="420" w:firstLineChars="200"/>
        <w:rPr>
          <w:rFonts w:ascii="黑体" w:hAnsi="黑体"/>
          <w:color w:val="000000"/>
        </w:rPr>
      </w:pPr>
      <w:bookmarkStart w:id="279" w:name="_Toc335048116"/>
      <w:bookmarkStart w:id="280" w:name="_Toc330201452"/>
      <w:bookmarkStart w:id="281" w:name="_Toc335048436"/>
      <w:bookmarkStart w:id="282" w:name="_Toc381100836"/>
      <w:bookmarkStart w:id="283" w:name="_Toc330198927"/>
      <w:bookmarkStart w:id="284" w:name="_Toc330198585"/>
      <w:bookmarkStart w:id="285" w:name="_Toc330199291"/>
      <w:bookmarkStart w:id="286" w:name="_Toc330200485"/>
      <w:bookmarkStart w:id="287" w:name="_Toc330201276"/>
      <w:bookmarkStart w:id="288" w:name="_Toc361318153"/>
      <w:bookmarkStart w:id="289" w:name="_Toc295552557"/>
      <w:r>
        <w:rPr>
          <w:rFonts w:ascii="黑体" w:hAnsi="黑体"/>
          <w:color w:val="000000"/>
        </w:rPr>
        <w:t>区文件 zone file</w:t>
      </w:r>
      <w:bookmarkEnd w:id="279"/>
      <w:bookmarkEnd w:id="280"/>
      <w:bookmarkEnd w:id="281"/>
      <w:bookmarkEnd w:id="282"/>
      <w:bookmarkEnd w:id="283"/>
      <w:bookmarkEnd w:id="284"/>
      <w:bookmarkEnd w:id="285"/>
      <w:bookmarkEnd w:id="286"/>
      <w:bookmarkEnd w:id="287"/>
      <w:bookmarkEnd w:id="288"/>
      <w:bookmarkEnd w:id="289"/>
    </w:p>
    <w:p>
      <w:pPr>
        <w:pStyle w:val="a8"/>
        <w:spacing w:line="400" w:lineRule="exact"/>
        <w:ind w:firstLine="420"/>
        <w:rPr>
          <w:rFonts w:hAnsi="宋体"/>
          <w:color w:val="000000"/>
        </w:rPr>
      </w:pPr>
      <w:r>
        <w:rPr>
          <w:rFonts w:hAnsi="宋体"/>
          <w:color w:val="000000"/>
        </w:rPr>
        <w:t>某个区内的域名和资源记录及相关的权威起始信息（Start of Authority，SOA）按照一定的格式进行组合</w:t>
      </w:r>
      <w:r>
        <w:rPr>
          <w:rFonts w:hAnsi="宋体" w:hint="eastAsia"/>
          <w:color w:val="000000"/>
        </w:rPr>
        <w:t>构成的文件</w:t>
      </w:r>
      <w:r>
        <w:rPr>
          <w:rFonts w:hAnsi="宋体"/>
          <w:color w:val="000000"/>
        </w:rPr>
        <w:t>。</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2135-2010，定义3.1.11]</w:t>
      </w:r>
    </w:p>
    <w:p>
      <w:pPr>
        <w:pStyle w:val="a10"/>
        <w:numPr>
          <w:ilvl w:val="2"/>
          <w:numId w:val="10"/>
        </w:numPr>
        <w:spacing w:line="400" w:lineRule="exact"/>
        <w:rPr>
          <w:color w:val="000000"/>
        </w:rPr>
      </w:pPr>
      <w:bookmarkStart w:id="290" w:name="_Toc330198586"/>
      <w:bookmarkEnd w:id="290"/>
      <w:bookmarkStart w:id="291" w:name="_Toc330198928"/>
      <w:bookmarkEnd w:id="291"/>
      <w:bookmarkStart w:id="292" w:name="_Toc330199292"/>
      <w:bookmarkEnd w:id="292"/>
      <w:bookmarkStart w:id="293" w:name="_Toc330200486"/>
      <w:bookmarkEnd w:id="293"/>
      <w:bookmarkStart w:id="294" w:name="_Toc330201277"/>
      <w:bookmarkEnd w:id="294"/>
      <w:bookmarkStart w:id="295" w:name="_Toc330201453"/>
      <w:bookmarkEnd w:id="295"/>
      <w:bookmarkStart w:id="296" w:name="_Toc335048117"/>
      <w:bookmarkEnd w:id="296"/>
      <w:bookmarkStart w:id="297" w:name="_Toc335048437"/>
      <w:bookmarkEnd w:id="297"/>
      <w:bookmarkStart w:id="298" w:name="_Toc361318154"/>
      <w:bookmarkEnd w:id="298"/>
      <w:bookmarkStart w:id="299" w:name="_Toc295552558"/>
      <w:bookmarkEnd w:id="299"/>
      <w:bookmarkStart w:id="300" w:name="_Toc381100837"/>
      <w:bookmarkEnd w:id="300"/>
    </w:p>
    <w:p>
      <w:pPr>
        <w:pStyle w:val="a10"/>
        <w:numPr>
          <w:ilvl w:val="1"/>
          <w:numId w:val="0"/>
        </w:numPr>
        <w:spacing w:line="400" w:lineRule="exact"/>
        <w:ind w:firstLine="420" w:firstLineChars="200"/>
        <w:rPr>
          <w:rFonts w:ascii="黑体" w:hAnsi="黑体"/>
          <w:color w:val="000000"/>
        </w:rPr>
      </w:pPr>
      <w:bookmarkStart w:id="301" w:name="_Toc330198929"/>
      <w:bookmarkStart w:id="302" w:name="_Toc330199293"/>
      <w:bookmarkStart w:id="303" w:name="_Toc330200487"/>
      <w:bookmarkStart w:id="304" w:name="_Toc330201278"/>
      <w:bookmarkStart w:id="305" w:name="_Toc295552559"/>
      <w:bookmarkStart w:id="306" w:name="_Toc330198587"/>
      <w:bookmarkStart w:id="307" w:name="_Toc361318155"/>
      <w:bookmarkStart w:id="308" w:name="_Toc330201454"/>
      <w:bookmarkStart w:id="309" w:name="_Toc335048118"/>
      <w:bookmarkStart w:id="310" w:name="_Toc381100838"/>
      <w:bookmarkStart w:id="311" w:name="_Toc335048438"/>
      <w:r>
        <w:rPr>
          <w:rFonts w:ascii="黑体" w:hAnsi="黑体"/>
          <w:color w:val="000000"/>
        </w:rPr>
        <w:t>主服务器 master server</w:t>
      </w:r>
      <w:bookmarkEnd w:id="301"/>
      <w:bookmarkEnd w:id="302"/>
      <w:bookmarkEnd w:id="303"/>
      <w:bookmarkEnd w:id="304"/>
      <w:bookmarkEnd w:id="305"/>
      <w:bookmarkEnd w:id="306"/>
      <w:bookmarkEnd w:id="307"/>
      <w:bookmarkEnd w:id="308"/>
      <w:bookmarkEnd w:id="309"/>
      <w:bookmarkEnd w:id="310"/>
      <w:bookmarkEnd w:id="311"/>
    </w:p>
    <w:p>
      <w:pPr>
        <w:pStyle w:val="a8"/>
        <w:spacing w:line="400" w:lineRule="exact"/>
        <w:ind w:firstLine="420"/>
        <w:rPr>
          <w:rFonts w:hAnsi="宋体"/>
          <w:color w:val="000000"/>
        </w:rPr>
      </w:pPr>
      <w:r>
        <w:rPr>
          <w:rFonts w:hAnsi="宋体"/>
          <w:color w:val="000000"/>
        </w:rPr>
        <w:t>被配置成区数据发布源的权威服务器。</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2135-2010，定义3.1.12]</w:t>
      </w:r>
    </w:p>
    <w:p>
      <w:pPr>
        <w:pStyle w:val="a10"/>
        <w:numPr>
          <w:ilvl w:val="2"/>
          <w:numId w:val="10"/>
        </w:numPr>
        <w:spacing w:line="400" w:lineRule="exact"/>
        <w:rPr>
          <w:color w:val="000000"/>
        </w:rPr>
      </w:pPr>
      <w:bookmarkStart w:id="312" w:name="_Toc330198930"/>
      <w:bookmarkEnd w:id="312"/>
      <w:bookmarkStart w:id="313" w:name="_Toc330199294"/>
      <w:bookmarkEnd w:id="313"/>
      <w:bookmarkStart w:id="314" w:name="_Toc330200488"/>
      <w:bookmarkEnd w:id="314"/>
      <w:bookmarkStart w:id="315" w:name="_Toc330201279"/>
      <w:bookmarkEnd w:id="315"/>
      <w:bookmarkStart w:id="316" w:name="_Toc330201455"/>
      <w:bookmarkEnd w:id="316"/>
      <w:bookmarkStart w:id="317" w:name="_Toc335048119"/>
      <w:bookmarkEnd w:id="317"/>
      <w:bookmarkStart w:id="318" w:name="_Toc330198588"/>
      <w:bookmarkEnd w:id="318"/>
      <w:bookmarkStart w:id="319" w:name="_Toc295552560"/>
      <w:bookmarkEnd w:id="319"/>
      <w:bookmarkStart w:id="320" w:name="_Toc361318156"/>
      <w:bookmarkEnd w:id="320"/>
      <w:bookmarkStart w:id="321" w:name="_Toc381100839"/>
      <w:bookmarkEnd w:id="321"/>
      <w:bookmarkStart w:id="322" w:name="_Toc335048439"/>
      <w:bookmarkEnd w:id="322"/>
    </w:p>
    <w:p>
      <w:pPr>
        <w:pStyle w:val="a10"/>
        <w:numPr>
          <w:ilvl w:val="1"/>
          <w:numId w:val="0"/>
        </w:numPr>
        <w:spacing w:line="400" w:lineRule="exact"/>
        <w:ind w:firstLine="420" w:firstLineChars="200"/>
        <w:rPr>
          <w:rFonts w:ascii="黑体" w:hAnsi="黑体"/>
          <w:color w:val="000000"/>
        </w:rPr>
      </w:pPr>
      <w:bookmarkStart w:id="323" w:name="_Toc361318157"/>
      <w:bookmarkStart w:id="324" w:name="_Toc330201456"/>
      <w:bookmarkStart w:id="325" w:name="_Toc330200489"/>
      <w:bookmarkStart w:id="326" w:name="_Toc335048120"/>
      <w:bookmarkStart w:id="327" w:name="_Toc330198589"/>
      <w:bookmarkStart w:id="328" w:name="_Toc295552561"/>
      <w:bookmarkStart w:id="329" w:name="_Toc330198931"/>
      <w:bookmarkStart w:id="330" w:name="_Toc330199295"/>
      <w:bookmarkStart w:id="331" w:name="_Toc330201280"/>
      <w:bookmarkStart w:id="332" w:name="_Toc335048440"/>
      <w:bookmarkStart w:id="333" w:name="_Toc381100840"/>
      <w:r>
        <w:rPr>
          <w:rFonts w:ascii="黑体" w:hAnsi="黑体"/>
          <w:color w:val="000000"/>
        </w:rPr>
        <w:t>辅服务器 slave server</w:t>
      </w:r>
      <w:bookmarkEnd w:id="323"/>
      <w:bookmarkEnd w:id="324"/>
      <w:bookmarkEnd w:id="325"/>
      <w:bookmarkEnd w:id="326"/>
      <w:bookmarkEnd w:id="327"/>
      <w:bookmarkEnd w:id="328"/>
      <w:bookmarkEnd w:id="329"/>
      <w:bookmarkEnd w:id="330"/>
      <w:bookmarkEnd w:id="331"/>
      <w:bookmarkEnd w:id="332"/>
      <w:bookmarkEnd w:id="333"/>
    </w:p>
    <w:p>
      <w:pPr>
        <w:pStyle w:val="a8"/>
        <w:spacing w:line="400" w:lineRule="exact"/>
        <w:ind w:firstLine="420"/>
        <w:rPr>
          <w:rFonts w:hAnsi="宋体"/>
          <w:color w:val="000000"/>
        </w:rPr>
      </w:pPr>
      <w:r>
        <w:rPr>
          <w:rFonts w:hAnsi="宋体"/>
          <w:color w:val="000000"/>
        </w:rPr>
        <w:t>通过区传送协议来获取区数据的权威服务器。</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2135-2010，定义3.1.13]</w:t>
      </w:r>
    </w:p>
    <w:p>
      <w:pPr>
        <w:pStyle w:val="a10"/>
        <w:numPr>
          <w:ilvl w:val="2"/>
          <w:numId w:val="10"/>
        </w:numPr>
        <w:spacing w:line="400" w:lineRule="exact"/>
        <w:rPr>
          <w:color w:val="000000"/>
        </w:rPr>
      </w:pPr>
      <w:bookmarkStart w:id="334" w:name="_Toc295552562"/>
      <w:bookmarkEnd w:id="334"/>
      <w:bookmarkStart w:id="335" w:name="_Toc335048441"/>
      <w:bookmarkEnd w:id="335"/>
      <w:bookmarkStart w:id="336" w:name="_Toc330198932"/>
      <w:bookmarkEnd w:id="336"/>
      <w:bookmarkStart w:id="337" w:name="_Toc335048121"/>
      <w:bookmarkEnd w:id="337"/>
      <w:bookmarkStart w:id="338" w:name="_Toc330201457"/>
      <w:bookmarkEnd w:id="338"/>
      <w:bookmarkStart w:id="339" w:name="_Toc361318158"/>
      <w:bookmarkEnd w:id="339"/>
      <w:bookmarkStart w:id="340" w:name="_Toc381100841"/>
      <w:bookmarkEnd w:id="340"/>
      <w:bookmarkStart w:id="341" w:name="_Toc330198590"/>
      <w:bookmarkEnd w:id="341"/>
      <w:bookmarkStart w:id="342" w:name="_Toc330199296"/>
      <w:bookmarkEnd w:id="342"/>
      <w:bookmarkStart w:id="343" w:name="_Toc330200490"/>
      <w:bookmarkEnd w:id="343"/>
      <w:bookmarkStart w:id="344" w:name="_Toc330201281"/>
      <w:bookmarkEnd w:id="344"/>
    </w:p>
    <w:p>
      <w:pPr>
        <w:pStyle w:val="a10"/>
        <w:numPr>
          <w:ilvl w:val="1"/>
          <w:numId w:val="0"/>
        </w:numPr>
        <w:spacing w:line="400" w:lineRule="exact"/>
        <w:ind w:firstLine="420" w:firstLineChars="200"/>
        <w:rPr>
          <w:rFonts w:ascii="黑体" w:hAnsi="黑体"/>
          <w:color w:val="000000"/>
        </w:rPr>
      </w:pPr>
      <w:bookmarkStart w:id="345" w:name="_Toc330198591"/>
      <w:bookmarkStart w:id="346" w:name="_Toc335048442"/>
      <w:bookmarkStart w:id="347" w:name="_Toc295552563"/>
      <w:bookmarkStart w:id="348" w:name="_Toc330201458"/>
      <w:bookmarkStart w:id="349" w:name="_Toc330200491"/>
      <w:bookmarkStart w:id="350" w:name="_Toc330201282"/>
      <w:bookmarkStart w:id="351" w:name="_Toc335048122"/>
      <w:bookmarkStart w:id="352" w:name="_Toc330199297"/>
      <w:bookmarkStart w:id="353" w:name="_Toc330198933"/>
      <w:bookmarkStart w:id="354" w:name="_Toc381100842"/>
      <w:bookmarkStart w:id="355" w:name="_Toc361318159"/>
      <w:r>
        <w:rPr>
          <w:rFonts w:ascii="黑体" w:hAnsi="黑体"/>
          <w:color w:val="000000"/>
        </w:rPr>
        <w:t>DNS事务</w:t>
      </w:r>
      <w:bookmarkEnd w:id="345"/>
      <w:bookmarkEnd w:id="346"/>
      <w:bookmarkEnd w:id="347"/>
      <w:bookmarkEnd w:id="348"/>
      <w:bookmarkEnd w:id="349"/>
      <w:bookmarkEnd w:id="350"/>
      <w:bookmarkEnd w:id="351"/>
      <w:bookmarkEnd w:id="352"/>
      <w:bookmarkEnd w:id="353"/>
      <w:r>
        <w:rPr>
          <w:rFonts w:ascii="黑体" w:hAnsi="黑体"/>
          <w:color w:val="000000"/>
        </w:rPr>
        <w:t xml:space="preserve"> dns transactions</w:t>
      </w:r>
      <w:bookmarkEnd w:id="354"/>
      <w:bookmarkEnd w:id="355"/>
    </w:p>
    <w:p>
      <w:pPr>
        <w:pStyle w:val="a8"/>
        <w:spacing w:line="400" w:lineRule="exact"/>
        <w:ind w:firstLine="420"/>
        <w:rPr>
          <w:rFonts w:hAnsi="宋体"/>
          <w:color w:val="000000"/>
        </w:rPr>
      </w:pPr>
      <w:r>
        <w:rPr>
          <w:rFonts w:hAnsi="宋体"/>
          <w:color w:val="000000"/>
        </w:rPr>
        <w:t>DNS事务类型包含</w:t>
      </w:r>
      <w:r>
        <w:rPr>
          <w:rFonts w:hAnsi="宋体" w:hint="eastAsia"/>
          <w:color w:val="000000"/>
        </w:rPr>
        <w:t>4</w:t>
      </w:r>
      <w:r>
        <w:rPr>
          <w:rFonts w:hAnsi="宋体"/>
          <w:color w:val="000000"/>
        </w:rPr>
        <w:t>部分：DNS查询和响应、区传送、动态更新、DNS通报。</w:t>
      </w:r>
    </w:p>
    <w:p>
      <w:pPr>
        <w:pStyle w:val="a10"/>
        <w:numPr>
          <w:ilvl w:val="2"/>
          <w:numId w:val="10"/>
        </w:numPr>
        <w:spacing w:line="400" w:lineRule="exact"/>
        <w:rPr>
          <w:color w:val="000000"/>
        </w:rPr>
      </w:pPr>
      <w:bookmarkStart w:id="356" w:name="_Toc361318160"/>
      <w:bookmarkEnd w:id="356"/>
      <w:bookmarkStart w:id="357" w:name="_Toc330199298"/>
      <w:bookmarkEnd w:id="357"/>
      <w:bookmarkStart w:id="358" w:name="_Toc330201283"/>
      <w:bookmarkEnd w:id="358"/>
      <w:bookmarkStart w:id="359" w:name="_Toc335048123"/>
      <w:bookmarkEnd w:id="359"/>
      <w:bookmarkStart w:id="360" w:name="_Toc295552564"/>
      <w:bookmarkEnd w:id="360"/>
      <w:bookmarkStart w:id="361" w:name="_Toc335048443"/>
      <w:bookmarkEnd w:id="361"/>
      <w:bookmarkStart w:id="362" w:name="_Toc330198934"/>
      <w:bookmarkEnd w:id="362"/>
      <w:bookmarkStart w:id="363" w:name="_Toc330201459"/>
      <w:bookmarkEnd w:id="363"/>
      <w:bookmarkStart w:id="364" w:name="_Toc330200492"/>
      <w:bookmarkEnd w:id="364"/>
      <w:bookmarkStart w:id="365" w:name="_Toc330198592"/>
      <w:bookmarkEnd w:id="365"/>
      <w:bookmarkStart w:id="366" w:name="_Toc381100843"/>
      <w:bookmarkEnd w:id="366"/>
    </w:p>
    <w:p>
      <w:pPr>
        <w:pStyle w:val="a10"/>
        <w:numPr>
          <w:ilvl w:val="1"/>
          <w:numId w:val="0"/>
        </w:numPr>
        <w:spacing w:line="400" w:lineRule="exact"/>
        <w:ind w:firstLine="420" w:firstLineChars="200"/>
        <w:rPr>
          <w:rFonts w:ascii="黑体" w:hAnsi="黑体"/>
          <w:color w:val="000000"/>
        </w:rPr>
      </w:pPr>
      <w:bookmarkStart w:id="367" w:name="_Toc330200493"/>
      <w:bookmarkStart w:id="368" w:name="_Toc330201284"/>
      <w:bookmarkStart w:id="369" w:name="_Toc330198935"/>
      <w:bookmarkStart w:id="370" w:name="_Toc335048444"/>
      <w:bookmarkStart w:id="371" w:name="_Toc330199299"/>
      <w:bookmarkStart w:id="372" w:name="_Toc295552565"/>
      <w:bookmarkStart w:id="373" w:name="_Toc330201460"/>
      <w:bookmarkStart w:id="374" w:name="_Toc335048124"/>
      <w:bookmarkStart w:id="375" w:name="_Toc330198593"/>
      <w:bookmarkStart w:id="376" w:name="_Toc361318161"/>
      <w:bookmarkStart w:id="377" w:name="_Toc381100844"/>
      <w:r>
        <w:rPr>
          <w:rFonts w:ascii="黑体" w:hAnsi="黑体"/>
          <w:color w:val="000000"/>
        </w:rPr>
        <w:t>DNS查询和响应</w:t>
      </w:r>
      <w:bookmarkEnd w:id="367"/>
      <w:bookmarkEnd w:id="368"/>
      <w:bookmarkEnd w:id="369"/>
      <w:bookmarkEnd w:id="370"/>
      <w:bookmarkEnd w:id="371"/>
      <w:bookmarkEnd w:id="372"/>
      <w:bookmarkEnd w:id="373"/>
      <w:bookmarkEnd w:id="374"/>
      <w:bookmarkEnd w:id="375"/>
      <w:r>
        <w:rPr>
          <w:rFonts w:ascii="黑体" w:hAnsi="黑体"/>
          <w:color w:val="000000"/>
        </w:rPr>
        <w:t xml:space="preserve"> dns query/response</w:t>
      </w:r>
      <w:bookmarkEnd w:id="376"/>
      <w:bookmarkEnd w:id="377"/>
    </w:p>
    <w:p>
      <w:pPr>
        <w:spacing w:line="400" w:lineRule="exact"/>
        <w:ind w:firstLine="420" w:firstLineChars="200"/>
        <w:rPr>
          <w:rFonts w:ascii="宋体" w:hAnsi="宋体"/>
          <w:color w:val="000000"/>
        </w:rPr>
      </w:pPr>
      <w:r>
        <w:rPr>
          <w:rFonts w:ascii="宋体" w:hAnsi="宋体" w:hint="eastAsia"/>
          <w:color w:val="000000"/>
        </w:rPr>
        <w:t>解析器与缓存域名服务器之间进行资源记录的查找与响应的过程。</w:t>
      </w:r>
    </w:p>
    <w:p>
      <w:pPr>
        <w:pStyle w:val="a10"/>
        <w:numPr>
          <w:ilvl w:val="2"/>
          <w:numId w:val="10"/>
        </w:numPr>
        <w:spacing w:line="400" w:lineRule="exact"/>
        <w:rPr>
          <w:color w:val="000000"/>
        </w:rPr>
      </w:pPr>
      <w:bookmarkStart w:id="378" w:name="_Toc361318162"/>
      <w:bookmarkEnd w:id="378"/>
      <w:bookmarkStart w:id="379" w:name="_Toc295552566"/>
      <w:bookmarkEnd w:id="379"/>
      <w:bookmarkStart w:id="380" w:name="_Toc330198594"/>
      <w:bookmarkEnd w:id="380"/>
      <w:bookmarkStart w:id="381" w:name="_Toc330198936"/>
      <w:bookmarkEnd w:id="381"/>
      <w:bookmarkStart w:id="382" w:name="_Toc330200494"/>
      <w:bookmarkEnd w:id="382"/>
      <w:bookmarkStart w:id="383" w:name="_Toc330201285"/>
      <w:bookmarkEnd w:id="383"/>
      <w:bookmarkStart w:id="384" w:name="_Toc330199300"/>
      <w:bookmarkEnd w:id="384"/>
      <w:bookmarkStart w:id="385" w:name="_Toc330201461"/>
      <w:bookmarkEnd w:id="385"/>
      <w:bookmarkStart w:id="386" w:name="_Toc335048125"/>
      <w:bookmarkEnd w:id="386"/>
      <w:bookmarkStart w:id="387" w:name="_Toc335048445"/>
      <w:bookmarkEnd w:id="387"/>
      <w:bookmarkStart w:id="388" w:name="_Toc381100845"/>
      <w:bookmarkEnd w:id="388"/>
    </w:p>
    <w:p>
      <w:pPr>
        <w:pStyle w:val="a10"/>
        <w:numPr>
          <w:ilvl w:val="1"/>
          <w:numId w:val="0"/>
        </w:numPr>
        <w:spacing w:line="400" w:lineRule="exact"/>
        <w:ind w:firstLine="420" w:firstLineChars="200"/>
        <w:rPr>
          <w:rFonts w:ascii="黑体" w:hAnsi="黑体"/>
          <w:color w:val="000000"/>
        </w:rPr>
      </w:pPr>
      <w:bookmarkStart w:id="389" w:name="_Toc330199301"/>
      <w:bookmarkStart w:id="390" w:name="_Toc330200495"/>
      <w:bookmarkStart w:id="391" w:name="_Toc330201286"/>
      <w:bookmarkStart w:id="392" w:name="_Toc295552567"/>
      <w:bookmarkStart w:id="393" w:name="_Toc330198937"/>
      <w:bookmarkStart w:id="394" w:name="_Toc330201462"/>
      <w:bookmarkStart w:id="395" w:name="_Toc381100846"/>
      <w:bookmarkStart w:id="396" w:name="_Toc361318163"/>
      <w:bookmarkStart w:id="397" w:name="_Toc335048126"/>
      <w:bookmarkStart w:id="398" w:name="_Toc335048446"/>
      <w:bookmarkStart w:id="399" w:name="_Toc330198595"/>
      <w:r>
        <w:rPr>
          <w:rFonts w:ascii="黑体" w:hAnsi="黑体"/>
          <w:color w:val="000000"/>
        </w:rPr>
        <w:t>区传送 zone transfer</w:t>
      </w:r>
      <w:bookmarkEnd w:id="389"/>
      <w:bookmarkEnd w:id="390"/>
      <w:bookmarkEnd w:id="391"/>
      <w:bookmarkEnd w:id="392"/>
      <w:bookmarkEnd w:id="393"/>
      <w:bookmarkEnd w:id="394"/>
      <w:bookmarkEnd w:id="395"/>
      <w:bookmarkEnd w:id="396"/>
      <w:bookmarkEnd w:id="397"/>
      <w:bookmarkEnd w:id="398"/>
      <w:bookmarkEnd w:id="399"/>
    </w:p>
    <w:p>
      <w:pPr>
        <w:spacing w:line="400" w:lineRule="exact"/>
        <w:ind w:firstLine="420" w:firstLineChars="200"/>
        <w:rPr>
          <w:rFonts w:ascii="宋体" w:hAnsi="宋体"/>
          <w:color w:val="000000"/>
        </w:rPr>
      </w:pPr>
      <w:bookmarkStart w:id="400" w:name="_Toc295552568"/>
      <w:bookmarkStart w:id="401" w:name="_Toc330198938"/>
      <w:bookmarkStart w:id="402" w:name="_Toc330201287"/>
      <w:bookmarkStart w:id="403" w:name="_Toc330201463"/>
      <w:bookmarkStart w:id="404" w:name="_Toc330199302"/>
      <w:bookmarkStart w:id="405" w:name="_Toc335048127"/>
      <w:bookmarkStart w:id="406" w:name="_Toc335048447"/>
      <w:bookmarkStart w:id="407" w:name="_Toc330200496"/>
      <w:bookmarkStart w:id="408" w:name="_Toc330198596"/>
      <w:bookmarkStart w:id="409" w:name="_Toc361318164"/>
      <w:r>
        <w:rPr>
          <w:rFonts w:ascii="宋体" w:hAnsi="宋体"/>
          <w:color w:val="000000"/>
        </w:rPr>
        <w:t>将区的资源记录内容从主服务器向辅服务器传送的过程，用于实现主、辅服务期间的数据同步</w:t>
      </w:r>
      <w:bookmarkEnd w:id="400"/>
      <w:bookmarkEnd w:id="401"/>
      <w:bookmarkEnd w:id="402"/>
      <w:bookmarkEnd w:id="403"/>
      <w:bookmarkEnd w:id="404"/>
      <w:bookmarkEnd w:id="405"/>
      <w:bookmarkEnd w:id="406"/>
      <w:bookmarkEnd w:id="407"/>
      <w:bookmarkEnd w:id="408"/>
      <w:r>
        <w:rPr>
          <w:rFonts w:ascii="宋体" w:hAnsi="宋体"/>
          <w:color w:val="000000"/>
        </w:rPr>
        <w:t>。</w:t>
      </w:r>
      <w:bookmarkEnd w:id="409"/>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2135-2010，定义3.1.14]</w:t>
      </w:r>
    </w:p>
    <w:p>
      <w:pPr>
        <w:pStyle w:val="a10"/>
        <w:numPr>
          <w:ilvl w:val="2"/>
          <w:numId w:val="10"/>
        </w:numPr>
        <w:spacing w:line="400" w:lineRule="exact"/>
        <w:rPr>
          <w:color w:val="000000"/>
        </w:rPr>
      </w:pPr>
      <w:bookmarkStart w:id="410" w:name="_Toc330199303"/>
      <w:bookmarkEnd w:id="410"/>
      <w:bookmarkStart w:id="411" w:name="_Toc330201288"/>
      <w:bookmarkEnd w:id="411"/>
      <w:bookmarkStart w:id="412" w:name="_Toc335048128"/>
      <w:bookmarkEnd w:id="412"/>
      <w:bookmarkStart w:id="413" w:name="_Toc330198939"/>
      <w:bookmarkEnd w:id="413"/>
      <w:bookmarkStart w:id="414" w:name="_Toc330200497"/>
      <w:bookmarkEnd w:id="414"/>
      <w:bookmarkStart w:id="415" w:name="_Toc335048448"/>
      <w:bookmarkEnd w:id="415"/>
      <w:bookmarkStart w:id="416" w:name="_Toc330198597"/>
      <w:bookmarkEnd w:id="416"/>
      <w:bookmarkStart w:id="417" w:name="_Toc330201464"/>
      <w:bookmarkEnd w:id="417"/>
      <w:bookmarkStart w:id="418" w:name="_Toc295552569"/>
      <w:bookmarkEnd w:id="418"/>
      <w:bookmarkStart w:id="419" w:name="_Toc381100847"/>
      <w:bookmarkEnd w:id="419"/>
      <w:bookmarkStart w:id="420" w:name="_Toc361318165"/>
      <w:bookmarkEnd w:id="420"/>
    </w:p>
    <w:p>
      <w:pPr>
        <w:pStyle w:val="a10"/>
        <w:numPr>
          <w:ilvl w:val="1"/>
          <w:numId w:val="0"/>
        </w:numPr>
        <w:spacing w:line="400" w:lineRule="exact"/>
        <w:ind w:firstLine="420" w:firstLineChars="200"/>
        <w:rPr>
          <w:rFonts w:ascii="黑体" w:hAnsi="黑体"/>
          <w:color w:val="000000"/>
        </w:rPr>
      </w:pPr>
      <w:bookmarkStart w:id="421" w:name="_Toc330201289"/>
      <w:bookmarkStart w:id="422" w:name="_Toc335048129"/>
      <w:bookmarkStart w:id="423" w:name="_Toc335048449"/>
      <w:bookmarkStart w:id="424" w:name="_Toc330201465"/>
      <w:bookmarkStart w:id="425" w:name="_Toc295552570"/>
      <w:bookmarkStart w:id="426" w:name="_Toc330200498"/>
      <w:bookmarkStart w:id="427" w:name="_Toc330198598"/>
      <w:bookmarkStart w:id="428" w:name="_Toc330199304"/>
      <w:bookmarkStart w:id="429" w:name="_Toc330198940"/>
      <w:bookmarkStart w:id="430" w:name="_Toc361318166"/>
      <w:bookmarkStart w:id="431" w:name="_Toc381100848"/>
      <w:r>
        <w:rPr>
          <w:rFonts w:ascii="黑体" w:hAnsi="黑体"/>
          <w:color w:val="000000"/>
        </w:rPr>
        <w:t>动态更新</w:t>
      </w:r>
      <w:bookmarkEnd w:id="421"/>
      <w:bookmarkEnd w:id="422"/>
      <w:bookmarkEnd w:id="423"/>
      <w:bookmarkEnd w:id="424"/>
      <w:bookmarkEnd w:id="425"/>
      <w:bookmarkEnd w:id="426"/>
      <w:bookmarkEnd w:id="427"/>
      <w:bookmarkEnd w:id="428"/>
      <w:bookmarkEnd w:id="429"/>
      <w:r>
        <w:rPr>
          <w:rFonts w:ascii="黑体" w:hAnsi="黑体"/>
          <w:color w:val="000000"/>
        </w:rPr>
        <w:t xml:space="preserve"> dynamic updates</w:t>
      </w:r>
      <w:bookmarkEnd w:id="430"/>
      <w:bookmarkEnd w:id="431"/>
      <w:bookmarkStart w:id="432" w:name="_Toc335048131"/>
      <w:bookmarkStart w:id="433" w:name="_Toc361318168"/>
      <w:bookmarkStart w:id="434" w:name="_Toc330201291"/>
      <w:bookmarkStart w:id="435" w:name="_Toc295552572"/>
      <w:bookmarkStart w:id="436" w:name="_Toc330200500"/>
      <w:bookmarkStart w:id="437" w:name="_Toc330201467"/>
      <w:bookmarkStart w:id="438" w:name="_Toc330199306"/>
      <w:bookmarkStart w:id="439" w:name="_Toc335048451"/>
      <w:bookmarkStart w:id="440" w:name="_Toc330198942"/>
      <w:bookmarkStart w:id="441" w:name="_Toc330198600"/>
    </w:p>
    <w:p>
      <w:pPr>
        <w:spacing w:line="400" w:lineRule="exact"/>
        <w:ind w:firstLine="420" w:firstLineChars="200"/>
        <w:rPr>
          <w:color w:val="000000"/>
        </w:rPr>
      </w:pPr>
      <w:r>
        <w:rPr>
          <w:rFonts w:ascii="宋体" w:hAnsi="宋体" w:hint="eastAsia"/>
          <w:color w:val="000000"/>
        </w:rPr>
        <w:t>实施</w:t>
      </w:r>
      <w:r>
        <w:rPr>
          <w:rFonts w:ascii="宋体" w:hAnsi="宋体"/>
          <w:color w:val="000000"/>
        </w:rPr>
        <w:t>现有域添加或删除个别的资源记录、为现有域删除一套特定的资源记录、删除现有域、新增一个域</w:t>
      </w:r>
      <w:r>
        <w:rPr>
          <w:rFonts w:ascii="宋体" w:hAnsi="宋体" w:hint="eastAsia"/>
          <w:color w:val="000000"/>
        </w:rPr>
        <w:t>的一个操作</w:t>
      </w:r>
      <w:r>
        <w:rPr>
          <w:rFonts w:ascii="宋体" w:hAnsi="宋体"/>
          <w:color w:val="000000"/>
        </w:rPr>
        <w:t>。</w:t>
      </w:r>
      <w:bookmarkEnd w:id="432"/>
      <w:bookmarkEnd w:id="433"/>
      <w:bookmarkEnd w:id="434"/>
      <w:bookmarkEnd w:id="435"/>
      <w:bookmarkEnd w:id="436"/>
      <w:bookmarkEnd w:id="437"/>
      <w:bookmarkEnd w:id="438"/>
      <w:bookmarkEnd w:id="439"/>
      <w:bookmarkEnd w:id="440"/>
      <w:bookmarkEnd w:id="441"/>
    </w:p>
    <w:p>
      <w:pPr>
        <w:pStyle w:val="a10"/>
        <w:numPr>
          <w:ilvl w:val="2"/>
          <w:numId w:val="10"/>
        </w:numPr>
        <w:spacing w:line="400" w:lineRule="exact"/>
        <w:rPr>
          <w:color w:val="000000"/>
        </w:rPr>
      </w:pPr>
      <w:bookmarkStart w:id="442" w:name="_Toc330201468"/>
      <w:bookmarkEnd w:id="442"/>
      <w:bookmarkStart w:id="443" w:name="_Toc330198601"/>
      <w:bookmarkEnd w:id="443"/>
      <w:bookmarkStart w:id="444" w:name="_Toc295552573"/>
      <w:bookmarkEnd w:id="444"/>
      <w:bookmarkStart w:id="445" w:name="_Toc330198943"/>
      <w:bookmarkEnd w:id="445"/>
      <w:bookmarkStart w:id="446" w:name="_Toc330199307"/>
      <w:bookmarkEnd w:id="446"/>
      <w:bookmarkStart w:id="447" w:name="_Toc361318169"/>
      <w:bookmarkEnd w:id="447"/>
      <w:bookmarkStart w:id="448" w:name="_Toc330200501"/>
      <w:bookmarkEnd w:id="448"/>
      <w:bookmarkStart w:id="449" w:name="_Toc330201292"/>
      <w:bookmarkEnd w:id="449"/>
      <w:bookmarkStart w:id="450" w:name="_Toc335048452"/>
      <w:bookmarkEnd w:id="450"/>
      <w:bookmarkStart w:id="451" w:name="_Toc381100849"/>
      <w:bookmarkEnd w:id="451"/>
      <w:bookmarkStart w:id="452" w:name="_Toc335048132"/>
      <w:bookmarkEnd w:id="452"/>
    </w:p>
    <w:p>
      <w:pPr>
        <w:pStyle w:val="a10"/>
        <w:numPr>
          <w:ilvl w:val="1"/>
          <w:numId w:val="0"/>
        </w:numPr>
        <w:spacing w:line="400" w:lineRule="exact"/>
        <w:ind w:firstLine="420" w:firstLineChars="200"/>
        <w:rPr>
          <w:rFonts w:ascii="黑体" w:hAnsi="黑体"/>
          <w:color w:val="000000"/>
        </w:rPr>
        <w:sectPr>
          <w:headerReference w:type="even" r:id="rId41"/>
          <w:headerReference w:type="default" r:id="rId42"/>
          <w:footerReference w:type="even" r:id="rId43"/>
          <w:footerReference w:type="default" r:id="rId44"/>
          <w:headerReference w:type="first" r:id="rId45"/>
          <w:footerReference w:type="first" r:id="rId46"/>
          <w:type w:val="nextPage"/>
          <w:pgSz w:w="11907" w:h="16839"/>
          <w:pgMar w:top="1418" w:right="1134" w:bottom="1134" w:left="1418" w:header="1418" w:footer="851" w:gutter="0"/>
          <w:pgNumType w:start="4"/>
          <w:cols w:num="1" w:space="425"/>
          <w:titlePg w:val="0"/>
          <w:docGrid w:type="lines" w:linePitch="312" w:charSpace="0"/>
        </w:sectPr>
      </w:pPr>
      <w:bookmarkStart w:id="453" w:name="_Toc335048453"/>
      <w:bookmarkStart w:id="454" w:name="_Toc295552574"/>
      <w:bookmarkStart w:id="455" w:name="_Toc330198944"/>
      <w:bookmarkStart w:id="456" w:name="_Toc330201293"/>
      <w:bookmarkStart w:id="457" w:name="_Toc330199308"/>
      <w:bookmarkStart w:id="458" w:name="_Toc330198602"/>
      <w:bookmarkStart w:id="459" w:name="_Toc330200502"/>
      <w:bookmarkStart w:id="460" w:name="_Toc335048133"/>
      <w:bookmarkStart w:id="461" w:name="_Toc330201469"/>
      <w:bookmarkStart w:id="462" w:name="_Toc361318170"/>
      <w:bookmarkStart w:id="463" w:name="_Toc381100850"/>
      <w:r>
        <w:rPr>
          <w:rFonts w:ascii="黑体" w:hAnsi="黑体"/>
          <w:color w:val="000000"/>
        </w:rPr>
        <w:t>DNS</w:t>
      </w:r>
      <w:bookmarkEnd w:id="453"/>
      <w:bookmarkEnd w:id="454"/>
      <w:bookmarkEnd w:id="455"/>
      <w:bookmarkEnd w:id="456"/>
      <w:bookmarkEnd w:id="457"/>
      <w:bookmarkEnd w:id="458"/>
      <w:bookmarkEnd w:id="459"/>
      <w:bookmarkEnd w:id="460"/>
      <w:bookmarkEnd w:id="461"/>
      <w:r>
        <w:rPr>
          <w:rFonts w:ascii="黑体" w:hAnsi="黑体"/>
          <w:color w:val="000000"/>
        </w:rPr>
        <w:t>通知报文 dns notify</w:t>
      </w:r>
      <w:bookmarkEnd w:id="462"/>
      <w:bookmarkEnd w:id="463"/>
    </w:p>
    <w:p>
      <w:pPr>
        <w:pStyle w:val="a8"/>
        <w:spacing w:line="400" w:lineRule="exact"/>
        <w:ind w:firstLine="420"/>
        <w:rPr>
          <w:rFonts w:hAnsi="宋体"/>
          <w:color w:val="000000"/>
        </w:rPr>
      </w:pPr>
      <w:r>
        <w:rPr>
          <w:rFonts w:hAnsi="宋体"/>
          <w:color w:val="000000"/>
        </w:rPr>
        <w:t>当主DNS服务器的区文件发生变化时，主DNS服务器通知辅DNS服务器</w:t>
      </w:r>
      <w:r>
        <w:rPr>
          <w:rFonts w:hAnsi="宋体" w:hint="eastAsia"/>
          <w:color w:val="000000"/>
        </w:rPr>
        <w:t>数据变化的手段。</w:t>
      </w:r>
    </w:p>
    <w:p>
      <w:pPr>
        <w:pStyle w:val="a10"/>
        <w:numPr>
          <w:ilvl w:val="2"/>
          <w:numId w:val="10"/>
        </w:numPr>
        <w:spacing w:line="400" w:lineRule="exact"/>
        <w:rPr>
          <w:color w:val="000000"/>
        </w:rPr>
      </w:pPr>
      <w:bookmarkStart w:id="464" w:name="_Toc335048134"/>
      <w:bookmarkEnd w:id="464"/>
      <w:bookmarkStart w:id="465" w:name="_Toc295552575"/>
      <w:bookmarkEnd w:id="465"/>
      <w:bookmarkStart w:id="466" w:name="_Toc330198945"/>
      <w:bookmarkEnd w:id="466"/>
      <w:bookmarkStart w:id="467" w:name="_Toc330200503"/>
      <w:bookmarkEnd w:id="467"/>
      <w:bookmarkStart w:id="468" w:name="_Toc330199309"/>
      <w:bookmarkEnd w:id="468"/>
      <w:bookmarkStart w:id="469" w:name="_Toc330201294"/>
      <w:bookmarkEnd w:id="469"/>
      <w:bookmarkStart w:id="470" w:name="_Toc330201470"/>
      <w:bookmarkEnd w:id="470"/>
      <w:bookmarkStart w:id="471" w:name="_Toc361318171"/>
      <w:bookmarkEnd w:id="471"/>
      <w:bookmarkStart w:id="472" w:name="_Toc330198603"/>
      <w:bookmarkEnd w:id="472"/>
      <w:bookmarkStart w:id="473" w:name="_Toc335048454"/>
      <w:bookmarkEnd w:id="473"/>
      <w:bookmarkStart w:id="474" w:name="_Toc381100851"/>
      <w:bookmarkEnd w:id="474"/>
    </w:p>
    <w:p>
      <w:pPr>
        <w:pStyle w:val="a10"/>
        <w:numPr>
          <w:ilvl w:val="1"/>
          <w:numId w:val="0"/>
        </w:numPr>
        <w:spacing w:line="400" w:lineRule="exact"/>
        <w:ind w:firstLine="420" w:firstLineChars="200"/>
        <w:rPr>
          <w:rFonts w:ascii="黑体" w:hAnsi="黑体"/>
          <w:color w:val="000000"/>
        </w:rPr>
      </w:pPr>
      <w:bookmarkStart w:id="475" w:name="_Toc330198946"/>
      <w:bookmarkStart w:id="476" w:name="_Toc330199310"/>
      <w:bookmarkStart w:id="477" w:name="_Toc330198604"/>
      <w:bookmarkStart w:id="478" w:name="_Toc330200504"/>
      <w:bookmarkStart w:id="479" w:name="_Toc330201295"/>
      <w:bookmarkStart w:id="480" w:name="_Toc335048135"/>
      <w:bookmarkStart w:id="481" w:name="_Toc295552576"/>
      <w:bookmarkStart w:id="482" w:name="_Toc330201471"/>
      <w:bookmarkStart w:id="483" w:name="_Toc335048455"/>
      <w:bookmarkStart w:id="484" w:name="_Toc361318172"/>
      <w:bookmarkStart w:id="485" w:name="_Toc381100852"/>
      <w:r>
        <w:rPr>
          <w:rFonts w:ascii="黑体" w:hAnsi="黑体"/>
          <w:color w:val="000000"/>
        </w:rPr>
        <w:t>递归服务器</w:t>
      </w:r>
      <w:bookmarkEnd w:id="475"/>
      <w:bookmarkEnd w:id="476"/>
      <w:bookmarkEnd w:id="477"/>
      <w:bookmarkEnd w:id="478"/>
      <w:bookmarkEnd w:id="479"/>
      <w:bookmarkEnd w:id="480"/>
      <w:bookmarkEnd w:id="481"/>
      <w:bookmarkEnd w:id="482"/>
      <w:bookmarkEnd w:id="483"/>
      <w:r>
        <w:rPr>
          <w:rFonts w:ascii="黑体" w:hAnsi="黑体"/>
          <w:color w:val="000000"/>
        </w:rPr>
        <w:t xml:space="preserve"> recursive server</w:t>
      </w:r>
      <w:bookmarkEnd w:id="484"/>
      <w:bookmarkEnd w:id="485"/>
    </w:p>
    <w:p>
      <w:pPr>
        <w:pStyle w:val="a8"/>
        <w:spacing w:line="400" w:lineRule="exact"/>
        <w:ind w:firstLine="200" w:firstLineChars="95"/>
        <w:rPr>
          <w:rFonts w:ascii="黑体" w:eastAsia="黑体" w:hAnsi="黑体"/>
          <w:color w:val="000000"/>
        </w:rPr>
      </w:pPr>
      <w:r>
        <w:rPr>
          <w:rFonts w:ascii="黑体" w:eastAsia="黑体" w:hAnsi="黑体"/>
          <w:color w:val="000000"/>
        </w:rPr>
        <w:t xml:space="preserve">  本地域名服务器</w:t>
      </w:r>
    </w:p>
    <w:p>
      <w:pPr>
        <w:pStyle w:val="a8"/>
        <w:spacing w:line="400" w:lineRule="exact"/>
        <w:ind w:firstLine="401" w:firstLineChars="191"/>
        <w:rPr>
          <w:rFonts w:hAnsi="宋体"/>
          <w:color w:val="000000"/>
        </w:rPr>
      </w:pPr>
      <w:r>
        <w:rPr>
          <w:rFonts w:ascii="黑体" w:eastAsia="黑体" w:hAnsi="黑体"/>
          <w:color w:val="000000"/>
        </w:rPr>
        <w:t>缓存服务器</w:t>
      </w:r>
    </w:p>
    <w:p>
      <w:pPr>
        <w:pStyle w:val="a8"/>
        <w:spacing w:line="400" w:lineRule="exact"/>
        <w:ind w:firstLine="401" w:firstLineChars="191"/>
        <w:rPr>
          <w:rFonts w:hAnsi="宋体"/>
          <w:color w:val="000000"/>
        </w:rPr>
      </w:pPr>
      <w:r>
        <w:rPr>
          <w:rFonts w:hAnsi="宋体"/>
          <w:color w:val="000000"/>
        </w:rPr>
        <w:t>负责接受用户端（解析器）发送的请求</w:t>
      </w:r>
      <w:r>
        <w:rPr>
          <w:rFonts w:hAnsi="宋体" w:hint="eastAsia"/>
          <w:color w:val="000000"/>
        </w:rPr>
        <w:t>，</w:t>
      </w:r>
      <w:r>
        <w:rPr>
          <w:rFonts w:hAnsi="宋体"/>
          <w:color w:val="000000"/>
        </w:rPr>
        <w:t>然后通过向各级权威服务器发出查询请求获得用户需要的查询结果，最后返回给用户端的</w:t>
      </w:r>
      <w:r>
        <w:rPr>
          <w:rFonts w:hAnsi="宋体" w:hint="eastAsia"/>
          <w:color w:val="000000"/>
        </w:rPr>
        <w:t>服务器</w:t>
      </w:r>
      <w:r>
        <w:rPr>
          <w:rFonts w:hAnsi="宋体"/>
          <w:color w:val="000000"/>
        </w:rPr>
        <w:t>。</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2135-2010，定义3.1.15]</w:t>
      </w:r>
    </w:p>
    <w:p>
      <w:pPr>
        <w:pStyle w:val="a10"/>
        <w:numPr>
          <w:ilvl w:val="2"/>
          <w:numId w:val="10"/>
        </w:numPr>
        <w:spacing w:line="400" w:lineRule="exact"/>
        <w:rPr>
          <w:color w:val="000000"/>
        </w:rPr>
      </w:pPr>
      <w:bookmarkStart w:id="486" w:name="_Toc330198947"/>
      <w:bookmarkEnd w:id="486"/>
      <w:bookmarkStart w:id="487" w:name="_Toc330201472"/>
      <w:bookmarkEnd w:id="487"/>
      <w:bookmarkStart w:id="488" w:name="_Toc295552577"/>
      <w:bookmarkEnd w:id="488"/>
      <w:bookmarkStart w:id="489" w:name="_Toc335048456"/>
      <w:bookmarkEnd w:id="489"/>
      <w:bookmarkStart w:id="490" w:name="_Toc330198605"/>
      <w:bookmarkEnd w:id="490"/>
      <w:bookmarkStart w:id="491" w:name="_Toc330199311"/>
      <w:bookmarkEnd w:id="491"/>
      <w:bookmarkStart w:id="492" w:name="_Toc330200505"/>
      <w:bookmarkEnd w:id="492"/>
      <w:bookmarkStart w:id="493" w:name="_Toc330201296"/>
      <w:bookmarkEnd w:id="493"/>
      <w:bookmarkStart w:id="494" w:name="_Toc335048136"/>
      <w:bookmarkEnd w:id="494"/>
      <w:bookmarkStart w:id="495" w:name="_Toc381100853"/>
      <w:bookmarkEnd w:id="495"/>
      <w:bookmarkStart w:id="496" w:name="_Toc361318173"/>
      <w:bookmarkEnd w:id="496"/>
    </w:p>
    <w:p>
      <w:pPr>
        <w:pStyle w:val="a10"/>
        <w:numPr>
          <w:ilvl w:val="1"/>
          <w:numId w:val="0"/>
        </w:numPr>
        <w:spacing w:line="400" w:lineRule="exact"/>
        <w:ind w:firstLine="420" w:firstLineChars="200"/>
        <w:rPr>
          <w:rFonts w:ascii="黑体" w:hAnsi="黑体"/>
          <w:color w:val="000000"/>
        </w:rPr>
      </w:pPr>
      <w:bookmarkStart w:id="497" w:name="_Toc330198948"/>
      <w:bookmarkStart w:id="498" w:name="_Toc330200506"/>
      <w:bookmarkStart w:id="499" w:name="_Toc295552578"/>
      <w:bookmarkStart w:id="500" w:name="_Toc330198606"/>
      <w:bookmarkStart w:id="501" w:name="_Toc335048137"/>
      <w:bookmarkStart w:id="502" w:name="_Toc335048457"/>
      <w:bookmarkStart w:id="503" w:name="_Toc330201297"/>
      <w:bookmarkStart w:id="504" w:name="_Toc330199312"/>
      <w:bookmarkStart w:id="505" w:name="_Toc361318174"/>
      <w:bookmarkStart w:id="506" w:name="_Toc330201473"/>
      <w:bookmarkStart w:id="507" w:name="_Toc381100854"/>
      <w:r>
        <w:rPr>
          <w:rFonts w:ascii="黑体" w:hAnsi="黑体"/>
          <w:color w:val="000000"/>
        </w:rPr>
        <w:t>解析器 resolver</w:t>
      </w:r>
      <w:bookmarkEnd w:id="497"/>
      <w:bookmarkEnd w:id="498"/>
      <w:bookmarkEnd w:id="499"/>
      <w:bookmarkEnd w:id="500"/>
      <w:bookmarkEnd w:id="501"/>
      <w:bookmarkEnd w:id="502"/>
      <w:bookmarkEnd w:id="503"/>
      <w:bookmarkEnd w:id="504"/>
      <w:bookmarkEnd w:id="505"/>
      <w:bookmarkEnd w:id="506"/>
      <w:bookmarkEnd w:id="507"/>
    </w:p>
    <w:p>
      <w:pPr>
        <w:pStyle w:val="a8"/>
        <w:spacing w:line="400" w:lineRule="exact"/>
        <w:ind w:firstLine="420"/>
        <w:rPr>
          <w:rFonts w:hAnsi="宋体"/>
          <w:color w:val="000000"/>
        </w:rPr>
      </w:pPr>
      <w:r>
        <w:rPr>
          <w:rFonts w:hAnsi="宋体"/>
          <w:color w:val="000000"/>
        </w:rPr>
        <w:t>向域名服务器发送域名解析请求，并且从域名服务器返回的响应消息中提取所需信息的程序。</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2135-2010，定义3.1.16]</w:t>
      </w:r>
    </w:p>
    <w:p>
      <w:pPr>
        <w:pStyle w:val="a10"/>
        <w:numPr>
          <w:ilvl w:val="2"/>
          <w:numId w:val="10"/>
        </w:numPr>
        <w:spacing w:line="400" w:lineRule="exact"/>
        <w:rPr>
          <w:color w:val="000000"/>
        </w:rPr>
      </w:pPr>
      <w:bookmarkStart w:id="508" w:name="_Toc381100855"/>
      <w:bookmarkEnd w:id="508"/>
    </w:p>
    <w:p>
      <w:pPr>
        <w:pStyle w:val="a10"/>
        <w:numPr>
          <w:ilvl w:val="1"/>
          <w:numId w:val="0"/>
        </w:numPr>
        <w:spacing w:line="400" w:lineRule="exact"/>
        <w:ind w:firstLine="420" w:firstLineChars="200"/>
        <w:rPr>
          <w:rFonts w:ascii="黑体" w:hAnsi="黑体"/>
          <w:color w:val="000000"/>
        </w:rPr>
      </w:pPr>
      <w:bookmarkStart w:id="509" w:name="_Toc381100856"/>
      <w:r>
        <w:rPr>
          <w:rFonts w:ascii="黑体" w:hAnsi="黑体"/>
          <w:color w:val="000000"/>
        </w:rPr>
        <w:t>区签名密钥 zone signing key</w:t>
      </w:r>
      <w:bookmarkEnd w:id="509"/>
    </w:p>
    <w:p>
      <w:pPr>
        <w:pStyle w:val="a8"/>
        <w:spacing w:line="400" w:lineRule="exact"/>
        <w:ind w:firstLine="420"/>
        <w:rPr>
          <w:rFonts w:hAnsi="宋体"/>
          <w:color w:val="000000"/>
        </w:rPr>
      </w:pPr>
      <w:r>
        <w:rPr>
          <w:rFonts w:hAnsi="宋体"/>
          <w:color w:val="000000"/>
        </w:rPr>
        <w:t>对权威域数据进行DNSSEC签名或验证的密钥对。</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1</w:t>
      </w:r>
      <w:r>
        <w:rPr>
          <w:rFonts w:hAnsi="宋体"/>
          <w:color w:val="000000"/>
        </w:rPr>
        <w:t>]</w:t>
      </w:r>
    </w:p>
    <w:p>
      <w:pPr>
        <w:pStyle w:val="a10"/>
        <w:numPr>
          <w:ilvl w:val="2"/>
          <w:numId w:val="10"/>
        </w:numPr>
        <w:spacing w:line="400" w:lineRule="exact"/>
        <w:rPr>
          <w:color w:val="000000"/>
        </w:rPr>
      </w:pPr>
      <w:bookmarkStart w:id="510" w:name="_Toc277749578"/>
      <w:bookmarkEnd w:id="510"/>
      <w:bookmarkStart w:id="511" w:name="_Toc381100857"/>
      <w:bookmarkEnd w:id="511"/>
    </w:p>
    <w:p>
      <w:pPr>
        <w:pStyle w:val="a10"/>
        <w:numPr>
          <w:ilvl w:val="1"/>
          <w:numId w:val="0"/>
        </w:numPr>
        <w:spacing w:line="400" w:lineRule="exact"/>
        <w:ind w:firstLine="420" w:firstLineChars="200"/>
        <w:rPr>
          <w:rFonts w:ascii="黑体" w:hAnsi="黑体"/>
          <w:color w:val="000000"/>
        </w:rPr>
      </w:pPr>
      <w:bookmarkStart w:id="512" w:name="_Toc381100858"/>
      <w:r>
        <w:rPr>
          <w:rFonts w:ascii="黑体" w:hAnsi="黑体"/>
          <w:color w:val="000000"/>
        </w:rPr>
        <w:t>密钥签名密钥 key signing key</w:t>
      </w:r>
      <w:bookmarkEnd w:id="512"/>
    </w:p>
    <w:p>
      <w:pPr>
        <w:pStyle w:val="a8"/>
        <w:spacing w:line="400" w:lineRule="exact"/>
        <w:ind w:firstLine="420"/>
        <w:rPr>
          <w:rFonts w:hAnsi="宋体"/>
          <w:color w:val="000000"/>
        </w:rPr>
      </w:pPr>
      <w:r>
        <w:rPr>
          <w:rFonts w:hAnsi="宋体"/>
          <w:color w:val="000000"/>
        </w:rPr>
        <w:t>对区签名密钥对中的公钥进行数字签名或验证的密钥对。</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2</w:t>
      </w:r>
      <w:r>
        <w:rPr>
          <w:rFonts w:hAnsi="宋体"/>
          <w:color w:val="000000"/>
        </w:rPr>
        <w:t>]</w:t>
      </w:r>
    </w:p>
    <w:p>
      <w:pPr>
        <w:pStyle w:val="a10"/>
        <w:numPr>
          <w:ilvl w:val="2"/>
          <w:numId w:val="10"/>
        </w:numPr>
        <w:spacing w:line="400" w:lineRule="exact"/>
        <w:rPr>
          <w:color w:val="000000"/>
        </w:rPr>
      </w:pPr>
      <w:bookmarkStart w:id="513" w:name="_Toc381100859"/>
      <w:bookmarkEnd w:id="513"/>
    </w:p>
    <w:p>
      <w:pPr>
        <w:pStyle w:val="a10"/>
        <w:numPr>
          <w:ilvl w:val="1"/>
          <w:numId w:val="0"/>
        </w:numPr>
        <w:spacing w:line="400" w:lineRule="exact"/>
        <w:ind w:firstLine="420" w:firstLineChars="200"/>
        <w:rPr>
          <w:rFonts w:ascii="黑体" w:hAnsi="黑体"/>
          <w:color w:val="000000"/>
        </w:rPr>
      </w:pPr>
      <w:bookmarkStart w:id="514" w:name="_Toc381100860"/>
      <w:r>
        <w:rPr>
          <w:rFonts w:ascii="黑体" w:hAnsi="黑体"/>
          <w:color w:val="000000"/>
        </w:rPr>
        <w:t>DNS公钥（DNSKEY）DNS public key</w:t>
      </w:r>
      <w:bookmarkEnd w:id="514"/>
    </w:p>
    <w:p>
      <w:pPr>
        <w:pStyle w:val="a8"/>
        <w:spacing w:line="400" w:lineRule="exact"/>
        <w:ind w:firstLine="420"/>
        <w:rPr>
          <w:rFonts w:hAnsi="宋体"/>
          <w:color w:val="000000"/>
        </w:rPr>
      </w:pPr>
      <w:r>
        <w:rPr>
          <w:rFonts w:hAnsi="宋体"/>
          <w:color w:val="000000"/>
        </w:rPr>
        <w:t>存储权威域的公钥</w:t>
      </w:r>
      <w:r>
        <w:rPr>
          <w:rFonts w:hAnsi="宋体" w:hint="eastAsia"/>
          <w:color w:val="000000"/>
        </w:rPr>
        <w:t>的</w:t>
      </w:r>
      <w:r>
        <w:rPr>
          <w:rFonts w:hAnsi="宋体"/>
          <w:color w:val="000000"/>
        </w:rPr>
        <w:t>资源记录。</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3</w:t>
      </w:r>
      <w:r>
        <w:rPr>
          <w:rFonts w:hAnsi="宋体"/>
          <w:color w:val="000000"/>
        </w:rPr>
        <w:t>]</w:t>
      </w:r>
    </w:p>
    <w:p>
      <w:pPr>
        <w:pStyle w:val="a10"/>
        <w:numPr>
          <w:ilvl w:val="2"/>
          <w:numId w:val="10"/>
        </w:numPr>
        <w:spacing w:line="400" w:lineRule="exact"/>
        <w:rPr>
          <w:color w:val="000000"/>
        </w:rPr>
      </w:pPr>
      <w:bookmarkStart w:id="515" w:name="_Toc381100861"/>
      <w:bookmarkEnd w:id="515"/>
    </w:p>
    <w:p>
      <w:pPr>
        <w:pStyle w:val="a10"/>
        <w:numPr>
          <w:ilvl w:val="1"/>
          <w:numId w:val="0"/>
        </w:numPr>
        <w:spacing w:line="400" w:lineRule="exact"/>
        <w:ind w:firstLine="420" w:firstLineChars="200"/>
        <w:rPr>
          <w:rFonts w:ascii="黑体" w:hAnsi="黑体"/>
          <w:color w:val="000000"/>
        </w:rPr>
      </w:pPr>
      <w:bookmarkStart w:id="516" w:name="_Toc381100862"/>
      <w:r>
        <w:rPr>
          <w:rFonts w:ascii="黑体" w:hAnsi="黑体"/>
          <w:color w:val="000000"/>
        </w:rPr>
        <w:t>资源记录签名（RRSIG） resource record signature</w:t>
      </w:r>
      <w:bookmarkEnd w:id="516"/>
    </w:p>
    <w:p>
      <w:pPr>
        <w:pStyle w:val="a8"/>
        <w:spacing w:line="400" w:lineRule="exact"/>
        <w:ind w:firstLine="420"/>
        <w:rPr>
          <w:rFonts w:hAnsi="宋体"/>
          <w:color w:val="000000"/>
        </w:rPr>
      </w:pPr>
      <w:r>
        <w:rPr>
          <w:rFonts w:hAnsi="宋体"/>
          <w:color w:val="000000"/>
        </w:rPr>
        <w:t>存储DNS资源记录集的数字签名</w:t>
      </w:r>
      <w:r>
        <w:rPr>
          <w:rFonts w:hAnsi="宋体" w:hint="eastAsia"/>
          <w:color w:val="000000"/>
        </w:rPr>
        <w:t>的</w:t>
      </w:r>
      <w:r>
        <w:rPr>
          <w:rFonts w:hAnsi="宋体"/>
          <w:color w:val="000000"/>
        </w:rPr>
        <w:t>资源记录。</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4</w:t>
      </w:r>
      <w:r>
        <w:rPr>
          <w:rFonts w:hAnsi="宋体"/>
          <w:color w:val="000000"/>
        </w:rPr>
        <w:t>]</w:t>
      </w:r>
    </w:p>
    <w:p>
      <w:pPr>
        <w:pStyle w:val="a10"/>
        <w:numPr>
          <w:ilvl w:val="2"/>
          <w:numId w:val="10"/>
        </w:numPr>
        <w:spacing w:line="400" w:lineRule="exact"/>
        <w:rPr>
          <w:color w:val="000000"/>
        </w:rPr>
      </w:pPr>
      <w:bookmarkStart w:id="517" w:name="_Toc381100863"/>
      <w:bookmarkEnd w:id="517"/>
    </w:p>
    <w:p>
      <w:pPr>
        <w:pStyle w:val="a10"/>
        <w:numPr>
          <w:ilvl w:val="1"/>
          <w:numId w:val="0"/>
        </w:numPr>
        <w:spacing w:line="400" w:lineRule="exact"/>
        <w:ind w:firstLine="420" w:firstLineChars="200"/>
        <w:rPr>
          <w:rFonts w:ascii="黑体" w:hAnsi="黑体"/>
          <w:color w:val="000000"/>
        </w:rPr>
      </w:pPr>
      <w:bookmarkStart w:id="518" w:name="_Toc381100864"/>
      <w:r>
        <w:rPr>
          <w:rFonts w:ascii="黑体" w:hAnsi="黑体"/>
          <w:color w:val="000000"/>
        </w:rPr>
        <w:t>授权签名者（DS） delegation signer</w:t>
      </w:r>
      <w:bookmarkEnd w:id="518"/>
    </w:p>
    <w:p>
      <w:pPr>
        <w:pStyle w:val="a8"/>
        <w:spacing w:line="400" w:lineRule="exact"/>
        <w:ind w:firstLine="420"/>
        <w:rPr>
          <w:rFonts w:hAnsi="宋体"/>
          <w:color w:val="000000"/>
        </w:rPr>
      </w:pPr>
      <w:r>
        <w:rPr>
          <w:rFonts w:hAnsi="宋体"/>
          <w:color w:val="000000"/>
        </w:rPr>
        <w:t>存储DNSKEY资源记录散列值</w:t>
      </w:r>
      <w:r>
        <w:rPr>
          <w:rFonts w:hAnsi="宋体" w:hint="eastAsia"/>
          <w:color w:val="000000"/>
        </w:rPr>
        <w:t>的资源记录</w:t>
      </w:r>
      <w:bookmarkStart w:id="519" w:name="_Toc277749579"/>
      <w:bookmarkEnd w:id="519"/>
      <w:bookmarkStart w:id="520" w:name="_Toc141802213"/>
      <w:r>
        <w:rPr>
          <w:rFonts w:hAnsi="宋体" w:hint="eastAsia"/>
          <w:color w:val="000000"/>
        </w:rPr>
        <w:t>。</w:t>
      </w:r>
      <w:r>
        <w:rPr>
          <w:rFonts w:hAnsi="宋体"/>
          <w:color w:val="000000"/>
        </w:rPr>
        <w:t xml:space="preserve"> </w:t>
      </w:r>
    </w:p>
    <w:p>
      <w:pPr>
        <w:pStyle w:val="a8"/>
        <w:spacing w:line="400" w:lineRule="exact"/>
        <w:ind w:firstLine="420"/>
        <w:rPr>
          <w:rFonts w:hAnsi="宋体"/>
          <w:color w:val="000000"/>
        </w:rPr>
      </w:pPr>
      <w:r>
        <w:rPr>
          <w:rFonts w:hAnsi="宋体"/>
          <w:color w:val="000000"/>
        </w:rPr>
        <w:t>[</w:t>
      </w:r>
      <w:r>
        <w:rPr>
          <w:rFonts w:hAnsi="宋体" w:hint="eastAsia"/>
          <w:color w:val="000000"/>
        </w:rPr>
        <w:t>修改自</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5</w:t>
      </w:r>
      <w:r>
        <w:rPr>
          <w:rFonts w:hAnsi="宋体"/>
          <w:color w:val="000000"/>
        </w:rPr>
        <w:t>]</w:t>
      </w:r>
    </w:p>
    <w:p>
      <w:pPr>
        <w:pStyle w:val="a10"/>
        <w:numPr>
          <w:ilvl w:val="2"/>
          <w:numId w:val="10"/>
        </w:numPr>
        <w:spacing w:line="400" w:lineRule="exact"/>
        <w:rPr>
          <w:color w:val="000000"/>
        </w:rPr>
      </w:pPr>
      <w:bookmarkStart w:id="521" w:name="_Toc381100865"/>
      <w:bookmarkEnd w:id="521"/>
    </w:p>
    <w:p>
      <w:pPr>
        <w:pStyle w:val="a10"/>
        <w:numPr>
          <w:ilvl w:val="1"/>
          <w:numId w:val="0"/>
        </w:numPr>
        <w:spacing w:line="400" w:lineRule="exact"/>
        <w:ind w:firstLine="420" w:firstLineChars="200"/>
        <w:rPr>
          <w:rFonts w:ascii="黑体" w:hAnsi="黑体"/>
          <w:color w:val="000000"/>
        </w:rPr>
        <w:sectPr>
          <w:headerReference w:type="even" r:id="rId47"/>
          <w:headerReference w:type="default" r:id="rId48"/>
          <w:footerReference w:type="even" r:id="rId49"/>
          <w:footerReference w:type="default" r:id="rId50"/>
          <w:headerReference w:type="first" r:id="rId51"/>
          <w:footerReference w:type="first" r:id="rId52"/>
          <w:type w:val="nextPage"/>
          <w:pgSz w:w="11907" w:h="16839"/>
          <w:pgMar w:top="1418" w:right="1134" w:bottom="1134" w:left="1418" w:header="1418" w:footer="851" w:gutter="0"/>
          <w:pgNumType w:start="5"/>
          <w:cols w:num="1" w:space="425"/>
          <w:titlePg w:val="0"/>
          <w:docGrid w:type="lines" w:linePitch="312" w:charSpace="0"/>
        </w:sectPr>
      </w:pPr>
      <w:bookmarkStart w:id="522" w:name="_Toc381100866"/>
      <w:r>
        <w:rPr>
          <w:rFonts w:ascii="黑体" w:hAnsi="黑体"/>
          <w:color w:val="000000"/>
        </w:rPr>
        <w:t>信任锚 trust anchor</w:t>
      </w:r>
      <w:bookmarkEnd w:id="520"/>
      <w:bookmarkEnd w:id="522"/>
    </w:p>
    <w:p>
      <w:pPr>
        <w:pStyle w:val="a8"/>
        <w:spacing w:line="400" w:lineRule="exact"/>
        <w:ind w:firstLine="420"/>
        <w:rPr>
          <w:rFonts w:hAnsi="宋体"/>
          <w:color w:val="000000"/>
        </w:rPr>
      </w:pPr>
      <w:r>
        <w:rPr>
          <w:rFonts w:hAnsi="宋体"/>
          <w:color w:val="000000"/>
        </w:rPr>
        <w:t>一个预先配置的DNSKEY资源记录或者DNSKEY资源记录的散列值（DS资源记录）</w:t>
      </w:r>
      <w:r>
        <w:rPr>
          <w:rFonts w:hAnsi="宋体" w:hint="eastAsia"/>
          <w:color w:val="000000"/>
        </w:rPr>
        <w:t>，可以作为信任链的起始点</w:t>
      </w:r>
      <w:r>
        <w:rPr>
          <w:rFonts w:hAnsi="宋体"/>
          <w:color w:val="000000"/>
        </w:rPr>
        <w:t>。</w:t>
      </w:r>
    </w:p>
    <w:p>
      <w:pPr>
        <w:pStyle w:val="a8"/>
        <w:spacing w:line="400" w:lineRule="exact"/>
        <w:ind w:firstLine="405" w:firstLineChars="193"/>
        <w:rPr>
          <w:rFonts w:hAnsi="宋体"/>
          <w:color w:val="000000"/>
        </w:rPr>
      </w:pPr>
      <w:r>
        <w:rPr>
          <w:rFonts w:hAnsi="宋体"/>
          <w:color w:val="000000"/>
        </w:rPr>
        <w:t>[</w:t>
      </w:r>
      <w:r>
        <w:rPr>
          <w:rFonts w:hAnsi="宋体" w:hint="eastAsia"/>
          <w:color w:val="000000"/>
        </w:rPr>
        <w:t>修改自</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6</w:t>
      </w:r>
      <w:r>
        <w:rPr>
          <w:rFonts w:hAnsi="宋体"/>
          <w:color w:val="000000"/>
        </w:rPr>
        <w:t>]</w:t>
      </w:r>
    </w:p>
    <w:p>
      <w:pPr>
        <w:pStyle w:val="a10"/>
        <w:numPr>
          <w:ilvl w:val="2"/>
          <w:numId w:val="10"/>
        </w:numPr>
        <w:spacing w:line="400" w:lineRule="exact"/>
        <w:rPr>
          <w:color w:val="000000"/>
        </w:rPr>
      </w:pPr>
      <w:bookmarkStart w:id="523" w:name="_Toc277749580"/>
      <w:bookmarkEnd w:id="523"/>
      <w:bookmarkStart w:id="524" w:name="_Toc381100867"/>
      <w:bookmarkEnd w:id="524"/>
    </w:p>
    <w:p>
      <w:pPr>
        <w:pStyle w:val="a10"/>
        <w:numPr>
          <w:ilvl w:val="1"/>
          <w:numId w:val="0"/>
        </w:numPr>
        <w:spacing w:line="400" w:lineRule="exact"/>
        <w:ind w:firstLine="420" w:firstLineChars="200"/>
        <w:rPr>
          <w:rFonts w:ascii="黑体" w:hAnsi="黑体"/>
          <w:color w:val="000000"/>
        </w:rPr>
      </w:pPr>
      <w:bookmarkStart w:id="525" w:name="_Toc381100868"/>
      <w:r>
        <w:rPr>
          <w:rFonts w:ascii="黑体" w:hAnsi="黑体"/>
          <w:color w:val="000000"/>
        </w:rPr>
        <w:t>信任链 authentication chain</w:t>
      </w:r>
      <w:bookmarkEnd w:id="525"/>
    </w:p>
    <w:p>
      <w:pPr>
        <w:pStyle w:val="a8"/>
        <w:spacing w:line="400" w:lineRule="exact"/>
        <w:ind w:firstLine="420"/>
        <w:rPr>
          <w:rFonts w:hAnsi="宋体"/>
          <w:color w:val="000000"/>
        </w:rPr>
      </w:pPr>
      <w:r>
        <w:rPr>
          <w:rFonts w:hAnsi="宋体"/>
          <w:color w:val="000000"/>
        </w:rPr>
        <w:t>一个由DNSKEY和DS资源记录交替组成的序列</w:t>
      </w:r>
      <w:r>
        <w:rPr>
          <w:rFonts w:hAnsi="宋体" w:hint="eastAsia"/>
          <w:color w:val="000000"/>
        </w:rPr>
        <w:t>。</w:t>
      </w:r>
      <w:r>
        <w:rPr>
          <w:rFonts w:hAnsi="宋体"/>
          <w:color w:val="000000"/>
        </w:rPr>
        <w:t xml:space="preserve"> </w:t>
      </w:r>
    </w:p>
    <w:p>
      <w:pPr>
        <w:pStyle w:val="a8"/>
        <w:spacing w:line="400" w:lineRule="exact"/>
        <w:ind w:firstLine="420"/>
        <w:rPr>
          <w:rFonts w:ascii="Times New Roman"/>
          <w:color w:val="000000"/>
        </w:rPr>
      </w:pPr>
      <w:r>
        <w:rPr>
          <w:rFonts w:hAnsi="宋体"/>
          <w:color w:val="000000"/>
        </w:rPr>
        <w:t>[</w:t>
      </w:r>
      <w:r>
        <w:rPr>
          <w:rFonts w:hAnsi="宋体" w:hint="eastAsia"/>
          <w:color w:val="000000"/>
        </w:rPr>
        <w:t>修改自</w:t>
      </w:r>
      <w:r>
        <w:rPr>
          <w:rFonts w:hAnsi="宋体"/>
          <w:color w:val="000000"/>
        </w:rPr>
        <w:t>YD/T 2</w:t>
      </w:r>
      <w:r>
        <w:rPr>
          <w:rFonts w:hAnsi="宋体" w:hint="eastAsia"/>
          <w:color w:val="000000"/>
        </w:rPr>
        <w:t>586</w:t>
      </w:r>
      <w:r>
        <w:rPr>
          <w:rFonts w:hAnsi="宋体"/>
          <w:color w:val="000000"/>
        </w:rPr>
        <w:t>-201</w:t>
      </w:r>
      <w:r>
        <w:rPr>
          <w:rFonts w:hAnsi="宋体" w:hint="eastAsia"/>
          <w:color w:val="000000"/>
        </w:rPr>
        <w:t>3</w:t>
      </w:r>
      <w:r>
        <w:rPr>
          <w:rFonts w:hAnsi="宋体"/>
          <w:color w:val="000000"/>
        </w:rPr>
        <w:t>，定义3.1.</w:t>
      </w:r>
      <w:r>
        <w:rPr>
          <w:rFonts w:hAnsi="宋体" w:hint="eastAsia"/>
          <w:color w:val="000000"/>
        </w:rPr>
        <w:t>7</w:t>
      </w:r>
      <w:r>
        <w:rPr>
          <w:rFonts w:hAnsi="宋体"/>
          <w:color w:val="000000"/>
        </w:rPr>
        <w:t>]</w:t>
      </w:r>
    </w:p>
    <w:p>
      <w:pPr>
        <w:pStyle w:val="a9"/>
        <w:spacing w:before="312" w:beforeLines="100" w:after="312" w:afterLines="100"/>
        <w:rPr>
          <w:rFonts w:hAnsi="黑体"/>
          <w:color w:val="000000"/>
        </w:rPr>
      </w:pPr>
      <w:bookmarkStart w:id="526" w:name="_Toc77583590"/>
      <w:bookmarkEnd w:id="526"/>
      <w:bookmarkStart w:id="527" w:name="_Toc330198607"/>
      <w:bookmarkStart w:id="528" w:name="_Toc381100869"/>
      <w:bookmarkStart w:id="529" w:name="_Toc330198949"/>
      <w:bookmarkStart w:id="530" w:name="_Toc227749700"/>
      <w:r>
        <w:rPr>
          <w:rFonts w:hAnsi="黑体"/>
          <w:color w:val="000000"/>
        </w:rPr>
        <w:t>缩略语</w:t>
      </w:r>
      <w:bookmarkEnd w:id="527"/>
      <w:bookmarkEnd w:id="528"/>
      <w:bookmarkEnd w:id="529"/>
      <w:bookmarkEnd w:id="530"/>
    </w:p>
    <w:p>
      <w:pPr>
        <w:pStyle w:val="a8"/>
        <w:spacing w:line="400" w:lineRule="exact"/>
        <w:ind w:firstLine="420"/>
        <w:rPr>
          <w:rFonts w:hAnsi="宋体"/>
          <w:color w:val="000000"/>
        </w:rPr>
      </w:pPr>
      <w:r>
        <w:rPr>
          <w:rFonts w:hAnsi="宋体" w:hint="eastAsia"/>
          <w:color w:val="000000"/>
        </w:rPr>
        <w:t>下列缩略语适用于本标准。</w:t>
      </w:r>
    </w:p>
    <w:p>
      <w:pPr>
        <w:pStyle w:val="a8"/>
        <w:spacing w:line="400" w:lineRule="exact"/>
        <w:ind w:firstLine="420"/>
        <w:jc w:val="left"/>
        <w:rPr>
          <w:rFonts w:hAnsi="宋体"/>
          <w:color w:val="000000"/>
          <w:szCs w:val="21"/>
        </w:rPr>
      </w:pPr>
      <w:r>
        <w:rPr>
          <w:rFonts w:hint="eastAsia"/>
        </w:rPr>
        <w:t xml:space="preserve">ACL　      </w:t>
      </w:r>
      <w:r>
        <w:rPr>
          <w:rFonts w:hAnsi="宋体" w:cs="Arial"/>
          <w:color w:val="333333"/>
        </w:rPr>
        <w:t>Access Control List</w:t>
      </w:r>
      <w:r>
        <w:rPr>
          <w:rFonts w:hAnsi="宋体" w:cs="Arial" w:hint="eastAsia"/>
          <w:color w:val="333333"/>
        </w:rPr>
        <w:t xml:space="preserve">　                    </w:t>
      </w:r>
      <w:r>
        <w:rPr>
          <w:rFonts w:hAnsi="宋体"/>
          <w:color w:val="000000"/>
          <w:szCs w:val="21"/>
        </w:rPr>
        <w:t>访问控制列表</w:t>
      </w:r>
    </w:p>
    <w:p>
      <w:pPr>
        <w:pStyle w:val="a8"/>
        <w:spacing w:line="400" w:lineRule="exact"/>
        <w:ind w:firstLine="420"/>
        <w:jc w:val="left"/>
        <w:rPr>
          <w:rFonts w:hAnsi="宋体"/>
          <w:color w:val="000000"/>
          <w:szCs w:val="21"/>
        </w:rPr>
      </w:pPr>
      <w:r>
        <w:rPr>
          <w:rFonts w:hAnsi="宋体" w:hint="eastAsia"/>
          <w:color w:val="000000"/>
          <w:szCs w:val="21"/>
        </w:rPr>
        <w:t>ccTLD      Country Code Top Level Domain            国家代码顶级域名</w:t>
      </w:r>
    </w:p>
    <w:p>
      <w:pPr>
        <w:pStyle w:val="a8"/>
        <w:spacing w:line="400" w:lineRule="exact"/>
        <w:ind w:firstLine="420"/>
        <w:jc w:val="left"/>
        <w:rPr>
          <w:rFonts w:hAnsi="宋体"/>
          <w:color w:val="000000"/>
          <w:szCs w:val="21"/>
        </w:rPr>
      </w:pPr>
      <w:r>
        <w:rPr>
          <w:rFonts w:hAnsi="宋体" w:hint="eastAsia"/>
          <w:color w:val="000000"/>
          <w:szCs w:val="21"/>
        </w:rPr>
        <w:t>DNS        Domain Name System                       域名系统</w:t>
      </w:r>
    </w:p>
    <w:p>
      <w:pPr>
        <w:pStyle w:val="a8"/>
        <w:spacing w:line="400" w:lineRule="exact"/>
        <w:ind w:firstLine="420"/>
        <w:jc w:val="left"/>
        <w:rPr>
          <w:rFonts w:hAnsi="宋体"/>
          <w:color w:val="000000"/>
          <w:szCs w:val="21"/>
        </w:rPr>
      </w:pPr>
      <w:r>
        <w:rPr>
          <w:rFonts w:hAnsi="宋体" w:hint="eastAsia"/>
          <w:color w:val="000000"/>
          <w:szCs w:val="21"/>
        </w:rPr>
        <w:t>DNSKEY     Domain Name System Key                   域名系统密钥</w:t>
      </w:r>
    </w:p>
    <w:p>
      <w:pPr>
        <w:pStyle w:val="a8"/>
        <w:spacing w:line="400" w:lineRule="exact"/>
        <w:ind w:firstLine="420"/>
        <w:jc w:val="left"/>
        <w:rPr>
          <w:rFonts w:hAnsi="宋体"/>
          <w:color w:val="000000"/>
          <w:szCs w:val="21"/>
        </w:rPr>
      </w:pPr>
      <w:r>
        <w:rPr>
          <w:rFonts w:hAnsi="宋体" w:hint="eastAsia"/>
          <w:color w:val="000000"/>
          <w:szCs w:val="21"/>
        </w:rPr>
        <w:t xml:space="preserve">DNSSEC     </w:t>
      </w:r>
      <w:r>
        <w:rPr>
          <w:color w:val="333333"/>
          <w:szCs w:val="21"/>
        </w:rPr>
        <w:t>Domain Name System Security Extensions</w:t>
      </w:r>
      <w:r>
        <w:rPr>
          <w:rFonts w:hint="eastAsia"/>
          <w:color w:val="333333"/>
          <w:szCs w:val="21"/>
        </w:rPr>
        <w:t xml:space="preserve">   DNS安全扩展</w:t>
      </w:r>
    </w:p>
    <w:p>
      <w:pPr>
        <w:pStyle w:val="a8"/>
        <w:spacing w:line="400" w:lineRule="exact"/>
        <w:ind w:firstLine="420"/>
        <w:jc w:val="left"/>
        <w:rPr>
          <w:rFonts w:hAnsi="宋体"/>
          <w:color w:val="000000"/>
          <w:szCs w:val="21"/>
        </w:rPr>
      </w:pPr>
      <w:r>
        <w:rPr>
          <w:rFonts w:hAnsi="宋体" w:hint="eastAsia"/>
          <w:color w:val="000000"/>
          <w:szCs w:val="21"/>
        </w:rPr>
        <w:t xml:space="preserve">DS         </w:t>
      </w:r>
      <w:r>
        <w:rPr>
          <w:color w:val="333333"/>
          <w:szCs w:val="21"/>
        </w:rPr>
        <w:t>Delegation Signer</w:t>
      </w:r>
      <w:r>
        <w:rPr>
          <w:rFonts w:hint="eastAsia"/>
          <w:color w:val="333333"/>
          <w:szCs w:val="21"/>
        </w:rPr>
        <w:t xml:space="preserve">                        授权签名者</w:t>
      </w:r>
    </w:p>
    <w:p>
      <w:pPr>
        <w:pStyle w:val="a8"/>
        <w:spacing w:line="400" w:lineRule="exact"/>
        <w:ind w:firstLine="420"/>
        <w:jc w:val="left"/>
        <w:rPr>
          <w:color w:val="333333"/>
          <w:szCs w:val="21"/>
        </w:rPr>
      </w:pPr>
      <w:r>
        <w:rPr>
          <w:rFonts w:hAnsi="宋体" w:hint="eastAsia"/>
          <w:color w:val="000000"/>
          <w:szCs w:val="21"/>
        </w:rPr>
        <w:t xml:space="preserve">FQDN      </w:t>
      </w:r>
      <w:r>
        <w:rPr>
          <w:rFonts w:hint="eastAsia"/>
          <w:color w:val="333333"/>
          <w:szCs w:val="21"/>
        </w:rPr>
        <w:t xml:space="preserve"> </w:t>
      </w:r>
      <w:r>
        <w:rPr>
          <w:color w:val="333333"/>
          <w:szCs w:val="21"/>
        </w:rPr>
        <w:t>Fully Qualified Domain Name</w:t>
      </w:r>
      <w:r>
        <w:rPr>
          <w:rFonts w:hint="eastAsia"/>
          <w:color w:val="333333"/>
          <w:szCs w:val="21"/>
        </w:rPr>
        <w:t xml:space="preserve">              完全合格域名</w:t>
      </w:r>
    </w:p>
    <w:p>
      <w:pPr>
        <w:pStyle w:val="a8"/>
        <w:spacing w:line="400" w:lineRule="exact"/>
        <w:ind w:firstLine="420"/>
        <w:jc w:val="left"/>
        <w:rPr>
          <w:rFonts w:hAnsi="宋体"/>
          <w:color w:val="000000"/>
          <w:szCs w:val="21"/>
        </w:rPr>
      </w:pPr>
      <w:r>
        <w:rPr>
          <w:rFonts w:hAnsi="宋体" w:hint="eastAsia"/>
          <w:color w:val="000000"/>
          <w:szCs w:val="21"/>
        </w:rPr>
        <w:t xml:space="preserve">gTLD       </w:t>
      </w:r>
      <w:r>
        <w:t xml:space="preserve">Generic </w:t>
      </w:r>
      <w:r>
        <w:rPr>
          <w:rFonts w:hint="eastAsia"/>
        </w:rPr>
        <w:t>T</w:t>
      </w:r>
      <w:r>
        <w:t xml:space="preserve">op-level </w:t>
      </w:r>
      <w:r>
        <w:rPr>
          <w:rFonts w:hint="eastAsia"/>
        </w:rPr>
        <w:t>D</w:t>
      </w:r>
      <w:r>
        <w:t>omain</w:t>
      </w:r>
      <w:r>
        <w:rPr>
          <w:rFonts w:hint="eastAsia"/>
        </w:rPr>
        <w:t xml:space="preserve">                 通用顶级域名</w:t>
      </w:r>
    </w:p>
    <w:p>
      <w:pPr>
        <w:pStyle w:val="a8"/>
        <w:spacing w:line="400" w:lineRule="exact"/>
        <w:ind w:firstLine="420"/>
        <w:jc w:val="left"/>
        <w:rPr>
          <w:rFonts w:hAnsi="宋体"/>
          <w:color w:val="000000"/>
          <w:szCs w:val="21"/>
        </w:rPr>
      </w:pPr>
      <w:r>
        <w:rPr>
          <w:rFonts w:hAnsi="宋体" w:hint="eastAsia"/>
          <w:color w:val="000000"/>
          <w:szCs w:val="21"/>
        </w:rPr>
        <w:t xml:space="preserve">HMAC       </w:t>
      </w:r>
      <w:r>
        <w:rPr>
          <w:color w:val="333333"/>
          <w:szCs w:val="21"/>
        </w:rPr>
        <w:t>Hash-based Message Authentication Code</w:t>
      </w:r>
      <w:r>
        <w:rPr>
          <w:rFonts w:hint="eastAsia"/>
          <w:color w:val="333333"/>
          <w:szCs w:val="21"/>
        </w:rPr>
        <w:t xml:space="preserve">   散列</w:t>
      </w:r>
      <w:r>
        <w:rPr>
          <w:color w:val="333333"/>
          <w:szCs w:val="21"/>
        </w:rPr>
        <w:t>运算消息认证码</w:t>
      </w:r>
    </w:p>
    <w:p>
      <w:pPr>
        <w:pStyle w:val="a8"/>
        <w:spacing w:line="400" w:lineRule="exact"/>
        <w:ind w:firstLine="420"/>
        <w:jc w:val="left"/>
        <w:rPr>
          <w:rFonts w:hAnsi="宋体"/>
          <w:color w:val="000000"/>
          <w:szCs w:val="21"/>
        </w:rPr>
      </w:pPr>
      <w:r>
        <w:rPr>
          <w:rFonts w:hAnsi="宋体" w:hint="eastAsia"/>
          <w:color w:val="000000"/>
          <w:szCs w:val="21"/>
        </w:rPr>
        <w:t xml:space="preserve">IETF       </w:t>
      </w:r>
      <w:r>
        <w:t>Internet Engineering Task Force</w:t>
      </w:r>
      <w:r>
        <w:rPr>
          <w:rFonts w:hint="eastAsia"/>
        </w:rPr>
        <w:t xml:space="preserve">          互联网工程任务组</w:t>
      </w:r>
    </w:p>
    <w:p>
      <w:pPr>
        <w:pStyle w:val="a8"/>
        <w:spacing w:line="400" w:lineRule="exact"/>
        <w:ind w:firstLine="420"/>
        <w:jc w:val="left"/>
        <w:rPr>
          <w:rFonts w:hAnsi="宋体"/>
          <w:color w:val="000000"/>
          <w:szCs w:val="21"/>
        </w:rPr>
      </w:pPr>
      <w:r>
        <w:rPr>
          <w:rFonts w:hAnsi="宋体" w:hint="eastAsia"/>
          <w:color w:val="000000"/>
          <w:szCs w:val="21"/>
        </w:rPr>
        <w:t xml:space="preserve">KSK        </w:t>
      </w:r>
      <w:r>
        <w:t>Key Signing key</w:t>
      </w:r>
      <w:r>
        <w:rPr>
          <w:rFonts w:hint="eastAsia"/>
        </w:rPr>
        <w:t xml:space="preserve">                          密钥签名密钥</w:t>
      </w:r>
    </w:p>
    <w:p>
      <w:pPr>
        <w:pStyle w:val="a8"/>
        <w:spacing w:line="400" w:lineRule="exact"/>
        <w:ind w:firstLine="420"/>
        <w:jc w:val="left"/>
        <w:rPr>
          <w:rFonts w:hAnsi="宋体"/>
          <w:color w:val="000000"/>
          <w:szCs w:val="21"/>
        </w:rPr>
      </w:pPr>
      <w:r>
        <w:rPr>
          <w:rFonts w:hAnsi="宋体" w:hint="eastAsia"/>
          <w:color w:val="000000"/>
          <w:szCs w:val="21"/>
        </w:rPr>
        <w:t xml:space="preserve">MAC        </w:t>
      </w:r>
      <w:r>
        <w:t>Message Authentication Code</w:t>
      </w:r>
      <w:r>
        <w:rPr>
          <w:rFonts w:hint="eastAsia"/>
        </w:rPr>
        <w:t xml:space="preserve">              消息认证码</w:t>
      </w:r>
    </w:p>
    <w:p>
      <w:pPr>
        <w:pStyle w:val="a8"/>
        <w:spacing w:line="400" w:lineRule="exact"/>
        <w:ind w:firstLine="420"/>
        <w:jc w:val="left"/>
      </w:pPr>
      <w:r>
        <w:rPr>
          <w:rFonts w:hAnsi="宋体" w:hint="eastAsia"/>
          <w:color w:val="000000"/>
          <w:szCs w:val="21"/>
        </w:rPr>
        <w:t xml:space="preserve">NSEC       </w:t>
      </w:r>
      <w:r>
        <w:t>Next Secure</w:t>
      </w:r>
      <w:r>
        <w:rPr>
          <w:rFonts w:hint="eastAsia"/>
        </w:rPr>
        <w:t xml:space="preserve">                              下一个安全记录</w:t>
      </w:r>
    </w:p>
    <w:p>
      <w:pPr>
        <w:pStyle w:val="a8"/>
        <w:spacing w:line="400" w:lineRule="exact"/>
        <w:ind w:firstLine="420"/>
        <w:jc w:val="left"/>
      </w:pPr>
      <w:r>
        <w:rPr>
          <w:rFonts w:hAnsi="宋体" w:hint="eastAsia"/>
          <w:color w:val="000000"/>
          <w:szCs w:val="21"/>
        </w:rPr>
        <w:t xml:space="preserve">NSEC3      </w:t>
      </w:r>
      <w:r>
        <w:t>Next Secure version 3</w:t>
      </w:r>
      <w:r>
        <w:rPr>
          <w:rFonts w:hint="eastAsia"/>
        </w:rPr>
        <w:t xml:space="preserve">                    下一个安全记录第三版</w:t>
      </w:r>
    </w:p>
    <w:p>
      <w:pPr>
        <w:pStyle w:val="a8"/>
        <w:spacing w:line="400" w:lineRule="exact"/>
        <w:ind w:firstLine="420"/>
        <w:jc w:val="left"/>
      </w:pPr>
      <w:r>
        <w:rPr>
          <w:rFonts w:hAnsi="宋体" w:hint="eastAsia"/>
          <w:color w:val="000000"/>
          <w:szCs w:val="21"/>
        </w:rPr>
        <w:t xml:space="preserve">NTP        </w:t>
      </w:r>
      <w:r>
        <w:t>Network Time Protocol</w:t>
      </w:r>
      <w:r>
        <w:rPr>
          <w:rFonts w:hint="eastAsia"/>
        </w:rPr>
        <w:t xml:space="preserve">                    网络时间协议</w:t>
      </w:r>
    </w:p>
    <w:p>
      <w:pPr>
        <w:pStyle w:val="a8"/>
        <w:spacing w:line="400" w:lineRule="exact"/>
        <w:ind w:firstLine="420"/>
        <w:jc w:val="left"/>
      </w:pPr>
      <w:r>
        <w:rPr>
          <w:rFonts w:hAnsi="宋体" w:hint="eastAsia"/>
          <w:color w:val="000000"/>
          <w:szCs w:val="21"/>
        </w:rPr>
        <w:t xml:space="preserve">PKI        </w:t>
      </w:r>
      <w:r>
        <w:t xml:space="preserve">Public </w:t>
      </w:r>
      <w:hyperlink r:id="rId53" w:tgtFrame="_blank" w:history="1">
        <w:r>
          <w:t>Key</w:t>
        </w:r>
      </w:hyperlink>
      <w:r>
        <w:t xml:space="preserve"> Infrastructure</w:t>
      </w:r>
      <w:r>
        <w:rPr>
          <w:rFonts w:hint="eastAsia"/>
        </w:rPr>
        <w:t xml:space="preserve">                公钥基础设施</w:t>
      </w:r>
    </w:p>
    <w:p>
      <w:pPr>
        <w:pStyle w:val="a8"/>
        <w:spacing w:line="400" w:lineRule="exact"/>
        <w:ind w:firstLine="420"/>
        <w:jc w:val="left"/>
      </w:pPr>
      <w:r>
        <w:rPr>
          <w:rFonts w:hAnsi="宋体" w:hint="eastAsia"/>
          <w:color w:val="000000"/>
          <w:szCs w:val="21"/>
        </w:rPr>
        <w:t xml:space="preserve">RR         </w:t>
      </w:r>
      <w:r>
        <w:t>Resource Record</w:t>
      </w:r>
      <w:r>
        <w:rPr>
          <w:rFonts w:hint="eastAsia"/>
        </w:rPr>
        <w:t xml:space="preserve">                          资源记录</w:t>
      </w:r>
    </w:p>
    <w:p>
      <w:pPr>
        <w:pStyle w:val="a8"/>
        <w:spacing w:line="400" w:lineRule="exact"/>
        <w:ind w:firstLine="420"/>
        <w:jc w:val="left"/>
      </w:pPr>
      <w:r>
        <w:rPr>
          <w:rFonts w:hAnsi="宋体" w:hint="eastAsia"/>
          <w:color w:val="000000"/>
          <w:szCs w:val="21"/>
        </w:rPr>
        <w:t xml:space="preserve">RRSIG     </w:t>
      </w:r>
      <w:r>
        <w:rPr>
          <w:rFonts w:hint="eastAsia"/>
        </w:rPr>
        <w:t xml:space="preserve"> </w:t>
      </w:r>
      <w:r>
        <w:t>Resource Record Signature</w:t>
      </w:r>
      <w:r>
        <w:rPr>
          <w:rFonts w:hint="eastAsia"/>
        </w:rPr>
        <w:t xml:space="preserve">                资源记录签名</w:t>
      </w:r>
    </w:p>
    <w:p>
      <w:pPr>
        <w:pStyle w:val="a8"/>
        <w:spacing w:line="400" w:lineRule="exact"/>
        <w:ind w:firstLine="420"/>
        <w:jc w:val="left"/>
        <w:rPr>
          <w:rFonts w:hAnsi="宋体"/>
          <w:color w:val="000000"/>
          <w:szCs w:val="21"/>
        </w:rPr>
      </w:pPr>
      <w:r>
        <w:rPr>
          <w:rFonts w:hAnsi="宋体" w:hint="eastAsia"/>
          <w:color w:val="000000"/>
          <w:szCs w:val="21"/>
        </w:rPr>
        <w:t xml:space="preserve">SOA        </w:t>
      </w:r>
      <w:r>
        <w:t>Start Of Authority</w:t>
      </w:r>
      <w:r>
        <w:rPr>
          <w:rFonts w:hint="eastAsia"/>
        </w:rPr>
        <w:t xml:space="preserve">                       起始授权机构</w:t>
      </w:r>
    </w:p>
    <w:p>
      <w:pPr>
        <w:pStyle w:val="a8"/>
        <w:spacing w:line="400" w:lineRule="exact"/>
        <w:ind w:firstLine="420"/>
        <w:jc w:val="left"/>
        <w:rPr>
          <w:rFonts w:hAnsi="宋体"/>
          <w:color w:val="000000"/>
          <w:szCs w:val="21"/>
        </w:rPr>
      </w:pPr>
      <w:r>
        <w:rPr>
          <w:rFonts w:hAnsi="宋体" w:hint="eastAsia"/>
          <w:color w:val="000000"/>
          <w:szCs w:val="21"/>
        </w:rPr>
        <w:t xml:space="preserve">TLD        </w:t>
      </w:r>
      <w:r>
        <w:t>Top Level Domain</w:t>
      </w:r>
      <w:r>
        <w:rPr>
          <w:rFonts w:hint="eastAsia"/>
        </w:rPr>
        <w:t xml:space="preserve">                         顶级域</w:t>
      </w:r>
    </w:p>
    <w:p>
      <w:pPr>
        <w:pStyle w:val="a8"/>
        <w:spacing w:line="400" w:lineRule="exact"/>
        <w:ind w:firstLine="420"/>
        <w:jc w:val="left"/>
        <w:rPr>
          <w:rFonts w:hAnsi="宋体"/>
          <w:color w:val="000000"/>
          <w:szCs w:val="21"/>
        </w:rPr>
      </w:pPr>
      <w:r>
        <w:rPr>
          <w:rFonts w:hAnsi="宋体" w:hint="eastAsia"/>
          <w:color w:val="000000"/>
          <w:szCs w:val="21"/>
        </w:rPr>
        <w:t xml:space="preserve">TSIG       </w:t>
      </w:r>
      <w:r>
        <w:t>Transaction Signatures</w:t>
      </w:r>
      <w:r>
        <w:rPr>
          <w:rFonts w:hint="eastAsia"/>
        </w:rPr>
        <w:t xml:space="preserve">                   事务签名</w:t>
      </w:r>
    </w:p>
    <w:p>
      <w:pPr>
        <w:pStyle w:val="a8"/>
        <w:spacing w:line="400" w:lineRule="exact"/>
        <w:ind w:firstLine="420"/>
        <w:jc w:val="left"/>
      </w:pPr>
      <w:r>
        <w:rPr>
          <w:rFonts w:hAnsi="宋体" w:hint="eastAsia"/>
          <w:color w:val="000000"/>
          <w:szCs w:val="21"/>
        </w:rPr>
        <w:t xml:space="preserve">TTL        </w:t>
      </w:r>
      <w:r>
        <w:t>Time To Live</w:t>
      </w:r>
      <w:r>
        <w:rPr>
          <w:rFonts w:hint="eastAsia"/>
        </w:rPr>
        <w:t xml:space="preserve">                             生存时间</w:t>
      </w:r>
    </w:p>
    <w:p>
      <w:pPr>
        <w:pStyle w:val="a8"/>
        <w:spacing w:line="400" w:lineRule="exact"/>
        <w:ind w:firstLine="420"/>
        <w:jc w:val="left"/>
        <w:sectPr>
          <w:headerReference w:type="even" r:id="rId54"/>
          <w:headerReference w:type="default" r:id="rId55"/>
          <w:footerReference w:type="even" r:id="rId56"/>
          <w:footerReference w:type="default" r:id="rId57"/>
          <w:headerReference w:type="first" r:id="rId58"/>
          <w:footerReference w:type="first" r:id="rId59"/>
          <w:type w:val="nextPage"/>
          <w:pgSz w:w="11907" w:h="16839"/>
          <w:pgMar w:top="1418" w:right="1134" w:bottom="1134" w:left="1418" w:header="1418" w:footer="851" w:gutter="0"/>
          <w:pgNumType w:start="6"/>
          <w:cols w:num="1" w:space="425"/>
          <w:titlePg w:val="0"/>
          <w:docGrid w:type="lines" w:linePitch="312" w:charSpace="0"/>
        </w:sectPr>
      </w:pPr>
      <w:r>
        <w:rPr>
          <w:rFonts w:hAnsi="宋体" w:hint="eastAsia"/>
          <w:color w:val="000000"/>
          <w:szCs w:val="21"/>
        </w:rPr>
        <w:t xml:space="preserve">ZSK        </w:t>
      </w:r>
      <w:r>
        <w:t>Zone Signing Key</w:t>
      </w:r>
      <w:r>
        <w:rPr>
          <w:rFonts w:hint="eastAsia"/>
        </w:rPr>
        <w:t xml:space="preserve">                         区签名密钥</w:t>
      </w:r>
    </w:p>
    <w:p>
      <w:pPr>
        <w:pStyle w:val="a8"/>
        <w:spacing w:line="400" w:lineRule="exact"/>
        <w:ind w:firstLine="420"/>
        <w:jc w:val="left"/>
      </w:pPr>
      <w:r>
        <w:rPr>
          <w:rFonts w:hint="eastAsia"/>
        </w:rPr>
        <w:t xml:space="preserve">BIND       </w:t>
      </w:r>
      <w:r>
        <w:t>Berkeley Internet Name Domain</w:t>
      </w:r>
      <w:r>
        <w:rPr>
          <w:rFonts w:hint="eastAsia"/>
        </w:rPr>
        <w:t xml:space="preserve">            伯克利互联网域名软件</w:t>
      </w:r>
    </w:p>
    <w:p>
      <w:pPr>
        <w:pStyle w:val="a8"/>
        <w:spacing w:line="400" w:lineRule="exact"/>
        <w:ind w:firstLine="420"/>
        <w:jc w:val="left"/>
      </w:pPr>
      <w:r>
        <w:rPr>
          <w:rFonts w:hint="eastAsia"/>
        </w:rPr>
        <w:t xml:space="preserve">NSD        </w:t>
      </w:r>
      <w:r>
        <w:t>Name Server Daemon</w:t>
      </w:r>
      <w:r>
        <w:rPr>
          <w:rFonts w:hint="eastAsia"/>
        </w:rPr>
        <w:t xml:space="preserve">                       域名服务进程软件</w:t>
      </w:r>
    </w:p>
    <w:p>
      <w:pPr>
        <w:pStyle w:val="a9"/>
        <w:spacing w:before="312" w:beforeLines="100" w:after="312" w:afterLines="100"/>
        <w:rPr>
          <w:rFonts w:hAnsi="黑体"/>
          <w:color w:val="000000"/>
        </w:rPr>
      </w:pPr>
      <w:bookmarkStart w:id="531" w:name="_Toc330198608"/>
      <w:bookmarkStart w:id="532" w:name="_Toc227749716"/>
      <w:bookmarkStart w:id="533" w:name="_Toc381100870"/>
      <w:bookmarkStart w:id="534" w:name="_Toc330198950"/>
      <w:bookmarkStart w:id="535" w:name="_Toc227749724"/>
      <w:r>
        <w:rPr>
          <w:rFonts w:hAnsi="黑体"/>
          <w:color w:val="000000"/>
        </w:rPr>
        <w:t>DNS主机</w:t>
      </w:r>
      <w:r>
        <w:rPr>
          <w:rFonts w:hAnsi="黑体" w:hint="eastAsia"/>
          <w:color w:val="000000"/>
        </w:rPr>
        <w:t>环境</w:t>
      </w:r>
      <w:r>
        <w:rPr>
          <w:rFonts w:hAnsi="黑体"/>
          <w:color w:val="000000"/>
        </w:rPr>
        <w:t>-威胁、安全目标和保护方法</w:t>
      </w:r>
      <w:bookmarkEnd w:id="531"/>
      <w:bookmarkEnd w:id="532"/>
      <w:bookmarkEnd w:id="533"/>
      <w:bookmarkEnd w:id="534"/>
    </w:p>
    <w:p>
      <w:pPr>
        <w:pStyle w:val="a10"/>
        <w:spacing w:before="156" w:beforeLines="50" w:after="156" w:afterLines="50"/>
        <w:rPr>
          <w:color w:val="000000"/>
        </w:rPr>
      </w:pPr>
      <w:bookmarkStart w:id="536" w:name="_Toc330198951"/>
      <w:bookmarkStart w:id="537" w:name="_Toc227749717"/>
      <w:bookmarkStart w:id="538" w:name="_Toc381100871"/>
      <w:bookmarkStart w:id="539" w:name="_Toc330198609"/>
      <w:r>
        <w:rPr>
          <w:color w:val="000000"/>
        </w:rPr>
        <w:t>主机平台威胁</w:t>
      </w:r>
      <w:bookmarkEnd w:id="536"/>
      <w:bookmarkEnd w:id="537"/>
      <w:bookmarkEnd w:id="538"/>
      <w:bookmarkEnd w:id="539"/>
    </w:p>
    <w:p>
      <w:pPr>
        <w:pStyle w:val="a8"/>
        <w:spacing w:line="400" w:lineRule="exact"/>
        <w:ind w:firstLine="420"/>
        <w:rPr>
          <w:rFonts w:hAnsi="宋体"/>
          <w:color w:val="000000"/>
        </w:rPr>
      </w:pPr>
      <w:r>
        <w:rPr>
          <w:rFonts w:hAnsi="宋体"/>
          <w:color w:val="000000"/>
        </w:rPr>
        <w:t>DNS主机平台威胁主要包含如下：</w:t>
      </w:r>
    </w:p>
    <w:p>
      <w:pPr>
        <w:pStyle w:val="a8"/>
        <w:numPr>
          <w:ilvl w:val="0"/>
          <w:numId w:val="11"/>
        </w:numPr>
        <w:spacing w:line="400" w:lineRule="exact"/>
        <w:ind w:firstLineChars="0"/>
        <w:rPr>
          <w:rFonts w:hAnsi="宋体"/>
          <w:color w:val="000000"/>
        </w:rPr>
      </w:pPr>
      <w:r>
        <w:rPr>
          <w:rFonts w:hAnsi="宋体"/>
          <w:color w:val="000000"/>
        </w:rPr>
        <w:t>操作系统、系统软件或DNS主机上的其他应用软件可能遭受攻击</w:t>
      </w:r>
      <w:r>
        <w:rPr>
          <w:rFonts w:hAnsi="宋体" w:hint="eastAsia"/>
          <w:color w:val="000000"/>
        </w:rPr>
        <w:t>；</w:t>
      </w:r>
    </w:p>
    <w:p>
      <w:pPr>
        <w:pStyle w:val="a8"/>
        <w:numPr>
          <w:ilvl w:val="0"/>
          <w:numId w:val="11"/>
        </w:numPr>
        <w:spacing w:line="400" w:lineRule="exact"/>
        <w:ind w:firstLineChars="0"/>
        <w:rPr>
          <w:rFonts w:hAnsi="宋体"/>
          <w:color w:val="000000"/>
        </w:rPr>
      </w:pPr>
      <w:r>
        <w:rPr>
          <w:rFonts w:hAnsi="宋体"/>
          <w:color w:val="000000"/>
        </w:rPr>
        <w:t>DNS主机的TCP/IP协议栈可能会受到洪水包攻击，造成通信中断。对应用层的攻击为发送大量伪造的DNS查询，以压倒权威或解析域名服务器</w:t>
      </w:r>
      <w:r>
        <w:rPr>
          <w:rFonts w:hAnsi="宋体" w:hint="eastAsia"/>
          <w:color w:val="000000"/>
        </w:rPr>
        <w:t>；</w:t>
      </w:r>
    </w:p>
    <w:p>
      <w:pPr>
        <w:pStyle w:val="a8"/>
        <w:numPr>
          <w:ilvl w:val="0"/>
          <w:numId w:val="11"/>
        </w:numPr>
        <w:spacing w:line="400" w:lineRule="exact"/>
        <w:ind w:firstLineChars="0"/>
        <w:rPr>
          <w:rFonts w:hAnsi="宋体"/>
          <w:color w:val="000000"/>
        </w:rPr>
      </w:pPr>
      <w:r>
        <w:rPr>
          <w:rFonts w:hAnsi="宋体"/>
          <w:color w:val="000000"/>
        </w:rPr>
        <w:t>在DNS服务器的网络中，访问局域网的恶意组织可进行地址解析协议（ARP）欺骗攻击，破坏DNS信息流</w:t>
      </w:r>
      <w:r>
        <w:rPr>
          <w:rFonts w:hAnsi="宋体" w:hint="eastAsia"/>
          <w:color w:val="000000"/>
        </w:rPr>
        <w:t>；</w:t>
      </w:r>
    </w:p>
    <w:p>
      <w:pPr>
        <w:pStyle w:val="a8"/>
        <w:numPr>
          <w:ilvl w:val="0"/>
          <w:numId w:val="11"/>
        </w:numPr>
        <w:spacing w:line="400" w:lineRule="exact"/>
        <w:ind w:firstLineChars="0"/>
        <w:rPr>
          <w:rFonts w:hAnsi="宋体"/>
          <w:color w:val="000000"/>
        </w:rPr>
      </w:pPr>
      <w:r>
        <w:rPr>
          <w:rFonts w:hAnsi="宋体"/>
          <w:color w:val="000000"/>
        </w:rPr>
        <w:t>因病毒、蠕虫或由缺乏文件级保护引起的未经授权的更改，用于通信的平台级配置文件被破坏，导致DNS主机之间通信中断</w:t>
      </w:r>
      <w:r>
        <w:rPr>
          <w:rFonts w:hAnsi="宋体" w:hint="eastAsia"/>
          <w:color w:val="000000"/>
        </w:rPr>
        <w:t>；</w:t>
      </w:r>
    </w:p>
    <w:p>
      <w:pPr>
        <w:pStyle w:val="a8"/>
        <w:numPr>
          <w:ilvl w:val="0"/>
          <w:numId w:val="11"/>
        </w:numPr>
        <w:spacing w:line="400" w:lineRule="exact"/>
        <w:ind w:firstLineChars="0"/>
        <w:rPr>
          <w:rFonts w:hAnsi="宋体"/>
          <w:color w:val="000000"/>
        </w:rPr>
      </w:pPr>
      <w:r>
        <w:rPr>
          <w:rFonts w:hAnsi="宋体"/>
          <w:color w:val="000000"/>
        </w:rPr>
        <w:t>因病毒、蠕虫或由缺乏文件级保护引起的未经授权的更改，DNS特定的配置文件、数据文件和包含加密密钥的文件被破坏，导致域名解析服务器不正常的运作</w:t>
      </w:r>
      <w:r>
        <w:rPr>
          <w:rFonts w:hAnsi="宋体" w:hint="eastAsia"/>
          <w:color w:val="000000"/>
        </w:rPr>
        <w:t>；</w:t>
      </w:r>
    </w:p>
    <w:p>
      <w:pPr>
        <w:pStyle w:val="a8"/>
        <w:numPr>
          <w:ilvl w:val="0"/>
          <w:numId w:val="11"/>
        </w:numPr>
        <w:spacing w:line="400" w:lineRule="exact"/>
        <w:ind w:firstLineChars="0"/>
        <w:rPr>
          <w:rFonts w:ascii="Times New Roman"/>
          <w:color w:val="000000"/>
        </w:rPr>
      </w:pPr>
      <w:r>
        <w:rPr>
          <w:rFonts w:hAnsi="宋体"/>
          <w:color w:val="000000"/>
        </w:rPr>
        <w:t>同一局域网的恶意主机作为DNS客户端可拦截或改变DNS响应。这将允许攻击者将客户端重定向到不同的网站。</w:t>
      </w:r>
    </w:p>
    <w:p>
      <w:pPr>
        <w:pStyle w:val="a10"/>
        <w:spacing w:before="156" w:beforeLines="50" w:after="156" w:afterLines="50"/>
        <w:rPr>
          <w:rFonts w:ascii="黑体" w:hAnsi="黑体"/>
          <w:color w:val="000000"/>
        </w:rPr>
      </w:pPr>
      <w:bookmarkStart w:id="540" w:name="_Toc330198610"/>
      <w:bookmarkStart w:id="541" w:name="_Toc330198952"/>
      <w:bookmarkStart w:id="542" w:name="_Toc381100872"/>
      <w:r>
        <w:rPr>
          <w:rFonts w:ascii="黑体" w:hAnsi="黑体"/>
          <w:color w:val="000000"/>
        </w:rPr>
        <w:t>DNS软件威胁</w:t>
      </w:r>
      <w:bookmarkEnd w:id="540"/>
      <w:bookmarkEnd w:id="541"/>
      <w:bookmarkEnd w:id="542"/>
    </w:p>
    <w:p>
      <w:pPr>
        <w:pStyle w:val="a8"/>
        <w:spacing w:line="400" w:lineRule="exact"/>
        <w:ind w:firstLine="420"/>
        <w:rPr>
          <w:rFonts w:hAnsi="宋体"/>
          <w:color w:val="000000"/>
        </w:rPr>
      </w:pPr>
      <w:r>
        <w:rPr>
          <w:rFonts w:hAnsi="宋体"/>
          <w:color w:val="000000"/>
        </w:rPr>
        <w:t>DNS软件威胁主要包含如下：</w:t>
      </w:r>
    </w:p>
    <w:p>
      <w:pPr>
        <w:pStyle w:val="a8"/>
        <w:numPr>
          <w:ilvl w:val="0"/>
          <w:numId w:val="12"/>
        </w:numPr>
        <w:spacing w:line="400" w:lineRule="exact"/>
        <w:ind w:firstLineChars="0"/>
        <w:rPr>
          <w:rFonts w:hAnsi="宋体"/>
          <w:color w:val="000000"/>
        </w:rPr>
      </w:pPr>
      <w:r>
        <w:rPr>
          <w:rFonts w:hAnsi="宋体"/>
          <w:color w:val="000000"/>
        </w:rPr>
        <w:t>DNS软件可能出现的漏洞如缓冲区溢出，导致拒绝服务</w:t>
      </w:r>
      <w:r>
        <w:rPr>
          <w:rFonts w:hAnsi="宋体" w:hint="eastAsia"/>
          <w:color w:val="000000"/>
        </w:rPr>
        <w:t>；</w:t>
      </w:r>
    </w:p>
    <w:p>
      <w:pPr>
        <w:pStyle w:val="a8"/>
        <w:numPr>
          <w:ilvl w:val="0"/>
          <w:numId w:val="12"/>
        </w:numPr>
        <w:spacing w:line="400" w:lineRule="exact"/>
        <w:ind w:firstLineChars="0"/>
        <w:rPr>
          <w:rFonts w:hAnsi="宋体"/>
          <w:color w:val="000000"/>
        </w:rPr>
      </w:pPr>
      <w:r>
        <w:rPr>
          <w:rFonts w:hAnsi="宋体"/>
          <w:color w:val="000000"/>
        </w:rPr>
        <w:t>DNS软件没有为配置文件、数据文件和包含签名密钥的文件提供足够的存取控制能力，以防止未经授权的读取和更新配置文件。</w:t>
      </w:r>
    </w:p>
    <w:p>
      <w:pPr>
        <w:pStyle w:val="a10"/>
        <w:spacing w:before="156" w:beforeLines="50" w:after="156" w:afterLines="50"/>
        <w:rPr>
          <w:rFonts w:ascii="黑体" w:hAnsi="黑体"/>
          <w:color w:val="000000"/>
        </w:rPr>
      </w:pPr>
      <w:bookmarkStart w:id="543" w:name="_Toc381100873"/>
      <w:bookmarkStart w:id="544" w:name="_Toc227749719"/>
      <w:bookmarkStart w:id="545" w:name="_Toc330198611"/>
      <w:bookmarkStart w:id="546" w:name="_Toc330198953"/>
      <w:r>
        <w:rPr>
          <w:rFonts w:ascii="黑体" w:hAnsi="黑体"/>
          <w:color w:val="000000"/>
        </w:rPr>
        <w:t>由DNS数据内容引起的威胁</w:t>
      </w:r>
      <w:bookmarkEnd w:id="543"/>
      <w:bookmarkEnd w:id="544"/>
      <w:bookmarkEnd w:id="545"/>
      <w:bookmarkEnd w:id="546"/>
    </w:p>
    <w:p>
      <w:pPr>
        <w:pStyle w:val="a8"/>
        <w:spacing w:line="400" w:lineRule="exact"/>
        <w:ind w:firstLine="420"/>
        <w:rPr>
          <w:rFonts w:hAnsi="宋体"/>
          <w:color w:val="000000"/>
        </w:rPr>
      </w:pPr>
      <w:r>
        <w:rPr>
          <w:rFonts w:hAnsi="宋体"/>
          <w:color w:val="000000"/>
        </w:rPr>
        <w:t>由DNS数据内容引起的威胁主要包含如下：</w:t>
      </w:r>
    </w:p>
    <w:p>
      <w:pPr>
        <w:pStyle w:val="a8"/>
        <w:numPr>
          <w:ilvl w:val="0"/>
          <w:numId w:val="13"/>
        </w:numPr>
        <w:spacing w:line="400" w:lineRule="exact"/>
        <w:ind w:firstLineChars="0"/>
        <w:rPr>
          <w:rFonts w:hAnsi="宋体"/>
          <w:color w:val="000000"/>
        </w:rPr>
      </w:pPr>
      <w:r>
        <w:rPr>
          <w:rFonts w:hAnsi="宋体"/>
          <w:color w:val="000000"/>
        </w:rPr>
        <w:t>不完全授权</w:t>
      </w:r>
      <w:r>
        <w:rPr>
          <w:rFonts w:hAnsi="宋体" w:hint="eastAsia"/>
          <w:color w:val="000000"/>
        </w:rPr>
        <w:t>；</w:t>
      </w:r>
    </w:p>
    <w:p>
      <w:pPr>
        <w:pStyle w:val="a8"/>
        <w:numPr>
          <w:ilvl w:val="0"/>
          <w:numId w:val="13"/>
        </w:numPr>
        <w:spacing w:line="400" w:lineRule="exact"/>
        <w:ind w:firstLineChars="0"/>
        <w:rPr>
          <w:rFonts w:hAnsi="宋体"/>
          <w:color w:val="000000"/>
        </w:rPr>
      </w:pPr>
      <w:r>
        <w:rPr>
          <w:rFonts w:hAnsi="宋体"/>
          <w:color w:val="000000"/>
        </w:rPr>
        <w:t>区漂移和区打击</w:t>
      </w:r>
      <w:r>
        <w:rPr>
          <w:rFonts w:hAnsi="宋体" w:hint="eastAsia"/>
          <w:color w:val="000000"/>
        </w:rPr>
        <w:t>；</w:t>
      </w:r>
    </w:p>
    <w:p>
      <w:pPr>
        <w:pStyle w:val="a8"/>
        <w:numPr>
          <w:ilvl w:val="0"/>
          <w:numId w:val="13"/>
        </w:numPr>
        <w:spacing w:line="400" w:lineRule="exact"/>
        <w:ind w:firstLineChars="0"/>
        <w:rPr>
          <w:rFonts w:ascii="Times New Roman"/>
          <w:color w:val="000000"/>
        </w:rPr>
      </w:pPr>
      <w:r>
        <w:rPr>
          <w:rFonts w:hAnsi="宋体"/>
          <w:color w:val="000000"/>
        </w:rPr>
        <w:t>目标攻击信息</w:t>
      </w:r>
      <w:r>
        <w:rPr>
          <w:rFonts w:hAnsi="宋体" w:hint="eastAsia"/>
          <w:color w:val="000000"/>
        </w:rPr>
        <w:t>。</w:t>
      </w:r>
    </w:p>
    <w:p>
      <w:pPr>
        <w:pStyle w:val="a10"/>
        <w:spacing w:before="156" w:beforeLines="50" w:after="156" w:afterLines="50"/>
        <w:rPr>
          <w:rFonts w:ascii="黑体" w:hAnsi="黑体"/>
          <w:color w:val="000000"/>
        </w:rPr>
      </w:pPr>
      <w:bookmarkStart w:id="547" w:name="_Toc227749720"/>
      <w:bookmarkStart w:id="548" w:name="_Toc330198612"/>
      <w:bookmarkStart w:id="549" w:name="_Toc330198954"/>
      <w:bookmarkStart w:id="550" w:name="_Toc381100874"/>
      <w:r>
        <w:rPr>
          <w:rFonts w:ascii="黑体" w:hAnsi="黑体"/>
          <w:color w:val="000000"/>
        </w:rPr>
        <w:t>安全目标</w:t>
      </w:r>
      <w:bookmarkEnd w:id="547"/>
      <w:bookmarkEnd w:id="548"/>
      <w:bookmarkEnd w:id="549"/>
      <w:bookmarkEnd w:id="550"/>
    </w:p>
    <w:p>
      <w:pPr>
        <w:spacing w:line="400" w:lineRule="exact"/>
        <w:ind w:firstLine="420" w:firstLineChars="200"/>
        <w:rPr>
          <w:rFonts w:ascii="宋体" w:hAnsi="宋体"/>
          <w:color w:val="000000"/>
          <w:szCs w:val="20"/>
        </w:rPr>
      </w:pPr>
      <w:r>
        <w:rPr>
          <w:rFonts w:ascii="宋体" w:hAnsi="宋体"/>
          <w:color w:val="000000"/>
          <w:szCs w:val="20"/>
        </w:rPr>
        <w:t>保护DNS主机平台、DNS软件和DNS数据的共同目标是完整性和可用性。</w:t>
      </w:r>
    </w:p>
    <w:p>
      <w:pPr>
        <w:pStyle w:val="a10"/>
        <w:spacing w:before="156" w:beforeLines="50" w:after="156" w:afterLines="50"/>
        <w:rPr>
          <w:rFonts w:ascii="黑体" w:hAnsi="黑体"/>
          <w:color w:val="000000"/>
        </w:rPr>
      </w:pPr>
      <w:bookmarkStart w:id="551" w:name="_Toc227749721"/>
      <w:bookmarkStart w:id="552" w:name="_Toc330198955"/>
      <w:bookmarkStart w:id="553" w:name="_Toc381100875"/>
      <w:bookmarkStart w:id="554" w:name="_Toc330198613"/>
      <w:r>
        <w:rPr>
          <w:rFonts w:ascii="黑体" w:hAnsi="黑体"/>
          <w:color w:val="000000"/>
        </w:rPr>
        <w:t>主机平台保护方法</w:t>
      </w:r>
      <w:bookmarkEnd w:id="551"/>
      <w:bookmarkEnd w:id="552"/>
      <w:bookmarkEnd w:id="553"/>
      <w:bookmarkEnd w:id="554"/>
    </w:p>
    <w:p>
      <w:pPr>
        <w:pStyle w:val="a8"/>
        <w:spacing w:line="400" w:lineRule="exact"/>
        <w:ind w:firstLine="420"/>
        <w:rPr>
          <w:rFonts w:hAnsi="宋体"/>
          <w:color w:val="000000"/>
        </w:rPr>
        <w:sectPr>
          <w:headerReference w:type="even" r:id="rId60"/>
          <w:headerReference w:type="default" r:id="rId61"/>
          <w:footerReference w:type="even" r:id="rId62"/>
          <w:footerReference w:type="default" r:id="rId63"/>
          <w:headerReference w:type="first" r:id="rId64"/>
          <w:footerReference w:type="first" r:id="rId65"/>
          <w:type w:val="nextPage"/>
          <w:pgSz w:w="11907" w:h="16839"/>
          <w:pgMar w:top="1418" w:right="1134" w:bottom="1134" w:left="1418" w:header="1418" w:footer="851" w:gutter="0"/>
          <w:pgNumType w:start="7"/>
          <w:cols w:num="1" w:space="425"/>
          <w:titlePg w:val="0"/>
          <w:docGrid w:type="lines" w:linePitch="312" w:charSpace="0"/>
        </w:sectPr>
      </w:pPr>
      <w:r>
        <w:rPr>
          <w:rFonts w:hAnsi="宋体"/>
          <w:color w:val="000000"/>
        </w:rPr>
        <w:t>保护DNS主机平台的方法如下：</w:t>
      </w:r>
    </w:p>
    <w:p>
      <w:pPr>
        <w:pStyle w:val="a8"/>
        <w:numPr>
          <w:ilvl w:val="0"/>
          <w:numId w:val="14"/>
        </w:numPr>
        <w:spacing w:line="400" w:lineRule="exact"/>
        <w:ind w:firstLineChars="0"/>
        <w:rPr>
          <w:rFonts w:hAnsi="宋体"/>
          <w:color w:val="000000"/>
        </w:rPr>
      </w:pPr>
      <w:r>
        <w:rPr>
          <w:rFonts w:hAnsi="宋体" w:hint="eastAsia"/>
          <w:color w:val="000000"/>
        </w:rPr>
        <w:t>宜</w:t>
      </w:r>
      <w:r>
        <w:rPr>
          <w:rFonts w:hAnsi="宋体"/>
          <w:color w:val="000000"/>
        </w:rPr>
        <w:t>运行一个安全的操作系统</w:t>
      </w:r>
      <w:r>
        <w:rPr>
          <w:rFonts w:hAnsi="宋体" w:hint="eastAsia"/>
          <w:color w:val="000000"/>
        </w:rPr>
        <w:t>；</w:t>
      </w:r>
    </w:p>
    <w:p>
      <w:pPr>
        <w:pStyle w:val="a8"/>
        <w:numPr>
          <w:ilvl w:val="0"/>
          <w:numId w:val="14"/>
        </w:numPr>
        <w:spacing w:line="400" w:lineRule="exact"/>
        <w:ind w:firstLineChars="0"/>
        <w:rPr>
          <w:rFonts w:ascii="Times New Roman"/>
          <w:color w:val="000000"/>
        </w:rPr>
      </w:pPr>
      <w:r>
        <w:rPr>
          <w:rFonts w:hAnsi="宋体" w:hint="eastAsia"/>
          <w:color w:val="000000"/>
        </w:rPr>
        <w:t>宜</w:t>
      </w:r>
      <w:r>
        <w:rPr>
          <w:rFonts w:hAnsi="宋体"/>
          <w:color w:val="000000"/>
        </w:rPr>
        <w:t>安全配置/部署操作系统</w:t>
      </w:r>
      <w:r>
        <w:rPr>
          <w:rFonts w:hAnsi="宋体" w:hint="eastAsia"/>
          <w:color w:val="000000"/>
        </w:rPr>
        <w:t>。</w:t>
      </w:r>
    </w:p>
    <w:p>
      <w:pPr>
        <w:pStyle w:val="a10"/>
        <w:spacing w:before="156" w:beforeLines="50" w:after="156" w:afterLines="50"/>
        <w:rPr>
          <w:rFonts w:ascii="黑体" w:hAnsi="黑体"/>
          <w:color w:val="000000"/>
        </w:rPr>
      </w:pPr>
      <w:bookmarkStart w:id="555" w:name="_Toc227749722"/>
      <w:bookmarkStart w:id="556" w:name="_Toc330198614"/>
      <w:bookmarkStart w:id="557" w:name="_Toc330198956"/>
      <w:bookmarkStart w:id="558" w:name="_Toc381100876"/>
      <w:r>
        <w:rPr>
          <w:rFonts w:ascii="黑体" w:hAnsi="黑体"/>
          <w:color w:val="000000"/>
        </w:rPr>
        <w:t>DNS软件保护方法</w:t>
      </w:r>
      <w:bookmarkEnd w:id="555"/>
      <w:bookmarkEnd w:id="556"/>
      <w:bookmarkEnd w:id="557"/>
      <w:bookmarkEnd w:id="558"/>
    </w:p>
    <w:p>
      <w:pPr>
        <w:pStyle w:val="a8"/>
        <w:spacing w:line="400" w:lineRule="exact"/>
        <w:ind w:firstLine="420"/>
        <w:rPr>
          <w:rFonts w:hAnsi="宋体"/>
          <w:color w:val="000000"/>
        </w:rPr>
      </w:pPr>
      <w:r>
        <w:rPr>
          <w:rFonts w:hAnsi="宋体"/>
          <w:color w:val="000000"/>
        </w:rPr>
        <w:t>保护DNS软件的最佳实践如下：</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运行最新版本的域名服务器软件，或安装适当补丁的早期版本</w:t>
      </w:r>
      <w:r>
        <w:rPr>
          <w:rFonts w:hAnsi="宋体" w:hint="eastAsia"/>
          <w:color w:val="000000"/>
        </w:rPr>
        <w:t>；</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以受限权限运行域名服务器软件</w:t>
      </w:r>
      <w:r>
        <w:rPr>
          <w:rFonts w:hAnsi="宋体" w:hint="eastAsia"/>
          <w:color w:val="000000"/>
        </w:rPr>
        <w:t>；</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隔离域名服务器软件</w:t>
      </w:r>
      <w:r>
        <w:rPr>
          <w:rFonts w:hAnsi="宋体" w:hint="eastAsia"/>
          <w:color w:val="000000"/>
        </w:rPr>
        <w:t>；</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为每个功能建立一个专用的域名服务器实例</w:t>
      </w:r>
      <w:r>
        <w:rPr>
          <w:rFonts w:hAnsi="宋体" w:hint="eastAsia"/>
          <w:color w:val="000000"/>
        </w:rPr>
        <w:t>；</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删除非指定主机的域名服务器软件</w:t>
      </w:r>
      <w:r>
        <w:rPr>
          <w:rFonts w:hAnsi="宋体" w:hint="eastAsia"/>
          <w:color w:val="000000"/>
        </w:rPr>
        <w:t>；</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创建一个拓扑和地域分散的权威域名服务器以容错</w:t>
      </w:r>
      <w:r>
        <w:rPr>
          <w:rFonts w:hAnsi="宋体" w:hint="eastAsia"/>
          <w:color w:val="000000"/>
        </w:rPr>
        <w:t>；</w:t>
      </w:r>
    </w:p>
    <w:p>
      <w:pPr>
        <w:pStyle w:val="a8"/>
        <w:numPr>
          <w:ilvl w:val="0"/>
          <w:numId w:val="15"/>
        </w:numPr>
        <w:spacing w:line="400" w:lineRule="exact"/>
        <w:ind w:firstLineChars="0"/>
        <w:rPr>
          <w:rFonts w:hAnsi="宋体"/>
          <w:color w:val="000000"/>
        </w:rPr>
      </w:pPr>
      <w:r>
        <w:rPr>
          <w:rFonts w:hAnsi="宋体" w:hint="eastAsia"/>
          <w:color w:val="000000"/>
        </w:rPr>
        <w:t>应</w:t>
      </w:r>
      <w:r>
        <w:rPr>
          <w:rFonts w:hAnsi="宋体"/>
          <w:color w:val="000000"/>
        </w:rPr>
        <w:t>通过在同一物理域名服务器的两个不同区文件或通过为不同的客户端隔离域名服务器以限制IT资源信息暴露。</w:t>
      </w:r>
    </w:p>
    <w:p>
      <w:pPr>
        <w:pStyle w:val="a10"/>
        <w:spacing w:before="156" w:beforeLines="50" w:after="156" w:afterLines="50"/>
        <w:rPr>
          <w:rFonts w:ascii="黑体" w:hAnsi="黑体"/>
          <w:color w:val="000000"/>
        </w:rPr>
      </w:pPr>
      <w:bookmarkStart w:id="559" w:name="_Toc330198957"/>
      <w:bookmarkStart w:id="560" w:name="_Toc330198615"/>
      <w:bookmarkStart w:id="561" w:name="_Toc227749723"/>
      <w:bookmarkStart w:id="562" w:name="_Toc381100877"/>
      <w:r>
        <w:rPr>
          <w:rFonts w:ascii="黑体" w:hAnsi="黑体"/>
          <w:color w:val="000000"/>
        </w:rPr>
        <w:t>DNS数据内容管理-保护方法</w:t>
      </w:r>
      <w:bookmarkEnd w:id="559"/>
      <w:bookmarkEnd w:id="560"/>
      <w:bookmarkEnd w:id="561"/>
      <w:bookmarkEnd w:id="562"/>
    </w:p>
    <w:p>
      <w:pPr>
        <w:pStyle w:val="a8"/>
        <w:spacing w:line="400" w:lineRule="exact"/>
        <w:ind w:firstLine="420"/>
        <w:rPr>
          <w:rFonts w:hAnsi="宋体"/>
          <w:color w:val="000000"/>
        </w:rPr>
      </w:pPr>
      <w:r>
        <w:rPr>
          <w:rFonts w:hAnsi="宋体"/>
          <w:color w:val="000000"/>
        </w:rPr>
        <w:t>通过分析安全暗示的内容，制定检验此类内容存在的完整限制，</w:t>
      </w:r>
      <w:r>
        <w:rPr>
          <w:rFonts w:hAnsi="宋体" w:hint="eastAsia"/>
          <w:color w:val="000000"/>
        </w:rPr>
        <w:t>应</w:t>
      </w:r>
      <w:r>
        <w:rPr>
          <w:rFonts w:hAnsi="宋体"/>
          <w:color w:val="000000"/>
        </w:rPr>
        <w:t>验证区文件数据以满足限制来完成区文件中不良内容的管理。</w:t>
      </w:r>
    </w:p>
    <w:p>
      <w:pPr>
        <w:pStyle w:val="a9"/>
        <w:spacing w:before="312" w:beforeLines="100" w:after="312" w:afterLines="100"/>
        <w:rPr>
          <w:rFonts w:hAnsi="黑体"/>
          <w:color w:val="000000"/>
        </w:rPr>
      </w:pPr>
      <w:bookmarkStart w:id="563" w:name="_Toc330198958"/>
      <w:bookmarkStart w:id="564" w:name="_Toc330198616"/>
      <w:bookmarkStart w:id="565" w:name="_Toc381100878"/>
      <w:r>
        <w:rPr>
          <w:rFonts w:hAnsi="黑体"/>
          <w:color w:val="000000"/>
        </w:rPr>
        <w:t>DNS事务-威胁、安全目标和保护方法</w:t>
      </w:r>
      <w:bookmarkEnd w:id="535"/>
      <w:bookmarkEnd w:id="563"/>
      <w:bookmarkEnd w:id="564"/>
      <w:bookmarkEnd w:id="565"/>
    </w:p>
    <w:p>
      <w:pPr>
        <w:pStyle w:val="a10"/>
        <w:spacing w:before="156" w:beforeLines="50" w:after="156" w:afterLines="50"/>
        <w:rPr>
          <w:rFonts w:ascii="黑体" w:hAnsi="黑体"/>
          <w:color w:val="000000"/>
        </w:rPr>
      </w:pPr>
      <w:bookmarkStart w:id="566" w:name="_Toc227749725"/>
      <w:bookmarkStart w:id="567" w:name="_Toc381100879"/>
      <w:bookmarkStart w:id="568" w:name="_Toc330198617"/>
      <w:bookmarkStart w:id="569" w:name="_Toc330198959"/>
      <w:r>
        <w:rPr>
          <w:rFonts w:ascii="黑体" w:hAnsi="黑体"/>
          <w:color w:val="000000"/>
        </w:rPr>
        <w:t>DNS查询/响应威胁和保护方法</w:t>
      </w:r>
      <w:bookmarkEnd w:id="566"/>
      <w:bookmarkEnd w:id="567"/>
      <w:bookmarkEnd w:id="568"/>
      <w:bookmarkEnd w:id="569"/>
    </w:p>
    <w:p>
      <w:pPr>
        <w:spacing w:line="400" w:lineRule="exact"/>
        <w:ind w:firstLine="420" w:firstLineChars="200"/>
        <w:rPr>
          <w:rFonts w:ascii="宋体" w:hAnsi="宋体"/>
          <w:color w:val="000000"/>
        </w:rPr>
      </w:pPr>
      <w:r>
        <w:rPr>
          <w:rFonts w:ascii="宋体" w:hAnsi="宋体"/>
          <w:color w:val="000000"/>
        </w:rPr>
        <w:t>DNS域名解析查询和响应通常涉及单一、无签名和无加密的UDP数据包。DNS查询/响应威胁主要包含如下：</w:t>
      </w:r>
    </w:p>
    <w:p>
      <w:pPr>
        <w:pStyle w:val="a8"/>
        <w:numPr>
          <w:ilvl w:val="0"/>
          <w:numId w:val="16"/>
        </w:numPr>
        <w:spacing w:line="400" w:lineRule="exact"/>
        <w:ind w:firstLineChars="0"/>
        <w:rPr>
          <w:rFonts w:hAnsi="宋体"/>
          <w:color w:val="000000"/>
        </w:rPr>
      </w:pPr>
      <w:r>
        <w:rPr>
          <w:rFonts w:hAnsi="宋体"/>
          <w:color w:val="000000"/>
        </w:rPr>
        <w:t>伪造或虚假的响应</w:t>
      </w:r>
      <w:r>
        <w:rPr>
          <w:rFonts w:hAnsi="宋体" w:hint="eastAsia"/>
          <w:color w:val="000000"/>
        </w:rPr>
        <w:t>；</w:t>
      </w:r>
    </w:p>
    <w:p>
      <w:pPr>
        <w:pStyle w:val="a8"/>
        <w:numPr>
          <w:ilvl w:val="0"/>
          <w:numId w:val="16"/>
        </w:numPr>
        <w:spacing w:line="400" w:lineRule="exact"/>
        <w:ind w:firstLineChars="0"/>
        <w:rPr>
          <w:rFonts w:hAnsi="宋体"/>
          <w:color w:val="000000"/>
        </w:rPr>
      </w:pPr>
      <w:r>
        <w:rPr>
          <w:rFonts w:hAnsi="宋体"/>
          <w:color w:val="000000"/>
        </w:rPr>
        <w:t>来自响应的一些资源记录的删除</w:t>
      </w:r>
      <w:r>
        <w:rPr>
          <w:rFonts w:hAnsi="宋体" w:hint="eastAsia"/>
          <w:color w:val="000000"/>
        </w:rPr>
        <w:t>；</w:t>
      </w:r>
    </w:p>
    <w:p>
      <w:pPr>
        <w:pStyle w:val="a8"/>
        <w:numPr>
          <w:ilvl w:val="0"/>
          <w:numId w:val="16"/>
        </w:numPr>
        <w:spacing w:line="400" w:lineRule="exact"/>
        <w:ind w:firstLineChars="0"/>
        <w:rPr>
          <w:rFonts w:hAnsi="宋体"/>
          <w:color w:val="000000"/>
        </w:rPr>
      </w:pPr>
      <w:r>
        <w:rPr>
          <w:rFonts w:hAnsi="宋体"/>
          <w:color w:val="000000"/>
        </w:rPr>
        <w:t>应用于区文件中通配符资源记录的不正确的扩展规则</w:t>
      </w:r>
      <w:bookmarkStart w:id="570" w:name="_Toc227749726"/>
      <w:r>
        <w:rPr>
          <w:rFonts w:hAnsi="宋体" w:hint="eastAsia"/>
          <w:color w:val="000000"/>
        </w:rPr>
        <w:t>；</w:t>
      </w:r>
    </w:p>
    <w:p>
      <w:pPr>
        <w:pStyle w:val="a8"/>
        <w:spacing w:line="400" w:lineRule="exact"/>
        <w:ind w:firstLine="420"/>
        <w:rPr>
          <w:rFonts w:ascii="Times New Roman"/>
          <w:color w:val="000000"/>
        </w:rPr>
      </w:pPr>
      <w:r>
        <w:rPr>
          <w:rFonts w:hAnsi="宋体"/>
          <w:color w:val="000000"/>
        </w:rPr>
        <w:t>保护方法是</w:t>
      </w:r>
      <w:r>
        <w:rPr>
          <w:rFonts w:hAnsi="宋体" w:hint="eastAsia"/>
          <w:color w:val="000000"/>
        </w:rPr>
        <w:t>应</w:t>
      </w:r>
      <w:r>
        <w:rPr>
          <w:rFonts w:hAnsi="宋体"/>
          <w:color w:val="000000"/>
        </w:rPr>
        <w:t>通过数据源认证、数据完整性验证以确保查询/响应安全。</w:t>
      </w:r>
    </w:p>
    <w:bookmarkEnd w:id="570"/>
    <w:p>
      <w:pPr>
        <w:pStyle w:val="a10"/>
        <w:spacing w:before="156" w:beforeLines="50" w:after="156" w:afterLines="50"/>
        <w:rPr>
          <w:rFonts w:ascii="黑体" w:hAnsi="黑体"/>
          <w:color w:val="000000"/>
        </w:rPr>
      </w:pPr>
      <w:bookmarkStart w:id="571" w:name="_Toc227749730"/>
      <w:bookmarkStart w:id="572" w:name="_Toc330198618"/>
      <w:bookmarkStart w:id="573" w:name="_Toc330198960"/>
      <w:bookmarkStart w:id="574" w:name="_Toc381100880"/>
      <w:r>
        <w:rPr>
          <w:rFonts w:ascii="黑体" w:hAnsi="黑体"/>
          <w:color w:val="000000"/>
        </w:rPr>
        <w:t>区传送威胁和保护方法</w:t>
      </w:r>
      <w:bookmarkEnd w:id="571"/>
      <w:bookmarkEnd w:id="572"/>
      <w:bookmarkEnd w:id="573"/>
      <w:bookmarkEnd w:id="574"/>
    </w:p>
    <w:p>
      <w:pPr>
        <w:spacing w:line="400" w:lineRule="exact"/>
        <w:ind w:firstLine="420" w:firstLineChars="200"/>
        <w:rPr>
          <w:rFonts w:ascii="宋体" w:hAnsi="宋体"/>
          <w:color w:val="000000"/>
        </w:rPr>
      </w:pPr>
      <w:r>
        <w:rPr>
          <w:rFonts w:ascii="宋体" w:hAnsi="宋体"/>
          <w:color w:val="000000"/>
        </w:rPr>
        <w:t>区传送在多个服务器中复制区文件以提供容错度，该容错度在DNS服务中由组织提供。区传送威胁主要包含如下：</w:t>
      </w:r>
    </w:p>
    <w:p>
      <w:pPr>
        <w:pStyle w:val="a8"/>
        <w:numPr>
          <w:ilvl w:val="0"/>
          <w:numId w:val="17"/>
        </w:numPr>
        <w:spacing w:line="400" w:lineRule="exact"/>
        <w:ind w:firstLineChars="0"/>
        <w:rPr>
          <w:rFonts w:hAnsi="宋体"/>
          <w:color w:val="000000"/>
        </w:rPr>
      </w:pPr>
      <w:r>
        <w:rPr>
          <w:rFonts w:hAnsi="宋体"/>
          <w:color w:val="000000"/>
        </w:rPr>
        <w:t>拒绝服务</w:t>
      </w:r>
      <w:r>
        <w:rPr>
          <w:rFonts w:hAnsi="宋体" w:hint="eastAsia"/>
          <w:color w:val="000000"/>
        </w:rPr>
        <w:t>；</w:t>
      </w:r>
    </w:p>
    <w:p>
      <w:pPr>
        <w:pStyle w:val="a8"/>
        <w:numPr>
          <w:ilvl w:val="0"/>
          <w:numId w:val="17"/>
        </w:numPr>
        <w:spacing w:line="400" w:lineRule="exact"/>
        <w:ind w:firstLineChars="0"/>
        <w:rPr>
          <w:rFonts w:hAnsi="宋体"/>
          <w:color w:val="000000"/>
        </w:rPr>
      </w:pPr>
      <w:r>
        <w:rPr>
          <w:rFonts w:hAnsi="宋体"/>
          <w:color w:val="000000"/>
        </w:rPr>
        <w:t>区传送响应信息可能被篡改。</w:t>
      </w:r>
    </w:p>
    <w:p>
      <w:pPr>
        <w:spacing w:line="400" w:lineRule="exact"/>
        <w:ind w:firstLine="420" w:firstLineChars="200"/>
        <w:rPr>
          <w:color w:val="000000"/>
        </w:rPr>
      </w:pPr>
      <w:r>
        <w:rPr>
          <w:rFonts w:ascii="宋体" w:hAnsi="宋体"/>
          <w:color w:val="000000"/>
        </w:rPr>
        <w:t>保护方法是</w:t>
      </w:r>
      <w:r>
        <w:rPr>
          <w:rFonts w:ascii="宋体" w:hAnsi="宋体" w:hint="eastAsia"/>
          <w:color w:val="000000"/>
        </w:rPr>
        <w:t>应</w:t>
      </w:r>
      <w:r>
        <w:rPr>
          <w:rFonts w:ascii="宋体" w:hAnsi="宋体"/>
          <w:color w:val="000000"/>
        </w:rPr>
        <w:t>通过验证签名记录和来自DNSSEC签名区的资源记录，以确保在区传送消息中对DNS数据的保护。</w:t>
      </w:r>
    </w:p>
    <w:p>
      <w:pPr>
        <w:pStyle w:val="a10"/>
        <w:spacing w:before="156" w:beforeLines="50" w:after="156" w:afterLines="50"/>
        <w:rPr>
          <w:color w:val="000000"/>
        </w:rPr>
        <w:sectPr>
          <w:headerReference w:type="even" r:id="rId66"/>
          <w:headerReference w:type="default" r:id="rId67"/>
          <w:footerReference w:type="even" r:id="rId68"/>
          <w:footerReference w:type="default" r:id="rId69"/>
          <w:headerReference w:type="first" r:id="rId70"/>
          <w:footerReference w:type="first" r:id="rId71"/>
          <w:type w:val="nextPage"/>
          <w:pgSz w:w="11907" w:h="16839"/>
          <w:pgMar w:top="1418" w:right="1134" w:bottom="1134" w:left="1418" w:header="1418" w:footer="851" w:gutter="0"/>
          <w:pgNumType w:start="8"/>
          <w:cols w:num="1" w:space="425"/>
          <w:titlePg w:val="0"/>
          <w:docGrid w:type="lines" w:linePitch="312" w:charSpace="0"/>
        </w:sectPr>
      </w:pPr>
      <w:bookmarkStart w:id="575" w:name="_Toc330198619"/>
      <w:bookmarkStart w:id="576" w:name="_Toc227749731"/>
      <w:bookmarkStart w:id="577" w:name="_Toc330198961"/>
      <w:bookmarkStart w:id="578" w:name="_Toc381100881"/>
      <w:r>
        <w:rPr>
          <w:color w:val="000000"/>
        </w:rPr>
        <w:t>动态更新威胁和保护方法</w:t>
      </w:r>
      <w:bookmarkEnd w:id="575"/>
      <w:bookmarkEnd w:id="576"/>
      <w:bookmarkEnd w:id="577"/>
      <w:bookmarkEnd w:id="578"/>
    </w:p>
    <w:p>
      <w:pPr>
        <w:pStyle w:val="a8"/>
        <w:spacing w:line="400" w:lineRule="exact"/>
        <w:ind w:firstLine="420"/>
        <w:rPr>
          <w:rFonts w:hAnsi="宋体"/>
          <w:color w:val="000000"/>
        </w:rPr>
      </w:pPr>
      <w:r>
        <w:rPr>
          <w:rFonts w:hAnsi="宋体"/>
          <w:color w:val="000000"/>
        </w:rPr>
        <w:t>动态更新包含DNS客户端在权威域名服务器中实时改变区数据。动态更新威胁主要包含如下：</w:t>
      </w:r>
    </w:p>
    <w:p>
      <w:pPr>
        <w:pStyle w:val="a8"/>
        <w:numPr>
          <w:ilvl w:val="0"/>
          <w:numId w:val="18"/>
        </w:numPr>
        <w:spacing w:line="400" w:lineRule="exact"/>
        <w:ind w:firstLineChars="0"/>
        <w:rPr>
          <w:rFonts w:hAnsi="宋体"/>
          <w:color w:val="000000"/>
        </w:rPr>
      </w:pPr>
      <w:r>
        <w:rPr>
          <w:rFonts w:hAnsi="宋体"/>
          <w:color w:val="000000"/>
        </w:rPr>
        <w:t>未授权的更新</w:t>
      </w:r>
      <w:r>
        <w:rPr>
          <w:rFonts w:hAnsi="宋体" w:hint="eastAsia"/>
          <w:color w:val="000000"/>
        </w:rPr>
        <w:t>；</w:t>
      </w:r>
    </w:p>
    <w:p>
      <w:pPr>
        <w:pStyle w:val="a8"/>
        <w:numPr>
          <w:ilvl w:val="0"/>
          <w:numId w:val="18"/>
        </w:numPr>
        <w:spacing w:line="400" w:lineRule="exact"/>
        <w:ind w:firstLineChars="0"/>
        <w:rPr>
          <w:rFonts w:hAnsi="宋体"/>
          <w:color w:val="000000"/>
        </w:rPr>
      </w:pPr>
      <w:r>
        <w:rPr>
          <w:rFonts w:hAnsi="宋体"/>
          <w:color w:val="000000"/>
        </w:rPr>
        <w:t>动态更新请求数据被篡改</w:t>
      </w:r>
      <w:r>
        <w:rPr>
          <w:rFonts w:hAnsi="宋体" w:hint="eastAsia"/>
          <w:color w:val="000000"/>
        </w:rPr>
        <w:t>；</w:t>
      </w:r>
    </w:p>
    <w:p>
      <w:pPr>
        <w:pStyle w:val="a8"/>
        <w:numPr>
          <w:ilvl w:val="0"/>
          <w:numId w:val="18"/>
        </w:numPr>
        <w:spacing w:line="400" w:lineRule="exact"/>
        <w:ind w:firstLineChars="0"/>
        <w:rPr>
          <w:rFonts w:hAnsi="宋体"/>
          <w:color w:val="000000"/>
        </w:rPr>
      </w:pPr>
      <w:r>
        <w:rPr>
          <w:rFonts w:hAnsi="宋体"/>
          <w:color w:val="000000"/>
        </w:rPr>
        <w:t>重复攻击</w:t>
      </w:r>
      <w:r>
        <w:rPr>
          <w:rFonts w:hAnsi="宋体" w:hint="eastAsia"/>
          <w:color w:val="000000"/>
        </w:rPr>
        <w:t>。</w:t>
      </w:r>
    </w:p>
    <w:p>
      <w:pPr>
        <w:pStyle w:val="a8"/>
        <w:spacing w:line="400" w:lineRule="exact"/>
        <w:ind w:firstLine="420"/>
        <w:rPr>
          <w:rFonts w:hAnsi="宋体"/>
          <w:color w:val="000000"/>
        </w:rPr>
      </w:pPr>
      <w:r>
        <w:rPr>
          <w:rFonts w:hAnsi="宋体"/>
          <w:color w:val="000000"/>
        </w:rPr>
        <w:t>保护方法是</w:t>
      </w:r>
      <w:r>
        <w:rPr>
          <w:rFonts w:hAnsi="宋体" w:hint="eastAsia"/>
          <w:color w:val="000000"/>
        </w:rPr>
        <w:t>应</w:t>
      </w:r>
      <w:r>
        <w:rPr>
          <w:rFonts w:hAnsi="宋体"/>
          <w:color w:val="000000"/>
        </w:rPr>
        <w:t>通过相互验证、数据完整性验证以及时间戳签名，以确保动态更新安全。</w:t>
      </w:r>
    </w:p>
    <w:p>
      <w:pPr>
        <w:pStyle w:val="a10"/>
        <w:spacing w:before="156" w:beforeLines="50" w:after="156" w:afterLines="50"/>
        <w:rPr>
          <w:rFonts w:ascii="黑体" w:hAnsi="黑体"/>
          <w:color w:val="000000"/>
        </w:rPr>
      </w:pPr>
      <w:bookmarkStart w:id="579" w:name="_Toc330198962"/>
      <w:bookmarkStart w:id="580" w:name="_Toc330198620"/>
      <w:bookmarkStart w:id="581" w:name="_Toc227749732"/>
      <w:bookmarkStart w:id="582" w:name="_Toc381100882"/>
      <w:r>
        <w:rPr>
          <w:rFonts w:ascii="黑体" w:hAnsi="黑体"/>
          <w:color w:val="000000"/>
        </w:rPr>
        <w:t>DNS通知报文威胁和保护方法</w:t>
      </w:r>
      <w:bookmarkEnd w:id="579"/>
      <w:bookmarkEnd w:id="580"/>
      <w:bookmarkEnd w:id="581"/>
      <w:bookmarkEnd w:id="582"/>
    </w:p>
    <w:p>
      <w:pPr>
        <w:spacing w:line="400" w:lineRule="exact"/>
        <w:ind w:firstLine="420" w:firstLineChars="200"/>
        <w:rPr>
          <w:rFonts w:ascii="宋体" w:hAnsi="宋体"/>
          <w:color w:val="000000"/>
        </w:rPr>
      </w:pPr>
      <w:r>
        <w:rPr>
          <w:rFonts w:ascii="宋体" w:hAnsi="宋体"/>
          <w:color w:val="000000"/>
        </w:rPr>
        <w:t>DNS通知报文是由主域名服务器发给辅域名服务器的消息，引起辅域名服务器启动更新操作并当区更新发生时，执行区传送。</w:t>
      </w:r>
    </w:p>
    <w:p>
      <w:pPr>
        <w:spacing w:line="400" w:lineRule="exact"/>
        <w:ind w:firstLine="420" w:firstLineChars="200"/>
        <w:rPr>
          <w:rFonts w:ascii="宋体" w:hAnsi="宋体"/>
          <w:color w:val="000000"/>
        </w:rPr>
      </w:pPr>
      <w:r>
        <w:rPr>
          <w:rFonts w:ascii="宋体" w:hAnsi="宋体"/>
          <w:color w:val="000000"/>
        </w:rPr>
        <w:t>DNS通知报文威胁主要来自伪造的通知报文。</w:t>
      </w:r>
    </w:p>
    <w:p>
      <w:pPr>
        <w:spacing w:line="400" w:lineRule="exact"/>
        <w:ind w:firstLine="420" w:firstLineChars="200"/>
        <w:rPr>
          <w:color w:val="000000"/>
        </w:rPr>
      </w:pPr>
      <w:r>
        <w:rPr>
          <w:rFonts w:ascii="宋体" w:hAnsi="宋体"/>
          <w:color w:val="000000"/>
        </w:rPr>
        <w:t>保护方法是</w:t>
      </w:r>
      <w:r>
        <w:rPr>
          <w:rFonts w:ascii="宋体" w:hAnsi="宋体" w:hint="eastAsia"/>
          <w:color w:val="000000"/>
        </w:rPr>
        <w:t>应</w:t>
      </w:r>
      <w:r>
        <w:rPr>
          <w:rFonts w:ascii="宋体" w:hAnsi="宋体"/>
          <w:color w:val="000000"/>
        </w:rPr>
        <w:t>需配置辅助域名服务器以接收仅来自主域名服务器的DNS通知报文。</w:t>
      </w:r>
    </w:p>
    <w:p>
      <w:pPr>
        <w:pStyle w:val="a9"/>
        <w:spacing w:before="312" w:beforeLines="100" w:after="312" w:afterLines="100"/>
        <w:rPr>
          <w:rFonts w:hAnsi="黑体"/>
          <w:color w:val="000000"/>
        </w:rPr>
      </w:pPr>
      <w:bookmarkStart w:id="583" w:name="_Toc381100883"/>
      <w:r>
        <w:rPr>
          <w:rFonts w:hAnsi="黑体"/>
          <w:color w:val="000000"/>
        </w:rPr>
        <w:t>DNS主机</w:t>
      </w:r>
      <w:r>
        <w:rPr>
          <w:rFonts w:hAnsi="黑体" w:hint="eastAsia"/>
          <w:color w:val="000000"/>
        </w:rPr>
        <w:t>环境</w:t>
      </w:r>
      <w:r>
        <w:rPr>
          <w:rFonts w:hAnsi="黑体"/>
          <w:color w:val="000000"/>
        </w:rPr>
        <w:t>安全指南</w:t>
      </w:r>
      <w:bookmarkEnd w:id="583"/>
    </w:p>
    <w:p>
      <w:pPr>
        <w:pStyle w:val="a10"/>
        <w:spacing w:before="156" w:beforeLines="50" w:after="156" w:afterLines="50"/>
        <w:rPr>
          <w:color w:val="000000"/>
        </w:rPr>
      </w:pPr>
      <w:bookmarkStart w:id="584" w:name="_Toc381100884"/>
      <w:r>
        <w:rPr>
          <w:color w:val="000000"/>
        </w:rPr>
        <w:t>概述</w:t>
      </w:r>
      <w:bookmarkEnd w:id="584"/>
    </w:p>
    <w:p>
      <w:pPr>
        <w:spacing w:line="400" w:lineRule="exact"/>
        <w:ind w:firstLine="420" w:firstLineChars="200"/>
        <w:rPr>
          <w:rFonts w:ascii="宋体" w:hAnsi="宋体"/>
          <w:color w:val="000000"/>
        </w:rPr>
      </w:pPr>
      <w:r>
        <w:rPr>
          <w:rFonts w:ascii="宋体" w:hAnsi="宋体"/>
          <w:color w:val="000000"/>
        </w:rPr>
        <w:t>DNS主机环境的安全配置可按照如下三类进行区分：</w:t>
      </w:r>
    </w:p>
    <w:p>
      <w:pPr>
        <w:pStyle w:val="a8"/>
        <w:numPr>
          <w:ilvl w:val="0"/>
          <w:numId w:val="19"/>
        </w:numPr>
        <w:spacing w:line="400" w:lineRule="exact"/>
        <w:ind w:firstLineChars="0"/>
        <w:rPr>
          <w:rFonts w:hAnsi="宋体"/>
          <w:color w:val="000000"/>
        </w:rPr>
      </w:pPr>
      <w:r>
        <w:rPr>
          <w:rFonts w:hAnsi="宋体"/>
          <w:color w:val="000000"/>
        </w:rPr>
        <w:t>DNS主机平台安全</w:t>
      </w:r>
      <w:r>
        <w:rPr>
          <w:rFonts w:hAnsi="宋体" w:hint="eastAsia"/>
          <w:color w:val="000000"/>
        </w:rPr>
        <w:t>；</w:t>
      </w:r>
    </w:p>
    <w:p>
      <w:pPr>
        <w:pStyle w:val="a8"/>
        <w:numPr>
          <w:ilvl w:val="0"/>
          <w:numId w:val="19"/>
        </w:numPr>
        <w:spacing w:line="400" w:lineRule="exact"/>
        <w:ind w:firstLineChars="0"/>
        <w:rPr>
          <w:rFonts w:hAnsi="宋体"/>
          <w:color w:val="000000"/>
        </w:rPr>
      </w:pPr>
      <w:r>
        <w:rPr>
          <w:rFonts w:hAnsi="宋体"/>
          <w:color w:val="000000"/>
        </w:rPr>
        <w:t>DNS软件安全</w:t>
      </w:r>
      <w:r>
        <w:rPr>
          <w:rFonts w:hAnsi="宋体" w:hint="eastAsia"/>
          <w:color w:val="000000"/>
        </w:rPr>
        <w:t>；</w:t>
      </w:r>
    </w:p>
    <w:p>
      <w:pPr>
        <w:pStyle w:val="a8"/>
        <w:numPr>
          <w:ilvl w:val="0"/>
          <w:numId w:val="19"/>
        </w:numPr>
        <w:spacing w:line="400" w:lineRule="exact"/>
        <w:ind w:firstLineChars="0"/>
        <w:rPr>
          <w:rFonts w:ascii="Times New Roman"/>
          <w:color w:val="000000"/>
        </w:rPr>
      </w:pPr>
      <w:r>
        <w:rPr>
          <w:rFonts w:hAnsi="宋体"/>
          <w:color w:val="000000"/>
        </w:rPr>
        <w:t>区文件的内容管理</w:t>
      </w:r>
      <w:r>
        <w:rPr>
          <w:rFonts w:hAnsi="宋体" w:hint="eastAsia"/>
          <w:color w:val="000000"/>
        </w:rPr>
        <w:t>。</w:t>
      </w:r>
    </w:p>
    <w:p>
      <w:pPr>
        <w:spacing w:line="400" w:lineRule="exact"/>
        <w:ind w:firstLine="420" w:firstLineChars="200"/>
        <w:jc w:val="left"/>
        <w:rPr>
          <w:rFonts w:ascii="宋体" w:hAnsi="宋体"/>
          <w:color w:val="000000"/>
        </w:rPr>
      </w:pPr>
      <w:r>
        <w:rPr>
          <w:rFonts w:ascii="宋体" w:hAnsi="宋体"/>
          <w:color w:val="000000"/>
        </w:rPr>
        <w:t>本</w:t>
      </w:r>
      <w:r>
        <w:rPr>
          <w:rFonts w:ascii="宋体" w:hAnsi="宋体" w:hint="eastAsia"/>
          <w:color w:val="000000"/>
        </w:rPr>
        <w:t>标准主要用于</w:t>
      </w:r>
      <w:r>
        <w:rPr>
          <w:rFonts w:ascii="宋体" w:hAnsi="宋体"/>
          <w:color w:val="000000"/>
        </w:rPr>
        <w:t>使用BIND DNS域名服务软件的环境。在可能的情况下，</w:t>
      </w:r>
      <w:r>
        <w:rPr>
          <w:rFonts w:ascii="宋体" w:hAnsi="宋体" w:hint="eastAsia"/>
          <w:color w:val="000000"/>
        </w:rPr>
        <w:t>本标准还可用于使用</w:t>
      </w:r>
      <w:r>
        <w:rPr>
          <w:rFonts w:ascii="宋体" w:hAnsi="宋体"/>
          <w:color w:val="000000"/>
        </w:rPr>
        <w:t>其他DNS权威软件包如NSD和Microsoft Windows Server</w:t>
      </w:r>
      <w:r>
        <w:rPr>
          <w:rFonts w:ascii="宋体" w:hAnsi="宋体" w:hint="eastAsia"/>
          <w:color w:val="000000"/>
        </w:rPr>
        <w:t>域名服务软件的环境</w:t>
      </w:r>
      <w:r>
        <w:rPr>
          <w:rFonts w:ascii="宋体" w:hAnsi="宋体"/>
          <w:color w:val="000000"/>
        </w:rPr>
        <w:t>。</w:t>
      </w:r>
      <w:r>
        <w:rPr>
          <w:rFonts w:ascii="宋体" w:hAnsi="宋体" w:hint="eastAsia"/>
          <w:color w:val="000000"/>
        </w:rPr>
        <w:t>部分</w:t>
      </w:r>
      <w:r>
        <w:rPr>
          <w:rFonts w:ascii="宋体" w:hAnsi="宋体"/>
          <w:color w:val="000000"/>
          <w:szCs w:val="21"/>
        </w:rPr>
        <w:t>具体BIND配置命令清单</w:t>
      </w:r>
      <w:r>
        <w:rPr>
          <w:rFonts w:ascii="宋体" w:hAnsi="宋体" w:hint="eastAsia"/>
          <w:color w:val="000000"/>
          <w:szCs w:val="21"/>
        </w:rPr>
        <w:t>见附录A。</w:t>
      </w:r>
    </w:p>
    <w:p>
      <w:pPr>
        <w:pStyle w:val="a10"/>
        <w:spacing w:before="156" w:beforeLines="50" w:after="156" w:afterLines="50"/>
        <w:rPr>
          <w:rFonts w:ascii="黑体" w:hAnsi="黑体"/>
          <w:color w:val="000000"/>
        </w:rPr>
      </w:pPr>
      <w:bookmarkStart w:id="585" w:name="_Toc381100885"/>
      <w:r>
        <w:rPr>
          <w:rFonts w:ascii="黑体" w:hAnsi="黑体"/>
          <w:color w:val="000000"/>
        </w:rPr>
        <w:t>DNS主机平台安全</w:t>
      </w:r>
      <w:bookmarkEnd w:id="585"/>
    </w:p>
    <w:p>
      <w:pPr>
        <w:spacing w:line="400" w:lineRule="exact"/>
        <w:ind w:firstLine="420" w:firstLineChars="200"/>
        <w:rPr>
          <w:rFonts w:ascii="宋体" w:hAnsi="宋体"/>
          <w:color w:val="000000"/>
        </w:rPr>
      </w:pPr>
      <w:r>
        <w:rPr>
          <w:rFonts w:ascii="宋体" w:hAnsi="宋体"/>
          <w:color w:val="000000"/>
        </w:rPr>
        <w:t>运行域名服务器软件的平台主机的操作系统</w:t>
      </w:r>
      <w:r>
        <w:rPr>
          <w:rFonts w:ascii="宋体" w:hAnsi="宋体" w:hint="eastAsia"/>
          <w:color w:val="000000"/>
        </w:rPr>
        <w:t>应进行安全加固</w:t>
      </w:r>
      <w:r>
        <w:rPr>
          <w:rFonts w:ascii="宋体" w:hAnsi="宋体"/>
          <w:color w:val="000000"/>
        </w:rPr>
        <w:t>。许多DNS平台运行于UNIX或Windows平台。应保证：</w:t>
      </w:r>
    </w:p>
    <w:p>
      <w:pPr>
        <w:pStyle w:val="a8"/>
        <w:numPr>
          <w:ilvl w:val="0"/>
          <w:numId w:val="20"/>
        </w:numPr>
        <w:spacing w:line="400" w:lineRule="exact"/>
        <w:ind w:firstLineChars="0"/>
        <w:rPr>
          <w:rFonts w:hAnsi="宋体"/>
          <w:color w:val="000000"/>
        </w:rPr>
      </w:pPr>
      <w:r>
        <w:rPr>
          <w:rFonts w:hAnsi="宋体"/>
          <w:color w:val="000000"/>
        </w:rPr>
        <w:t>已安装最新的操作系统补丁</w:t>
      </w:r>
      <w:r>
        <w:rPr>
          <w:rFonts w:hAnsi="宋体" w:hint="eastAsia"/>
          <w:color w:val="000000"/>
        </w:rPr>
        <w:t>；</w:t>
      </w:r>
    </w:p>
    <w:p>
      <w:pPr>
        <w:pStyle w:val="a8"/>
        <w:numPr>
          <w:ilvl w:val="0"/>
          <w:numId w:val="20"/>
        </w:numPr>
        <w:spacing w:line="400" w:lineRule="exact"/>
        <w:ind w:firstLineChars="0"/>
        <w:rPr>
          <w:rFonts w:ascii="Times New Roman"/>
          <w:color w:val="000000"/>
        </w:rPr>
      </w:pPr>
      <w:r>
        <w:rPr>
          <w:rFonts w:hAnsi="宋体"/>
          <w:color w:val="000000"/>
        </w:rPr>
        <w:t>运行域名服务器软件的主机不应提供其他服务，仅配置用来响应DNS流量。</w:t>
      </w:r>
    </w:p>
    <w:p>
      <w:pPr>
        <w:pStyle w:val="a10"/>
        <w:spacing w:before="156" w:beforeLines="50" w:after="156" w:afterLines="50"/>
        <w:rPr>
          <w:rFonts w:ascii="黑体" w:hAnsi="黑体"/>
          <w:color w:val="000000"/>
        </w:rPr>
      </w:pPr>
      <w:bookmarkStart w:id="586" w:name="_Toc381100886"/>
      <w:r>
        <w:rPr>
          <w:rFonts w:ascii="黑体" w:hAnsi="黑体"/>
          <w:color w:val="000000"/>
        </w:rPr>
        <w:t>DNS软件安全</w:t>
      </w:r>
      <w:bookmarkEnd w:id="586"/>
    </w:p>
    <w:p>
      <w:pPr>
        <w:spacing w:line="400" w:lineRule="exact"/>
        <w:ind w:firstLine="420" w:firstLineChars="200"/>
        <w:rPr>
          <w:rFonts w:ascii="宋体" w:hAnsi="宋体"/>
          <w:color w:val="000000"/>
        </w:rPr>
      </w:pPr>
      <w:r>
        <w:rPr>
          <w:rFonts w:ascii="宋体" w:hAnsi="宋体"/>
          <w:color w:val="000000"/>
        </w:rPr>
        <w:t>保护DNS软件的方法</w:t>
      </w:r>
      <w:r>
        <w:rPr>
          <w:rFonts w:ascii="宋体" w:hAnsi="宋体" w:hint="eastAsia"/>
          <w:color w:val="000000"/>
        </w:rPr>
        <w:t>应</w:t>
      </w:r>
      <w:r>
        <w:rPr>
          <w:rFonts w:ascii="宋体" w:hAnsi="宋体"/>
          <w:color w:val="000000"/>
        </w:rPr>
        <w:t>包含如下：</w:t>
      </w:r>
    </w:p>
    <w:p>
      <w:pPr>
        <w:numPr>
          <w:ilvl w:val="0"/>
          <w:numId w:val="21"/>
        </w:numPr>
        <w:spacing w:line="400" w:lineRule="exact"/>
        <w:rPr>
          <w:rFonts w:ascii="宋体" w:hAnsi="宋体"/>
          <w:color w:val="000000"/>
        </w:rPr>
      </w:pPr>
      <w:r>
        <w:rPr>
          <w:rFonts w:ascii="宋体" w:hAnsi="宋体"/>
          <w:color w:val="000000"/>
        </w:rPr>
        <w:t>版本选择</w:t>
      </w:r>
      <w:r>
        <w:rPr>
          <w:rFonts w:ascii="宋体" w:hAnsi="宋体" w:hint="eastAsia"/>
          <w:color w:val="000000"/>
        </w:rPr>
        <w:t>；</w:t>
      </w:r>
    </w:p>
    <w:p>
      <w:pPr>
        <w:numPr>
          <w:ilvl w:val="0"/>
          <w:numId w:val="21"/>
        </w:numPr>
        <w:spacing w:line="400" w:lineRule="exact"/>
        <w:rPr>
          <w:rFonts w:ascii="宋体" w:hAnsi="宋体"/>
          <w:color w:val="000000"/>
        </w:rPr>
      </w:pPr>
      <w:r>
        <w:rPr>
          <w:rFonts w:ascii="宋体" w:hAnsi="宋体"/>
          <w:color w:val="000000"/>
        </w:rPr>
        <w:t>补丁安装</w:t>
      </w:r>
      <w:r>
        <w:rPr>
          <w:rFonts w:ascii="宋体" w:hAnsi="宋体" w:hint="eastAsia"/>
          <w:color w:val="000000"/>
        </w:rPr>
        <w:t>；</w:t>
      </w:r>
    </w:p>
    <w:p>
      <w:pPr>
        <w:numPr>
          <w:ilvl w:val="0"/>
          <w:numId w:val="21"/>
        </w:numPr>
        <w:spacing w:line="400" w:lineRule="exact"/>
        <w:rPr>
          <w:rFonts w:ascii="宋体" w:hAnsi="宋体"/>
          <w:color w:val="000000"/>
        </w:rPr>
      </w:pPr>
      <w:r>
        <w:rPr>
          <w:rFonts w:ascii="宋体" w:hAnsi="宋体"/>
          <w:color w:val="000000"/>
        </w:rPr>
        <w:t>使用受限特权运行</w:t>
      </w:r>
      <w:r>
        <w:rPr>
          <w:rFonts w:ascii="宋体" w:hAnsi="宋体" w:hint="eastAsia"/>
          <w:color w:val="000000"/>
        </w:rPr>
        <w:t>；</w:t>
      </w:r>
    </w:p>
    <w:p>
      <w:pPr>
        <w:numPr>
          <w:ilvl w:val="0"/>
          <w:numId w:val="21"/>
        </w:numPr>
        <w:spacing w:line="400" w:lineRule="exact"/>
        <w:rPr>
          <w:rFonts w:ascii="宋体" w:hAnsi="宋体"/>
          <w:color w:val="000000"/>
        </w:rPr>
      </w:pPr>
      <w:r>
        <w:rPr>
          <w:rFonts w:ascii="宋体" w:hAnsi="宋体"/>
          <w:color w:val="000000"/>
        </w:rPr>
        <w:t>在运行环境中限制其他应用程序</w:t>
      </w:r>
      <w:r>
        <w:rPr>
          <w:rFonts w:ascii="宋体" w:hAnsi="宋体" w:hint="eastAsia"/>
          <w:color w:val="000000"/>
        </w:rPr>
        <w:t>；</w:t>
      </w:r>
    </w:p>
    <w:p>
      <w:pPr>
        <w:numPr>
          <w:ilvl w:val="0"/>
          <w:numId w:val="21"/>
        </w:numPr>
        <w:spacing w:line="400" w:lineRule="exact"/>
        <w:rPr>
          <w:rFonts w:ascii="宋体" w:hAnsi="宋体"/>
          <w:color w:val="000000"/>
        </w:rPr>
        <w:sectPr>
          <w:headerReference w:type="even" r:id="rId72"/>
          <w:headerReference w:type="default" r:id="rId73"/>
          <w:footerReference w:type="even" r:id="rId74"/>
          <w:footerReference w:type="default" r:id="rId75"/>
          <w:headerReference w:type="first" r:id="rId76"/>
          <w:footerReference w:type="first" r:id="rId77"/>
          <w:type w:val="nextPage"/>
          <w:pgSz w:w="11907" w:h="16839"/>
          <w:pgMar w:top="1418" w:right="1134" w:bottom="1134" w:left="1418" w:header="1418" w:footer="851" w:gutter="0"/>
          <w:pgNumType w:start="9"/>
          <w:cols w:num="1" w:space="425"/>
          <w:titlePg w:val="0"/>
          <w:docGrid w:type="lines" w:linePitch="312" w:charSpace="0"/>
        </w:sectPr>
      </w:pPr>
      <w:r>
        <w:rPr>
          <w:rFonts w:ascii="宋体" w:hAnsi="宋体"/>
          <w:color w:val="000000"/>
        </w:rPr>
        <w:t>为每个功能提供实例</w:t>
      </w:r>
      <w:r>
        <w:rPr>
          <w:rFonts w:ascii="宋体" w:hAnsi="宋体" w:hint="eastAsia"/>
          <w:color w:val="000000"/>
        </w:rPr>
        <w:t>；</w:t>
      </w:r>
    </w:p>
    <w:p>
      <w:pPr>
        <w:numPr>
          <w:ilvl w:val="0"/>
          <w:numId w:val="21"/>
        </w:numPr>
        <w:spacing w:line="400" w:lineRule="exact"/>
        <w:rPr>
          <w:rFonts w:ascii="宋体" w:hAnsi="宋体"/>
          <w:color w:val="000000"/>
        </w:rPr>
      </w:pPr>
      <w:r>
        <w:rPr>
          <w:rFonts w:ascii="宋体" w:hAnsi="宋体"/>
          <w:color w:val="000000"/>
        </w:rPr>
        <w:t>控制安装软件的主机设置</w:t>
      </w:r>
      <w:r>
        <w:rPr>
          <w:rFonts w:ascii="宋体" w:hAnsi="宋体" w:hint="eastAsia"/>
          <w:color w:val="000000"/>
        </w:rPr>
        <w:t>；</w:t>
      </w:r>
    </w:p>
    <w:p>
      <w:pPr>
        <w:numPr>
          <w:ilvl w:val="0"/>
          <w:numId w:val="21"/>
        </w:numPr>
        <w:spacing w:line="400" w:lineRule="exact"/>
        <w:rPr>
          <w:rFonts w:ascii="宋体" w:hAnsi="宋体"/>
          <w:color w:val="000000"/>
        </w:rPr>
      </w:pPr>
      <w:r>
        <w:rPr>
          <w:rFonts w:ascii="宋体" w:hAnsi="宋体"/>
          <w:color w:val="000000"/>
        </w:rPr>
        <w:t>网络位置选择</w:t>
      </w:r>
      <w:r>
        <w:rPr>
          <w:rFonts w:ascii="宋体" w:hAnsi="宋体" w:hint="eastAsia"/>
          <w:color w:val="000000"/>
        </w:rPr>
        <w:t>；</w:t>
      </w:r>
    </w:p>
    <w:p>
      <w:pPr>
        <w:numPr>
          <w:ilvl w:val="0"/>
          <w:numId w:val="21"/>
        </w:numPr>
        <w:spacing w:line="400" w:lineRule="exact"/>
        <w:rPr>
          <w:rFonts w:ascii="宋体" w:hAnsi="宋体"/>
          <w:color w:val="000000"/>
        </w:rPr>
      </w:pPr>
      <w:r>
        <w:rPr>
          <w:rFonts w:ascii="宋体" w:hAnsi="宋体"/>
          <w:color w:val="000000"/>
        </w:rPr>
        <w:t>通过逻辑或物理的区文件数据隔离或为不同的客户端类型运行两个域名服务器软件实例，以限制信息泄漏</w:t>
      </w:r>
      <w:r>
        <w:rPr>
          <w:rFonts w:ascii="宋体" w:hAnsi="宋体" w:hint="eastAsia"/>
          <w:color w:val="000000"/>
        </w:rPr>
        <w:t>。</w:t>
      </w:r>
    </w:p>
    <w:p>
      <w:pPr>
        <w:pStyle w:val="11"/>
        <w:numPr>
          <w:ilvl w:val="0"/>
          <w:numId w:val="22"/>
        </w:numPr>
        <w:spacing w:line="400" w:lineRule="exact"/>
        <w:ind w:firstLineChars="0"/>
        <w:rPr>
          <w:rFonts w:ascii="Times New Roman" w:eastAsia="黑体" w:hAnsi="Times New Roman"/>
          <w:vanish/>
          <w:color w:val="000000"/>
          <w:kern w:val="0"/>
          <w:szCs w:val="20"/>
        </w:rPr>
      </w:pPr>
    </w:p>
    <w:p>
      <w:pPr>
        <w:pStyle w:val="11"/>
        <w:numPr>
          <w:ilvl w:val="1"/>
          <w:numId w:val="22"/>
        </w:numPr>
        <w:spacing w:line="400" w:lineRule="exact"/>
        <w:ind w:firstLineChars="0"/>
        <w:rPr>
          <w:rFonts w:ascii="Times New Roman" w:eastAsia="黑体" w:hAnsi="Times New Roman"/>
          <w:vanish/>
          <w:color w:val="000000"/>
          <w:kern w:val="0"/>
          <w:szCs w:val="20"/>
        </w:rPr>
      </w:pPr>
    </w:p>
    <w:p>
      <w:pPr>
        <w:pStyle w:val="a11"/>
        <w:numPr>
          <w:ilvl w:val="3"/>
          <w:numId w:val="23"/>
        </w:numPr>
        <w:spacing w:before="156" w:beforeLines="50" w:after="156" w:afterLines="50"/>
        <w:rPr>
          <w:color w:val="000000"/>
        </w:rPr>
      </w:pPr>
      <w:r>
        <w:rPr>
          <w:color w:val="000000"/>
        </w:rPr>
        <w:t>运行最新版本的域名服务软件</w:t>
      </w:r>
    </w:p>
    <w:p>
      <w:pPr>
        <w:spacing w:line="400" w:lineRule="exact"/>
        <w:ind w:firstLine="420" w:firstLineChars="200"/>
        <w:rPr>
          <w:color w:val="000000"/>
        </w:rPr>
      </w:pPr>
      <w:r>
        <w:rPr>
          <w:color w:val="000000"/>
        </w:rPr>
        <w:t>当安装最新版域名服务器软件后，管理员应对配置参数进行必要的变更，以获得新安全特征。</w:t>
      </w:r>
    </w:p>
    <w:p>
      <w:pPr>
        <w:spacing w:line="400" w:lineRule="exact"/>
        <w:ind w:firstLine="420" w:firstLineChars="200"/>
        <w:rPr>
          <w:color w:val="000000"/>
        </w:rPr>
      </w:pPr>
      <w:r>
        <w:rPr>
          <w:color w:val="000000"/>
        </w:rPr>
        <w:t>不管运行新版本或较早版本，管理员均应关注组织运行环境中版本的漏洞、检测、安全修复和补丁。</w:t>
      </w:r>
    </w:p>
    <w:p>
      <w:pPr>
        <w:pStyle w:val="a11"/>
        <w:numPr>
          <w:ilvl w:val="3"/>
          <w:numId w:val="23"/>
        </w:numPr>
        <w:spacing w:before="156" w:beforeLines="50" w:after="156" w:afterLines="50"/>
        <w:rPr>
          <w:color w:val="000000"/>
        </w:rPr>
      </w:pPr>
      <w:r>
        <w:rPr>
          <w:color w:val="000000"/>
        </w:rPr>
        <w:t>关闭版本查询</w:t>
      </w:r>
    </w:p>
    <w:p>
      <w:pPr>
        <w:spacing w:line="400" w:lineRule="exact"/>
        <w:ind w:firstLine="420" w:firstLineChars="200"/>
        <w:rPr>
          <w:color w:val="000000"/>
        </w:rPr>
      </w:pPr>
      <w:r>
        <w:rPr>
          <w:color w:val="000000"/>
        </w:rPr>
        <w:t>域名服务器应配置拒绝版本信息查询功能，以防止系统中运行域名服务器软件版本信息的发布。</w:t>
      </w:r>
    </w:p>
    <w:p>
      <w:pPr>
        <w:pStyle w:val="a11"/>
        <w:numPr>
          <w:ilvl w:val="3"/>
          <w:numId w:val="23"/>
        </w:numPr>
        <w:spacing w:before="156" w:beforeLines="50" w:after="156" w:afterLines="50"/>
        <w:rPr>
          <w:color w:val="000000"/>
        </w:rPr>
      </w:pPr>
      <w:r>
        <w:rPr>
          <w:color w:val="000000"/>
        </w:rPr>
        <w:t>用受限特权运行域名服务软件</w:t>
      </w:r>
    </w:p>
    <w:p>
      <w:pPr>
        <w:spacing w:line="400" w:lineRule="exact"/>
        <w:ind w:firstLine="420" w:firstLineChars="200"/>
        <w:rPr>
          <w:color w:val="000000"/>
        </w:rPr>
      </w:pPr>
      <w:r>
        <w:rPr>
          <w:color w:val="000000"/>
        </w:rPr>
        <w:t>应以非特权用户的身份运行服务器软件，限制因文件损坏带来破坏性结果的目录访问。</w:t>
      </w:r>
    </w:p>
    <w:p>
      <w:pPr>
        <w:pStyle w:val="a11"/>
        <w:numPr>
          <w:ilvl w:val="3"/>
          <w:numId w:val="23"/>
        </w:numPr>
        <w:spacing w:before="156" w:beforeLines="50" w:after="156" w:afterLines="50"/>
        <w:rPr>
          <w:color w:val="000000"/>
        </w:rPr>
      </w:pPr>
      <w:r>
        <w:rPr>
          <w:color w:val="000000"/>
        </w:rPr>
        <w:t>隔离域名服务软件</w:t>
      </w:r>
    </w:p>
    <w:p>
      <w:pPr>
        <w:spacing w:line="400" w:lineRule="exact"/>
        <w:ind w:firstLine="420" w:firstLineChars="200"/>
        <w:rPr>
          <w:rFonts w:ascii="宋体" w:hAnsi="宋体"/>
          <w:color w:val="000000"/>
        </w:rPr>
      </w:pPr>
      <w:r>
        <w:rPr>
          <w:rFonts w:ascii="宋体" w:hAnsi="宋体"/>
          <w:color w:val="000000"/>
        </w:rPr>
        <w:t>应保证DNS软件运行的平台中不包含除了必要的操作系统和网络支持软件以外的程序。因资源限制很难实现时，应限制在同一平台上运行服务的数目。</w:t>
      </w:r>
    </w:p>
    <w:p>
      <w:pPr>
        <w:pStyle w:val="a11"/>
        <w:numPr>
          <w:ilvl w:val="3"/>
          <w:numId w:val="23"/>
        </w:numPr>
        <w:spacing w:before="156" w:beforeLines="50" w:after="156" w:afterLines="50"/>
        <w:rPr>
          <w:color w:val="000000"/>
        </w:rPr>
      </w:pPr>
      <w:r>
        <w:rPr>
          <w:color w:val="000000"/>
        </w:rPr>
        <w:t>区分域名服务器功能</w:t>
      </w:r>
    </w:p>
    <w:p>
      <w:pPr>
        <w:spacing w:line="400" w:lineRule="exact"/>
        <w:ind w:firstLine="420" w:firstLineChars="200"/>
        <w:rPr>
          <w:rFonts w:ascii="宋体" w:hAnsi="宋体"/>
          <w:color w:val="000000"/>
        </w:rPr>
      </w:pPr>
      <w:r>
        <w:rPr>
          <w:rFonts w:ascii="宋体" w:hAnsi="宋体"/>
          <w:color w:val="000000"/>
        </w:rPr>
        <w:t>一个域名服务器实例可被配置为一个权威域名服务器</w:t>
      </w:r>
      <w:r>
        <w:rPr>
          <w:rFonts w:ascii="宋体" w:hAnsi="宋体" w:hint="eastAsia"/>
          <w:color w:val="000000"/>
        </w:rPr>
        <w:t>、</w:t>
      </w:r>
      <w:r>
        <w:rPr>
          <w:rFonts w:ascii="宋体" w:hAnsi="宋体"/>
          <w:color w:val="000000"/>
        </w:rPr>
        <w:t>一个解析域名服务器或同时配置。解析域名服务器应运行与权威域名服务器不同的安全策略，域名服务器实例应配置为权威域名服务器或解析域名服务器。</w:t>
      </w:r>
    </w:p>
    <w:p>
      <w:pPr>
        <w:spacing w:line="400" w:lineRule="exact"/>
        <w:ind w:firstLine="420" w:firstLineChars="200"/>
        <w:rPr>
          <w:rFonts w:ascii="宋体" w:hAnsi="宋体"/>
          <w:color w:val="000000"/>
        </w:rPr>
      </w:pPr>
      <w:r>
        <w:rPr>
          <w:rFonts w:ascii="宋体" w:hAnsi="宋体"/>
          <w:color w:val="000000"/>
        </w:rPr>
        <w:t>权威域名服务器仅提供具有权威信息的区域名解析。安全策略应关闭权威域名服务器的递归功能，以防止权威域名服务器发送查询到其他域名服务器，从而使用响应信息构建缓冲。禁用此项功能，可消除对权威服务缓冲中毒威胁，同时防止反射式DDoS攻击。</w:t>
      </w:r>
    </w:p>
    <w:p>
      <w:pPr>
        <w:spacing w:line="400" w:lineRule="exact"/>
        <w:ind w:firstLine="420" w:firstLineChars="200"/>
        <w:rPr>
          <w:color w:val="000000"/>
        </w:rPr>
      </w:pPr>
      <w:r>
        <w:rPr>
          <w:rFonts w:ascii="宋体" w:hAnsi="宋体"/>
          <w:color w:val="000000"/>
        </w:rPr>
        <w:t>解析域名服务器仅为内部客户端提供解析服务，解析域名服务器的保护措施应通过域名服务器软件配置文件中的各种配置选项，以限制其与指定客户端交互类型来确保。</w:t>
      </w:r>
    </w:p>
    <w:p>
      <w:pPr>
        <w:pStyle w:val="a11"/>
        <w:numPr>
          <w:ilvl w:val="3"/>
          <w:numId w:val="23"/>
        </w:numPr>
        <w:spacing w:before="156" w:beforeLines="50" w:after="156" w:afterLines="50"/>
        <w:rPr>
          <w:color w:val="000000"/>
        </w:rPr>
      </w:pPr>
      <w:r>
        <w:rPr>
          <w:color w:val="000000"/>
        </w:rPr>
        <w:t>从非指派主机中删除域名服务软件</w:t>
      </w:r>
    </w:p>
    <w:p>
      <w:pPr>
        <w:spacing w:line="400" w:lineRule="exact"/>
        <w:ind w:firstLine="420" w:firstLineChars="200"/>
        <w:rPr>
          <w:rFonts w:ascii="宋体" w:hAnsi="宋体"/>
          <w:color w:val="000000"/>
        </w:rPr>
      </w:pPr>
      <w:r>
        <w:rPr>
          <w:rFonts w:ascii="宋体" w:hAnsi="宋体"/>
          <w:color w:val="000000"/>
        </w:rPr>
        <w:t>DNS软件不应运行于未指派为域名服务器的主机中，应在未作为域名服务器的主机中删除DNS软件。</w:t>
      </w:r>
    </w:p>
    <w:p>
      <w:pPr>
        <w:pStyle w:val="a11"/>
        <w:numPr>
          <w:ilvl w:val="3"/>
          <w:numId w:val="23"/>
        </w:numPr>
        <w:spacing w:before="156" w:beforeLines="50" w:after="156" w:afterLines="50"/>
        <w:rPr>
          <w:color w:val="000000"/>
        </w:rPr>
      </w:pPr>
      <w:r>
        <w:rPr>
          <w:color w:val="000000"/>
        </w:rPr>
        <w:t>权威域名服务器网络和地域分散</w:t>
      </w:r>
    </w:p>
    <w:p>
      <w:pPr>
        <w:spacing w:line="400" w:lineRule="exact"/>
        <w:ind w:firstLine="420" w:firstLineChars="200"/>
        <w:rPr>
          <w:rFonts w:ascii="宋体" w:hAnsi="宋体"/>
          <w:color w:val="000000"/>
        </w:rPr>
      </w:pPr>
      <w:r>
        <w:rPr>
          <w:rFonts w:ascii="宋体" w:hAnsi="宋体"/>
          <w:color w:val="000000"/>
        </w:rPr>
        <w:t>企业权威域名服务器应网络和地理位置分散，基于网络的分散应确保全部域名服务器不在单一路由或交换设备、单一子网或单一租用线路下。地理分散应确保全部域名服务器不在同一地理位置，至少应在外部部署一台备份服务器。</w:t>
      </w:r>
    </w:p>
    <w:p>
      <w:pPr>
        <w:spacing w:line="400" w:lineRule="exact"/>
        <w:ind w:firstLine="420" w:firstLineChars="200"/>
        <w:rPr>
          <w:color w:val="000000"/>
        </w:rPr>
        <w:sectPr>
          <w:headerReference w:type="even" r:id="rId78"/>
          <w:headerReference w:type="default" r:id="rId79"/>
          <w:footerReference w:type="even" r:id="rId80"/>
          <w:footerReference w:type="default" r:id="rId81"/>
          <w:headerReference w:type="first" r:id="rId82"/>
          <w:footerReference w:type="first" r:id="rId83"/>
          <w:type w:val="nextPage"/>
          <w:pgSz w:w="11907" w:h="16839"/>
          <w:pgMar w:top="1418" w:right="1134" w:bottom="1134" w:left="1418" w:header="1418" w:footer="851" w:gutter="0"/>
          <w:pgNumType w:start="10"/>
          <w:cols w:num="1" w:space="425"/>
          <w:titlePg w:val="0"/>
          <w:docGrid w:type="lines" w:linePitch="312" w:charSpace="0"/>
        </w:sectPr>
      </w:pPr>
    </w:p>
    <w:p>
      <w:pPr>
        <w:spacing w:line="400" w:lineRule="exact"/>
        <w:ind w:firstLine="420" w:firstLineChars="200"/>
        <w:rPr>
          <w:color w:val="000000"/>
        </w:rPr>
      </w:pPr>
      <w:r>
        <w:rPr>
          <w:rFonts w:ascii="宋体" w:hAnsi="宋体"/>
          <w:color w:val="000000"/>
        </w:rPr>
        <w:t>使用一台隐藏的主机时，隐藏的主权威服务器应仅接受来自辅助区域名服务器设置的区传送要求，并且拒绝其他的DNS查询。该隐藏主机的IP地址不应出现在区数据库设置的域名服务器中。</w:t>
      </w:r>
    </w:p>
    <w:p>
      <w:pPr>
        <w:pStyle w:val="a11"/>
        <w:numPr>
          <w:ilvl w:val="3"/>
          <w:numId w:val="23"/>
        </w:numPr>
        <w:spacing w:before="156" w:beforeLines="50" w:after="156" w:afterLines="50"/>
        <w:rPr>
          <w:color w:val="000000"/>
        </w:rPr>
      </w:pPr>
      <w:r>
        <w:rPr>
          <w:color w:val="000000"/>
        </w:rPr>
        <w:t>通过区文件的分割限制信息发布</w:t>
      </w:r>
    </w:p>
    <w:p>
      <w:pPr>
        <w:spacing w:line="400" w:lineRule="exact"/>
        <w:ind w:firstLine="420" w:firstLineChars="200"/>
        <w:rPr>
          <w:rFonts w:ascii="宋体" w:hAnsi="宋体"/>
          <w:color w:val="000000"/>
        </w:rPr>
      </w:pPr>
      <w:r>
        <w:rPr>
          <w:rFonts w:ascii="宋体" w:hAnsi="宋体"/>
          <w:color w:val="000000"/>
        </w:rPr>
        <w:t>应用DNS分割，宜存在两个最小的物理文件或视图。其中一个在防火墙内部专门为主机提供域名解析，它同时可包含防火墙外部主机的RRsets。另一个文件为防火墙外部或DMZ区的主机提供域名解析，不包括防火墙内部主机。</w:t>
      </w:r>
    </w:p>
    <w:p>
      <w:pPr>
        <w:pStyle w:val="a11"/>
        <w:numPr>
          <w:ilvl w:val="3"/>
          <w:numId w:val="23"/>
        </w:numPr>
        <w:spacing w:before="156" w:beforeLines="50" w:after="156" w:afterLines="50"/>
        <w:rPr>
          <w:color w:val="000000"/>
        </w:rPr>
      </w:pPr>
      <w:r>
        <w:rPr>
          <w:color w:val="000000"/>
        </w:rPr>
        <w:t>通过不同客户端的独立域名服务器限制信息发布</w:t>
      </w:r>
    </w:p>
    <w:p>
      <w:pPr>
        <w:spacing w:line="400" w:lineRule="exact"/>
        <w:ind w:firstLine="420" w:firstLineChars="200"/>
        <w:rPr>
          <w:rFonts w:ascii="宋体" w:hAnsi="宋体"/>
          <w:color w:val="000000"/>
        </w:rPr>
      </w:pPr>
      <w:r>
        <w:rPr>
          <w:rFonts w:ascii="宋体" w:hAnsi="宋体"/>
          <w:color w:val="000000"/>
        </w:rPr>
        <w:t>针对不同类型的客户端，组织应使用两种不同权威域名服务器设置，一种设置称为外部域名服务器，放置于DMZ区域，对外部客户端可用，服务于公共服务主机相关RRs。另一</w:t>
      </w:r>
      <w:r>
        <w:rPr>
          <w:rFonts w:ascii="宋体" w:hAnsi="宋体" w:hint="eastAsia"/>
          <w:color w:val="000000"/>
        </w:rPr>
        <w:t>种</w:t>
      </w:r>
      <w:r>
        <w:rPr>
          <w:rFonts w:ascii="宋体" w:hAnsi="宋体"/>
          <w:color w:val="000000"/>
        </w:rPr>
        <w:t>设置称为内部域名服务器，放置于防火墙以内，对内部客户端可用。两种架构选择的目的是保护内部主机IP地址不被外部知道。</w:t>
      </w:r>
    </w:p>
    <w:p>
      <w:pPr>
        <w:pStyle w:val="a10"/>
        <w:spacing w:before="156" w:beforeLines="50" w:after="156" w:afterLines="50"/>
        <w:rPr>
          <w:color w:val="000000"/>
        </w:rPr>
      </w:pPr>
      <w:bookmarkStart w:id="587" w:name="_Toc381100887"/>
      <w:r>
        <w:rPr>
          <w:color w:val="000000"/>
        </w:rPr>
        <w:t>区文件内容管理</w:t>
      </w:r>
      <w:bookmarkEnd w:id="587"/>
    </w:p>
    <w:p>
      <w:pPr>
        <w:spacing w:line="400" w:lineRule="exact"/>
        <w:ind w:firstLine="420" w:firstLineChars="200"/>
        <w:rPr>
          <w:rFonts w:ascii="宋体" w:hAnsi="宋体"/>
          <w:color w:val="000000"/>
        </w:rPr>
      </w:pPr>
      <w:r>
        <w:rPr>
          <w:rFonts w:ascii="宋体" w:hAnsi="宋体"/>
          <w:color w:val="000000"/>
        </w:rPr>
        <w:t>DNS区文件内容管理的唯一的保护方法是使用区文件集成检测器。集成检测器对区文件的检测依赖于检测器中数据库的约束。部署过程中应以正确的逻辑创建约束，这些逻辑</w:t>
      </w:r>
      <w:r>
        <w:rPr>
          <w:rFonts w:ascii="宋体" w:hAnsi="宋体" w:hint="eastAsia"/>
          <w:color w:val="000000"/>
        </w:rPr>
        <w:t>描述</w:t>
      </w:r>
      <w:r>
        <w:rPr>
          <w:rFonts w:ascii="宋体" w:hAnsi="宋体"/>
          <w:color w:val="000000"/>
        </w:rPr>
        <w:t>的实际值不同于RRTypes格式中关键字段的参数值。</w:t>
      </w:r>
    </w:p>
    <w:p>
      <w:pPr>
        <w:pStyle w:val="a9"/>
        <w:spacing w:before="312" w:beforeLines="100" w:after="312" w:afterLines="100"/>
        <w:rPr>
          <w:rFonts w:hAnsi="黑体"/>
          <w:color w:val="000000"/>
        </w:rPr>
      </w:pPr>
      <w:bookmarkStart w:id="588" w:name="_Toc381100888"/>
      <w:r>
        <w:rPr>
          <w:rFonts w:hAnsi="黑体"/>
          <w:color w:val="000000"/>
        </w:rPr>
        <w:t>DNS事务安全指南</w:t>
      </w:r>
      <w:bookmarkEnd w:id="588"/>
    </w:p>
    <w:p>
      <w:pPr>
        <w:pStyle w:val="a10"/>
        <w:spacing w:before="156" w:beforeLines="50" w:after="156" w:afterLines="50"/>
        <w:rPr>
          <w:color w:val="000000"/>
        </w:rPr>
      </w:pPr>
      <w:bookmarkStart w:id="589" w:name="_Toc381100889"/>
      <w:r>
        <w:rPr>
          <w:color w:val="000000"/>
        </w:rPr>
        <w:t>概述</w:t>
      </w:r>
      <w:bookmarkEnd w:id="589"/>
    </w:p>
    <w:p>
      <w:pPr>
        <w:spacing w:line="400" w:lineRule="exact"/>
        <w:ind w:firstLine="420" w:firstLineChars="200"/>
        <w:rPr>
          <w:rFonts w:ascii="宋体" w:hAnsi="宋体"/>
          <w:color w:val="000000"/>
        </w:rPr>
      </w:pPr>
      <w:r>
        <w:rPr>
          <w:rFonts w:ascii="宋体" w:hAnsi="宋体"/>
          <w:color w:val="000000"/>
        </w:rPr>
        <w:t>本</w:t>
      </w:r>
      <w:r>
        <w:rPr>
          <w:rFonts w:ascii="宋体" w:hAnsi="宋体" w:hint="eastAsia"/>
          <w:color w:val="000000"/>
        </w:rPr>
        <w:t>章</w:t>
      </w:r>
      <w:r>
        <w:rPr>
          <w:rFonts w:ascii="宋体" w:hAnsi="宋体"/>
          <w:color w:val="000000"/>
        </w:rPr>
        <w:t>介绍应用各种类型DNS事务的威胁、安全目标和保护方法的步骤，同时包含应用方法的最佳实践。内容如下：</w:t>
      </w:r>
    </w:p>
    <w:p>
      <w:pPr>
        <w:numPr>
          <w:ilvl w:val="0"/>
          <w:numId w:val="24"/>
        </w:numPr>
        <w:spacing w:line="400" w:lineRule="exact"/>
        <w:rPr>
          <w:rFonts w:ascii="宋体" w:hAnsi="宋体"/>
          <w:color w:val="000000"/>
        </w:rPr>
      </w:pPr>
      <w:r>
        <w:rPr>
          <w:rFonts w:ascii="宋体" w:hAnsi="宋体"/>
          <w:color w:val="000000"/>
        </w:rPr>
        <w:t>基于IP地址限制事务实体</w:t>
      </w:r>
      <w:r>
        <w:rPr>
          <w:rFonts w:ascii="宋体" w:hAnsi="宋体" w:hint="eastAsia"/>
          <w:color w:val="000000"/>
        </w:rPr>
        <w:t>；</w:t>
      </w:r>
    </w:p>
    <w:p>
      <w:pPr>
        <w:numPr>
          <w:ilvl w:val="0"/>
          <w:numId w:val="24"/>
        </w:numPr>
        <w:spacing w:line="400" w:lineRule="exact"/>
        <w:rPr>
          <w:rFonts w:ascii="宋体" w:hAnsi="宋体"/>
          <w:color w:val="000000"/>
        </w:rPr>
      </w:pPr>
      <w:r>
        <w:rPr>
          <w:rFonts w:ascii="宋体" w:hAnsi="宋体"/>
          <w:color w:val="000000"/>
        </w:rPr>
        <w:t>通过基于散列的消息认证码保护事务</w:t>
      </w:r>
      <w:r>
        <w:rPr>
          <w:rFonts w:ascii="宋体" w:hAnsi="宋体" w:hint="eastAsia"/>
          <w:color w:val="000000"/>
        </w:rPr>
        <w:t>；</w:t>
      </w:r>
    </w:p>
    <w:p>
      <w:pPr>
        <w:numPr>
          <w:ilvl w:val="0"/>
          <w:numId w:val="24"/>
        </w:numPr>
        <w:spacing w:line="400" w:lineRule="exact"/>
        <w:rPr>
          <w:color w:val="000000"/>
        </w:rPr>
      </w:pPr>
      <w:r>
        <w:rPr>
          <w:rFonts w:ascii="宋体" w:hAnsi="宋体"/>
          <w:color w:val="000000"/>
        </w:rPr>
        <w:t>通过非对称数字签名保护事务</w:t>
      </w:r>
      <w:r>
        <w:rPr>
          <w:rFonts w:ascii="宋体" w:hAnsi="宋体" w:hint="eastAsia"/>
          <w:color w:val="000000"/>
        </w:rPr>
        <w:t>（即DNSSEC详述，见第9章）。</w:t>
      </w:r>
    </w:p>
    <w:p>
      <w:pPr>
        <w:pStyle w:val="a10"/>
        <w:spacing w:before="156" w:beforeLines="50" w:after="156" w:afterLines="50"/>
        <w:rPr>
          <w:rFonts w:ascii="黑体" w:hAnsi="黑体"/>
          <w:color w:val="000000"/>
        </w:rPr>
      </w:pPr>
      <w:bookmarkStart w:id="590" w:name="_Toc381100890"/>
      <w:r>
        <w:rPr>
          <w:rFonts w:ascii="黑体" w:hAnsi="黑体"/>
          <w:color w:val="000000"/>
        </w:rPr>
        <w:t>基于IP地址限制事务实体</w:t>
      </w:r>
      <w:bookmarkEnd w:id="590"/>
    </w:p>
    <w:p>
      <w:pPr>
        <w:spacing w:line="400" w:lineRule="exact"/>
        <w:ind w:firstLine="420" w:firstLineChars="200"/>
        <w:rPr>
          <w:rFonts w:ascii="宋体" w:hAnsi="宋体"/>
          <w:color w:val="000000"/>
        </w:rPr>
      </w:pPr>
      <w:r>
        <w:rPr>
          <w:rFonts w:ascii="宋体" w:hAnsi="宋体"/>
          <w:color w:val="000000"/>
        </w:rPr>
        <w:t>部分DNS域名服务器应用程序，如BIND</w:t>
      </w:r>
      <w:r>
        <w:rPr>
          <w:rFonts w:ascii="宋体" w:hAnsi="宋体" w:hint="eastAsia"/>
          <w:color w:val="000000"/>
        </w:rPr>
        <w:t xml:space="preserve"> </w:t>
      </w:r>
      <w:r>
        <w:rPr>
          <w:rFonts w:ascii="宋体" w:hAnsi="宋体"/>
          <w:color w:val="000000"/>
        </w:rPr>
        <w:t>9.X提供访问控制声明，通过该声明可以进入指定DNS事务处理的主机</w:t>
      </w:r>
      <w:r>
        <w:rPr>
          <w:rFonts w:ascii="宋体" w:hAnsi="宋体" w:hint="eastAsia"/>
          <w:color w:val="000000"/>
        </w:rPr>
        <w:t>，</w:t>
      </w:r>
      <w:r>
        <w:rPr>
          <w:rFonts w:ascii="宋体" w:hAnsi="宋体"/>
          <w:color w:val="000000"/>
        </w:rPr>
        <w:t>通过声明中的IP地址或IP子网掩码（称为IP前缀）</w:t>
      </w:r>
      <w:r>
        <w:rPr>
          <w:rFonts w:ascii="宋体" w:hAnsi="宋体" w:hint="eastAsia"/>
          <w:color w:val="000000"/>
        </w:rPr>
        <w:t>可以</w:t>
      </w:r>
      <w:r>
        <w:rPr>
          <w:rFonts w:ascii="宋体" w:hAnsi="宋体"/>
          <w:color w:val="000000"/>
        </w:rPr>
        <w:t>识别主机。</w:t>
      </w:r>
      <w:r>
        <w:rPr>
          <w:rFonts w:ascii="宋体" w:hAnsi="宋体"/>
          <w:color w:val="000000"/>
        </w:rPr>
        <w:tab/>
      </w:r>
    </w:p>
    <w:p>
      <w:pPr>
        <w:spacing w:line="400" w:lineRule="exact"/>
        <w:ind w:firstLine="420" w:firstLineChars="200"/>
        <w:rPr>
          <w:color w:val="000000"/>
        </w:rPr>
      </w:pPr>
      <w:r>
        <w:rPr>
          <w:rFonts w:ascii="宋体" w:hAnsi="宋体"/>
          <w:color w:val="000000"/>
        </w:rPr>
        <w:t>包含IP地址和/或IP前缀的列表称为地址匹配列表。地址匹配列表被用作BIND控制文件中各种访问控制声明的控制语句。针对各种DNS事务有独立的访问控制声明，访问控制声明的语法如表1所示：</w:t>
      </w:r>
    </w:p>
    <w:p>
      <w:pPr>
        <w:ind w:firstLine="359" w:firstLineChars="171"/>
        <w:jc w:val="center"/>
        <w:rPr>
          <w:rFonts w:ascii="黑体" w:eastAsia="黑体" w:hAnsi="黑体"/>
          <w:color w:val="000000"/>
        </w:rPr>
      </w:pPr>
      <w:r>
        <w:rPr>
          <w:rFonts w:ascii="黑体" w:eastAsia="黑体" w:hAnsi="黑体"/>
          <w:color w:val="000000"/>
        </w:rPr>
        <w:t>表1 DNS事务访问控制语法</w:t>
      </w:r>
    </w:p>
    <w:tbl>
      <w:tblPr>
        <w:tblStyle w:val="TableNormal"/>
        <w:tblW w:w="6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280"/>
        <w:gridCol w:w="3363"/>
      </w:tblGrid>
      <w:tr>
        <w:tblPrEx>
          <w:tblW w:w="6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存取控制语句语法</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DNS事务</w:t>
            </w:r>
          </w:p>
        </w:tc>
      </w:tr>
      <w:tr>
        <w:tblPrEx>
          <w:tblW w:w="6643" w:type="dxa"/>
          <w:jc w:val="center"/>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允许查询｛address_match_list｝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DNS查询/响应</w:t>
            </w:r>
          </w:p>
        </w:tc>
      </w:tr>
      <w:tr>
        <w:tblPrEx>
          <w:tblW w:w="6643" w:type="dxa"/>
          <w:jc w:val="center"/>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允许递归｛address_match_list｝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递归查询</w:t>
            </w:r>
          </w:p>
        </w:tc>
      </w:tr>
      <w:tr>
        <w:tblPrEx>
          <w:tblW w:w="6643" w:type="dxa"/>
          <w:jc w:val="center"/>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允许传送｛address_match_list｝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区传送</w:t>
            </w:r>
          </w:p>
        </w:tc>
      </w:tr>
    </w:tbl>
    <w:p>
      <w:pPr>
        <w:sectPr>
          <w:headerReference w:type="even" r:id="rId84"/>
          <w:headerReference w:type="default" r:id="rId85"/>
          <w:footerReference w:type="even" r:id="rId86"/>
          <w:footerReference w:type="default" r:id="rId87"/>
          <w:headerReference w:type="first" r:id="rId88"/>
          <w:footerReference w:type="first" r:id="rId89"/>
          <w:type w:val="nextPage"/>
          <w:pgSz w:w="11907" w:h="16839"/>
          <w:pgMar w:top="1418" w:right="1134" w:bottom="1134" w:left="1418" w:header="1418" w:footer="851" w:gutter="0"/>
          <w:pgNumType w:start="11"/>
          <w:cols w:num="1" w:space="425"/>
          <w:titlePg w:val="0"/>
          <w:docGrid w:type="lines" w:linePitch="312" w:charSpace="0"/>
        </w:sectPr>
      </w:pPr>
    </w:p>
    <w:tbl>
      <w:tblPr>
        <w:tblStyle w:val="TableNormal"/>
        <w:tblW w:w="6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280"/>
        <w:gridCol w:w="3363"/>
      </w:tblGrid>
      <w:tr>
        <w:tblPrEx>
          <w:tblW w:w="6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允许更新｛address_match_list｝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动态更新</w:t>
            </w:r>
          </w:p>
        </w:tc>
      </w:tr>
      <w:tr>
        <w:tblPrEx>
          <w:tblW w:w="6643" w:type="dxa"/>
          <w:jc w:val="center"/>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允许更新发送｛address_match_list｝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动态更新</w:t>
            </w:r>
          </w:p>
        </w:tc>
      </w:tr>
      <w:tr>
        <w:tblPrEx>
          <w:tblW w:w="6643" w:type="dxa"/>
          <w:jc w:val="center"/>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允许通知｛address_match_list｝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DNS通知</w:t>
            </w:r>
          </w:p>
        </w:tc>
      </w:tr>
      <w:tr>
        <w:tblPrEx>
          <w:tblW w:w="6643" w:type="dxa"/>
          <w:jc w:val="center"/>
          <w:tblLayout w:type="fixed"/>
          <w:tblCellMar>
            <w:top w:w="0" w:type="dxa"/>
            <w:left w:w="108" w:type="dxa"/>
            <w:bottom w:w="0" w:type="dxa"/>
            <w:right w:w="108" w:type="dxa"/>
          </w:tblCellMar>
        </w:tblPrEx>
        <w:trPr>
          <w:jc w:val="center"/>
        </w:trPr>
        <w:tc>
          <w:tcPr>
            <w:tcW w:w="3280"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黑洞｛address_match_list｝</w:t>
            </w:r>
          </w:p>
        </w:tc>
        <w:tc>
          <w:tcPr>
            <w:tcW w:w="3363" w:type="dxa"/>
            <w:vAlign w:val="center"/>
          </w:tcPr>
          <w:p>
            <w:pPr>
              <w:pStyle w:val="a54"/>
              <w:numPr>
                <w:ilvl w:val="1"/>
                <w:numId w:val="0"/>
              </w:numPr>
              <w:spacing w:before="120"/>
              <w:jc w:val="center"/>
              <w:rPr>
                <w:rFonts w:hAnsi="宋体"/>
                <w:color w:val="000000"/>
                <w:sz w:val="18"/>
                <w:szCs w:val="18"/>
              </w:rPr>
            </w:pPr>
            <w:r>
              <w:rPr>
                <w:rFonts w:hAnsi="宋体"/>
                <w:color w:val="000000"/>
                <w:sz w:val="18"/>
                <w:szCs w:val="18"/>
              </w:rPr>
              <w:t>黑名单中的主机</w:t>
            </w:r>
          </w:p>
        </w:tc>
      </w:tr>
    </w:tbl>
    <w:p>
      <w:pPr>
        <w:pStyle w:val="a11"/>
        <w:numPr>
          <w:ilvl w:val="3"/>
          <w:numId w:val="25"/>
        </w:numPr>
        <w:spacing w:before="156" w:beforeLines="50" w:after="156" w:afterLines="50"/>
        <w:rPr>
          <w:rFonts w:ascii="黑体" w:hAnsi="黑体"/>
          <w:color w:val="000000"/>
        </w:rPr>
      </w:pPr>
      <w:bookmarkStart w:id="591" w:name="_Toc330198621"/>
      <w:bookmarkStart w:id="592" w:name="_Toc330198963"/>
      <w:r>
        <w:rPr>
          <w:rFonts w:ascii="黑体" w:hAnsi="黑体"/>
          <w:color w:val="000000"/>
        </w:rPr>
        <w:t>限制DNS查询/ 响应事务主体</w:t>
      </w:r>
      <w:bookmarkEnd w:id="591"/>
      <w:bookmarkEnd w:id="592"/>
    </w:p>
    <w:p>
      <w:pPr>
        <w:spacing w:line="400" w:lineRule="exact"/>
        <w:ind w:firstLine="420" w:firstLineChars="200"/>
        <w:rPr>
          <w:rFonts w:ascii="宋体" w:hAnsi="宋体"/>
          <w:color w:val="000000"/>
        </w:rPr>
      </w:pPr>
      <w:r>
        <w:rPr>
          <w:rFonts w:ascii="宋体" w:hAnsi="宋体"/>
          <w:color w:val="000000"/>
        </w:rPr>
        <w:t>访问控制列表可用于替代控制声明中的IP地址/IP前缀。</w:t>
      </w:r>
    </w:p>
    <w:p>
      <w:pPr>
        <w:spacing w:line="400" w:lineRule="exact"/>
        <w:ind w:firstLine="420" w:firstLineChars="200"/>
        <w:rPr>
          <w:rFonts w:ascii="宋体" w:hAnsi="宋体"/>
          <w:color w:val="000000"/>
        </w:rPr>
      </w:pPr>
      <w:r>
        <w:rPr>
          <w:rFonts w:ascii="宋体" w:hAnsi="宋体"/>
          <w:color w:val="000000"/>
        </w:rPr>
        <w:t>访问控制声明中地址匹配列表参数可包含的值如下：</w:t>
      </w:r>
    </w:p>
    <w:p>
      <w:pPr>
        <w:numPr>
          <w:ilvl w:val="0"/>
          <w:numId w:val="26"/>
        </w:numPr>
        <w:spacing w:line="400" w:lineRule="exact"/>
        <w:rPr>
          <w:rFonts w:ascii="宋体" w:hAnsi="宋体"/>
          <w:color w:val="000000"/>
        </w:rPr>
      </w:pPr>
      <w:r>
        <w:rPr>
          <w:rFonts w:ascii="宋体" w:hAnsi="宋体"/>
          <w:color w:val="000000"/>
        </w:rPr>
        <w:t>IP地址或IP地址列表</w:t>
      </w:r>
      <w:r>
        <w:rPr>
          <w:rFonts w:ascii="宋体" w:hAnsi="宋体" w:hint="eastAsia"/>
          <w:color w:val="000000"/>
        </w:rPr>
        <w:t>；</w:t>
      </w:r>
    </w:p>
    <w:p>
      <w:pPr>
        <w:numPr>
          <w:ilvl w:val="0"/>
          <w:numId w:val="26"/>
        </w:numPr>
        <w:spacing w:line="400" w:lineRule="exact"/>
        <w:rPr>
          <w:rFonts w:ascii="宋体" w:hAnsi="宋体"/>
          <w:color w:val="000000"/>
        </w:rPr>
      </w:pPr>
      <w:r>
        <w:rPr>
          <w:rFonts w:ascii="宋体" w:hAnsi="宋体"/>
          <w:color w:val="000000"/>
        </w:rPr>
        <w:t>IP前缀或IP前缀列表</w:t>
      </w:r>
      <w:r>
        <w:rPr>
          <w:rFonts w:ascii="宋体" w:hAnsi="宋体" w:hint="eastAsia"/>
          <w:color w:val="000000"/>
        </w:rPr>
        <w:t>；</w:t>
      </w:r>
    </w:p>
    <w:p>
      <w:pPr>
        <w:numPr>
          <w:ilvl w:val="0"/>
          <w:numId w:val="26"/>
        </w:numPr>
        <w:spacing w:line="400" w:lineRule="exact"/>
        <w:rPr>
          <w:rFonts w:ascii="宋体" w:hAnsi="宋体"/>
          <w:color w:val="000000"/>
        </w:rPr>
      </w:pPr>
      <w:r>
        <w:rPr>
          <w:rFonts w:ascii="宋体" w:hAnsi="宋体"/>
          <w:color w:val="000000"/>
        </w:rPr>
        <w:t>访问控制列表（ACLs）</w:t>
      </w:r>
      <w:r>
        <w:rPr>
          <w:rFonts w:ascii="宋体" w:hAnsi="宋体" w:hint="eastAsia"/>
          <w:color w:val="000000"/>
        </w:rPr>
        <w:t>；</w:t>
      </w:r>
    </w:p>
    <w:p>
      <w:pPr>
        <w:numPr>
          <w:ilvl w:val="0"/>
          <w:numId w:val="26"/>
        </w:numPr>
        <w:spacing w:line="400" w:lineRule="exact"/>
        <w:rPr>
          <w:rFonts w:ascii="宋体" w:hAnsi="宋体"/>
          <w:color w:val="000000"/>
        </w:rPr>
      </w:pPr>
      <w:r>
        <w:rPr>
          <w:rFonts w:ascii="宋体" w:hAnsi="宋体"/>
          <w:color w:val="000000"/>
        </w:rPr>
        <w:t>上述三项的组合</w:t>
      </w:r>
      <w:r>
        <w:rPr>
          <w:rFonts w:ascii="宋体" w:hAnsi="宋体" w:hint="eastAsia"/>
          <w:color w:val="000000"/>
        </w:rPr>
        <w:t>。</w:t>
      </w:r>
    </w:p>
    <w:p>
      <w:pPr>
        <w:spacing w:line="400" w:lineRule="exact"/>
        <w:ind w:firstLine="420" w:firstLineChars="200"/>
        <w:rPr>
          <w:rFonts w:ascii="宋体" w:hAnsi="宋体"/>
          <w:color w:val="000000"/>
        </w:rPr>
      </w:pPr>
      <w:r>
        <w:rPr>
          <w:rFonts w:ascii="宋体" w:hAnsi="宋体"/>
          <w:color w:val="000000"/>
        </w:rPr>
        <w:t>ACLs的定义在DNS事务限制的配置中是关键元素，DNS管理员应根据不同的DNS事务定义并创建ACLs。</w:t>
      </w:r>
    </w:p>
    <w:p>
      <w:pPr>
        <w:spacing w:line="400" w:lineRule="exact"/>
        <w:ind w:firstLine="420" w:firstLineChars="200"/>
        <w:rPr>
          <w:rFonts w:ascii="宋体" w:hAnsi="宋体"/>
          <w:color w:val="000000"/>
        </w:rPr>
      </w:pPr>
      <w:r>
        <w:rPr>
          <w:rFonts w:ascii="宋体" w:hAnsi="宋体"/>
          <w:color w:val="000000"/>
        </w:rPr>
        <w:t>宜为每一个不同类型的DNS事务创建一个指定的可信主机列表。应被包含到适当的ACL中的主机角色类别如下：</w:t>
      </w:r>
    </w:p>
    <w:p>
      <w:pPr>
        <w:numPr>
          <w:ilvl w:val="1"/>
          <w:numId w:val="27"/>
        </w:numPr>
        <w:spacing w:line="400" w:lineRule="exact"/>
        <w:ind w:left="0" w:firstLine="420" w:firstLineChars="200"/>
        <w:rPr>
          <w:rFonts w:ascii="宋体" w:hAnsi="宋体"/>
          <w:color w:val="000000"/>
        </w:rPr>
      </w:pPr>
      <w:r>
        <w:rPr>
          <w:rFonts w:ascii="宋体" w:hAnsi="宋体"/>
          <w:color w:val="000000"/>
        </w:rPr>
        <w:t>DMZ主机</w:t>
      </w:r>
      <w:r>
        <w:rPr>
          <w:rFonts w:ascii="宋体" w:hAnsi="宋体" w:hint="eastAsia"/>
          <w:color w:val="000000"/>
        </w:rPr>
        <w:t>；</w:t>
      </w:r>
    </w:p>
    <w:p>
      <w:pPr>
        <w:numPr>
          <w:ilvl w:val="1"/>
          <w:numId w:val="27"/>
        </w:numPr>
        <w:spacing w:line="400" w:lineRule="exact"/>
        <w:ind w:left="0" w:firstLine="420" w:firstLineChars="200"/>
        <w:rPr>
          <w:rFonts w:ascii="宋体" w:hAnsi="宋体"/>
          <w:color w:val="000000"/>
        </w:rPr>
      </w:pPr>
      <w:r>
        <w:rPr>
          <w:rFonts w:ascii="宋体" w:hAnsi="宋体"/>
          <w:color w:val="000000"/>
        </w:rPr>
        <w:t>所有允许发起区传送的辅助域名服务器</w:t>
      </w:r>
      <w:r>
        <w:rPr>
          <w:rFonts w:ascii="宋体" w:hAnsi="宋体" w:hint="eastAsia"/>
          <w:color w:val="000000"/>
        </w:rPr>
        <w:t>；</w:t>
      </w:r>
    </w:p>
    <w:p>
      <w:pPr>
        <w:numPr>
          <w:ilvl w:val="1"/>
          <w:numId w:val="27"/>
        </w:numPr>
        <w:spacing w:line="400" w:lineRule="exact"/>
        <w:ind w:left="0" w:firstLine="420" w:firstLineChars="200"/>
        <w:rPr>
          <w:rFonts w:ascii="宋体" w:hAnsi="宋体"/>
          <w:color w:val="000000"/>
        </w:rPr>
      </w:pPr>
      <w:r>
        <w:rPr>
          <w:rFonts w:ascii="宋体" w:hAnsi="宋体"/>
          <w:color w:val="000000"/>
        </w:rPr>
        <w:t>允许运行递归查询的内部主机</w:t>
      </w:r>
      <w:r>
        <w:rPr>
          <w:rFonts w:ascii="宋体" w:hAnsi="宋体" w:hint="eastAsia"/>
          <w:color w:val="000000"/>
        </w:rPr>
        <w:t>。</w:t>
      </w:r>
    </w:p>
    <w:p>
      <w:pPr>
        <w:spacing w:line="400" w:lineRule="exact"/>
        <w:ind w:firstLine="420" w:firstLineChars="200"/>
        <w:rPr>
          <w:rFonts w:ascii="宋体" w:hAnsi="宋体"/>
          <w:color w:val="000000"/>
        </w:rPr>
      </w:pPr>
      <w:r>
        <w:rPr>
          <w:rFonts w:ascii="宋体" w:hAnsi="宋体"/>
          <w:color w:val="000000"/>
        </w:rPr>
        <w:t>除了IP地址、IP 前缀或ACL，访问控制声明中的地址匹配列表参数应设置如下特定值：</w:t>
      </w:r>
    </w:p>
    <w:p>
      <w:pPr>
        <w:numPr>
          <w:ilvl w:val="1"/>
          <w:numId w:val="28"/>
        </w:numPr>
        <w:spacing w:line="400" w:lineRule="exact"/>
        <w:ind w:left="0" w:firstLine="420" w:firstLineChars="200"/>
        <w:rPr>
          <w:rFonts w:ascii="宋体" w:hAnsi="宋体"/>
          <w:color w:val="000000"/>
        </w:rPr>
      </w:pPr>
      <w:r>
        <w:rPr>
          <w:rFonts w:ascii="宋体" w:hAnsi="宋体"/>
          <w:color w:val="000000"/>
        </w:rPr>
        <w:t>None：不匹配任何主机</w:t>
      </w:r>
      <w:r>
        <w:rPr>
          <w:rFonts w:ascii="宋体" w:hAnsi="宋体" w:hint="eastAsia"/>
          <w:color w:val="000000"/>
        </w:rPr>
        <w:t>；</w:t>
      </w:r>
    </w:p>
    <w:p>
      <w:pPr>
        <w:numPr>
          <w:ilvl w:val="1"/>
          <w:numId w:val="28"/>
        </w:numPr>
        <w:spacing w:line="400" w:lineRule="exact"/>
        <w:ind w:left="0" w:firstLine="420" w:firstLineChars="200"/>
        <w:rPr>
          <w:rFonts w:ascii="宋体" w:hAnsi="宋体"/>
          <w:color w:val="000000"/>
        </w:rPr>
      </w:pPr>
      <w:r>
        <w:rPr>
          <w:rFonts w:ascii="宋体" w:hAnsi="宋体"/>
          <w:color w:val="000000"/>
        </w:rPr>
        <w:t>b）Any：匹配全部主机</w:t>
      </w:r>
      <w:r>
        <w:rPr>
          <w:rFonts w:ascii="宋体" w:hAnsi="宋体" w:hint="eastAsia"/>
          <w:color w:val="000000"/>
        </w:rPr>
        <w:t>；</w:t>
      </w:r>
    </w:p>
    <w:p>
      <w:pPr>
        <w:numPr>
          <w:ilvl w:val="1"/>
          <w:numId w:val="28"/>
        </w:numPr>
        <w:spacing w:line="400" w:lineRule="exact"/>
        <w:ind w:left="0" w:firstLine="420" w:firstLineChars="200"/>
        <w:rPr>
          <w:rFonts w:ascii="宋体" w:hAnsi="宋体"/>
          <w:color w:val="000000"/>
        </w:rPr>
      </w:pPr>
      <w:r>
        <w:rPr>
          <w:rFonts w:ascii="宋体" w:hAnsi="宋体"/>
          <w:color w:val="000000"/>
        </w:rPr>
        <w:t>Localhost</w:t>
      </w:r>
      <w:r>
        <w:rPr>
          <w:rFonts w:ascii="宋体" w:hAnsi="宋体" w:hint="eastAsia"/>
          <w:color w:val="000000"/>
        </w:rPr>
        <w:t>：</w:t>
      </w:r>
      <w:r>
        <w:rPr>
          <w:rFonts w:ascii="宋体" w:hAnsi="宋体"/>
          <w:color w:val="000000"/>
        </w:rPr>
        <w:t>匹配运行域名服务的全部服务器IP地址</w:t>
      </w:r>
      <w:r>
        <w:rPr>
          <w:rFonts w:ascii="宋体" w:hAnsi="宋体" w:hint="eastAsia"/>
          <w:color w:val="000000"/>
        </w:rPr>
        <w:t>；</w:t>
      </w:r>
    </w:p>
    <w:p>
      <w:pPr>
        <w:numPr>
          <w:ilvl w:val="1"/>
          <w:numId w:val="28"/>
        </w:numPr>
        <w:spacing w:line="400" w:lineRule="exact"/>
        <w:ind w:left="0" w:firstLine="420" w:firstLineChars="200"/>
        <w:rPr>
          <w:rFonts w:ascii="宋体" w:hAnsi="宋体"/>
          <w:color w:val="000000"/>
        </w:rPr>
      </w:pPr>
      <w:r>
        <w:rPr>
          <w:rFonts w:ascii="宋体" w:hAnsi="宋体"/>
          <w:color w:val="000000"/>
        </w:rPr>
        <w:t>Localnets：匹配运行域名服务的全部服务器IP地址和子网掩码</w:t>
      </w:r>
      <w:r>
        <w:rPr>
          <w:rFonts w:ascii="宋体" w:hAnsi="宋体" w:hint="eastAsia"/>
          <w:color w:val="000000"/>
        </w:rPr>
        <w:t>。</w:t>
      </w:r>
    </w:p>
    <w:p>
      <w:pPr>
        <w:spacing w:line="400" w:lineRule="exact"/>
        <w:ind w:firstLine="420" w:firstLineChars="200"/>
        <w:rPr>
          <w:color w:val="000000"/>
        </w:rPr>
      </w:pPr>
      <w:r>
        <w:rPr>
          <w:rFonts w:ascii="宋体" w:hAnsi="宋体"/>
          <w:color w:val="000000"/>
        </w:rPr>
        <w:t>密钥可被应用到ACL声明中，这表示只有知道共享密钥（或密钥对）的主机才能够进行通讯</w:t>
      </w:r>
      <w:bookmarkStart w:id="593" w:name="_Toc335048480"/>
      <w:bookmarkEnd w:id="593"/>
      <w:bookmarkStart w:id="594" w:name="_Toc361318231"/>
      <w:bookmarkEnd w:id="594"/>
      <w:bookmarkStart w:id="595" w:name="_Toc335048160"/>
      <w:bookmarkEnd w:id="595"/>
      <w:bookmarkStart w:id="596" w:name="_Toc330201318"/>
      <w:bookmarkStart w:id="597" w:name="_Toc330198964"/>
      <w:bookmarkStart w:id="598" w:name="_Toc330198622"/>
      <w:bookmarkStart w:id="599" w:name="_Toc330201494"/>
      <w:r>
        <w:rPr>
          <w:rFonts w:ascii="宋体" w:hAnsi="宋体" w:hint="eastAsia"/>
          <w:color w:val="000000"/>
        </w:rPr>
        <w:t>。</w:t>
      </w:r>
    </w:p>
    <w:bookmarkEnd w:id="596"/>
    <w:bookmarkEnd w:id="597"/>
    <w:bookmarkEnd w:id="598"/>
    <w:bookmarkEnd w:id="599"/>
    <w:p>
      <w:pPr>
        <w:spacing w:before="156" w:beforeLines="50" w:after="156" w:afterLines="50"/>
        <w:rPr>
          <w:rFonts w:ascii="黑体" w:eastAsia="黑体" w:hAnsi="黑体"/>
          <w:color w:val="000000"/>
          <w:kern w:val="0"/>
          <w:szCs w:val="20"/>
        </w:rPr>
      </w:pPr>
      <w:bookmarkStart w:id="600" w:name="_Toc361318232"/>
      <w:bookmarkEnd w:id="600"/>
      <w:bookmarkStart w:id="601" w:name="_Toc335048482"/>
      <w:bookmarkEnd w:id="601"/>
      <w:bookmarkStart w:id="602" w:name="_Toc335048162"/>
      <w:bookmarkEnd w:id="602"/>
      <w:bookmarkStart w:id="603" w:name="_Toc335048481"/>
      <w:bookmarkEnd w:id="603"/>
      <w:bookmarkStart w:id="604" w:name="_Toc361318233"/>
      <w:bookmarkEnd w:id="604"/>
      <w:bookmarkStart w:id="605" w:name="_Toc335048161"/>
      <w:bookmarkEnd w:id="605"/>
      <w:bookmarkStart w:id="606" w:name="_Toc335048163"/>
      <w:bookmarkStart w:id="607" w:name="_Toc361318234"/>
      <w:bookmarkStart w:id="608" w:name="_Toc335048483"/>
      <w:r>
        <w:rPr>
          <w:rFonts w:ascii="黑体" w:eastAsia="黑体" w:hAnsi="黑体"/>
          <w:color w:val="000000"/>
          <w:kern w:val="0"/>
          <w:szCs w:val="20"/>
        </w:rPr>
        <w:t>8.2.2.1限制递归查询</w:t>
      </w:r>
      <w:bookmarkEnd w:id="606"/>
      <w:bookmarkEnd w:id="607"/>
      <w:bookmarkEnd w:id="608"/>
    </w:p>
    <w:p>
      <w:pPr>
        <w:numPr>
          <w:ilvl w:val="1"/>
          <w:numId w:val="29"/>
        </w:numPr>
        <w:spacing w:line="400" w:lineRule="exact"/>
        <w:ind w:left="840"/>
        <w:rPr>
          <w:rFonts w:ascii="宋体" w:hAnsi="宋体"/>
          <w:color w:val="000000"/>
        </w:rPr>
      </w:pPr>
      <w:r>
        <w:rPr>
          <w:rFonts w:ascii="宋体" w:hAnsi="宋体"/>
          <w:color w:val="000000"/>
        </w:rPr>
        <w:t>通过服务器限制对内部主机IP地址指定集合的所有可接受的查询，设置该集合应用于授权区，这样任何DNS客户端可以在区内获得资源信息</w:t>
      </w:r>
      <w:r>
        <w:rPr>
          <w:rFonts w:ascii="宋体" w:hAnsi="宋体" w:hint="eastAsia"/>
          <w:color w:val="000000"/>
        </w:rPr>
        <w:t>；</w:t>
      </w:r>
    </w:p>
    <w:p>
      <w:pPr>
        <w:numPr>
          <w:ilvl w:val="1"/>
          <w:numId w:val="29"/>
        </w:numPr>
        <w:spacing w:line="400" w:lineRule="exact"/>
        <w:ind w:left="840"/>
        <w:rPr>
          <w:rFonts w:ascii="宋体" w:hAnsi="宋体"/>
          <w:color w:val="000000"/>
        </w:rPr>
      </w:pPr>
      <w:r>
        <w:rPr>
          <w:rFonts w:ascii="宋体" w:hAnsi="宋体"/>
          <w:color w:val="000000"/>
        </w:rPr>
        <w:t>通过直接配置参数将递归查询限制到指定的内部客户端IP地址集中</w:t>
      </w:r>
      <w:r>
        <w:rPr>
          <w:rFonts w:ascii="宋体" w:hAnsi="宋体" w:hint="eastAsia"/>
          <w:color w:val="000000"/>
        </w:rPr>
        <w:t>；</w:t>
      </w:r>
    </w:p>
    <w:p>
      <w:pPr>
        <w:numPr>
          <w:ilvl w:val="1"/>
          <w:numId w:val="29"/>
        </w:numPr>
        <w:spacing w:line="400" w:lineRule="exact"/>
        <w:ind w:left="840"/>
        <w:rPr>
          <w:rFonts w:ascii="宋体" w:hAnsi="宋体"/>
          <w:color w:val="000000"/>
        </w:rPr>
      </w:pPr>
      <w:r>
        <w:rPr>
          <w:rFonts w:ascii="宋体" w:hAnsi="宋体"/>
          <w:color w:val="000000"/>
        </w:rPr>
        <w:t>通过定义视图将不同的响应（数据）提供给不同客户端。</w:t>
      </w:r>
    </w:p>
    <w:p>
      <w:pPr>
        <w:pStyle w:val="a11"/>
        <w:numPr>
          <w:ilvl w:val="3"/>
          <w:numId w:val="25"/>
        </w:numPr>
        <w:spacing w:before="156" w:beforeLines="50" w:after="156" w:afterLines="50"/>
        <w:rPr>
          <w:color w:val="000000"/>
        </w:rPr>
      </w:pPr>
      <w:bookmarkStart w:id="609" w:name="_Toc330198965"/>
      <w:bookmarkStart w:id="610" w:name="_Toc330198623"/>
      <w:r>
        <w:rPr>
          <w:color w:val="000000"/>
        </w:rPr>
        <w:t>限制区传送事务实体</w:t>
      </w:r>
      <w:bookmarkEnd w:id="609"/>
      <w:bookmarkEnd w:id="610"/>
    </w:p>
    <w:p>
      <w:pPr>
        <w:spacing w:line="400" w:lineRule="exact"/>
        <w:ind w:firstLine="420" w:firstLineChars="200"/>
        <w:rPr>
          <w:rFonts w:ascii="宋体" w:hAnsi="宋体"/>
          <w:color w:val="000000"/>
        </w:rPr>
        <w:sectPr>
          <w:headerReference w:type="even" r:id="rId90"/>
          <w:headerReference w:type="default" r:id="rId91"/>
          <w:footerReference w:type="even" r:id="rId92"/>
          <w:footerReference w:type="default" r:id="rId93"/>
          <w:headerReference w:type="first" r:id="rId94"/>
          <w:footerReference w:type="first" r:id="rId95"/>
          <w:type w:val="nextPage"/>
          <w:pgSz w:w="11907" w:h="16839"/>
          <w:pgMar w:top="1418" w:right="1134" w:bottom="1134" w:left="1418" w:header="1418" w:footer="851" w:gutter="0"/>
          <w:pgNumType w:start="12"/>
          <w:cols w:num="1" w:space="425"/>
          <w:titlePg w:val="0"/>
          <w:docGrid w:type="lines" w:linePitch="312" w:charSpace="0"/>
        </w:sectPr>
      </w:pPr>
    </w:p>
    <w:p>
      <w:pPr>
        <w:spacing w:line="400" w:lineRule="exact"/>
        <w:ind w:firstLine="420" w:firstLineChars="200"/>
        <w:rPr>
          <w:rFonts w:ascii="宋体" w:hAnsi="宋体"/>
          <w:color w:val="000000"/>
        </w:rPr>
      </w:pPr>
      <w:r>
        <w:rPr>
          <w:rFonts w:ascii="宋体" w:hAnsi="宋体"/>
          <w:color w:val="000000"/>
        </w:rPr>
        <w:t>权威域名服务器应使用允许传递的访问控制子声明进行配置，指定可接受区传送请求的主机列表。来自主域名服务器的区传送应限于辅助域名服务器。在辅助域名服务器中区传送应被完全禁用。允许传输子声明的地址匹配列表值应由辅助域名服务器和隐藏辅助域名服务器的IP地址组成。</w:t>
      </w:r>
    </w:p>
    <w:p>
      <w:pPr>
        <w:spacing w:line="400" w:lineRule="exact"/>
        <w:ind w:firstLine="420" w:firstLineChars="200"/>
        <w:rPr>
          <w:color w:val="000000"/>
        </w:rPr>
      </w:pPr>
      <w:r>
        <w:rPr>
          <w:rFonts w:ascii="宋体" w:hAnsi="宋体"/>
          <w:color w:val="000000"/>
        </w:rPr>
        <w:t>允许传输子声明可在区声明和参数声明中使用。当它在区声明中使用时，可限制该区传送；当在参数声明中使用时，可限制域名服务器中所有区的区传送。</w:t>
      </w:r>
    </w:p>
    <w:p>
      <w:pPr>
        <w:pStyle w:val="a11"/>
        <w:numPr>
          <w:ilvl w:val="3"/>
          <w:numId w:val="25"/>
        </w:numPr>
        <w:spacing w:before="156" w:beforeLines="50" w:after="156" w:afterLines="50"/>
        <w:rPr>
          <w:rFonts w:ascii="黑体" w:hAnsi="黑体"/>
          <w:color w:val="000000"/>
        </w:rPr>
      </w:pPr>
      <w:bookmarkStart w:id="611" w:name="_Toc330198624"/>
      <w:bookmarkStart w:id="612" w:name="_Toc330198966"/>
      <w:r>
        <w:rPr>
          <w:rFonts w:ascii="黑体" w:hAnsi="黑体"/>
          <w:color w:val="000000"/>
        </w:rPr>
        <w:t>在NSD中限制</w:t>
      </w:r>
      <w:bookmarkEnd w:id="611"/>
      <w:bookmarkEnd w:id="612"/>
      <w:r>
        <w:rPr>
          <w:rFonts w:ascii="黑体" w:hAnsi="黑体"/>
          <w:color w:val="000000"/>
        </w:rPr>
        <w:t>区传送</w:t>
      </w:r>
    </w:p>
    <w:p>
      <w:pPr>
        <w:spacing w:line="400" w:lineRule="exact"/>
        <w:ind w:firstLine="420" w:firstLineChars="200"/>
        <w:rPr>
          <w:rFonts w:ascii="宋体" w:hAnsi="宋体"/>
          <w:color w:val="000000"/>
        </w:rPr>
      </w:pPr>
      <w:r>
        <w:rPr>
          <w:rFonts w:ascii="宋体" w:hAnsi="宋体"/>
          <w:color w:val="000000"/>
        </w:rPr>
        <w:t>NSD有一套类似的工具限于区传送仅选定一套辅助服务器。管理员应学习和使用在NSD配置文件中的可用选项。无法创建访问控制列表（ACLs），但管理员可将区声明中辅助服务器的独立IP地址列在NSD配置文件中。</w:t>
      </w:r>
    </w:p>
    <w:p>
      <w:pPr>
        <w:spacing w:line="400" w:lineRule="exact"/>
        <w:ind w:firstLine="420" w:firstLineChars="200"/>
        <w:rPr>
          <w:rFonts w:ascii="宋体" w:hAnsi="宋体"/>
          <w:color w:val="000000"/>
        </w:rPr>
      </w:pPr>
      <w:r>
        <w:rPr>
          <w:rFonts w:ascii="宋体" w:hAnsi="宋体"/>
          <w:color w:val="000000"/>
        </w:rPr>
        <w:t>在配置文件中，provide-xfr声明用于nsd.conf文件的区声明中，类似于一个联合声明和在BIND配置文件中允许传送的声明。</w:t>
      </w:r>
    </w:p>
    <w:p>
      <w:pPr>
        <w:spacing w:line="400" w:lineRule="exact"/>
        <w:ind w:firstLine="420" w:firstLineChars="200"/>
        <w:rPr>
          <w:rFonts w:ascii="宋体" w:hAnsi="宋体"/>
          <w:color w:val="000000"/>
        </w:rPr>
      </w:pPr>
      <w:r>
        <w:rPr>
          <w:rFonts w:ascii="宋体" w:hAnsi="宋体"/>
          <w:color w:val="000000"/>
        </w:rPr>
        <w:t>zone:</w:t>
      </w:r>
    </w:p>
    <w:p>
      <w:pPr>
        <w:spacing w:line="400" w:lineRule="exact"/>
        <w:ind w:firstLine="420" w:firstLineChars="200"/>
        <w:rPr>
          <w:rFonts w:ascii="宋体" w:hAnsi="宋体"/>
          <w:color w:val="000000"/>
        </w:rPr>
      </w:pPr>
      <w:r>
        <w:rPr>
          <w:rFonts w:ascii="宋体" w:hAnsi="宋体"/>
          <w:color w:val="000000"/>
        </w:rPr>
        <w:t xml:space="preserve">    #allow transfer from subnet</w:t>
      </w:r>
    </w:p>
    <w:p>
      <w:pPr>
        <w:spacing w:line="400" w:lineRule="exact"/>
        <w:ind w:firstLine="420" w:firstLineChars="200"/>
        <w:rPr>
          <w:rFonts w:ascii="宋体" w:hAnsi="宋体"/>
          <w:color w:val="000000"/>
        </w:rPr>
      </w:pPr>
      <w:r>
        <w:rPr>
          <w:rFonts w:ascii="宋体" w:hAnsi="宋体"/>
          <w:color w:val="000000"/>
        </w:rPr>
        <w:t xml:space="preserve">    provide-xfr:169.192.85.0/24</w:t>
      </w:r>
    </w:p>
    <w:p>
      <w:pPr>
        <w:spacing w:line="400" w:lineRule="exact"/>
        <w:ind w:firstLine="420" w:firstLineChars="200"/>
        <w:rPr>
          <w:rFonts w:ascii="宋体" w:hAnsi="宋体"/>
          <w:color w:val="000000"/>
        </w:rPr>
      </w:pPr>
      <w:r>
        <w:rPr>
          <w:rFonts w:ascii="宋体" w:hAnsi="宋体"/>
          <w:color w:val="000000"/>
        </w:rPr>
        <w:t xml:space="preserve">    #prevent transfer from specific IP address in block</w:t>
      </w:r>
    </w:p>
    <w:p>
      <w:pPr>
        <w:spacing w:line="400" w:lineRule="exact"/>
        <w:ind w:firstLine="420" w:firstLineChars="200"/>
        <w:rPr>
          <w:rFonts w:ascii="宋体" w:hAnsi="宋体"/>
          <w:color w:val="000000"/>
        </w:rPr>
      </w:pPr>
      <w:r>
        <w:rPr>
          <w:rFonts w:ascii="宋体" w:hAnsi="宋体"/>
          <w:color w:val="000000"/>
        </w:rPr>
        <w:t xml:space="preserve">    Provide-xfr:169.192.85.66 BLOCKED</w:t>
      </w:r>
    </w:p>
    <w:p>
      <w:pPr>
        <w:spacing w:line="400" w:lineRule="exact"/>
        <w:ind w:firstLine="420" w:firstLineChars="200"/>
        <w:rPr>
          <w:color w:val="000000"/>
        </w:rPr>
      </w:pPr>
      <w:r>
        <w:rPr>
          <w:rFonts w:ascii="宋体" w:hAnsi="宋体"/>
          <w:color w:val="000000"/>
        </w:rPr>
        <w:t>仅有一个地址应出现在provide-xfr声明中，但地址可以是一个完整的子网。provide-xfr声明允许传送；所有其他的传送请求默认被拒绝。</w:t>
      </w:r>
    </w:p>
    <w:p>
      <w:pPr>
        <w:pStyle w:val="a11"/>
        <w:numPr>
          <w:ilvl w:val="3"/>
          <w:numId w:val="25"/>
        </w:numPr>
        <w:spacing w:before="156" w:beforeLines="50" w:after="156" w:afterLines="50"/>
        <w:rPr>
          <w:color w:val="000000"/>
        </w:rPr>
      </w:pPr>
      <w:bookmarkStart w:id="613" w:name="_Toc330198967"/>
      <w:bookmarkStart w:id="614" w:name="_Toc330198625"/>
      <w:r>
        <w:rPr>
          <w:color w:val="000000"/>
        </w:rPr>
        <w:t>动态更新事务实体限制</w:t>
      </w:r>
      <w:bookmarkEnd w:id="613"/>
      <w:bookmarkEnd w:id="614"/>
    </w:p>
    <w:p>
      <w:pPr>
        <w:spacing w:line="400" w:lineRule="exact"/>
        <w:ind w:firstLine="420" w:firstLineChars="200"/>
        <w:rPr>
          <w:rFonts w:ascii="宋体" w:hAnsi="宋体"/>
          <w:color w:val="000000"/>
        </w:rPr>
      </w:pPr>
      <w:r>
        <w:rPr>
          <w:rFonts w:ascii="宋体" w:hAnsi="宋体"/>
          <w:color w:val="000000"/>
        </w:rPr>
        <w:t>通过BIND中的两个声明可以启动或限制动态更新，声明如下：</w:t>
      </w:r>
    </w:p>
    <w:p>
      <w:pPr>
        <w:numPr>
          <w:ilvl w:val="1"/>
          <w:numId w:val="30"/>
        </w:numPr>
        <w:spacing w:line="400" w:lineRule="exact"/>
        <w:ind w:left="840"/>
        <w:rPr>
          <w:rFonts w:ascii="宋体" w:hAnsi="宋体"/>
          <w:color w:val="000000"/>
        </w:rPr>
      </w:pPr>
      <w:r>
        <w:rPr>
          <w:rFonts w:ascii="宋体" w:hAnsi="宋体"/>
          <w:color w:val="000000"/>
        </w:rPr>
        <w:t>允许更新</w:t>
      </w:r>
      <w:r>
        <w:rPr>
          <w:rFonts w:ascii="宋体" w:hAnsi="宋体" w:hint="eastAsia"/>
          <w:color w:val="000000"/>
        </w:rPr>
        <w:t>；</w:t>
      </w:r>
    </w:p>
    <w:p>
      <w:pPr>
        <w:numPr>
          <w:ilvl w:val="1"/>
          <w:numId w:val="30"/>
        </w:numPr>
        <w:spacing w:line="400" w:lineRule="exact"/>
        <w:ind w:left="840"/>
        <w:rPr>
          <w:rFonts w:ascii="宋体" w:hAnsi="宋体"/>
          <w:color w:val="000000"/>
        </w:rPr>
      </w:pPr>
      <w:r>
        <w:rPr>
          <w:rFonts w:ascii="宋体" w:hAnsi="宋体"/>
          <w:color w:val="000000"/>
        </w:rPr>
        <w:t>更新策略（仅在BIND</w:t>
      </w:r>
      <w:r>
        <w:rPr>
          <w:rFonts w:ascii="宋体" w:hAnsi="宋体" w:hint="eastAsia"/>
          <w:color w:val="000000"/>
        </w:rPr>
        <w:t xml:space="preserve"> </w:t>
      </w:r>
      <w:r>
        <w:rPr>
          <w:rFonts w:ascii="宋体" w:hAnsi="宋体"/>
          <w:color w:val="000000"/>
        </w:rPr>
        <w:t>9版本中可用）</w:t>
      </w:r>
      <w:r>
        <w:rPr>
          <w:rFonts w:ascii="宋体" w:hAnsi="宋体" w:hint="eastAsia"/>
          <w:color w:val="000000"/>
        </w:rPr>
        <w:t>。</w:t>
      </w:r>
    </w:p>
    <w:p>
      <w:pPr>
        <w:spacing w:line="400" w:lineRule="exact"/>
        <w:ind w:firstLine="420" w:firstLineChars="200"/>
        <w:rPr>
          <w:rFonts w:ascii="宋体" w:hAnsi="宋体"/>
          <w:color w:val="000000"/>
        </w:rPr>
      </w:pPr>
      <w:r>
        <w:rPr>
          <w:rFonts w:ascii="宋体" w:hAnsi="宋体"/>
          <w:color w:val="000000"/>
        </w:rPr>
        <w:t>这些声明仅在区级而不是服务器级中设定，是区声明中的子部分。允许更新子声明启用基于IP地址和共享密钥技术限定动态更新的规则。</w:t>
      </w:r>
    </w:p>
    <w:p>
      <w:pPr>
        <w:spacing w:line="400" w:lineRule="exact"/>
        <w:ind w:firstLine="420" w:firstLineChars="200"/>
        <w:rPr>
          <w:rFonts w:ascii="宋体" w:hAnsi="宋体"/>
          <w:color w:val="000000"/>
        </w:rPr>
      </w:pPr>
      <w:r>
        <w:rPr>
          <w:rFonts w:ascii="宋体" w:hAnsi="宋体"/>
          <w:color w:val="000000"/>
        </w:rPr>
        <w:t>更新策略声明仅启用基于TSIG密钥技术的动态更新限制规则，在更细粒度层面启用更新限制规则。允许更新子声明包含对区全部记录访问权限的更新。更新策略子声明可用来限制一个或多个RRTypes访问权限的更新。</w:t>
      </w:r>
    </w:p>
    <w:p>
      <w:pPr>
        <w:spacing w:line="400" w:lineRule="exact"/>
        <w:ind w:firstLine="420" w:firstLineChars="200"/>
        <w:rPr>
          <w:rFonts w:ascii="宋体" w:hAnsi="宋体"/>
          <w:color w:val="000000"/>
        </w:rPr>
      </w:pPr>
      <w:r>
        <w:rPr>
          <w:rFonts w:ascii="宋体" w:hAnsi="宋体"/>
          <w:color w:val="000000"/>
        </w:rPr>
        <w:t>动态更新请求通常由主机发起，例如为主机动态分配IP地址的DHCP服务器。当指派一个IP地址到一个新的主机，需将FQDN-to-IP地址表和address-to-FQDN地址表信息存储到区内主权威域名服务器中，该信息的创建通过动态更新实现。</w:t>
      </w:r>
    </w:p>
    <w:p>
      <w:pPr>
        <w:pStyle w:val="a11"/>
        <w:numPr>
          <w:ilvl w:val="3"/>
          <w:numId w:val="25"/>
        </w:numPr>
        <w:spacing w:before="156" w:beforeLines="50" w:after="156" w:afterLines="50"/>
        <w:rPr>
          <w:rFonts w:ascii="黑体" w:hAnsi="黑体"/>
          <w:color w:val="000000"/>
        </w:rPr>
      </w:pPr>
      <w:bookmarkStart w:id="615" w:name="_Toc330198968"/>
      <w:bookmarkStart w:id="616" w:name="_Toc330198626"/>
      <w:r>
        <w:rPr>
          <w:rFonts w:ascii="黑体" w:hAnsi="黑体"/>
          <w:color w:val="000000"/>
        </w:rPr>
        <w:t>限制BIND DNS通告事务实体</w:t>
      </w:r>
      <w:bookmarkEnd w:id="615"/>
      <w:bookmarkEnd w:id="616"/>
    </w:p>
    <w:p>
      <w:pPr>
        <w:spacing w:line="400" w:lineRule="exact"/>
        <w:ind w:firstLine="420" w:firstLineChars="200"/>
        <w:rPr>
          <w:rFonts w:ascii="宋体" w:hAnsi="宋体"/>
          <w:color w:val="000000"/>
        </w:rPr>
        <w:sectPr>
          <w:headerReference w:type="even" r:id="rId96"/>
          <w:headerReference w:type="default" r:id="rId97"/>
          <w:footerReference w:type="even" r:id="rId98"/>
          <w:footerReference w:type="default" r:id="rId99"/>
          <w:headerReference w:type="first" r:id="rId100"/>
          <w:footerReference w:type="first" r:id="rId101"/>
          <w:type w:val="nextPage"/>
          <w:pgSz w:w="11907" w:h="16839"/>
          <w:pgMar w:top="1418" w:right="1134" w:bottom="1134" w:left="1418" w:header="1418" w:footer="851" w:gutter="0"/>
          <w:pgNumType w:start="13"/>
          <w:cols w:num="1" w:space="425"/>
          <w:titlePg w:val="0"/>
          <w:docGrid w:type="lines" w:linePitch="312" w:charSpace="0"/>
        </w:sectPr>
      </w:pPr>
      <w:r>
        <w:rPr>
          <w:rFonts w:ascii="宋体" w:hAnsi="宋体"/>
          <w:color w:val="000000"/>
        </w:rPr>
        <w:t>在服务器间启动区传送，宜通过消息告知辅助域名服务器区文件数据的变更。此项配置将允许更新快速传输到辅助域名服务器，DNS管理员应保持通告可用。DNS管理员需为特定区域关闭此功能时，应在该区的区声明中使用通告子声明。</w:t>
      </w:r>
    </w:p>
    <w:p>
      <w:pPr>
        <w:spacing w:line="400" w:lineRule="exact"/>
        <w:ind w:firstLine="420" w:firstLineChars="200"/>
        <w:rPr>
          <w:rFonts w:ascii="宋体" w:hAnsi="宋体"/>
          <w:color w:val="000000"/>
        </w:rPr>
      </w:pPr>
      <w:r>
        <w:rPr>
          <w:rFonts w:ascii="宋体" w:hAnsi="宋体"/>
          <w:color w:val="000000"/>
        </w:rPr>
        <w:t>区管理员需将DNS NOTIFY消息发送到附加的服务器时，</w:t>
      </w:r>
      <w:r>
        <w:rPr>
          <w:rFonts w:ascii="宋体" w:hAnsi="宋体" w:hint="eastAsia"/>
          <w:color w:val="000000"/>
        </w:rPr>
        <w:t>“</w:t>
      </w:r>
      <w:r>
        <w:rPr>
          <w:rFonts w:ascii="宋体" w:hAnsi="宋体"/>
          <w:color w:val="000000"/>
        </w:rPr>
        <w:t>also-notify</w:t>
      </w:r>
      <w:r>
        <w:rPr>
          <w:rFonts w:ascii="宋体" w:hAnsi="宋体" w:hint="eastAsia"/>
          <w:color w:val="000000"/>
        </w:rPr>
        <w:t>”</w:t>
      </w:r>
      <w:r>
        <w:rPr>
          <w:rFonts w:ascii="宋体" w:hAnsi="宋体"/>
          <w:color w:val="000000"/>
        </w:rPr>
        <w:t>子声明应被增加到区声明中，同时应指定附加服务器的IP地址作为参数值。</w:t>
      </w:r>
    </w:p>
    <w:p>
      <w:pPr>
        <w:spacing w:line="400" w:lineRule="exact"/>
        <w:ind w:firstLine="420" w:firstLineChars="200"/>
        <w:rPr>
          <w:color w:val="000000"/>
        </w:rPr>
      </w:pPr>
      <w:r>
        <w:rPr>
          <w:rFonts w:ascii="宋体" w:hAnsi="宋体"/>
          <w:color w:val="000000"/>
        </w:rPr>
        <w:t>DNS NOTIFY消息的接收方，即辅助域名服务器，默认仅允许来自主域名服务器的通告消息。辅助域名服务器希望接受额外服务器的通告消息时，应在区声明中增加</w:t>
      </w:r>
      <w:r>
        <w:rPr>
          <w:rFonts w:ascii="宋体" w:hAnsi="宋体" w:hint="eastAsia"/>
          <w:color w:val="000000"/>
        </w:rPr>
        <w:t>“</w:t>
      </w:r>
      <w:r>
        <w:rPr>
          <w:rFonts w:ascii="宋体" w:hAnsi="宋体"/>
          <w:color w:val="000000"/>
        </w:rPr>
        <w:t>allow-notify</w:t>
      </w:r>
      <w:r>
        <w:rPr>
          <w:rFonts w:ascii="宋体" w:hAnsi="宋体" w:hint="eastAsia"/>
          <w:color w:val="000000"/>
        </w:rPr>
        <w:t>”</w:t>
      </w:r>
      <w:r>
        <w:rPr>
          <w:rFonts w:ascii="宋体" w:hAnsi="宋体"/>
          <w:color w:val="000000"/>
        </w:rPr>
        <w:t>子声明，服务器的IP地址应在该子声明中指定。</w:t>
      </w:r>
    </w:p>
    <w:p>
      <w:pPr>
        <w:pStyle w:val="a11"/>
        <w:numPr>
          <w:ilvl w:val="3"/>
          <w:numId w:val="25"/>
        </w:numPr>
        <w:spacing w:before="156" w:beforeLines="50" w:after="156" w:afterLines="50"/>
        <w:rPr>
          <w:rFonts w:ascii="黑体" w:hAnsi="黑体"/>
          <w:color w:val="000000"/>
        </w:rPr>
      </w:pPr>
      <w:bookmarkStart w:id="617" w:name="_Toc330198969"/>
      <w:bookmarkStart w:id="618" w:name="_Toc330198627"/>
      <w:r>
        <w:rPr>
          <w:rFonts w:ascii="黑体" w:hAnsi="黑体"/>
          <w:color w:val="000000"/>
        </w:rPr>
        <w:t>限制NSD DNS通告事务实体</w:t>
      </w:r>
      <w:bookmarkEnd w:id="617"/>
      <w:bookmarkEnd w:id="618"/>
    </w:p>
    <w:p>
      <w:pPr>
        <w:spacing w:line="400" w:lineRule="exact"/>
        <w:ind w:firstLine="420" w:firstLineChars="200"/>
        <w:rPr>
          <w:rFonts w:ascii="宋体" w:hAnsi="宋体"/>
          <w:color w:val="000000"/>
        </w:rPr>
      </w:pPr>
      <w:r>
        <w:rPr>
          <w:rFonts w:ascii="宋体" w:hAnsi="宋体"/>
          <w:color w:val="000000"/>
        </w:rPr>
        <w:t>管理员可使用两项声明来传输DNS NOTIFY消息或者限制监听DNS NOTIFY消息到一个特定的IP地址。</w:t>
      </w:r>
    </w:p>
    <w:p>
      <w:pPr>
        <w:spacing w:line="400" w:lineRule="exact"/>
        <w:ind w:firstLine="420" w:firstLineChars="200"/>
        <w:rPr>
          <w:rFonts w:ascii="宋体" w:hAnsi="宋体"/>
          <w:color w:val="000000"/>
        </w:rPr>
      </w:pPr>
      <w:r>
        <w:rPr>
          <w:rFonts w:ascii="宋体" w:hAnsi="宋体"/>
          <w:color w:val="000000"/>
        </w:rPr>
        <w:t>配置NSD以传输DNS NOTIFY消息到特定的IP地址和特定的TSIG key，或者没有TSIG可用的情况下，选择NOKEY。在NSD配置文件中的声明块被添加到区中，如下：</w:t>
      </w:r>
    </w:p>
    <w:p>
      <w:pPr>
        <w:spacing w:line="400" w:lineRule="exact"/>
        <w:ind w:firstLine="420" w:firstLineChars="200"/>
        <w:rPr>
          <w:rFonts w:ascii="宋体" w:hAnsi="宋体"/>
          <w:color w:val="000000"/>
        </w:rPr>
      </w:pPr>
      <w:r>
        <w:rPr>
          <w:rFonts w:ascii="宋体" w:hAnsi="宋体"/>
          <w:color w:val="000000"/>
        </w:rPr>
        <w:t>Zone:</w:t>
      </w:r>
    </w:p>
    <w:p>
      <w:pPr>
        <w:spacing w:line="400" w:lineRule="exact"/>
        <w:ind w:firstLine="420" w:firstLineChars="200"/>
        <w:rPr>
          <w:rFonts w:ascii="宋体" w:hAnsi="宋体"/>
          <w:color w:val="000000"/>
        </w:rPr>
      </w:pPr>
      <w:r>
        <w:rPr>
          <w:rFonts w:ascii="宋体" w:hAnsi="宋体"/>
          <w:color w:val="000000"/>
        </w:rPr>
        <w:t xml:space="preserve">     Notify: 10.0.0.10  NOKEY</w:t>
      </w:r>
    </w:p>
    <w:p>
      <w:pPr>
        <w:spacing w:line="400" w:lineRule="exact"/>
        <w:ind w:firstLine="420" w:firstLineChars="200"/>
        <w:rPr>
          <w:rFonts w:ascii="宋体" w:hAnsi="宋体"/>
          <w:color w:val="000000"/>
        </w:rPr>
      </w:pPr>
      <w:r>
        <w:rPr>
          <w:rFonts w:ascii="宋体" w:hAnsi="宋体"/>
          <w:color w:val="000000"/>
        </w:rPr>
        <w:t>在区中的一个辅助服务器配置声明：声明IP地址接受DNS  NOTIFY 消息的块，如下：</w:t>
      </w:r>
    </w:p>
    <w:p>
      <w:pPr>
        <w:spacing w:line="400" w:lineRule="exact"/>
        <w:ind w:firstLine="420" w:firstLineChars="200"/>
        <w:rPr>
          <w:rFonts w:ascii="宋体" w:hAnsi="宋体"/>
          <w:color w:val="000000"/>
        </w:rPr>
      </w:pPr>
      <w:r>
        <w:rPr>
          <w:rFonts w:ascii="宋体" w:hAnsi="宋体"/>
          <w:color w:val="000000"/>
        </w:rPr>
        <w:t>zone:</w:t>
      </w:r>
    </w:p>
    <w:p>
      <w:pPr>
        <w:spacing w:line="400" w:lineRule="exact"/>
        <w:ind w:firstLine="420" w:firstLineChars="200"/>
        <w:rPr>
          <w:color w:val="000000"/>
        </w:rPr>
      </w:pPr>
      <w:r>
        <w:rPr>
          <w:rFonts w:ascii="宋体" w:hAnsi="宋体"/>
          <w:color w:val="000000"/>
        </w:rPr>
        <w:t xml:space="preserve">    allow-notify:10.11.12.13  NOKEY</w:t>
      </w:r>
    </w:p>
    <w:p>
      <w:pPr>
        <w:pStyle w:val="a10"/>
        <w:spacing w:before="156" w:beforeLines="50" w:after="156" w:afterLines="50"/>
        <w:rPr>
          <w:color w:val="000000"/>
        </w:rPr>
      </w:pPr>
      <w:bookmarkStart w:id="619" w:name="_Toc381100891"/>
      <w:r>
        <w:rPr>
          <w:color w:val="000000"/>
        </w:rPr>
        <w:t>基于散列消息认证码的事务保护</w:t>
      </w:r>
      <w:bookmarkEnd w:id="619"/>
    </w:p>
    <w:p>
      <w:pPr>
        <w:spacing w:line="400" w:lineRule="exact"/>
        <w:ind w:firstLine="420" w:firstLineChars="200"/>
        <w:rPr>
          <w:rFonts w:ascii="宋体" w:hAnsi="宋体"/>
          <w:color w:val="000000"/>
        </w:rPr>
      </w:pPr>
      <w:r>
        <w:rPr>
          <w:rFonts w:ascii="宋体" w:hAnsi="宋体"/>
          <w:color w:val="000000"/>
        </w:rPr>
        <w:t>利用散列消息认证码验证消息来源和完整性的流程由TSIG的DNS规则指定。</w:t>
      </w:r>
    </w:p>
    <w:p>
      <w:pPr>
        <w:spacing w:line="400" w:lineRule="exact"/>
        <w:ind w:firstLine="420" w:firstLineChars="200"/>
        <w:rPr>
          <w:rFonts w:ascii="宋体" w:hAnsi="宋体"/>
          <w:color w:val="000000"/>
        </w:rPr>
      </w:pPr>
      <w:r>
        <w:rPr>
          <w:rFonts w:ascii="宋体" w:hAnsi="宋体"/>
          <w:color w:val="000000"/>
        </w:rPr>
        <w:t>通过HMAC使用共享密钥进行事务保护并不是可扩展的解决方案，TSIG规范仅在区传送和动态更新事务中广泛应用。这些DNS事务在相同管理域中的服务器间或在前期建立的交互域中的服务器间。</w:t>
      </w:r>
    </w:p>
    <w:p>
      <w:pPr>
        <w:spacing w:line="400" w:lineRule="exact"/>
        <w:ind w:firstLine="420" w:firstLineChars="200"/>
        <w:rPr>
          <w:rFonts w:ascii="宋体" w:hAnsi="宋体"/>
          <w:color w:val="000000"/>
        </w:rPr>
      </w:pPr>
      <w:r>
        <w:rPr>
          <w:rFonts w:ascii="宋体" w:hAnsi="宋体"/>
          <w:color w:val="000000"/>
        </w:rPr>
        <w:t>通过DNS消息发送方生成的MAC或散列值被放置于追加到DNS消息中称作TSIG record的新RR中。TSIG 记录，除了生成的散列值外，包含内容如下：</w:t>
      </w:r>
    </w:p>
    <w:p>
      <w:pPr>
        <w:numPr>
          <w:ilvl w:val="1"/>
          <w:numId w:val="31"/>
        </w:numPr>
        <w:spacing w:line="400" w:lineRule="exact"/>
        <w:ind w:left="840"/>
        <w:rPr>
          <w:rFonts w:ascii="宋体" w:hAnsi="宋体"/>
          <w:color w:val="000000"/>
        </w:rPr>
      </w:pPr>
      <w:r>
        <w:rPr>
          <w:rFonts w:ascii="宋体" w:hAnsi="宋体"/>
          <w:color w:val="000000"/>
        </w:rPr>
        <w:t>散列算法的名称</w:t>
      </w:r>
      <w:r>
        <w:rPr>
          <w:rFonts w:ascii="宋体" w:hAnsi="宋体" w:hint="eastAsia"/>
          <w:color w:val="000000"/>
        </w:rPr>
        <w:t>；</w:t>
      </w:r>
    </w:p>
    <w:p>
      <w:pPr>
        <w:numPr>
          <w:ilvl w:val="1"/>
          <w:numId w:val="31"/>
        </w:numPr>
        <w:spacing w:line="400" w:lineRule="exact"/>
        <w:ind w:left="840"/>
        <w:rPr>
          <w:rFonts w:ascii="宋体" w:hAnsi="宋体"/>
          <w:color w:val="000000"/>
        </w:rPr>
      </w:pPr>
      <w:r>
        <w:rPr>
          <w:rFonts w:ascii="宋体" w:hAnsi="宋体"/>
          <w:color w:val="000000"/>
        </w:rPr>
        <w:t>密钥名称</w:t>
      </w:r>
      <w:r>
        <w:rPr>
          <w:rFonts w:ascii="宋体" w:hAnsi="宋体" w:hint="eastAsia"/>
          <w:color w:val="000000"/>
        </w:rPr>
        <w:t>；</w:t>
      </w:r>
    </w:p>
    <w:p>
      <w:pPr>
        <w:numPr>
          <w:ilvl w:val="1"/>
          <w:numId w:val="31"/>
        </w:numPr>
        <w:spacing w:line="400" w:lineRule="exact"/>
        <w:ind w:left="840"/>
        <w:rPr>
          <w:rFonts w:ascii="宋体" w:hAnsi="宋体"/>
          <w:color w:val="000000"/>
        </w:rPr>
      </w:pPr>
      <w:r>
        <w:rPr>
          <w:rFonts w:ascii="宋体" w:hAnsi="宋体"/>
          <w:color w:val="000000"/>
        </w:rPr>
        <w:t>生成散列的时间（时间戳）</w:t>
      </w:r>
      <w:r>
        <w:rPr>
          <w:rFonts w:ascii="宋体" w:hAnsi="宋体" w:hint="eastAsia"/>
          <w:color w:val="000000"/>
        </w:rPr>
        <w:t>；</w:t>
      </w:r>
    </w:p>
    <w:p>
      <w:pPr>
        <w:numPr>
          <w:ilvl w:val="1"/>
          <w:numId w:val="31"/>
        </w:numPr>
        <w:spacing w:line="400" w:lineRule="exact"/>
        <w:ind w:left="840"/>
        <w:rPr>
          <w:rFonts w:ascii="宋体" w:hAnsi="宋体"/>
          <w:color w:val="000000"/>
        </w:rPr>
      </w:pPr>
      <w:r>
        <w:rPr>
          <w:rFonts w:ascii="宋体" w:hAnsi="宋体" w:hint="eastAsia"/>
          <w:color w:val="000000"/>
        </w:rPr>
        <w:t>“</w:t>
      </w:r>
      <w:r>
        <w:rPr>
          <w:rFonts w:ascii="宋体" w:hAnsi="宋体"/>
          <w:color w:val="000000"/>
        </w:rPr>
        <w:t>Fudge factor</w:t>
      </w:r>
      <w:r>
        <w:rPr>
          <w:rFonts w:ascii="宋体" w:hAnsi="宋体" w:hint="eastAsia"/>
          <w:color w:val="000000"/>
        </w:rPr>
        <w:t>”。</w:t>
      </w:r>
    </w:p>
    <w:p>
      <w:pPr>
        <w:spacing w:line="400" w:lineRule="exact"/>
        <w:ind w:firstLine="420" w:firstLineChars="200"/>
        <w:rPr>
          <w:rFonts w:ascii="宋体" w:hAnsi="宋体"/>
          <w:color w:val="000000"/>
        </w:rPr>
      </w:pPr>
      <w:r>
        <w:rPr>
          <w:rFonts w:ascii="宋体" w:hAnsi="宋体"/>
          <w:color w:val="000000"/>
        </w:rPr>
        <w:t>为了避免攻击者捕获包含MAC的数据包进行延迟发送，接收者应读取MAC生成时间和当前时间，通过fudge factor计算，验证MAC是否在允许有效时间内生成。</w:t>
      </w:r>
    </w:p>
    <w:p>
      <w:pPr>
        <w:spacing w:line="400" w:lineRule="exact"/>
        <w:ind w:firstLine="420" w:firstLineChars="200"/>
        <w:rPr>
          <w:rFonts w:ascii="宋体" w:hAnsi="宋体"/>
          <w:color w:val="000000"/>
        </w:rPr>
      </w:pPr>
      <w:r>
        <w:rPr>
          <w:rFonts w:ascii="宋体" w:hAnsi="宋体"/>
          <w:color w:val="000000"/>
        </w:rPr>
        <w:t>Fudge factor字段指定MAC生成时间后的持续时间，通过对MAC生成时间进行</w:t>
      </w:r>
      <w:r>
        <w:rPr>
          <w:rFonts w:ascii="宋体" w:hAnsi="宋体" w:hint="eastAsia"/>
          <w:color w:val="000000"/>
        </w:rPr>
        <w:t>“</w:t>
      </w:r>
      <w:r>
        <w:rPr>
          <w:rFonts w:ascii="宋体" w:hAnsi="宋体"/>
          <w:color w:val="000000"/>
        </w:rPr>
        <w:t>Fudge factor</w:t>
      </w:r>
      <w:r>
        <w:rPr>
          <w:rFonts w:ascii="宋体" w:hAnsi="宋体" w:hint="eastAsia"/>
          <w:color w:val="000000"/>
        </w:rPr>
        <w:t>”</w:t>
      </w:r>
      <w:r>
        <w:rPr>
          <w:rFonts w:ascii="宋体" w:hAnsi="宋体"/>
          <w:color w:val="000000"/>
        </w:rPr>
        <w:t>计算获得MAC生成方和验证方主机的允许时间偏差。</w:t>
      </w:r>
    </w:p>
    <w:p>
      <w:pPr>
        <w:spacing w:line="400" w:lineRule="exact"/>
        <w:ind w:firstLine="420" w:firstLineChars="200"/>
        <w:rPr>
          <w:rFonts w:ascii="宋体" w:hAnsi="宋体"/>
          <w:color w:val="000000"/>
        </w:rPr>
      </w:pPr>
      <w:r>
        <w:rPr>
          <w:rFonts w:ascii="宋体" w:hAnsi="宋体"/>
          <w:color w:val="000000"/>
        </w:rPr>
        <w:t>验证过程包括接收者找到匹配密钥，生成所接收DNS消息的散列值，与接收到的散列值进行比较。在此过程中，接收的域名服务器执行以下验证：</w:t>
      </w:r>
    </w:p>
    <w:p>
      <w:pPr>
        <w:spacing w:line="400" w:lineRule="exact"/>
        <w:ind w:firstLine="420" w:firstLineChars="200"/>
        <w:rPr>
          <w:rFonts w:ascii="宋体" w:hAnsi="宋体"/>
          <w:color w:val="000000"/>
        </w:rPr>
      </w:pPr>
      <w:r>
        <w:rPr>
          <w:rFonts w:ascii="宋体" w:hAnsi="宋体"/>
          <w:color w:val="000000"/>
        </w:rPr>
        <w:t>a）消息验证来自一个授权来源</w:t>
      </w:r>
      <w:r>
        <w:rPr>
          <w:rFonts w:ascii="宋体" w:hAnsi="宋体" w:hint="eastAsia"/>
          <w:color w:val="000000"/>
        </w:rPr>
        <w:t>；</w:t>
      </w:r>
    </w:p>
    <w:p>
      <w:pPr>
        <w:spacing w:line="400" w:lineRule="exact"/>
        <w:ind w:firstLine="420" w:firstLineChars="200"/>
        <w:rPr>
          <w:rFonts w:ascii="宋体" w:hAnsi="宋体"/>
          <w:color w:val="000000"/>
        </w:rPr>
      </w:pPr>
      <w:r>
        <w:rPr>
          <w:rFonts w:ascii="宋体" w:hAnsi="宋体"/>
          <w:color w:val="000000"/>
        </w:rPr>
        <w:t>b）消息传递过程中未被修改</w:t>
      </w:r>
      <w:r>
        <w:rPr>
          <w:rFonts w:ascii="宋体" w:hAnsi="宋体" w:hint="eastAsia"/>
          <w:color w:val="000000"/>
        </w:rPr>
        <w:t>。</w:t>
      </w:r>
    </w:p>
    <w:p>
      <w:pPr>
        <w:spacing w:line="400" w:lineRule="exact"/>
        <w:ind w:firstLine="420" w:firstLineChars="200"/>
        <w:rPr>
          <w:rFonts w:ascii="宋体" w:hAnsi="宋体"/>
          <w:color w:val="000000"/>
        </w:rPr>
      </w:pPr>
      <w:r>
        <w:rPr>
          <w:rFonts w:ascii="宋体" w:hAnsi="宋体"/>
          <w:color w:val="000000"/>
        </w:rPr>
        <w:t>建立使用TSIG来启用DNS事务的环境，需如下操作：</w:t>
      </w:r>
      <w:r>
        <w:rPr>
          <w:rFonts w:ascii="宋体" w:hAnsi="宋体"/>
          <w:color w:val="000000"/>
        </w:rPr>
        <w:br/>
      </w:r>
      <w:r>
        <w:rPr>
          <w:rFonts w:ascii="宋体" w:hAnsi="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2" w:history="1">
        <w:r>
          <w:rPr>
            <w:rFonts w:ascii="SimSun" w:eastAsia="SimSun" w:hAnsi="SimSun" w:cs="SimSun"/>
            <w:b/>
            <w:bCs/>
            <w:color w:val="0000EE"/>
            <w:kern w:val="0"/>
            <w:sz w:val="30"/>
            <w:szCs w:val="30"/>
            <w:u w:val="single" w:color="0000EE"/>
          </w:rPr>
          <w:t>https://d.book118.com/885324212143011110</w:t>
        </w:r>
      </w:hyperlink>
    </w:p>
    <w:p>
      <w:pPr>
        <w:spacing w:line="400" w:lineRule="exact"/>
        <w:ind w:firstLine="420" w:firstLineChars="200"/>
        <w:rPr>
          <w:rFonts w:ascii="宋体" w:hAnsi="宋体"/>
          <w:color w:val="000000"/>
        </w:rPr>
      </w:pPr>
    </w:p>
    <w:sectPr>
      <w:headerReference w:type="even" r:id="rId103"/>
      <w:headerReference w:type="default" r:id="rId104"/>
      <w:footerReference w:type="even" r:id="rId105"/>
      <w:footerReference w:type="default" r:id="rId106"/>
      <w:headerReference w:type="first" r:id="rId107"/>
      <w:footerReference w:type="first" r:id="rId108"/>
      <w:type w:val="nextPage"/>
      <w:pgSz w:w="11907" w:h="16839"/>
      <w:pgMar w:top="1418" w:right="1134" w:bottom="1134" w:left="1418" w:header="1418" w:footer="851"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II</w:t>
    </w:r>
    <w:r>
      <w:rPr>
        <w:rFonts w:ascii="宋体" w:hAnsi="宋体"/>
      </w:rPr>
      <w:fldChar w:fldCharType="end"/>
    </w:r>
  </w:p>
  <w:p>
    <w:pPr>
      <w:pStyle w:val="Footer"/>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Pr>
    </w:pPr>
    <w:r>
      <w:fldChar w:fldCharType="begin"/>
    </w:r>
    <w:r>
      <w:rPr>
        <w:rStyle w:val="PageNumber"/>
      </w:rPr>
      <w:instrText xml:space="preserve">PAGE  </w:instrText>
    </w:r>
    <w:r>
      <w:fldChar w:fldCharType="separate"/>
    </w:r>
    <w:r>
      <w:rPr>
        <w:rStyle w:val="PageNumber"/>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30</w:t>
    </w:r>
    <w:r>
      <w:rPr>
        <w:rFonts w:ascii="宋体" w:hAnsi="宋体"/>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1</w:t>
    </w:r>
    <w:r>
      <w:rPr>
        <w:rFonts w:ascii="宋体" w:hAnsi="宋体"/>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30</w:t>
    </w:r>
    <w:r>
      <w:rPr>
        <w:rFonts w:ascii="宋体" w:hAnsi="宋体"/>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1</w:t>
    </w:r>
    <w:r>
      <w:rPr>
        <w:rFonts w:ascii="宋体" w:hAnsi="宋体"/>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2</w:t>
    </w:r>
    <w:r>
      <w:rPr>
        <w:rFonts w:ascii="宋体" w:hAnsi="宋体"/>
        <w:lang w:val="zh-CN"/>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4</w:t>
    </w:r>
    <w:r>
      <w:rPr>
        <w:rFonts w:ascii="宋体" w:hAnsi="宋体"/>
        <w:lang w:val="zh-CN"/>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w:t>
    </w:r>
    <w:r>
      <w:rPr>
        <w:rFonts w:ascii="宋体" w:hAnsi="宋体"/>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4</w:t>
    </w:r>
    <w:r>
      <w:rPr>
        <w:rFonts w:ascii="宋体" w:hAnsi="宋体"/>
        <w:lang w:val="zh-CN"/>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30</w:t>
    </w:r>
    <w:r>
      <w:rPr>
        <w:rFonts w:ascii="宋体" w:hAnsi="宋体"/>
        <w:lang w:val="zh-CN"/>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5</w:t>
    </w:r>
    <w:r>
      <w:rPr>
        <w:rFonts w:ascii="宋体" w:hAnsi="宋体"/>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6</w:t>
    </w:r>
    <w:r>
      <w:rPr>
        <w:rFonts w:ascii="宋体" w:hAnsi="宋体"/>
        <w:lang w:val="zh-CN"/>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30</w:t>
    </w:r>
    <w:r>
      <w:rPr>
        <w:rFonts w:ascii="宋体" w:hAnsi="宋体"/>
        <w:lang w:val="zh-CN"/>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7</w:t>
    </w:r>
    <w:r>
      <w:rPr>
        <w:rFonts w:ascii="宋体" w:hAnsi="宋体"/>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8</w:t>
    </w:r>
    <w:r>
      <w:rPr>
        <w:rFonts w:ascii="宋体" w:hAnsi="宋体"/>
        <w:lang w:val="zh-CN"/>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30</w:t>
    </w:r>
    <w:r>
      <w:rPr>
        <w:rFonts w:ascii="宋体" w:hAnsi="宋体"/>
        <w:lang w:val="zh-CN"/>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9</w:t>
    </w:r>
    <w:r>
      <w:rPr>
        <w:rFonts w:ascii="宋体" w:hAnsi="宋体"/>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10</w:t>
    </w:r>
    <w:r>
      <w:rPr>
        <w:rFonts w:ascii="宋体" w:hAnsi="宋体"/>
        <w:lang w:val="zh-CN"/>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12</w:t>
    </w:r>
    <w:r>
      <w:rPr>
        <w:rFonts w:ascii="宋体" w:hAnsi="宋体"/>
        <w:lang w:val="zh-CN"/>
      </w:rP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11</w:t>
    </w:r>
    <w:r>
      <w:rPr>
        <w:rFonts w:ascii="宋体" w:hAnsi="宋体"/>
      </w:rP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12</w:t>
    </w:r>
    <w:r>
      <w:rPr>
        <w:rFonts w:ascii="宋体" w:hAnsi="宋体"/>
        <w:lang w:val="zh-CN"/>
      </w:rPr>
      <w:fldChar w:fldCharType="end"/>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14</w:t>
    </w:r>
    <w:r>
      <w:rPr>
        <w:rFonts w:ascii="宋体" w:hAnsi="宋体"/>
        <w:lang w:val="zh-CN"/>
      </w:rPr>
      <w:fldChar w:fldCharType="end"/>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13</w:t>
    </w:r>
    <w:r>
      <w:rPr>
        <w:rFonts w:ascii="宋体" w:hAnsi="宋体"/>
      </w:rP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left"/>
      <w:rPr>
        <w:rFonts w:ascii="宋体" w:hAnsi="宋体"/>
      </w:rPr>
    </w:pP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rPr>
      <w:t>14</w:t>
    </w:r>
    <w:r>
      <w:rPr>
        <w:rFonts w:ascii="宋体" w:hAnsi="宋体"/>
        <w:lang w:val="zh-CN"/>
      </w:rPr>
      <w:fldChar w:fldCharType="end"/>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Style w:val="PageNumber"/>
        <w:rFonts w:ascii="宋体" w:hAnsi="宋体"/>
      </w:rPr>
    </w:pPr>
    <w:r>
      <w:rPr>
        <w:rFonts w:ascii="宋体" w:hAnsi="宋体"/>
      </w:rPr>
      <w:fldChar w:fldCharType="begin"/>
    </w:r>
    <w:r>
      <w:rPr>
        <w:rStyle w:val="PageNumber"/>
        <w:rFonts w:ascii="宋体" w:hAnsi="宋体"/>
      </w:rPr>
      <w:instrText xml:space="preserve">PAGE  </w:instrText>
    </w:r>
    <w:r>
      <w:rPr>
        <w:rFonts w:ascii="宋体" w:hAnsi="宋体"/>
      </w:rPr>
      <w:fldChar w:fldCharType="separate"/>
    </w:r>
    <w:r>
      <w:rPr>
        <w:rStyle w:val="PageNumber"/>
        <w:rFonts w:ascii="宋体" w:hAnsi="宋体"/>
      </w:rPr>
      <w:t>31</w:t>
    </w:r>
    <w:r>
      <w:rPr>
        <w:rFonts w:ascii="宋体" w:hAnsi="宋体"/>
      </w:rPr>
      <w:fldChar w:fldCharType="end"/>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pPr>
      <w:r>
        <w:rPr>
          <w:rStyle w:val="FootnoteReference"/>
        </w:rPr>
        <w:t>1</w:t>
      </w:r>
      <w:r>
        <w:rPr>
          <w:rStyle w:val="FootnoteReference"/>
          <w:rFonts w:ascii="Symbol" w:hAnsi="Symbol"/>
        </w:rPr>
        <w:sym w:font="Symbol" w:char="F029"/>
      </w:r>
      <w:r>
        <w:t xml:space="preserve"> </w:t>
      </w:r>
      <w:r>
        <w:rPr>
          <w:rFonts w:ascii="宋体" w:hAnsi="宋体" w:cs="Arial" w:hint="eastAsia"/>
        </w:rPr>
        <w:t>Bind是使用最广泛的Domain Name Server，原本bind的版本一直在 4.8.x-4.9.x，后经过功能大幅度改进，并修复漏洞发展到8.1.x。现在bind有两个版本在同时发展，bind 8.x 和 bind 9.x，最新版本是8.3.3和9.2.1。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left"/>
      <w:rPr>
        <w:rFonts w:ascii="黑体" w:eastAsia="黑体" w:hAnsi="黑体"/>
        <w:sz w:val="21"/>
        <w:szCs w:val="21"/>
      </w:rPr>
    </w:pPr>
    <w:r>
      <w:rPr>
        <w:rFonts w:ascii="黑体" w:eastAsia="黑体" w:hAnsi="黑体"/>
        <w:sz w:val="21"/>
        <w:szCs w:val="21"/>
      </w:rPr>
      <w:t>GB/T XXXXX—XXXX</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220"/>
      <w:jc w:val="right"/>
      <w:rPr>
        <w:rFonts w:ascii="黑体" w:eastAsia="黑体" w:hAnsi="黑体"/>
        <w:sz w:val="21"/>
        <w:szCs w:val="21"/>
      </w:rPr>
    </w:pPr>
    <w:r>
      <w:rPr>
        <w:rFonts w:ascii="黑体" w:eastAsia="黑体" w:hAnsi="黑体"/>
        <w:sz w:val="21"/>
        <w:szCs w:val="21"/>
      </w:rPr>
      <w:t>GB/T XXXXX—XXXX</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185C61"/>
    <w:multiLevelType w:val="multilevel"/>
    <w:tmpl w:val="03185C61"/>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0446308B"/>
    <w:multiLevelType w:val="multilevel"/>
    <w:tmpl w:val="0446308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9134A39"/>
    <w:multiLevelType w:val="multilevel"/>
    <w:tmpl w:val="09134A39"/>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11.6.%4"/>
      <w:lvlJc w:val="left"/>
      <w:pPr>
        <w:ind w:left="0" w:firstLine="0"/>
      </w:pPr>
      <w:rPr>
        <w:rFonts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100B3B17"/>
    <w:multiLevelType w:val="multilevel"/>
    <w:tmpl w:val="100B3B1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115E081A"/>
    <w:multiLevelType w:val="multilevel"/>
    <w:tmpl w:val="115E081A"/>
    <w:lvl w:ilvl="0">
      <w:start w:val="1"/>
      <w:numFmt w:val="decimal"/>
      <w:pStyle w:val="a52"/>
      <w:suff w:val="nothing"/>
      <w:lvlText w:val="%1  "/>
      <w:lvlJc w:val="left"/>
      <w:pPr>
        <w:ind w:left="0" w:firstLine="0"/>
      </w:pPr>
      <w:rPr>
        <w:rFonts w:ascii="黑体" w:eastAsia="黑体" w:hint="eastAsia"/>
        <w:b w:val="0"/>
        <w:i w:val="0"/>
        <w:caps w:val="0"/>
        <w:smallCaps w:val="0"/>
        <w:strike w:val="0"/>
        <w:dstrike w:val="0"/>
        <w:outline w:val="0"/>
        <w:shadow w:val="0"/>
        <w:spacing w:val="0"/>
        <w:w w:val="100"/>
        <w:kern w:val="21"/>
        <w:position w:val="0"/>
        <w:sz w:val="21"/>
        <w:u w:val="none"/>
      </w:rPr>
    </w:lvl>
    <w:lvl w:ilvl="1">
      <w:start w:val="1"/>
      <w:numFmt w:val="decimal"/>
      <w:pStyle w:val="10"/>
      <w:suff w:val="nothing"/>
      <w:lvlText w:val="%1.%2  "/>
      <w:lvlJc w:val="left"/>
      <w:pPr>
        <w:ind w:left="0" w:firstLine="0"/>
      </w:pPr>
      <w:rPr>
        <w:rFonts w:ascii="黑体" w:eastAsia="黑体" w:hint="eastAsia"/>
        <w:b w:val="0"/>
        <w:i w:val="0"/>
        <w:caps w:val="0"/>
        <w:smallCaps w:val="0"/>
        <w:strike w:val="0"/>
        <w:dstrike w:val="0"/>
        <w:outline w:val="0"/>
        <w:shadow w:val="0"/>
        <w:spacing w:val="0"/>
        <w:w w:val="100"/>
        <w:kern w:val="21"/>
        <w:position w:val="0"/>
        <w:sz w:val="21"/>
        <w:u w:val="none"/>
      </w:rPr>
    </w:lvl>
    <w:lvl w:ilvl="2">
      <w:start w:val="1"/>
      <w:numFmt w:val="decimal"/>
      <w:pStyle w:val="20"/>
      <w:suff w:val="nothing"/>
      <w:lvlText w:val="%1.%2.%3  "/>
      <w:lvlJc w:val="left"/>
      <w:pPr>
        <w:ind w:left="0" w:firstLine="0"/>
      </w:pPr>
      <w:rPr>
        <w:rFonts w:ascii="黑体" w:eastAsia="黑体" w:hint="eastAsia"/>
        <w:b w:val="0"/>
        <w:i w:val="0"/>
        <w:caps w:val="0"/>
        <w:smallCaps w:val="0"/>
        <w:strike w:val="0"/>
        <w:dstrike w:val="0"/>
        <w:outline w:val="0"/>
        <w:shadow w:val="0"/>
        <w:spacing w:val="0"/>
        <w:w w:val="100"/>
        <w:kern w:val="21"/>
        <w:position w:val="0"/>
        <w:sz w:val="21"/>
        <w:u w:val="none"/>
      </w:rPr>
    </w:lvl>
    <w:lvl w:ilvl="3">
      <w:start w:val="1"/>
      <w:numFmt w:val="decimal"/>
      <w:pStyle w:val="3"/>
      <w:suff w:val="nothing"/>
      <w:lvlText w:val="%1.%2.%3.%4  "/>
      <w:lvlJc w:val="left"/>
      <w:pPr>
        <w:ind w:left="0" w:firstLine="0"/>
      </w:pPr>
      <w:rPr>
        <w:rFonts w:ascii="黑体" w:eastAsia="黑体" w:hint="eastAsia"/>
        <w:b w:val="0"/>
        <w:i w:val="0"/>
        <w:caps w:val="0"/>
        <w:smallCaps w:val="0"/>
        <w:strike w:val="0"/>
        <w:dstrike w:val="0"/>
        <w:outline w:val="0"/>
        <w:shadow w:val="0"/>
        <w:spacing w:val="0"/>
        <w:w w:val="100"/>
        <w:kern w:val="21"/>
        <w:position w:val="0"/>
        <w:sz w:val="21"/>
        <w:u w:val="none"/>
      </w:rPr>
    </w:lvl>
    <w:lvl w:ilvl="4">
      <w:start w:val="1"/>
      <w:numFmt w:val="decimal"/>
      <w:pStyle w:val="4"/>
      <w:suff w:val="nothing"/>
      <w:lvlText w:val="%1.%2.%3.%4.%5  "/>
      <w:lvlJc w:val="left"/>
      <w:pPr>
        <w:ind w:left="0" w:firstLine="0"/>
      </w:pPr>
      <w:rPr>
        <w:rFonts w:ascii="黑体" w:eastAsia="黑体" w:hint="eastAsia"/>
        <w:b w:val="0"/>
        <w:i w:val="0"/>
        <w:caps w:val="0"/>
        <w:smallCaps w:val="0"/>
        <w:strike w:val="0"/>
        <w:dstrike w:val="0"/>
        <w:outline w:val="0"/>
        <w:shadow w:val="0"/>
        <w:spacing w:val="0"/>
        <w:w w:val="100"/>
        <w:kern w:val="21"/>
        <w:position w:val="0"/>
        <w:sz w:val="21"/>
        <w:u w:val="none"/>
      </w:rPr>
    </w:lvl>
    <w:lvl w:ilvl="5">
      <w:start w:val="1"/>
      <w:numFmt w:val="decimal"/>
      <w:pStyle w:val="5"/>
      <w:suff w:val="nothing"/>
      <w:lvlText w:val="%1.%2.%3.%4.%5.%6  "/>
      <w:lvlJc w:val="left"/>
      <w:pPr>
        <w:ind w:left="0" w:firstLine="0"/>
      </w:pPr>
      <w:rPr>
        <w:rFonts w:ascii="黑体" w:eastAsia="黑体" w:hint="eastAsia"/>
        <w:b w:val="0"/>
        <w:i w:val="0"/>
        <w:caps w:val="0"/>
        <w:smallCaps w:val="0"/>
        <w:strike w:val="0"/>
        <w:dstrike w:val="0"/>
        <w:outline w:val="0"/>
        <w:shadow w:val="0"/>
        <w:spacing w:val="0"/>
        <w:w w:val="100"/>
        <w:kern w:val="21"/>
        <w:position w:val="0"/>
        <w:sz w:val="21"/>
        <w:u w:val="none"/>
      </w:rPr>
    </w:lvl>
    <w:lvl w:ilvl="6">
      <w:start w:val="1"/>
      <w:numFmt w:val="lowerRoman"/>
      <w:lvlText w:val="(%7)"/>
      <w:lvlJc w:val="left"/>
      <w:pPr>
        <w:tabs>
          <w:tab w:val="left" w:pos="5528"/>
        </w:tabs>
        <w:ind w:left="5102" w:firstLine="0"/>
      </w:pPr>
    </w:lvl>
    <w:lvl w:ilvl="7">
      <w:start w:val="1"/>
      <w:numFmt w:val="lowerLetter"/>
      <w:lvlText w:val="(%8)"/>
      <w:lvlJc w:val="left"/>
      <w:pPr>
        <w:tabs>
          <w:tab w:val="left" w:pos="6378"/>
        </w:tabs>
        <w:ind w:left="5953" w:firstLine="0"/>
      </w:pPr>
    </w:lvl>
    <w:lvl w:ilvl="8">
      <w:start w:val="1"/>
      <w:numFmt w:val="lowerRoman"/>
      <w:lvlText w:val="(%9)"/>
      <w:lvlJc w:val="left"/>
      <w:pPr>
        <w:tabs>
          <w:tab w:val="left" w:pos="7228"/>
        </w:tabs>
        <w:ind w:left="6803" w:firstLine="0"/>
      </w:pPr>
    </w:lvl>
  </w:abstractNum>
  <w:abstractNum w:abstractNumId="5">
    <w:nsid w:val="130B3D9A"/>
    <w:multiLevelType w:val="multilevel"/>
    <w:tmpl w:val="130B3D9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14233A5E"/>
    <w:multiLevelType w:val="multilevel"/>
    <w:tmpl w:val="14233A5E"/>
    <w:lvl w:ilvl="0">
      <w:start w:val="7"/>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nsid w:val="14FC433E"/>
    <w:multiLevelType w:val="multilevel"/>
    <w:tmpl w:val="14FC433E"/>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11.5.%4"/>
      <w:lvlJc w:val="left"/>
      <w:pPr>
        <w:ind w:left="0" w:firstLine="0"/>
      </w:pPr>
      <w:rPr>
        <w:rFonts w:ascii="黑体" w:eastAsia="黑体" w:hAnsi="黑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nsid w:val="159768CB"/>
    <w:multiLevelType w:val="multilevel"/>
    <w:tmpl w:val="159768CB"/>
    <w:lvl w:ilvl="0">
      <w:start w:val="8"/>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nsid w:val="1A917110"/>
    <w:multiLevelType w:val="multilevel"/>
    <w:tmpl w:val="1A91711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EF8351E"/>
    <w:multiLevelType w:val="multilevel"/>
    <w:tmpl w:val="1EF8351E"/>
    <w:lvl w:ilvl="0">
      <w:start w:val="1"/>
      <w:numFmt w:val="lowerLetter"/>
      <w:lvlText w:val="%1)"/>
      <w:lvlJc w:val="left"/>
      <w:pPr>
        <w:ind w:left="840" w:hanging="420"/>
      </w:pPr>
      <w:rPr>
        <w:rFonts w:ascii="宋体" w:eastAsia="宋体" w:hAnsi="宋体"/>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FC91163"/>
    <w:multiLevelType w:val="multilevel"/>
    <w:tmpl w:val="1FC91163"/>
    <w:lvl w:ilvl="0">
      <w:start w:val="1"/>
      <w:numFmt w:val="decimal"/>
      <w:pStyle w:val="a9"/>
      <w:suff w:val="nothing"/>
      <w:lvlText w:val="%1　"/>
      <w:lvlJc w:val="left"/>
      <w:pPr>
        <w:ind w:left="0" w:firstLine="0"/>
      </w:pPr>
      <w:rPr>
        <w:rFonts w:ascii="黑体" w:eastAsia="黑体" w:hAnsi="Times New Roman" w:hint="eastAsia"/>
        <w:b w:val="0"/>
        <w:i w:val="0"/>
        <w:sz w:val="21"/>
        <w:szCs w:val="21"/>
      </w:rPr>
    </w:lvl>
    <w:lvl w:ilvl="1">
      <w:start w:val="1"/>
      <w:numFmt w:val="decimal"/>
      <w:pStyle w:val="a1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spacing w:val="0"/>
        <w:kern w:val="0"/>
        <w:position w:val="0"/>
        <w:sz w:val="21"/>
        <w:szCs w:val="21"/>
        <w:u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36"/>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nsid w:val="225A7C5A"/>
    <w:multiLevelType w:val="multilevel"/>
    <w:tmpl w:val="225A7C5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23E36179"/>
    <w:multiLevelType w:val="multilevel"/>
    <w:tmpl w:val="23E36179"/>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8.2.%4"/>
      <w:lvlJc w:val="left"/>
      <w:pPr>
        <w:ind w:left="0" w:firstLine="0"/>
      </w:pPr>
      <w:rPr>
        <w:rFonts w:ascii="黑体" w:eastAsia="黑体" w:hAnsi="黑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4">
    <w:nsid w:val="24F749B3"/>
    <w:multiLevelType w:val="multilevel"/>
    <w:tmpl w:val="24F749B3"/>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256D6DF7"/>
    <w:multiLevelType w:val="multilevel"/>
    <w:tmpl w:val="256D6DF7"/>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8.3.%4"/>
      <w:lvlJc w:val="left"/>
      <w:pPr>
        <w:ind w:left="0" w:firstLine="0"/>
      </w:pPr>
      <w:rPr>
        <w:rFonts w:ascii="黑体" w:eastAsia="黑体" w:hAnsi="黑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nsid w:val="25EE48B9"/>
    <w:multiLevelType w:val="multilevel"/>
    <w:tmpl w:val="25EE48B9"/>
    <w:lvl w:ilvl="0">
      <w:start w:val="7"/>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7">
    <w:nsid w:val="27801F50"/>
    <w:multiLevelType w:val="multilevel"/>
    <w:tmpl w:val="27801F5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nsid w:val="2A44327B"/>
    <w:multiLevelType w:val="multilevel"/>
    <w:tmpl w:val="2A44327B"/>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7.3.%4"/>
      <w:lvlJc w:val="left"/>
      <w:pPr>
        <w:ind w:left="0" w:firstLine="0"/>
      </w:pPr>
      <w:rPr>
        <w:rFonts w:ascii="黑体" w:eastAsia="黑体" w:hAnsi="黑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9">
    <w:nsid w:val="2B261471"/>
    <w:multiLevelType w:val="multilevel"/>
    <w:tmpl w:val="2B261471"/>
    <w:lvl w:ilvl="0">
      <w:start w:val="1"/>
      <w:numFmt w:val="lowerLetter"/>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0">
    <w:nsid w:val="2BB2070B"/>
    <w:multiLevelType w:val="multilevel"/>
    <w:tmpl w:val="2BB2070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EDD1A2C"/>
    <w:multiLevelType w:val="multilevel"/>
    <w:tmpl w:val="2EDD1A2C"/>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3612058F"/>
    <w:multiLevelType w:val="multilevel"/>
    <w:tmpl w:val="3612058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nsid w:val="3762649F"/>
    <w:multiLevelType w:val="multilevel"/>
    <w:tmpl w:val="3762649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C553FBD"/>
    <w:multiLevelType w:val="multilevel"/>
    <w:tmpl w:val="3C553FB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438207E2"/>
    <w:multiLevelType w:val="multilevel"/>
    <w:tmpl w:val="438207E2"/>
    <w:lvl w:ilvl="0">
      <w:start w:val="7"/>
      <w:numFmt w:val="decimal"/>
      <w:lvlText w:val="%1"/>
      <w:lvlJc w:val="left"/>
      <w:pPr>
        <w:tabs>
          <w:tab w:val="left" w:pos="360"/>
        </w:tabs>
        <w:ind w:left="360" w:hanging="360"/>
      </w:pPr>
      <w:rPr>
        <w:rFonts w:hint="default"/>
      </w:rPr>
    </w:lvl>
    <w:lvl w:ilvl="1">
      <w:start w:val="2"/>
      <w:numFmt w:val="decimal"/>
      <w:pStyle w:val="a54"/>
      <w:lvlText w:val="%1.%2"/>
      <w:lvlJc w:val="left"/>
      <w:pPr>
        <w:tabs>
          <w:tab w:val="left" w:pos="360"/>
        </w:tabs>
        <w:ind w:left="360" w:hanging="36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1800"/>
        </w:tabs>
        <w:ind w:left="1800" w:hanging="1800"/>
      </w:pPr>
      <w:rPr>
        <w:rFonts w:hint="default"/>
      </w:rPr>
    </w:lvl>
  </w:abstractNum>
  <w:abstractNum w:abstractNumId="26">
    <w:nsid w:val="46806F7D"/>
    <w:multiLevelType w:val="multilevel"/>
    <w:tmpl w:val="46806F7D"/>
    <w:lvl w:ilvl="0">
      <w:start w:val="1"/>
      <w:numFmt w:val="none"/>
      <w:pStyle w:val="a28"/>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46D22D8F"/>
    <w:multiLevelType w:val="multilevel"/>
    <w:tmpl w:val="46D22D8F"/>
    <w:lvl w:ilvl="0">
      <w:start w:val="1"/>
      <w:numFmt w:val="none"/>
      <w:pStyle w:val="a51"/>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47485ACB"/>
    <w:multiLevelType w:val="multilevel"/>
    <w:tmpl w:val="47485AC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4E2100FB"/>
    <w:multiLevelType w:val="multilevel"/>
    <w:tmpl w:val="4E2100FB"/>
    <w:lvl w:ilvl="0">
      <w:start w:val="1"/>
      <w:numFmt w:val="lowerLetter"/>
      <w:lvlText w:val="%1)"/>
      <w:lvlJc w:val="left"/>
      <w:pPr>
        <w:ind w:left="840" w:hanging="420"/>
      </w:pPr>
      <w:rPr>
        <w:rFonts w:ascii="宋体" w:eastAsia="宋体" w:hAnsi="宋体"/>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4F302902"/>
    <w:multiLevelType w:val="multilevel"/>
    <w:tmpl w:val="4F302902"/>
    <w:lvl w:ilvl="0">
      <w:start w:val="1"/>
      <w:numFmt w:val="none"/>
      <w:pStyle w:val="a22"/>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505F16F6"/>
    <w:multiLevelType w:val="multilevel"/>
    <w:tmpl w:val="505F16F6"/>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527109C3"/>
    <w:multiLevelType w:val="multilevel"/>
    <w:tmpl w:val="527109C3"/>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584B6B34"/>
    <w:multiLevelType w:val="multilevel"/>
    <w:tmpl w:val="584B6B34"/>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5D8863B4"/>
    <w:multiLevelType w:val="multilevel"/>
    <w:tmpl w:val="5D8863B4"/>
    <w:lvl w:ilvl="0">
      <w:start w:val="1"/>
      <w:numFmt w:val="lowerLetter"/>
      <w:lvlText w:val="%1)"/>
      <w:lvlJc w:val="left"/>
      <w:pPr>
        <w:ind w:left="1260" w:hanging="4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5">
    <w:nsid w:val="5EEF4B43"/>
    <w:multiLevelType w:val="multilevel"/>
    <w:tmpl w:val="5EEF4B43"/>
    <w:lvl w:ilvl="0">
      <w:start w:val="1"/>
      <w:numFmt w:val="lowerLetter"/>
      <w:lvlText w:val="%1)"/>
      <w:lvlJc w:val="left"/>
      <w:pPr>
        <w:ind w:left="840" w:hanging="420"/>
      </w:pPr>
      <w:rPr>
        <w:rFonts w:ascii="宋体" w:eastAsia="宋体" w:hAnsi="宋体"/>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62162185"/>
    <w:multiLevelType w:val="multilevel"/>
    <w:tmpl w:val="62162185"/>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6350366A"/>
    <w:multiLevelType w:val="multilevel"/>
    <w:tmpl w:val="6350366A"/>
    <w:lvl w:ilvl="0">
      <w:start w:val="1"/>
      <w:numFmt w:val="none"/>
      <w:pStyle w:val="a31"/>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nsid w:val="657D3FBC"/>
    <w:multiLevelType w:val="multilevel"/>
    <w:tmpl w:val="657D3FBC"/>
    <w:lvl w:ilvl="0">
      <w:start w:val="1"/>
      <w:numFmt w:val="upperLetter"/>
      <w:pStyle w:val="a21"/>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9">
    <w:nsid w:val="67050195"/>
    <w:multiLevelType w:val="multilevel"/>
    <w:tmpl w:val="67050195"/>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0">
    <w:nsid w:val="6BAF608C"/>
    <w:multiLevelType w:val="multilevel"/>
    <w:tmpl w:val="6BAF608C"/>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11.2.%4"/>
      <w:lvlJc w:val="left"/>
      <w:pPr>
        <w:ind w:left="0" w:firstLine="0"/>
      </w:pPr>
      <w:rPr>
        <w:rFonts w:ascii="黑体" w:eastAsia="黑体" w:hAnsi="黑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ascii="黑体" w:eastAsia="黑体" w:hAnsi="黑体"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2">
    <w:nsid w:val="6EBE475D"/>
    <w:multiLevelType w:val="multilevel"/>
    <w:tmpl w:val="6EBE475D"/>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lvlText w:val="3.%3"/>
      <w:lvlJc w:val="left"/>
      <w:pPr>
        <w:ind w:left="0" w:firstLine="0"/>
      </w:pPr>
      <w:rPr>
        <w:rFonts w:hint="eastAsia"/>
        <w:b w:val="0"/>
        <w:i w:val="0"/>
        <w:sz w:val="21"/>
      </w:rPr>
    </w:lvl>
    <w:lvl w:ilvl="3">
      <w:start w:val="1"/>
      <w:numFmt w:val="decimal"/>
      <w:lvlText w:val="11.3.%4"/>
      <w:lvlJc w:val="left"/>
      <w:pPr>
        <w:ind w:left="0" w:firstLine="0"/>
      </w:pPr>
      <w:rPr>
        <w:rFonts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3">
    <w:nsid w:val="6F2360AA"/>
    <w:multiLevelType w:val="multilevel"/>
    <w:tmpl w:val="6F2360A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71076F5C"/>
    <w:multiLevelType w:val="multilevel"/>
    <w:tmpl w:val="71076F5C"/>
    <w:lvl w:ilvl="0">
      <w:start w:val="1"/>
      <w:numFmt w:val="lowerLetter"/>
      <w:lvlText w:val="%1)"/>
      <w:lvlJc w:val="left"/>
      <w:pPr>
        <w:ind w:left="840" w:hanging="420"/>
      </w:pPr>
    </w:lvl>
    <w:lvl w:ilvl="1">
      <w:start w:val="1"/>
      <w:numFmt w:val="lowerLetter"/>
      <w:lvlText w:val="%2）"/>
      <w:lvlJc w:val="left"/>
      <w:pPr>
        <w:ind w:left="1200" w:hanging="36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nsid w:val="71593740"/>
    <w:multiLevelType w:val="multilevel"/>
    <w:tmpl w:val="7159374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76933334"/>
    <w:multiLevelType w:val="multilevel"/>
    <w:tmpl w:val="76933334"/>
    <w:lvl w:ilvl="0">
      <w:start w:val="1"/>
      <w:numFmt w:val="none"/>
      <w:pStyle w:val="a30"/>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7">
    <w:nsid w:val="7D57429E"/>
    <w:multiLevelType w:val="multilevel"/>
    <w:tmpl w:val="7D57429E"/>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7F9C49EF"/>
    <w:multiLevelType w:val="multilevel"/>
    <w:tmpl w:val="7F9C49E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1"/>
  </w:num>
  <w:num w:numId="2">
    <w:abstractNumId w:val="38"/>
  </w:num>
  <w:num w:numId="3">
    <w:abstractNumId w:val="30"/>
  </w:num>
  <w:num w:numId="4">
    <w:abstractNumId w:val="26"/>
  </w:num>
  <w:num w:numId="5">
    <w:abstractNumId w:val="46"/>
  </w:num>
  <w:num w:numId="6">
    <w:abstractNumId w:val="37"/>
  </w:num>
  <w:num w:numId="7">
    <w:abstractNumId w:val="27"/>
  </w:num>
  <w:num w:numId="8">
    <w:abstractNumId w:val="4"/>
  </w:num>
  <w:num w:numId="9">
    <w:abstractNumId w:val="25"/>
  </w:num>
  <w:num w:numId="10">
    <w:abstractNumId w:val="41"/>
  </w:num>
  <w:num w:numId="11">
    <w:abstractNumId w:val="32"/>
  </w:num>
  <w:num w:numId="12">
    <w:abstractNumId w:val="48"/>
  </w:num>
  <w:num w:numId="13">
    <w:abstractNumId w:val="0"/>
  </w:num>
  <w:num w:numId="14">
    <w:abstractNumId w:val="29"/>
  </w:num>
  <w:num w:numId="15">
    <w:abstractNumId w:val="28"/>
  </w:num>
  <w:num w:numId="16">
    <w:abstractNumId w:val="36"/>
  </w:num>
  <w:num w:numId="17">
    <w:abstractNumId w:val="47"/>
  </w:num>
  <w:num w:numId="18">
    <w:abstractNumId w:val="43"/>
  </w:num>
  <w:num w:numId="19">
    <w:abstractNumId w:val="10"/>
  </w:num>
  <w:num w:numId="20">
    <w:abstractNumId w:val="35"/>
  </w:num>
  <w:num w:numId="21">
    <w:abstractNumId w:val="9"/>
  </w:num>
  <w:num w:numId="22">
    <w:abstractNumId w:val="6"/>
  </w:num>
  <w:num w:numId="23">
    <w:abstractNumId w:val="18"/>
  </w:num>
  <w:num w:numId="24">
    <w:abstractNumId w:val="44"/>
  </w:num>
  <w:num w:numId="25">
    <w:abstractNumId w:val="13"/>
  </w:num>
  <w:num w:numId="26">
    <w:abstractNumId w:val="24"/>
  </w:num>
  <w:num w:numId="27">
    <w:abstractNumId w:val="12"/>
  </w:num>
  <w:num w:numId="28">
    <w:abstractNumId w:val="21"/>
  </w:num>
  <w:num w:numId="29">
    <w:abstractNumId w:val="45"/>
  </w:num>
  <w:num w:numId="30">
    <w:abstractNumId w:val="31"/>
  </w:num>
  <w:num w:numId="31">
    <w:abstractNumId w:val="17"/>
  </w:num>
  <w:num w:numId="32">
    <w:abstractNumId w:val="20"/>
  </w:num>
  <w:num w:numId="33">
    <w:abstractNumId w:val="15"/>
  </w:num>
  <w:num w:numId="34">
    <w:abstractNumId w:val="16"/>
  </w:num>
  <w:num w:numId="35">
    <w:abstractNumId w:val="8"/>
  </w:num>
  <w:num w:numId="36">
    <w:abstractNumId w:val="1"/>
  </w:num>
  <w:num w:numId="37">
    <w:abstractNumId w:val="23"/>
  </w:num>
  <w:num w:numId="38">
    <w:abstractNumId w:val="3"/>
  </w:num>
  <w:num w:numId="39">
    <w:abstractNumId w:val="22"/>
  </w:num>
  <w:num w:numId="40">
    <w:abstractNumId w:val="40"/>
  </w:num>
  <w:num w:numId="41">
    <w:abstractNumId w:val="33"/>
  </w:num>
  <w:num w:numId="42">
    <w:abstractNumId w:val="42"/>
  </w:num>
  <w:num w:numId="43">
    <w:abstractNumId w:val="14"/>
  </w:num>
  <w:num w:numId="44">
    <w:abstractNumId w:val="7"/>
  </w:num>
  <w:num w:numId="45">
    <w:abstractNumId w:val="2"/>
  </w:num>
  <w:num w:numId="46">
    <w:abstractNumId w:val="34"/>
  </w:num>
  <w:num w:numId="47">
    <w:abstractNumId w:val="39"/>
  </w:num>
  <w:num w:numId="48">
    <w:abstractNumId w:val="5"/>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isplayBackgroundShape/>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1CE"/>
    <w:rsid w:val="000155E2"/>
    <w:rsid w:val="000325EA"/>
    <w:rsid w:val="000444D3"/>
    <w:rsid w:val="0004461A"/>
    <w:rsid w:val="00047E49"/>
    <w:rsid w:val="00053147"/>
    <w:rsid w:val="00064823"/>
    <w:rsid w:val="00072734"/>
    <w:rsid w:val="00094909"/>
    <w:rsid w:val="000D1AA3"/>
    <w:rsid w:val="000D3968"/>
    <w:rsid w:val="000E201A"/>
    <w:rsid w:val="000E77B1"/>
    <w:rsid w:val="000F34F2"/>
    <w:rsid w:val="001057CC"/>
    <w:rsid w:val="001155B5"/>
    <w:rsid w:val="0011583E"/>
    <w:rsid w:val="00116A8E"/>
    <w:rsid w:val="0012457D"/>
    <w:rsid w:val="0012762A"/>
    <w:rsid w:val="0013595E"/>
    <w:rsid w:val="0015139E"/>
    <w:rsid w:val="00153EA9"/>
    <w:rsid w:val="00155094"/>
    <w:rsid w:val="0016051C"/>
    <w:rsid w:val="00175884"/>
    <w:rsid w:val="00184A40"/>
    <w:rsid w:val="00190EC5"/>
    <w:rsid w:val="00195840"/>
    <w:rsid w:val="001A1830"/>
    <w:rsid w:val="001A1CDD"/>
    <w:rsid w:val="001B4198"/>
    <w:rsid w:val="001D704E"/>
    <w:rsid w:val="00220A27"/>
    <w:rsid w:val="00243CEB"/>
    <w:rsid w:val="00247691"/>
    <w:rsid w:val="00266B08"/>
    <w:rsid w:val="00285891"/>
    <w:rsid w:val="002B455D"/>
    <w:rsid w:val="002F3BB1"/>
    <w:rsid w:val="003118A0"/>
    <w:rsid w:val="00315345"/>
    <w:rsid w:val="0032552B"/>
    <w:rsid w:val="00337A4A"/>
    <w:rsid w:val="003406E6"/>
    <w:rsid w:val="00371EDA"/>
    <w:rsid w:val="00373E4C"/>
    <w:rsid w:val="0038524D"/>
    <w:rsid w:val="003A42E7"/>
    <w:rsid w:val="003A6457"/>
    <w:rsid w:val="003B4286"/>
    <w:rsid w:val="004106B0"/>
    <w:rsid w:val="004164DE"/>
    <w:rsid w:val="00427451"/>
    <w:rsid w:val="00447EC2"/>
    <w:rsid w:val="0049621F"/>
    <w:rsid w:val="004B0010"/>
    <w:rsid w:val="004B4F07"/>
    <w:rsid w:val="004D3E25"/>
    <w:rsid w:val="004F3CBE"/>
    <w:rsid w:val="004F5894"/>
    <w:rsid w:val="004F72D5"/>
    <w:rsid w:val="005101CE"/>
    <w:rsid w:val="00522095"/>
    <w:rsid w:val="005272A5"/>
    <w:rsid w:val="00541796"/>
    <w:rsid w:val="00542B3C"/>
    <w:rsid w:val="005471EF"/>
    <w:rsid w:val="00547AEF"/>
    <w:rsid w:val="0055331F"/>
    <w:rsid w:val="00562BAB"/>
    <w:rsid w:val="00565C19"/>
    <w:rsid w:val="005B6317"/>
    <w:rsid w:val="005E579A"/>
    <w:rsid w:val="005F54BE"/>
    <w:rsid w:val="006071FB"/>
    <w:rsid w:val="00615076"/>
    <w:rsid w:val="006163B7"/>
    <w:rsid w:val="00625AC9"/>
    <w:rsid w:val="00630CC4"/>
    <w:rsid w:val="006328E3"/>
    <w:rsid w:val="00645A5D"/>
    <w:rsid w:val="00670E80"/>
    <w:rsid w:val="006734F6"/>
    <w:rsid w:val="006754BC"/>
    <w:rsid w:val="006762AF"/>
    <w:rsid w:val="00683D8C"/>
    <w:rsid w:val="0068663B"/>
    <w:rsid w:val="006C2A1B"/>
    <w:rsid w:val="006C4E92"/>
    <w:rsid w:val="006D7D65"/>
    <w:rsid w:val="006E6999"/>
    <w:rsid w:val="006F36A2"/>
    <w:rsid w:val="006F6CA3"/>
    <w:rsid w:val="00704354"/>
    <w:rsid w:val="00755677"/>
    <w:rsid w:val="00767DBE"/>
    <w:rsid w:val="007810A2"/>
    <w:rsid w:val="00782B41"/>
    <w:rsid w:val="007E357A"/>
    <w:rsid w:val="007F79C3"/>
    <w:rsid w:val="00801BF7"/>
    <w:rsid w:val="00807373"/>
    <w:rsid w:val="0081382C"/>
    <w:rsid w:val="00813D99"/>
    <w:rsid w:val="00823618"/>
    <w:rsid w:val="00830DCC"/>
    <w:rsid w:val="00840ADA"/>
    <w:rsid w:val="00871835"/>
    <w:rsid w:val="00871F5D"/>
    <w:rsid w:val="00873D56"/>
    <w:rsid w:val="00882DEC"/>
    <w:rsid w:val="00892098"/>
    <w:rsid w:val="008B2042"/>
    <w:rsid w:val="008B25FF"/>
    <w:rsid w:val="008B4DBD"/>
    <w:rsid w:val="008C0D8B"/>
    <w:rsid w:val="008C14D5"/>
    <w:rsid w:val="008C2306"/>
    <w:rsid w:val="008D7191"/>
    <w:rsid w:val="008F3356"/>
    <w:rsid w:val="008F49D2"/>
    <w:rsid w:val="00917046"/>
    <w:rsid w:val="009502E2"/>
    <w:rsid w:val="009515D7"/>
    <w:rsid w:val="00985FE1"/>
    <w:rsid w:val="009B6277"/>
    <w:rsid w:val="009C643F"/>
    <w:rsid w:val="009D359F"/>
    <w:rsid w:val="009F068D"/>
    <w:rsid w:val="00A1028B"/>
    <w:rsid w:val="00A275E4"/>
    <w:rsid w:val="00A30894"/>
    <w:rsid w:val="00A30B38"/>
    <w:rsid w:val="00A33300"/>
    <w:rsid w:val="00A35DB0"/>
    <w:rsid w:val="00A46E64"/>
    <w:rsid w:val="00A46FF3"/>
    <w:rsid w:val="00A51FC5"/>
    <w:rsid w:val="00A63576"/>
    <w:rsid w:val="00A6411D"/>
    <w:rsid w:val="00A702BC"/>
    <w:rsid w:val="00A843F7"/>
    <w:rsid w:val="00AB4219"/>
    <w:rsid w:val="00AB71AD"/>
    <w:rsid w:val="00AC6F75"/>
    <w:rsid w:val="00AD74AE"/>
    <w:rsid w:val="00B12E95"/>
    <w:rsid w:val="00B27FB2"/>
    <w:rsid w:val="00B4495E"/>
    <w:rsid w:val="00B77A55"/>
    <w:rsid w:val="00BA455B"/>
    <w:rsid w:val="00BB5A9F"/>
    <w:rsid w:val="00BC1B6F"/>
    <w:rsid w:val="00BD064D"/>
    <w:rsid w:val="00BD19A6"/>
    <w:rsid w:val="00BD48C0"/>
    <w:rsid w:val="00C047E1"/>
    <w:rsid w:val="00C06AE8"/>
    <w:rsid w:val="00C204B0"/>
    <w:rsid w:val="00C20A93"/>
    <w:rsid w:val="00C254CC"/>
    <w:rsid w:val="00C54D3C"/>
    <w:rsid w:val="00C61708"/>
    <w:rsid w:val="00C862FA"/>
    <w:rsid w:val="00C87EFC"/>
    <w:rsid w:val="00CB25EF"/>
    <w:rsid w:val="00CC2629"/>
    <w:rsid w:val="00CE68C9"/>
    <w:rsid w:val="00CF5F16"/>
    <w:rsid w:val="00D24032"/>
    <w:rsid w:val="00D312E3"/>
    <w:rsid w:val="00D36490"/>
    <w:rsid w:val="00D50664"/>
    <w:rsid w:val="00D558DF"/>
    <w:rsid w:val="00D5593C"/>
    <w:rsid w:val="00D628A0"/>
    <w:rsid w:val="00D816CE"/>
    <w:rsid w:val="00D9004F"/>
    <w:rsid w:val="00D924E5"/>
    <w:rsid w:val="00DB73EF"/>
    <w:rsid w:val="00DC284F"/>
    <w:rsid w:val="00DD5664"/>
    <w:rsid w:val="00DF5AFB"/>
    <w:rsid w:val="00E115AE"/>
    <w:rsid w:val="00E137BD"/>
    <w:rsid w:val="00E16D3E"/>
    <w:rsid w:val="00E255B5"/>
    <w:rsid w:val="00E402C0"/>
    <w:rsid w:val="00E73A2B"/>
    <w:rsid w:val="00E84FF1"/>
    <w:rsid w:val="00EA1674"/>
    <w:rsid w:val="00EC5FA8"/>
    <w:rsid w:val="00ED1544"/>
    <w:rsid w:val="00EF1CFE"/>
    <w:rsid w:val="00F04E72"/>
    <w:rsid w:val="00F06DB7"/>
    <w:rsid w:val="00F15DC8"/>
    <w:rsid w:val="00F254B9"/>
    <w:rsid w:val="00F301E3"/>
    <w:rsid w:val="00F45152"/>
    <w:rsid w:val="00F47337"/>
    <w:rsid w:val="00F812B2"/>
    <w:rsid w:val="00F869AD"/>
    <w:rsid w:val="00FA2655"/>
    <w:rsid w:val="00FB0837"/>
    <w:rsid w:val="00FD6467"/>
    <w:rsid w:val="00FE2303"/>
    <w:rsid w:val="00FF0446"/>
    <w:rsid w:val="00FF331F"/>
    <w:rsid w:val="4AC86FCA"/>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qFormat="1"/>
    <w:lsdException w:name="toc 6" w:semiHidden="0" w:uiPriority="39" w:qFormat="1"/>
    <w:lsdException w:name="toc 7" w:semiHidden="0" w:uiPriority="39"/>
    <w:lsdException w:name="toc 8" w:semiHidden="0" w:uiPriority="39" w:qFormat="1"/>
    <w:lsdException w:name="toc 9" w:semiHidden="0" w:uiPriority="39" w:qFormat="1"/>
    <w:lsdException w:name="Normal Indent" w:semiHidden="0" w:uiPriority="0" w:unhideWhenUsed="0"/>
    <w:lsdException w:name="footnote text" w:uiPriority="0" w:unhideWhenUsed="0" w:qFormat="1"/>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unhideWhenUsed="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qFormat="1"/>
    <w:lsdException w:name="HTML Address" w:semiHidden="0" w:uiPriority="0" w:unhideWhenUsed="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qFormat="1"/>
    <w:lsdException w:name="HTML Variable" w:semiHidden="0" w:uiPriority="0" w:unhideWhenUsed="0" w:qFormat="1"/>
    <w:lsdException w:name="Normal Table" w:qFormat="1"/>
    <w:lsdException w:name="annotation subject" w:semiHidden="0"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autoRedefine/>
    <w:qFormat/>
    <w:pPr>
      <w:keepNext/>
      <w:keepLines/>
      <w:spacing w:before="260" w:after="260" w:line="416" w:lineRule="auto"/>
      <w:outlineLvl w:val="2"/>
    </w:pPr>
    <w:rPr>
      <w:b/>
      <w:bCs/>
      <w:sz w:val="32"/>
      <w:szCs w:val="32"/>
    </w:rPr>
  </w:style>
  <w:style w:type="paragraph" w:styleId="Heading4">
    <w:name w:val="heading 4"/>
    <w:basedOn w:val="Normal"/>
    <w:next w:val="Normal"/>
    <w:autoRedefine/>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autoRedefine/>
    <w:qFormat/>
    <w:pPr>
      <w:keepNext/>
      <w:keepLines/>
      <w:spacing w:before="280" w:after="290" w:line="376" w:lineRule="auto"/>
      <w:outlineLvl w:val="4"/>
    </w:pPr>
    <w:rPr>
      <w:b/>
      <w:bCs/>
      <w:sz w:val="28"/>
      <w:szCs w:val="28"/>
    </w:rPr>
  </w:style>
  <w:style w:type="paragraph" w:styleId="Heading6">
    <w:name w:val="heading 6"/>
    <w:basedOn w:val="Normal"/>
    <w:next w:val="Normal"/>
    <w:autoRedefine/>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autoRedefine/>
    <w:qFormat/>
    <w:pPr>
      <w:keepNext/>
      <w:keepLines/>
      <w:spacing w:before="240" w:after="64" w:line="320" w:lineRule="auto"/>
      <w:outlineLvl w:val="6"/>
    </w:pPr>
    <w:rPr>
      <w:b/>
      <w:bCs/>
      <w:sz w:val="24"/>
    </w:rPr>
  </w:style>
  <w:style w:type="paragraph" w:styleId="Heading8">
    <w:name w:val="heading 8"/>
    <w:basedOn w:val="Normal"/>
    <w:next w:val="Normal"/>
    <w:autoRedefine/>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autoRedefine/>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pPr>
      <w:ind w:left="2520" w:leftChars="1200"/>
    </w:pPr>
    <w:rPr>
      <w:rFonts w:ascii="Calibri" w:hAnsi="Calibri"/>
      <w:szCs w:val="22"/>
    </w:rPr>
  </w:style>
  <w:style w:type="paragraph" w:styleId="DocumentMap">
    <w:name w:val="Document Map"/>
    <w:basedOn w:val="Normal"/>
    <w:autoRedefine/>
    <w:semiHidden/>
    <w:qFormat/>
    <w:pPr>
      <w:shd w:val="clear" w:color="auto" w:fill="000080"/>
    </w:pPr>
  </w:style>
  <w:style w:type="paragraph" w:styleId="BodyTextIndent">
    <w:name w:val="Body Text Indent"/>
    <w:basedOn w:val="Normal"/>
    <w:link w:val="Char6"/>
    <w:autoRedefine/>
    <w:qFormat/>
    <w:pPr>
      <w:spacing w:before="60"/>
      <w:ind w:left="240"/>
    </w:pPr>
    <w:rPr>
      <w:szCs w:val="16"/>
    </w:rPr>
  </w:style>
  <w:style w:type="paragraph" w:styleId="HTMLAddress">
    <w:name w:val="HTML Address"/>
    <w:basedOn w:val="Normal"/>
    <w:autoRedefine/>
    <w:qFormat/>
    <w:rPr>
      <w:i/>
      <w:iCs/>
    </w:rPr>
  </w:style>
  <w:style w:type="paragraph" w:styleId="TOC5">
    <w:name w:val="toc 5"/>
    <w:basedOn w:val="Normal"/>
    <w:next w:val="Normal"/>
    <w:autoRedefine/>
    <w:uiPriority w:val="39"/>
    <w:unhideWhenUsed/>
    <w:qFormat/>
    <w:pPr>
      <w:ind w:left="1680" w:leftChars="800"/>
    </w:pPr>
    <w:rPr>
      <w:rFonts w:ascii="Calibri" w:hAnsi="Calibri"/>
      <w:szCs w:val="22"/>
    </w:rPr>
  </w:style>
  <w:style w:type="paragraph" w:styleId="TOC3">
    <w:name w:val="toc 3"/>
    <w:basedOn w:val="TOC2"/>
    <w:autoRedefine/>
    <w:uiPriority w:val="39"/>
    <w:qFormat/>
    <w:pPr>
      <w:tabs>
        <w:tab w:val="right" w:leader="dot" w:pos="9345"/>
      </w:tabs>
    </w:pPr>
  </w:style>
  <w:style w:type="paragraph" w:styleId="TOC2">
    <w:name w:val="toc 2"/>
    <w:basedOn w:val="TOC1"/>
    <w:autoRedefine/>
    <w:uiPriority w:val="39"/>
    <w:qFormat/>
    <w:pPr>
      <w:tabs>
        <w:tab w:val="right" w:leader="dot" w:pos="9345"/>
      </w:tabs>
      <w:jc w:val="left"/>
    </w:pPr>
  </w:style>
  <w:style w:type="paragraph" w:styleId="TOC1">
    <w:name w:val="toc 1"/>
    <w:autoRedefine/>
    <w:uiPriority w:val="39"/>
    <w:qFormat/>
    <w:pPr>
      <w:jc w:val="both"/>
    </w:pPr>
    <w:rPr>
      <w:rFonts w:ascii="宋体" w:eastAsia="宋体" w:hAnsi="Times New Roman" w:cs="Times New Roman"/>
      <w:sz w:val="21"/>
      <w:lang w:val="en-US" w:eastAsia="zh-CN" w:bidi="ar-SA"/>
    </w:rPr>
  </w:style>
  <w:style w:type="paragraph" w:styleId="TOC8">
    <w:name w:val="toc 8"/>
    <w:basedOn w:val="Normal"/>
    <w:next w:val="Normal"/>
    <w:autoRedefine/>
    <w:uiPriority w:val="39"/>
    <w:unhideWhenUsed/>
    <w:qFormat/>
    <w:pPr>
      <w:ind w:left="2940" w:leftChars="1400"/>
    </w:pPr>
    <w:rPr>
      <w:rFonts w:ascii="Calibri" w:hAnsi="Calibri"/>
      <w:szCs w:val="22"/>
    </w:rPr>
  </w:style>
  <w:style w:type="paragraph" w:styleId="BodyTextIndent2">
    <w:name w:val="Body Text Indent 2"/>
    <w:basedOn w:val="Normal"/>
    <w:pPr>
      <w:spacing w:after="120" w:line="480" w:lineRule="auto"/>
      <w:ind w:left="420" w:leftChars="200"/>
    </w:pPr>
  </w:style>
  <w:style w:type="paragraph" w:styleId="BalloonText">
    <w:name w:val="Balloon Text"/>
    <w:basedOn w:val="Normal"/>
    <w:link w:val="Char5"/>
    <w:autoRedefine/>
    <w:uiPriority w:val="99"/>
    <w:semiHidden/>
    <w:qFormat/>
    <w:rPr>
      <w:sz w:val="18"/>
      <w:szCs w:val="18"/>
    </w:rPr>
  </w:style>
  <w:style w:type="paragraph" w:styleId="Footer">
    <w:name w:val="footer"/>
    <w:basedOn w:val="Normal"/>
    <w:link w:val="Char4"/>
    <w:autoRedefine/>
    <w:uiPriority w:val="99"/>
    <w:qFormat/>
    <w:pPr>
      <w:tabs>
        <w:tab w:val="center" w:pos="4153"/>
        <w:tab w:val="right" w:pos="8306"/>
      </w:tabs>
      <w:snapToGrid w:val="0"/>
      <w:ind w:right="210" w:rightChars="100"/>
      <w:jc w:val="right"/>
    </w:pPr>
    <w:rPr>
      <w:sz w:val="18"/>
      <w:szCs w:val="18"/>
    </w:rPr>
  </w:style>
  <w:style w:type="paragraph" w:styleId="Header">
    <w:name w:val="header"/>
    <w:basedOn w:val="Normal"/>
    <w:link w:val="Char3"/>
    <w:autoRedefine/>
    <w:uiPriority w:val="99"/>
    <w:qFormat/>
    <w:pPr>
      <w:tabs>
        <w:tab w:val="center" w:pos="4153"/>
        <w:tab w:val="right" w:pos="8306"/>
      </w:tabs>
      <w:snapToGrid w:val="0"/>
      <w:jc w:val="center"/>
    </w:pPr>
    <w:rPr>
      <w:sz w:val="18"/>
      <w:szCs w:val="18"/>
    </w:rPr>
  </w:style>
  <w:style w:type="paragraph" w:styleId="TOC4">
    <w:name w:val="toc 4"/>
    <w:basedOn w:val="TOC3"/>
    <w:autoRedefine/>
    <w:uiPriority w:val="39"/>
    <w:qFormat/>
  </w:style>
  <w:style w:type="paragraph" w:styleId="FootnoteText">
    <w:name w:val="footnote text"/>
    <w:basedOn w:val="Normal"/>
    <w:autoRedefine/>
    <w:semiHidden/>
    <w:qFormat/>
    <w:pPr>
      <w:snapToGrid w:val="0"/>
      <w:jc w:val="left"/>
    </w:pPr>
    <w:rPr>
      <w:sz w:val="18"/>
      <w:szCs w:val="18"/>
    </w:rPr>
  </w:style>
  <w:style w:type="paragraph" w:styleId="TOC6">
    <w:name w:val="toc 6"/>
    <w:basedOn w:val="Normal"/>
    <w:next w:val="Normal"/>
    <w:autoRedefine/>
    <w:uiPriority w:val="39"/>
    <w:unhideWhenUsed/>
    <w:qFormat/>
    <w:pPr>
      <w:ind w:left="2100" w:leftChars="1000"/>
    </w:pPr>
    <w:rPr>
      <w:rFonts w:ascii="Calibri" w:hAnsi="Calibri"/>
      <w:szCs w:val="22"/>
    </w:rPr>
  </w:style>
  <w:style w:type="paragraph" w:styleId="TOC9">
    <w:name w:val="toc 9"/>
    <w:basedOn w:val="Normal"/>
    <w:next w:val="Normal"/>
    <w:autoRedefine/>
    <w:uiPriority w:val="39"/>
    <w:unhideWhenUsed/>
    <w:qFormat/>
    <w:pPr>
      <w:ind w:left="3360" w:leftChars="1600"/>
    </w:pPr>
    <w:rPr>
      <w:rFonts w:ascii="Calibri" w:hAnsi="Calibri"/>
      <w:szCs w:val="22"/>
    </w:rPr>
  </w:style>
  <w:style w:type="paragraph" w:styleId="HTMLPreformatted">
    <w:name w:val="HTML Preformatted"/>
    <w:basedOn w:val="Normal"/>
    <w:autoRedefine/>
    <w:qFormat/>
    <w:rPr>
      <w:rFonts w:ascii="Courier New" w:hAnsi="Courier New" w:cs="Courier New"/>
      <w:sz w:val="20"/>
      <w:szCs w:val="20"/>
    </w:rPr>
  </w:style>
  <w:style w:type="paragraph" w:styleId="Title">
    <w:name w:val="Title"/>
    <w:basedOn w:val="Normal"/>
    <w:autoRedefine/>
    <w:qFormat/>
    <w:pPr>
      <w:spacing w:before="240" w:after="60"/>
      <w:jc w:val="center"/>
      <w:outlineLvl w:val="0"/>
    </w:pPr>
    <w:rPr>
      <w:rFonts w:ascii="Arial" w:hAnsi="Arial" w:cs="Arial"/>
      <w:b/>
      <w:bCs/>
      <w:sz w:val="32"/>
      <w:szCs w:val="32"/>
    </w:rPr>
  </w:style>
  <w:style w:type="character" w:styleId="PageNumber">
    <w:name w:val="page number"/>
    <w:basedOn w:val="DefaultParagraphFont"/>
    <w:autoRedefine/>
    <w:qFormat/>
    <w:rPr>
      <w:rFonts w:ascii="Times New Roman" w:eastAsia="宋体" w:hAnsi="Times New Roman"/>
      <w:sz w:val="18"/>
    </w:rPr>
  </w:style>
  <w:style w:type="character" w:styleId="HTMLDefinition">
    <w:name w:val="HTML Definition"/>
    <w:basedOn w:val="DefaultParagraphFont"/>
    <w:autoRedefine/>
    <w:qFormat/>
    <w:rPr>
      <w:i/>
      <w:iCs/>
    </w:rPr>
  </w:style>
  <w:style w:type="character" w:styleId="HTMLTypewriter">
    <w:name w:val="HTML Typewriter"/>
    <w:basedOn w:val="DefaultParagraphFont"/>
    <w:autoRedefine/>
    <w:qFormat/>
    <w:rPr>
      <w:rFonts w:ascii="Courier New" w:hAnsi="Courier New"/>
      <w:sz w:val="20"/>
      <w:szCs w:val="20"/>
    </w:rPr>
  </w:style>
  <w:style w:type="character" w:styleId="HTMLAcronym">
    <w:name w:val="HTML Acronym"/>
    <w:basedOn w:val="DefaultParagraphFont"/>
    <w:autoRedefine/>
    <w:qFormat/>
  </w:style>
  <w:style w:type="character" w:styleId="HTMLVariable">
    <w:name w:val="HTML Variable"/>
    <w:basedOn w:val="DefaultParagraphFont"/>
    <w:autoRedefine/>
    <w:qFormat/>
    <w:rPr>
      <w:i/>
      <w:iCs/>
    </w:rPr>
  </w:style>
  <w:style w:type="character" w:styleId="Hyperlink">
    <w:name w:val="Hyperlink"/>
    <w:autoRedefine/>
    <w:uiPriority w:val="99"/>
    <w:qFormat/>
    <w:rPr>
      <w:rFonts w:ascii="Times New Roman" w:eastAsia="宋体" w:hAnsi="Times New Roman"/>
      <w:color w:val="auto"/>
      <w:spacing w:val="0"/>
      <w:w w:val="100"/>
      <w:position w:val="0"/>
      <w:sz w:val="21"/>
      <w:u w:val="none"/>
    </w:rPr>
  </w:style>
  <w:style w:type="character" w:styleId="HTMLCode">
    <w:name w:val="HTML Code"/>
    <w:basedOn w:val="DefaultParagraphFont"/>
    <w:autoRedefine/>
    <w:qFormat/>
    <w:rPr>
      <w:rFonts w:ascii="Courier New" w:hAnsi="Courier New"/>
      <w:sz w:val="20"/>
      <w:szCs w:val="20"/>
    </w:rPr>
  </w:style>
  <w:style w:type="character" w:styleId="HTMLCite">
    <w:name w:val="HTML Cite"/>
    <w:basedOn w:val="DefaultParagraphFont"/>
    <w:autoRedefine/>
    <w:qFormat/>
    <w:rPr>
      <w:i/>
      <w:iCs/>
    </w:rPr>
  </w:style>
  <w:style w:type="character" w:styleId="FootnoteReference">
    <w:name w:val="footnote reference"/>
    <w:basedOn w:val="DefaultParagraphFont"/>
    <w:autoRedefine/>
    <w:semiHidden/>
    <w:qFormat/>
    <w:rPr>
      <w:vertAlign w:val="superscript"/>
    </w:rPr>
  </w:style>
  <w:style w:type="character" w:styleId="HTMLKeyboard">
    <w:name w:val="HTML Keyboard"/>
    <w:basedOn w:val="DefaultParagraphFont"/>
    <w:autoRedefine/>
    <w:qFormat/>
    <w:rPr>
      <w:rFonts w:ascii="Courier New" w:hAnsi="Courier New"/>
      <w:sz w:val="20"/>
      <w:szCs w:val="20"/>
    </w:rPr>
  </w:style>
  <w:style w:type="character" w:styleId="HTMLSample">
    <w:name w:val="HTML Sample"/>
    <w:basedOn w:val="DefaultParagraphFont"/>
    <w:autoRedefine/>
    <w:qFormat/>
    <w:rPr>
      <w:rFonts w:ascii="Courier New" w:hAnsi="Courier New"/>
    </w:rPr>
  </w:style>
  <w:style w:type="paragraph" w:customStyle="1" w:styleId="a">
    <w:name w:val="标准标志"/>
    <w:next w:val="Normal"/>
    <w:autoRedefine/>
    <w:qFormat/>
    <w:pPr>
      <w:shd w:val="solid" w:color="FFFFFF" w:fill="FFFFFF"/>
      <w:spacing w:line="0" w:lineRule="atLeast"/>
      <w:jc w:val="right"/>
    </w:pPr>
    <w:rPr>
      <w:rFonts w:ascii="Times New Roman" w:eastAsia="宋体" w:hAnsi="Times New Roman" w:cs="Times New Roman"/>
      <w:b/>
      <w:w w:val="130"/>
      <w:sz w:val="96"/>
      <w:lang w:val="en-US" w:eastAsia="zh-CN" w:bidi="ar-SA"/>
    </w:rPr>
  </w:style>
  <w:style w:type="paragraph" w:customStyle="1" w:styleId="a0">
    <w:name w:val="标准称谓"/>
    <w:next w:val="Normal"/>
    <w:autoRedefine/>
    <w:qFormat/>
    <w:pPr>
      <w:widowControl w:val="0"/>
      <w:kinsoku w:val="0"/>
      <w:overflowPunct w:val="0"/>
      <w:autoSpaceDE w:val="0"/>
      <w:autoSpaceDN w:val="0"/>
      <w:spacing w:line="0" w:lineRule="atLeast"/>
      <w:jc w:val="distribute"/>
    </w:pPr>
    <w:rPr>
      <w:rFonts w:ascii="宋体" w:eastAsia="宋体" w:hAnsi="Times New Roman" w:cs="Times New Roman"/>
      <w:b/>
      <w:bCs/>
      <w:spacing w:val="20"/>
      <w:w w:val="148"/>
      <w:sz w:val="52"/>
      <w:lang w:val="en-US" w:eastAsia="zh-CN" w:bidi="ar-SA"/>
    </w:rPr>
  </w:style>
  <w:style w:type="paragraph" w:customStyle="1" w:styleId="a1">
    <w:name w:val="标准书脚_偶数页"/>
    <w:autoRedefine/>
    <w:qFormat/>
    <w:pPr>
      <w:spacing w:before="120"/>
      <w:jc w:val="both"/>
    </w:pPr>
    <w:rPr>
      <w:rFonts w:ascii="Times New Roman" w:eastAsia="宋体" w:hAnsi="Times New Roman" w:cs="Times New Roman"/>
      <w:sz w:val="18"/>
      <w:lang w:val="en-US" w:eastAsia="zh-CN" w:bidi="ar-SA"/>
    </w:rPr>
  </w:style>
  <w:style w:type="paragraph" w:customStyle="1" w:styleId="a2">
    <w:name w:val="标准书脚_奇数页"/>
    <w:autoRedefine/>
    <w:qFormat/>
    <w:pPr>
      <w:spacing w:before="120"/>
      <w:jc w:val="right"/>
    </w:pPr>
    <w:rPr>
      <w:rFonts w:ascii="Times New Roman" w:eastAsia="宋体" w:hAnsi="Times New Roman" w:cs="Times New Roman"/>
      <w:sz w:val="18"/>
      <w:lang w:val="en-US" w:eastAsia="zh-CN" w:bidi="ar-SA"/>
    </w:rPr>
  </w:style>
  <w:style w:type="paragraph" w:customStyle="1" w:styleId="a3">
    <w:name w:val="标准书眉_奇数页"/>
    <w:next w:val="Normal"/>
    <w:autoRedefine/>
    <w:qFormat/>
    <w:pPr>
      <w:tabs>
        <w:tab w:val="center" w:pos="4154"/>
        <w:tab w:val="right" w:pos="8306"/>
      </w:tabs>
      <w:spacing w:after="120"/>
      <w:jc w:val="right"/>
    </w:pPr>
    <w:rPr>
      <w:rFonts w:ascii="Times New Roman" w:eastAsia="宋体" w:hAnsi="Times New Roman" w:cs="Times New Roman"/>
      <w:sz w:val="21"/>
      <w:lang w:val="en-US" w:eastAsia="zh-CN" w:bidi="ar-SA"/>
    </w:rPr>
  </w:style>
  <w:style w:type="paragraph" w:customStyle="1" w:styleId="a4">
    <w:name w:val="标准书眉_偶数页"/>
    <w:basedOn w:val="a3"/>
    <w:next w:val="Normal"/>
    <w:autoRedefine/>
    <w:qFormat/>
    <w:pPr>
      <w:jc w:val="left"/>
    </w:pPr>
  </w:style>
  <w:style w:type="paragraph" w:customStyle="1" w:styleId="a5">
    <w:name w:val="标准书眉一"/>
    <w:autoRedefine/>
    <w:qFormat/>
    <w:pPr>
      <w:jc w:val="both"/>
    </w:pPr>
    <w:rPr>
      <w:rFonts w:ascii="Times New Roman" w:eastAsia="宋体" w:hAnsi="Times New Roman" w:cs="Times New Roman"/>
      <w:lang w:val="en-US" w:eastAsia="zh-CN" w:bidi="ar-SA"/>
    </w:rPr>
  </w:style>
  <w:style w:type="paragraph" w:customStyle="1" w:styleId="a6">
    <w:name w:val="前言、引言标题"/>
    <w:next w:val="Normal"/>
    <w:autoRedefine/>
    <w:qFormat/>
    <w:p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7">
    <w:name w:val="参考文献、索引标题"/>
    <w:basedOn w:val="a6"/>
    <w:next w:val="Normal"/>
    <w:autoRedefine/>
    <w:qFormat/>
    <w:pPr>
      <w:spacing w:after="200"/>
    </w:pPr>
    <w:rPr>
      <w:sz w:val="21"/>
    </w:rPr>
  </w:style>
  <w:style w:type="paragraph" w:customStyle="1" w:styleId="a8">
    <w:name w:val="段"/>
    <w:link w:val="Char"/>
    <w:autoRedefine/>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9">
    <w:name w:val="章标题"/>
    <w:next w:val="a8"/>
    <w:autoRedefine/>
    <w:qFormat/>
    <w:pPr>
      <w:numPr>
        <w:ilvl w:val="0"/>
        <w:numId w:val="1"/>
      </w:numPr>
      <w:spacing w:beforeLines="50" w:afterLines="50"/>
      <w:jc w:val="both"/>
      <w:outlineLvl w:val="1"/>
    </w:pPr>
    <w:rPr>
      <w:rFonts w:ascii="黑体" w:eastAsia="黑体" w:hAnsi="Times New Roman" w:cs="Times New Roman"/>
      <w:sz w:val="21"/>
      <w:lang w:val="en-US" w:eastAsia="zh-CN" w:bidi="ar-SA"/>
    </w:rPr>
  </w:style>
  <w:style w:type="paragraph" w:customStyle="1" w:styleId="a10">
    <w:name w:val="一级条标题"/>
    <w:next w:val="a8"/>
    <w:autoRedefine/>
    <w:qFormat/>
    <w:pPr>
      <w:numPr>
        <w:ilvl w:val="1"/>
        <w:numId w:val="1"/>
      </w:numPr>
      <w:jc w:val="both"/>
      <w:outlineLvl w:val="2"/>
    </w:pPr>
    <w:rPr>
      <w:rFonts w:ascii="Times New Roman" w:eastAsia="黑体" w:hAnsi="Times New Roman" w:cs="Times New Roman"/>
      <w:sz w:val="21"/>
      <w:lang w:val="en-US" w:eastAsia="zh-CN" w:bidi="ar-SA"/>
    </w:rPr>
  </w:style>
  <w:style w:type="paragraph" w:customStyle="1" w:styleId="a11">
    <w:name w:val="二级条标题"/>
    <w:basedOn w:val="a10"/>
    <w:next w:val="a8"/>
    <w:autoRedefine/>
    <w:qFormat/>
    <w:pPr>
      <w:numPr>
        <w:numId w:val="0"/>
      </w:numPr>
      <w:outlineLvl w:val="3"/>
    </w:pPr>
  </w:style>
  <w:style w:type="paragraph" w:customStyle="1" w:styleId="a12">
    <w:name w:val="发布部门"/>
    <w:next w:val="a8"/>
    <w:autoRedefine/>
    <w:qFormat/>
    <w:pPr>
      <w:jc w:val="center"/>
    </w:pPr>
    <w:rPr>
      <w:rFonts w:ascii="宋体" w:eastAsia="宋体" w:hAnsi="Times New Roman" w:cs="Times New Roman"/>
      <w:b/>
      <w:spacing w:val="20"/>
      <w:w w:val="135"/>
      <w:sz w:val="36"/>
      <w:lang w:val="en-US" w:eastAsia="zh-CN" w:bidi="ar-SA"/>
    </w:rPr>
  </w:style>
  <w:style w:type="paragraph" w:customStyle="1" w:styleId="a13">
    <w:name w:val="发布日期"/>
    <w:autoRedefine/>
    <w:qFormat/>
    <w:pPr>
      <w:jc w:val="both"/>
    </w:pPr>
    <w:rPr>
      <w:rFonts w:ascii="Times New Roman" w:eastAsia="黑体" w:hAnsi="Times New Roman" w:cs="Times New Roman"/>
      <w:sz w:val="28"/>
      <w:lang w:val="en-US" w:eastAsia="zh-CN" w:bidi="ar-SA"/>
    </w:rPr>
  </w:style>
  <w:style w:type="paragraph" w:customStyle="1" w:styleId="1">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2">
    <w:name w:val="封面标准号2"/>
    <w:basedOn w:val="1"/>
    <w:autoRedefine/>
    <w:qFormat/>
    <w:pPr>
      <w:adjustRightInd w:val="0"/>
      <w:spacing w:before="357" w:line="280" w:lineRule="exact"/>
    </w:pPr>
  </w:style>
  <w:style w:type="paragraph" w:customStyle="1" w:styleId="a14">
    <w:name w:val="封面标准代替信息"/>
    <w:basedOn w:val="2"/>
    <w:autoRedefine/>
    <w:qFormat/>
    <w:pPr>
      <w:spacing w:before="57"/>
    </w:pPr>
    <w:rPr>
      <w:rFonts w:ascii="宋体"/>
      <w:sz w:val="21"/>
    </w:rPr>
  </w:style>
  <w:style w:type="paragraph" w:customStyle="1" w:styleId="a15">
    <w:name w:val="封面标准名称"/>
    <w:autoRedefine/>
    <w:qFormat/>
    <w:pPr>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16">
    <w:name w:val="封面标准文稿编辑信息"/>
    <w:autoRedefine/>
    <w:qFormat/>
    <w:pPr>
      <w:spacing w:before="180" w:line="180" w:lineRule="exact"/>
      <w:jc w:val="center"/>
    </w:pPr>
    <w:rPr>
      <w:rFonts w:ascii="宋体" w:eastAsia="宋体" w:hAnsi="Times New Roman" w:cs="Times New Roman"/>
      <w:sz w:val="21"/>
      <w:lang w:val="en-US" w:eastAsia="zh-CN" w:bidi="ar-SA"/>
    </w:rPr>
  </w:style>
  <w:style w:type="paragraph" w:customStyle="1" w:styleId="a17">
    <w:name w:val="封面标准文稿类别"/>
    <w:autoRedefine/>
    <w:qFormat/>
    <w:pPr>
      <w:spacing w:before="440" w:line="400" w:lineRule="exact"/>
      <w:jc w:val="center"/>
    </w:pPr>
    <w:rPr>
      <w:rFonts w:ascii="宋体" w:eastAsia="宋体" w:hAnsi="Times New Roman" w:cs="Times New Roman"/>
      <w:sz w:val="24"/>
      <w:lang w:val="en-US" w:eastAsia="zh-CN" w:bidi="ar-SA"/>
    </w:rPr>
  </w:style>
  <w:style w:type="paragraph" w:customStyle="1" w:styleId="a18">
    <w:name w:val="封面标准英文名称"/>
    <w:autoRedefine/>
    <w:qFormat/>
    <w:pPr>
      <w:widowControl w:val="0"/>
      <w:spacing w:before="370" w:line="400" w:lineRule="exact"/>
      <w:jc w:val="center"/>
    </w:pPr>
    <w:rPr>
      <w:rFonts w:ascii="Times New Roman" w:eastAsia="宋体" w:hAnsi="Times New Roman" w:cs="Times New Roman"/>
      <w:sz w:val="28"/>
      <w:lang w:val="en-US" w:eastAsia="zh-CN" w:bidi="ar-SA"/>
    </w:rPr>
  </w:style>
  <w:style w:type="paragraph" w:customStyle="1" w:styleId="a19">
    <w:name w:val="封面一致性程度标识"/>
    <w:autoRedefine/>
    <w:qFormat/>
    <w:pPr>
      <w:spacing w:before="440" w:line="400" w:lineRule="exact"/>
      <w:jc w:val="center"/>
    </w:pPr>
    <w:rPr>
      <w:rFonts w:ascii="宋体" w:eastAsia="宋体" w:hAnsi="Times New Roman" w:cs="Times New Roman"/>
      <w:sz w:val="28"/>
      <w:lang w:val="en-US" w:eastAsia="zh-CN" w:bidi="ar-SA"/>
    </w:rPr>
  </w:style>
  <w:style w:type="paragraph" w:customStyle="1" w:styleId="a20">
    <w:name w:val="封面正文"/>
    <w:autoRedefine/>
    <w:qFormat/>
    <w:pPr>
      <w:jc w:val="both"/>
    </w:pPr>
    <w:rPr>
      <w:rFonts w:ascii="Times New Roman" w:eastAsia="宋体" w:hAnsi="Times New Roman" w:cs="Times New Roman"/>
      <w:lang w:val="en-US" w:eastAsia="zh-CN" w:bidi="ar-SA"/>
    </w:rPr>
  </w:style>
  <w:style w:type="paragraph" w:customStyle="1" w:styleId="a21">
    <w:name w:val="附录标识"/>
    <w:basedOn w:val="a6"/>
    <w:autoRedefine/>
    <w:qFormat/>
    <w:pPr>
      <w:numPr>
        <w:ilvl w:val="0"/>
        <w:numId w:val="2"/>
      </w:numPr>
      <w:tabs>
        <w:tab w:val="left" w:pos="6405"/>
      </w:tabs>
      <w:spacing w:after="200"/>
    </w:pPr>
    <w:rPr>
      <w:sz w:val="21"/>
    </w:rPr>
  </w:style>
  <w:style w:type="paragraph" w:customStyle="1" w:styleId="a22">
    <w:name w:val="附录表标题"/>
    <w:next w:val="a8"/>
    <w:autoRedefine/>
    <w:qFormat/>
    <w:pPr>
      <w:numPr>
        <w:ilvl w:val="0"/>
        <w:numId w:val="3"/>
      </w:numPr>
      <w:jc w:val="center"/>
      <w:textAlignment w:val="baseline"/>
    </w:pPr>
    <w:rPr>
      <w:rFonts w:ascii="黑体" w:eastAsia="黑体" w:hAnsi="Times New Roman" w:cs="Times New Roman"/>
      <w:kern w:val="21"/>
      <w:sz w:val="21"/>
      <w:lang w:val="en-US" w:eastAsia="zh-CN" w:bidi="ar-SA"/>
    </w:rPr>
  </w:style>
  <w:style w:type="paragraph" w:customStyle="1" w:styleId="a23">
    <w:name w:val="附录章标题"/>
    <w:next w:val="a8"/>
    <w:autoRedefine/>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24">
    <w:name w:val="附录一级条标题"/>
    <w:basedOn w:val="a23"/>
    <w:next w:val="a8"/>
    <w:autoRedefine/>
    <w:qFormat/>
    <w:pPr>
      <w:autoSpaceDN w:val="0"/>
      <w:spacing w:beforeLines="0"/>
      <w:outlineLvl w:val="2"/>
    </w:pPr>
  </w:style>
  <w:style w:type="paragraph" w:customStyle="1" w:styleId="a25">
    <w:name w:val="附录二级条标题"/>
    <w:basedOn w:val="a24"/>
    <w:next w:val="a8"/>
    <w:autoRedefine/>
    <w:qFormat/>
    <w:pPr>
      <w:outlineLvl w:val="3"/>
    </w:pPr>
  </w:style>
  <w:style w:type="paragraph" w:customStyle="1" w:styleId="a26">
    <w:name w:val="附录三级条标题"/>
    <w:basedOn w:val="a25"/>
    <w:next w:val="a8"/>
    <w:autoRedefine/>
    <w:qFormat/>
    <w:pPr>
      <w:outlineLvl w:val="4"/>
    </w:pPr>
  </w:style>
  <w:style w:type="paragraph" w:customStyle="1" w:styleId="a27">
    <w:name w:val="附录四级条标题"/>
    <w:basedOn w:val="a26"/>
    <w:next w:val="a8"/>
    <w:autoRedefine/>
    <w:qFormat/>
    <w:pPr>
      <w:outlineLvl w:val="5"/>
    </w:pPr>
  </w:style>
  <w:style w:type="paragraph" w:customStyle="1" w:styleId="a28">
    <w:name w:val="附录图标题"/>
    <w:next w:val="a8"/>
    <w:autoRedefine/>
    <w:qFormat/>
    <w:pPr>
      <w:numPr>
        <w:ilvl w:val="0"/>
        <w:numId w:val="4"/>
      </w:numPr>
      <w:jc w:val="center"/>
    </w:pPr>
    <w:rPr>
      <w:rFonts w:ascii="黑体" w:eastAsia="黑体" w:hAnsi="Times New Roman" w:cs="Times New Roman"/>
      <w:sz w:val="21"/>
      <w:lang w:val="en-US" w:eastAsia="zh-CN" w:bidi="ar-SA"/>
    </w:rPr>
  </w:style>
  <w:style w:type="paragraph" w:customStyle="1" w:styleId="a29">
    <w:name w:val="附录五级条标题"/>
    <w:basedOn w:val="a27"/>
    <w:next w:val="a8"/>
    <w:autoRedefine/>
    <w:qFormat/>
    <w:pPr>
      <w:outlineLvl w:val="6"/>
    </w:pPr>
  </w:style>
  <w:style w:type="paragraph" w:customStyle="1" w:styleId="a30">
    <w:name w:val="列项——（一级）"/>
    <w:autoRedefine/>
    <w:qFormat/>
    <w:pPr>
      <w:widowControl w:val="0"/>
      <w:numPr>
        <w:ilvl w:val="0"/>
        <w:numId w:val="5"/>
      </w:numPr>
      <w:tabs>
        <w:tab w:val="left" w:pos="854"/>
        <w:tab w:val="clear" w:pos="1140"/>
      </w:tabs>
      <w:ind w:left="200" w:hanging="200" w:leftChars="200" w:hangingChars="200"/>
      <w:jc w:val="both"/>
    </w:pPr>
    <w:rPr>
      <w:rFonts w:ascii="宋体" w:eastAsia="宋体" w:hAnsi="Times New Roman" w:cs="Times New Roman"/>
      <w:sz w:val="21"/>
      <w:lang w:val="en-US" w:eastAsia="zh-CN" w:bidi="ar-SA"/>
    </w:rPr>
  </w:style>
  <w:style w:type="paragraph" w:customStyle="1" w:styleId="a31">
    <w:name w:val="列项●（二级）"/>
    <w:autoRedefine/>
    <w:qFormat/>
    <w:pPr>
      <w:numPr>
        <w:ilvl w:val="0"/>
        <w:numId w:val="6"/>
      </w:numPr>
      <w:tabs>
        <w:tab w:val="left" w:pos="840"/>
      </w:tabs>
      <w:ind w:left="600" w:hanging="200" w:leftChars="400" w:hangingChars="200"/>
      <w:jc w:val="both"/>
    </w:pPr>
    <w:rPr>
      <w:rFonts w:ascii="宋体" w:eastAsia="宋体" w:hAnsi="Times New Roman" w:cs="Times New Roman"/>
      <w:sz w:val="21"/>
      <w:lang w:val="en-US" w:eastAsia="zh-CN" w:bidi="ar-SA"/>
    </w:rPr>
  </w:style>
  <w:style w:type="paragraph" w:customStyle="1" w:styleId="a32">
    <w:name w:val="目次、标准名称标题"/>
    <w:basedOn w:val="a6"/>
    <w:next w:val="a8"/>
    <w:autoRedefine/>
    <w:qFormat/>
    <w:pPr>
      <w:spacing w:line="460" w:lineRule="exact"/>
    </w:pPr>
  </w:style>
  <w:style w:type="paragraph" w:customStyle="1" w:styleId="a33">
    <w:name w:val="目次、索引正文"/>
    <w:autoRedefine/>
    <w:qFormat/>
    <w:pPr>
      <w:spacing w:line="320" w:lineRule="exact"/>
      <w:jc w:val="both"/>
    </w:pPr>
    <w:rPr>
      <w:rFonts w:ascii="宋体" w:eastAsia="宋体" w:hAnsi="Times New Roman" w:cs="Times New Roman"/>
      <w:sz w:val="21"/>
      <w:lang w:val="en-US" w:eastAsia="zh-CN" w:bidi="ar-SA"/>
    </w:rPr>
  </w:style>
  <w:style w:type="paragraph" w:customStyle="1" w:styleId="a34">
    <w:name w:val="其他标准称谓"/>
    <w:autoRedefine/>
    <w:qFormat/>
    <w:pPr>
      <w:spacing w:line="0" w:lineRule="atLeast"/>
      <w:jc w:val="distribute"/>
    </w:pPr>
    <w:rPr>
      <w:rFonts w:ascii="黑体" w:eastAsia="黑体" w:hAnsi="宋体" w:cs="Times New Roman"/>
      <w:sz w:val="52"/>
      <w:lang w:val="en-US" w:eastAsia="zh-CN" w:bidi="ar-SA"/>
    </w:rPr>
  </w:style>
  <w:style w:type="paragraph" w:customStyle="1" w:styleId="a35">
    <w:name w:val="其他发布部门"/>
    <w:basedOn w:val="a12"/>
    <w:autoRedefine/>
    <w:qFormat/>
    <w:pPr>
      <w:spacing w:line="0" w:lineRule="atLeast"/>
    </w:pPr>
    <w:rPr>
      <w:rFonts w:ascii="黑体" w:eastAsia="黑体"/>
      <w:b w:val="0"/>
    </w:rPr>
  </w:style>
  <w:style w:type="paragraph" w:customStyle="1" w:styleId="a36">
    <w:name w:val="三级条标题"/>
    <w:basedOn w:val="a11"/>
    <w:next w:val="a8"/>
    <w:autoRedefine/>
    <w:qFormat/>
    <w:pPr>
      <w:numPr>
        <w:ilvl w:val="3"/>
        <w:numId w:val="1"/>
      </w:numPr>
      <w:outlineLvl w:val="4"/>
    </w:pPr>
  </w:style>
  <w:style w:type="paragraph" w:customStyle="1" w:styleId="a37">
    <w:name w:val="实施日期"/>
    <w:basedOn w:val="a13"/>
    <w:autoRedefine/>
    <w:qFormat/>
    <w:pPr>
      <w:jc w:val="right"/>
    </w:pPr>
  </w:style>
  <w:style w:type="paragraph" w:customStyle="1" w:styleId="a38">
    <w:name w:val="示例"/>
    <w:next w:val="a8"/>
    <w:autoRedefine/>
    <w:qFormat/>
    <w:pPr>
      <w:tabs>
        <w:tab w:val="left" w:pos="816"/>
      </w:tabs>
      <w:ind w:firstLine="419" w:firstLineChars="233"/>
      <w:jc w:val="both"/>
    </w:pPr>
    <w:rPr>
      <w:rFonts w:ascii="宋体" w:eastAsia="宋体" w:hAnsi="Times New Roman" w:cs="Times New Roman"/>
      <w:sz w:val="18"/>
      <w:lang w:val="en-US" w:eastAsia="zh-CN" w:bidi="ar-SA"/>
    </w:rPr>
  </w:style>
  <w:style w:type="paragraph" w:customStyle="1" w:styleId="a39">
    <w:name w:val="数字编号列项（二级）"/>
    <w:autoRedefine/>
    <w:qFormat/>
    <w:pPr>
      <w:ind w:left="1260" w:hanging="420" w:leftChars="400" w:hangingChars="200"/>
      <w:jc w:val="both"/>
    </w:pPr>
    <w:rPr>
      <w:rFonts w:ascii="宋体" w:eastAsia="宋体" w:hAnsi="Times New Roman" w:cs="Times New Roman"/>
      <w:sz w:val="21"/>
      <w:lang w:val="en-US" w:eastAsia="zh-CN" w:bidi="ar-SA"/>
    </w:rPr>
  </w:style>
  <w:style w:type="paragraph" w:customStyle="1" w:styleId="a40">
    <w:name w:val="四级条标题"/>
    <w:basedOn w:val="a36"/>
    <w:next w:val="a8"/>
    <w:autoRedefine/>
    <w:qFormat/>
    <w:pPr>
      <w:numPr>
        <w:numId w:val="0"/>
      </w:numPr>
      <w:outlineLvl w:val="5"/>
    </w:pPr>
  </w:style>
  <w:style w:type="paragraph" w:customStyle="1" w:styleId="a41">
    <w:name w:val="条文脚注"/>
    <w:basedOn w:val="FootnoteText"/>
    <w:autoRedefine/>
    <w:qFormat/>
    <w:pPr>
      <w:ind w:left="780" w:hanging="360" w:leftChars="200" w:hangingChars="200"/>
      <w:jc w:val="both"/>
    </w:pPr>
    <w:rPr>
      <w:rFonts w:ascii="宋体"/>
    </w:rPr>
  </w:style>
  <w:style w:type="paragraph" w:customStyle="1" w:styleId="a42">
    <w:name w:val="图表脚注"/>
    <w:next w:val="a8"/>
    <w:autoRedefine/>
    <w:qFormat/>
    <w:pPr>
      <w:ind w:left="300" w:hanging="100" w:leftChars="200" w:hangingChars="100"/>
      <w:jc w:val="both"/>
    </w:pPr>
    <w:rPr>
      <w:rFonts w:ascii="宋体" w:eastAsia="宋体" w:hAnsi="Times New Roman" w:cs="Times New Roman"/>
      <w:sz w:val="18"/>
      <w:lang w:val="en-US" w:eastAsia="zh-CN" w:bidi="ar-SA"/>
    </w:rPr>
  </w:style>
  <w:style w:type="paragraph" w:customStyle="1" w:styleId="a43">
    <w:name w:val="文献分类号"/>
    <w:autoRedefine/>
    <w:qFormat/>
    <w:pPr>
      <w:widowControl w:val="0"/>
      <w:jc w:val="both"/>
      <w:textAlignment w:val="center"/>
    </w:pPr>
    <w:rPr>
      <w:rFonts w:ascii="Times New Roman" w:eastAsia="黑体" w:hAnsi="Times New Roman" w:cs="Times New Roman"/>
      <w:sz w:val="21"/>
      <w:lang w:val="en-US" w:eastAsia="zh-CN" w:bidi="ar-SA"/>
    </w:rPr>
  </w:style>
  <w:style w:type="paragraph" w:customStyle="1" w:styleId="a44">
    <w:name w:val="五级条标题"/>
    <w:basedOn w:val="a40"/>
    <w:next w:val="a8"/>
    <w:autoRedefine/>
    <w:qFormat/>
    <w:pPr>
      <w:outlineLvl w:val="6"/>
    </w:pPr>
  </w:style>
  <w:style w:type="paragraph" w:customStyle="1" w:styleId="a45">
    <w:name w:val="正文表标题"/>
    <w:next w:val="a8"/>
    <w:autoRedefine/>
    <w:qFormat/>
    <w:pPr>
      <w:jc w:val="center"/>
    </w:pPr>
    <w:rPr>
      <w:rFonts w:ascii="黑体" w:eastAsia="黑体" w:hAnsi="Times New Roman" w:cs="Times New Roman"/>
      <w:sz w:val="21"/>
      <w:lang w:val="en-US" w:eastAsia="zh-CN" w:bidi="ar-SA"/>
    </w:rPr>
  </w:style>
  <w:style w:type="paragraph" w:customStyle="1" w:styleId="a46">
    <w:name w:val="正文图标题"/>
    <w:next w:val="a8"/>
    <w:autoRedefine/>
    <w:qFormat/>
    <w:pPr>
      <w:jc w:val="center"/>
    </w:pPr>
    <w:rPr>
      <w:rFonts w:ascii="黑体" w:eastAsia="黑体" w:hAnsi="Times New Roman" w:cs="Times New Roman"/>
      <w:sz w:val="21"/>
      <w:lang w:val="en-US" w:eastAsia="zh-CN" w:bidi="ar-SA"/>
    </w:rPr>
  </w:style>
  <w:style w:type="paragraph" w:customStyle="1" w:styleId="a47">
    <w:name w:val="注："/>
    <w:next w:val="a8"/>
    <w:autoRedefine/>
    <w:qFormat/>
    <w:pPr>
      <w:widowControl w:val="0"/>
      <w:tabs>
        <w:tab w:val="left" w:pos="1350"/>
      </w:tabs>
      <w:autoSpaceDE w:val="0"/>
      <w:autoSpaceDN w:val="0"/>
      <w:ind w:left="1050" w:hanging="420"/>
      <w:jc w:val="both"/>
    </w:pPr>
    <w:rPr>
      <w:rFonts w:ascii="宋体" w:eastAsia="宋体" w:hAnsi="Times New Roman" w:cs="Times New Roman"/>
      <w:sz w:val="18"/>
      <w:lang w:val="en-US" w:eastAsia="zh-CN" w:bidi="ar-SA"/>
    </w:rPr>
  </w:style>
  <w:style w:type="paragraph" w:customStyle="1" w:styleId="a48">
    <w:name w:val="注×："/>
    <w:autoRedefine/>
    <w:qFormat/>
    <w:pPr>
      <w:widowControl w:val="0"/>
      <w:tabs>
        <w:tab w:val="left" w:pos="630"/>
      </w:tabs>
      <w:autoSpaceDE w:val="0"/>
      <w:autoSpaceDN w:val="0"/>
      <w:ind w:left="900" w:hanging="500"/>
      <w:jc w:val="both"/>
    </w:pPr>
    <w:rPr>
      <w:rFonts w:ascii="宋体" w:eastAsia="宋体" w:hAnsi="Times New Roman" w:cs="Times New Roman"/>
      <w:sz w:val="18"/>
      <w:lang w:val="en-US" w:eastAsia="zh-CN" w:bidi="ar-SA"/>
    </w:rPr>
  </w:style>
  <w:style w:type="paragraph" w:customStyle="1" w:styleId="a49">
    <w:name w:val="字母编号列项（一级）"/>
    <w:autoRedefine/>
    <w:qFormat/>
    <w:pPr>
      <w:ind w:left="840" w:hanging="420" w:leftChars="200" w:hangingChars="200"/>
      <w:jc w:val="both"/>
    </w:pPr>
    <w:rPr>
      <w:rFonts w:ascii="宋体" w:eastAsia="宋体" w:hAnsi="Times New Roman" w:cs="Times New Roman"/>
      <w:sz w:val="21"/>
      <w:lang w:val="en-US" w:eastAsia="zh-CN" w:bidi="ar-SA"/>
    </w:rPr>
  </w:style>
  <w:style w:type="paragraph" w:customStyle="1" w:styleId="a50">
    <w:name w:val="列项◆（三级）"/>
    <w:autoRedefine/>
    <w:qFormat/>
    <w:pPr>
      <w:tabs>
        <w:tab w:val="left" w:pos="1260"/>
      </w:tabs>
      <w:ind w:left="800" w:hanging="200" w:leftChars="600" w:hangingChars="200"/>
      <w:jc w:val="both"/>
    </w:pPr>
    <w:rPr>
      <w:rFonts w:ascii="宋体" w:eastAsia="宋体" w:hAnsi="Times New Roman" w:cs="Times New Roman"/>
      <w:sz w:val="21"/>
      <w:lang w:val="en-US" w:eastAsia="zh-CN" w:bidi="ar-SA"/>
    </w:rPr>
  </w:style>
  <w:style w:type="paragraph" w:customStyle="1" w:styleId="a51">
    <w:name w:val="编号列项（三级）"/>
    <w:autoRedefine/>
    <w:qFormat/>
    <w:pPr>
      <w:numPr>
        <w:ilvl w:val="0"/>
        <w:numId w:val="7"/>
      </w:numPr>
      <w:ind w:left="800" w:hanging="200" w:leftChars="600" w:hangingChars="200"/>
      <w:jc w:val="both"/>
    </w:pPr>
    <w:rPr>
      <w:rFonts w:ascii="宋体" w:eastAsia="宋体" w:hAnsi="Times New Roman" w:cs="Times New Roman"/>
      <w:sz w:val="21"/>
      <w:lang w:val="en-US" w:eastAsia="zh-CN" w:bidi="ar-SA"/>
    </w:rPr>
  </w:style>
  <w:style w:type="paragraph" w:customStyle="1" w:styleId="FR4">
    <w:name w:val="FR4"/>
    <w:autoRedefine/>
    <w:qFormat/>
    <w:pPr>
      <w:widowControl w:val="0"/>
      <w:autoSpaceDE w:val="0"/>
      <w:autoSpaceDN w:val="0"/>
      <w:adjustRightInd w:val="0"/>
      <w:spacing w:before="120"/>
      <w:jc w:val="both"/>
    </w:pPr>
    <w:rPr>
      <w:rFonts w:ascii="Arial" w:eastAsia="宋体" w:hAnsi="Arial" w:cs="Arial"/>
      <w:b/>
      <w:bCs/>
      <w:i/>
      <w:iCs/>
      <w:sz w:val="18"/>
      <w:szCs w:val="18"/>
      <w:lang w:val="en-US" w:eastAsia="zh-CN" w:bidi="ar-SA"/>
    </w:rPr>
  </w:style>
  <w:style w:type="paragraph" w:customStyle="1" w:styleId="FR1">
    <w:name w:val="FR1"/>
    <w:autoRedefine/>
    <w:qFormat/>
    <w:pPr>
      <w:widowControl w:val="0"/>
      <w:autoSpaceDE w:val="0"/>
      <w:autoSpaceDN w:val="0"/>
      <w:adjustRightInd w:val="0"/>
      <w:spacing w:before="1240" w:line="300" w:lineRule="auto"/>
      <w:ind w:right="2200"/>
      <w:jc w:val="both"/>
    </w:pPr>
    <w:rPr>
      <w:rFonts w:ascii="Times New Roman" w:eastAsia="宋体" w:hAnsi="Times New Roman" w:cs="Times New Roman"/>
      <w:sz w:val="56"/>
      <w:szCs w:val="56"/>
      <w:lang w:val="en-US" w:eastAsia="zh-CN" w:bidi="ar-SA"/>
    </w:rPr>
  </w:style>
  <w:style w:type="paragraph" w:customStyle="1" w:styleId="FR3">
    <w:name w:val="FR3"/>
    <w:autoRedefine/>
    <w:qFormat/>
    <w:pPr>
      <w:widowControl w:val="0"/>
      <w:autoSpaceDE w:val="0"/>
      <w:autoSpaceDN w:val="0"/>
      <w:adjustRightInd w:val="0"/>
      <w:spacing w:line="300" w:lineRule="auto"/>
      <w:ind w:right="1200"/>
      <w:jc w:val="both"/>
    </w:pPr>
    <w:rPr>
      <w:rFonts w:ascii="Times New Roman" w:eastAsia="宋体" w:hAnsi="Times New Roman" w:cs="Times New Roman"/>
      <w:b/>
      <w:bCs/>
      <w:sz w:val="28"/>
      <w:szCs w:val="28"/>
      <w:lang w:val="en-US" w:eastAsia="zh-CN" w:bidi="ar-SA"/>
    </w:rPr>
  </w:style>
  <w:style w:type="paragraph" w:customStyle="1" w:styleId="Char1">
    <w:name w:val="Char1"/>
    <w:basedOn w:val="Normal"/>
    <w:autoRedefine/>
    <w:qFormat/>
    <w:pPr>
      <w:tabs>
        <w:tab w:val="left" w:pos="360"/>
      </w:tabs>
    </w:pPr>
    <w:rPr>
      <w:sz w:val="24"/>
    </w:rPr>
  </w:style>
  <w:style w:type="paragraph" w:customStyle="1" w:styleId="CharCharCharCharCharCharCharCharCharCharCharCharCharCharCharChar">
    <w:name w:val="Char Char Char Char Char Char Char Char Char Char Char Char Char Char Char Char"/>
    <w:basedOn w:val="Normal"/>
    <w:autoRedefine/>
    <w:qFormat/>
    <w:pPr>
      <w:tabs>
        <w:tab w:val="left" w:pos="360"/>
      </w:tabs>
    </w:pPr>
    <w:rPr>
      <w:sz w:val="24"/>
    </w:rPr>
  </w:style>
  <w:style w:type="paragraph" w:customStyle="1" w:styleId="a52">
    <w:name w:val="章"/>
    <w:basedOn w:val="Normal"/>
    <w:next w:val="Normal"/>
    <w:autoRedefine/>
    <w:qFormat/>
    <w:pPr>
      <w:numPr>
        <w:ilvl w:val="0"/>
        <w:numId w:val="8"/>
      </w:numPr>
      <w:adjustRightInd w:val="0"/>
      <w:spacing w:before="160" w:after="160"/>
      <w:outlineLvl w:val="0"/>
    </w:pPr>
    <w:rPr>
      <w:rFonts w:ascii="黑体" w:eastAsia="黑体"/>
      <w:kern w:val="21"/>
      <w:szCs w:val="20"/>
    </w:rPr>
  </w:style>
  <w:style w:type="paragraph" w:customStyle="1" w:styleId="10">
    <w:name w:val="条1"/>
    <w:basedOn w:val="Normal"/>
    <w:next w:val="Normal"/>
    <w:autoRedefine/>
    <w:qFormat/>
    <w:pPr>
      <w:numPr>
        <w:ilvl w:val="1"/>
        <w:numId w:val="8"/>
      </w:numPr>
      <w:outlineLvl w:val="1"/>
    </w:pPr>
    <w:rPr>
      <w:rFonts w:ascii="黑体" w:eastAsia="黑体"/>
      <w:kern w:val="21"/>
      <w:szCs w:val="20"/>
    </w:rPr>
  </w:style>
  <w:style w:type="paragraph" w:customStyle="1" w:styleId="20">
    <w:name w:val="条2"/>
    <w:basedOn w:val="Normal"/>
    <w:next w:val="Normal"/>
    <w:autoRedefine/>
    <w:qFormat/>
    <w:pPr>
      <w:numPr>
        <w:ilvl w:val="2"/>
        <w:numId w:val="8"/>
      </w:numPr>
      <w:outlineLvl w:val="1"/>
    </w:pPr>
    <w:rPr>
      <w:rFonts w:ascii="黑体" w:eastAsia="黑体"/>
      <w:kern w:val="21"/>
      <w:szCs w:val="20"/>
    </w:rPr>
  </w:style>
  <w:style w:type="paragraph" w:customStyle="1" w:styleId="3">
    <w:name w:val="条3"/>
    <w:basedOn w:val="Normal"/>
    <w:next w:val="Normal"/>
    <w:autoRedefine/>
    <w:qFormat/>
    <w:pPr>
      <w:numPr>
        <w:ilvl w:val="3"/>
        <w:numId w:val="8"/>
      </w:numPr>
      <w:outlineLvl w:val="1"/>
    </w:pPr>
    <w:rPr>
      <w:rFonts w:ascii="黑体" w:eastAsia="黑体"/>
      <w:kern w:val="21"/>
      <w:szCs w:val="20"/>
    </w:rPr>
  </w:style>
  <w:style w:type="paragraph" w:customStyle="1" w:styleId="4">
    <w:name w:val="条4"/>
    <w:basedOn w:val="Normal"/>
    <w:next w:val="Normal"/>
    <w:autoRedefine/>
    <w:qFormat/>
    <w:pPr>
      <w:numPr>
        <w:ilvl w:val="4"/>
        <w:numId w:val="8"/>
      </w:numPr>
      <w:outlineLvl w:val="1"/>
    </w:pPr>
    <w:rPr>
      <w:rFonts w:ascii="黑体" w:eastAsia="黑体"/>
      <w:kern w:val="21"/>
      <w:szCs w:val="20"/>
    </w:rPr>
  </w:style>
  <w:style w:type="paragraph" w:customStyle="1" w:styleId="5">
    <w:name w:val="条5"/>
    <w:basedOn w:val="Normal"/>
    <w:next w:val="Normal"/>
    <w:autoRedefine/>
    <w:qFormat/>
    <w:pPr>
      <w:numPr>
        <w:ilvl w:val="5"/>
        <w:numId w:val="8"/>
      </w:numPr>
      <w:outlineLvl w:val="1"/>
    </w:pPr>
    <w:rPr>
      <w:rFonts w:ascii="黑体" w:eastAsia="黑体"/>
      <w:kern w:val="21"/>
      <w:szCs w:val="20"/>
    </w:rPr>
  </w:style>
  <w:style w:type="paragraph" w:customStyle="1" w:styleId="a53">
    <w:name w:val="列项—"/>
    <w:basedOn w:val="Normal"/>
    <w:autoRedefine/>
    <w:qFormat/>
    <w:pPr>
      <w:tabs>
        <w:tab w:val="left" w:pos="360"/>
      </w:tabs>
      <w:ind w:left="360" w:hanging="360"/>
    </w:pPr>
    <w:rPr>
      <w:rFonts w:ascii="宋体"/>
      <w:szCs w:val="20"/>
    </w:rPr>
  </w:style>
  <w:style w:type="paragraph" w:customStyle="1" w:styleId="a54">
    <w:name w:val="列项·"/>
    <w:basedOn w:val="Normal"/>
    <w:autoRedefine/>
    <w:qFormat/>
    <w:pPr>
      <w:numPr>
        <w:ilvl w:val="1"/>
        <w:numId w:val="9"/>
      </w:numPr>
    </w:pPr>
    <w:rPr>
      <w:rFonts w:ascii="宋体"/>
      <w:szCs w:val="20"/>
    </w:rPr>
  </w:style>
  <w:style w:type="paragraph" w:customStyle="1" w:styleId="a55">
    <w:name w:val="二列项·"/>
    <w:basedOn w:val="Normal"/>
    <w:autoRedefine/>
    <w:qFormat/>
    <w:pPr>
      <w:tabs>
        <w:tab w:val="left" w:pos="1080"/>
      </w:tabs>
      <w:ind w:left="1080" w:hanging="1080"/>
    </w:pPr>
    <w:rPr>
      <w:rFonts w:ascii="宋体"/>
      <w:szCs w:val="20"/>
    </w:rPr>
  </w:style>
  <w:style w:type="paragraph" w:customStyle="1" w:styleId="a56">
    <w:name w:val="二列项—"/>
    <w:basedOn w:val="Normal"/>
    <w:autoRedefine/>
    <w:qFormat/>
    <w:pPr>
      <w:tabs>
        <w:tab w:val="left" w:pos="720"/>
      </w:tabs>
      <w:ind w:left="720" w:hanging="720"/>
    </w:pPr>
    <w:rPr>
      <w:rFonts w:ascii="宋体"/>
      <w:szCs w:val="20"/>
    </w:rPr>
  </w:style>
  <w:style w:type="paragraph" w:customStyle="1" w:styleId="a57">
    <w:name w:val="示例："/>
    <w:basedOn w:val="Normal"/>
    <w:next w:val="Normal"/>
    <w:autoRedefine/>
    <w:qFormat/>
    <w:pPr>
      <w:tabs>
        <w:tab w:val="left" w:pos="1080"/>
      </w:tabs>
      <w:ind w:left="1080" w:hanging="1080"/>
    </w:pPr>
    <w:rPr>
      <w:rFonts w:ascii="宋体"/>
      <w:sz w:val="18"/>
      <w:szCs w:val="20"/>
    </w:rPr>
  </w:style>
  <w:style w:type="paragraph" w:customStyle="1" w:styleId="TOC10">
    <w:name w:val="TOC 标题1"/>
    <w:basedOn w:val="Heading1"/>
    <w:next w:val="Normal"/>
    <w:autoRedefine/>
    <w:uiPriority w:val="39"/>
    <w:semiHidden/>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Normal"/>
    <w:autoRedefine/>
    <w:uiPriority w:val="34"/>
    <w:qFormat/>
    <w:pPr>
      <w:ind w:firstLine="420" w:firstLineChars="200"/>
    </w:pPr>
    <w:rPr>
      <w:rFonts w:ascii="Calibri" w:hAnsi="Calibri"/>
      <w:szCs w:val="22"/>
    </w:rPr>
  </w:style>
  <w:style w:type="paragraph" w:customStyle="1" w:styleId="Default">
    <w:name w:val="Default"/>
    <w:autoRedefine/>
    <w:qFormat/>
    <w:pPr>
      <w:widowControl w:val="0"/>
      <w:autoSpaceDE w:val="0"/>
      <w:autoSpaceDN w:val="0"/>
      <w:adjustRightInd w:val="0"/>
      <w:jc w:val="both"/>
    </w:pPr>
    <w:rPr>
      <w:rFonts w:ascii="Times New Roman" w:eastAsia="宋体" w:hAnsi="Times New Roman" w:cs="Times New Roman"/>
      <w:color w:val="000000"/>
      <w:sz w:val="24"/>
      <w:szCs w:val="24"/>
      <w:lang w:val="en-US" w:eastAsia="zh-CN" w:bidi="ar-SA"/>
    </w:rPr>
  </w:style>
  <w:style w:type="character" w:customStyle="1" w:styleId="Char">
    <w:name w:val="段 Char"/>
    <w:basedOn w:val="DefaultParagraphFont"/>
    <w:link w:val="a8"/>
    <w:autoRedefine/>
    <w:qFormat/>
    <w:rPr>
      <w:rFonts w:ascii="宋体"/>
      <w:sz w:val="21"/>
      <w:lang w:val="en-US" w:eastAsia="zh-CN" w:bidi="ar-SA"/>
    </w:rPr>
  </w:style>
  <w:style w:type="character" w:customStyle="1" w:styleId="a58">
    <w:name w:val="发布"/>
    <w:basedOn w:val="DefaultParagraphFont"/>
    <w:autoRedefine/>
    <w:qFormat/>
    <w:rPr>
      <w:rFonts w:ascii="黑体" w:eastAsia="黑体"/>
      <w:spacing w:val="22"/>
      <w:w w:val="100"/>
      <w:position w:val="3"/>
      <w:sz w:val="28"/>
    </w:rPr>
  </w:style>
  <w:style w:type="character" w:customStyle="1" w:styleId="EmailStyle62">
    <w:name w:val="EmailStyle62"/>
    <w:basedOn w:val="DefaultParagraphFont"/>
    <w:autoRedefine/>
    <w:qFormat/>
    <w:rPr>
      <w:rFonts w:ascii="Arial" w:eastAsia="宋体" w:hAnsi="Arial" w:cs="Arial"/>
      <w:color w:val="auto"/>
      <w:sz w:val="20"/>
    </w:rPr>
  </w:style>
  <w:style w:type="character" w:customStyle="1" w:styleId="EmailStyle63">
    <w:name w:val="EmailStyle63"/>
    <w:basedOn w:val="DefaultParagraphFont"/>
    <w:autoRedefine/>
    <w:qFormat/>
    <w:rPr>
      <w:rFonts w:ascii="Arial" w:eastAsia="宋体" w:hAnsi="Arial" w:cs="Arial"/>
      <w:color w:val="auto"/>
      <w:sz w:val="20"/>
    </w:rPr>
  </w:style>
  <w:style w:type="character" w:customStyle="1" w:styleId="CharChar">
    <w:name w:val="Char Char"/>
    <w:basedOn w:val="DefaultParagraphFont"/>
    <w:autoRedefine/>
    <w:qFormat/>
    <w:rPr>
      <w:rFonts w:ascii="Arial" w:eastAsia="黑体" w:hAnsi="Arial"/>
      <w:b/>
      <w:bCs/>
      <w:kern w:val="2"/>
      <w:sz w:val="32"/>
      <w:szCs w:val="32"/>
      <w:lang w:val="en-US" w:eastAsia="zh-CN" w:bidi="ar-SA"/>
    </w:rPr>
  </w:style>
  <w:style w:type="character" w:customStyle="1" w:styleId="Char0">
    <w:name w:val="附录章标题 Char"/>
    <w:basedOn w:val="DefaultParagraphFont"/>
    <w:autoRedefine/>
    <w:qFormat/>
    <w:rPr>
      <w:rFonts w:ascii="黑体" w:eastAsia="黑体"/>
      <w:kern w:val="21"/>
      <w:sz w:val="21"/>
      <w:lang w:val="en-US" w:eastAsia="zh-CN" w:bidi="ar-SA"/>
    </w:rPr>
  </w:style>
  <w:style w:type="character" w:customStyle="1" w:styleId="Char2">
    <w:name w:val="附录一级条标题 Char"/>
    <w:basedOn w:val="Char0"/>
    <w:autoRedefine/>
    <w:qFormat/>
  </w:style>
  <w:style w:type="character" w:customStyle="1" w:styleId="2Char">
    <w:name w:val="标题 2 Char"/>
    <w:basedOn w:val="DefaultParagraphFont"/>
    <w:link w:val="Heading2"/>
    <w:autoRedefine/>
    <w:qFormat/>
    <w:rPr>
      <w:rFonts w:ascii="Arial" w:eastAsia="黑体" w:hAnsi="Arial"/>
      <w:b/>
      <w:bCs/>
      <w:kern w:val="2"/>
      <w:sz w:val="32"/>
      <w:szCs w:val="32"/>
    </w:rPr>
  </w:style>
  <w:style w:type="character" w:customStyle="1" w:styleId="3Char">
    <w:name w:val="标题 3 Char"/>
    <w:basedOn w:val="DefaultParagraphFont"/>
    <w:link w:val="Heading3"/>
    <w:autoRedefine/>
    <w:qFormat/>
    <w:rPr>
      <w:b/>
      <w:bCs/>
      <w:kern w:val="2"/>
      <w:sz w:val="32"/>
      <w:szCs w:val="32"/>
    </w:rPr>
  </w:style>
  <w:style w:type="character" w:customStyle="1" w:styleId="Char3">
    <w:name w:val="页眉 Char"/>
    <w:basedOn w:val="DefaultParagraphFont"/>
    <w:link w:val="Header"/>
    <w:autoRedefine/>
    <w:uiPriority w:val="99"/>
    <w:qFormat/>
    <w:rPr>
      <w:kern w:val="2"/>
      <w:sz w:val="18"/>
      <w:szCs w:val="18"/>
    </w:rPr>
  </w:style>
  <w:style w:type="character" w:customStyle="1" w:styleId="Char4">
    <w:name w:val="页脚 Char"/>
    <w:basedOn w:val="DefaultParagraphFont"/>
    <w:link w:val="Footer"/>
    <w:autoRedefine/>
    <w:uiPriority w:val="99"/>
    <w:qFormat/>
    <w:rPr>
      <w:kern w:val="2"/>
      <w:sz w:val="18"/>
      <w:szCs w:val="18"/>
    </w:rPr>
  </w:style>
  <w:style w:type="character" w:customStyle="1" w:styleId="Char5">
    <w:name w:val="批注框文本 Char"/>
    <w:basedOn w:val="DefaultParagraphFont"/>
    <w:link w:val="BalloonText"/>
    <w:autoRedefine/>
    <w:uiPriority w:val="99"/>
    <w:semiHidden/>
    <w:qFormat/>
    <w:rPr>
      <w:kern w:val="2"/>
      <w:sz w:val="18"/>
      <w:szCs w:val="18"/>
    </w:rPr>
  </w:style>
  <w:style w:type="character" w:customStyle="1" w:styleId="2CharChar3">
    <w:name w:val="样式 样式 首行缩进:  2 字符 Char + 黑色 Char3"/>
    <w:autoRedefine/>
    <w:qFormat/>
    <w:rPr>
      <w:rFonts w:eastAsia="宋体" w:cs="宋体"/>
      <w:color w:val="000000"/>
      <w:kern w:val="2"/>
      <w:sz w:val="21"/>
      <w:szCs w:val="21"/>
      <w:lang w:val="en-US" w:eastAsia="zh-CN" w:bidi="ar-SA"/>
    </w:rPr>
  </w:style>
  <w:style w:type="paragraph" w:customStyle="1" w:styleId="a59">
    <w:name w:val="其他实施日期"/>
    <w:basedOn w:val="a37"/>
    <w:autoRedefine/>
    <w:qFormat/>
  </w:style>
  <w:style w:type="character" w:customStyle="1" w:styleId="Char6">
    <w:name w:val="正文文本缩进 Char"/>
    <w:basedOn w:val="DefaultParagraphFont"/>
    <w:link w:val="BodyTextIndent"/>
    <w:autoRedefine/>
    <w:qFormat/>
    <w:rPr>
      <w:kern w:val="2"/>
      <w:sz w:val="21"/>
      <w:szCs w:val="16"/>
    </w:rPr>
  </w:style>
  <w:style w:type="paragraph" w:customStyle="1" w:styleId="a60">
    <w:name w:val="终结线"/>
    <w:basedOn w:val="Normal"/>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00" Type="http://schemas.openxmlformats.org/officeDocument/2006/relationships/header" Target="header45.xml" /><Relationship Id="rId101" Type="http://schemas.openxmlformats.org/officeDocument/2006/relationships/footer" Target="footer45.xml" /><Relationship Id="rId102" Type="http://schemas.openxmlformats.org/officeDocument/2006/relationships/hyperlink" Target="https://d.book118.com/885324212143011110" TargetMode="External" /><Relationship Id="rId103" Type="http://schemas.openxmlformats.org/officeDocument/2006/relationships/header" Target="header46.xml" /><Relationship Id="rId104" Type="http://schemas.openxmlformats.org/officeDocument/2006/relationships/header" Target="header47.xml" /><Relationship Id="rId105" Type="http://schemas.openxmlformats.org/officeDocument/2006/relationships/footer" Target="footer46.xml" /><Relationship Id="rId106" Type="http://schemas.openxmlformats.org/officeDocument/2006/relationships/footer" Target="footer47.xml" /><Relationship Id="rId107" Type="http://schemas.openxmlformats.org/officeDocument/2006/relationships/header" Target="header48.xml" /><Relationship Id="rId108" Type="http://schemas.openxmlformats.org/officeDocument/2006/relationships/footer" Target="footer48.xml" /><Relationship Id="rId109" Type="http://schemas.openxmlformats.org/officeDocument/2006/relationships/theme" Target="theme/theme1.xml" /><Relationship Id="rId11" Type="http://schemas.openxmlformats.org/officeDocument/2006/relationships/footer" Target="footer1.xml" /><Relationship Id="rId110" Type="http://schemas.openxmlformats.org/officeDocument/2006/relationships/numbering" Target="numbering.xml" /><Relationship Id="rId111" Type="http://schemas.openxmlformats.org/officeDocument/2006/relationships/styles" Target="styles.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settings" Target="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webSettings" Target="webSettings.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3.emf" /><Relationship Id="rId34" Type="http://schemas.openxmlformats.org/officeDocument/2006/relationships/oleObject" Target="embeddings/oleObject1.vsd"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fontTable" Target="fontTable.xml" /><Relationship Id="rId40" Type="http://schemas.openxmlformats.org/officeDocument/2006/relationships/footer" Target="footer15.xml" /><Relationship Id="rId41" Type="http://schemas.openxmlformats.org/officeDocument/2006/relationships/header" Target="header16.xml" /><Relationship Id="rId42" Type="http://schemas.openxmlformats.org/officeDocument/2006/relationships/header" Target="header17.xml" /><Relationship Id="rId43" Type="http://schemas.openxmlformats.org/officeDocument/2006/relationships/footer" Target="footer16.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customXml" Target="../customXml/item1.xml" /><Relationship Id="rId50" Type="http://schemas.openxmlformats.org/officeDocument/2006/relationships/footer" Target="footer20.xml"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hyperlink" Target="http://baike.baidu.com/view/134183.htm" TargetMode="External" /><Relationship Id="rId54" Type="http://schemas.openxmlformats.org/officeDocument/2006/relationships/header" Target="header22.xml" /><Relationship Id="rId55" Type="http://schemas.openxmlformats.org/officeDocument/2006/relationships/header" Target="header23.xml" /><Relationship Id="rId56" Type="http://schemas.openxmlformats.org/officeDocument/2006/relationships/footer" Target="footer22.xml" /><Relationship Id="rId57" Type="http://schemas.openxmlformats.org/officeDocument/2006/relationships/footer" Target="footer23.xml" /><Relationship Id="rId58" Type="http://schemas.openxmlformats.org/officeDocument/2006/relationships/header" Target="header24.xml" /><Relationship Id="rId59" Type="http://schemas.openxmlformats.org/officeDocument/2006/relationships/footer" Target="footer24.xml" /><Relationship Id="rId6" Type="http://schemas.openxmlformats.org/officeDocument/2006/relationships/customXml" Target="../customXml/item2.xml" /><Relationship Id="rId60" Type="http://schemas.openxmlformats.org/officeDocument/2006/relationships/header" Target="header25.xml" /><Relationship Id="rId61" Type="http://schemas.openxmlformats.org/officeDocument/2006/relationships/header" Target="header26.xml" /><Relationship Id="rId62" Type="http://schemas.openxmlformats.org/officeDocument/2006/relationships/footer" Target="footer25.xml" /><Relationship Id="rId63" Type="http://schemas.openxmlformats.org/officeDocument/2006/relationships/footer" Target="footer26.xm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header" Target="header28.xml" /><Relationship Id="rId67" Type="http://schemas.openxmlformats.org/officeDocument/2006/relationships/header" Target="header29.xml" /><Relationship Id="rId68" Type="http://schemas.openxmlformats.org/officeDocument/2006/relationships/footer" Target="footer28.xml" /><Relationship Id="rId69" Type="http://schemas.openxmlformats.org/officeDocument/2006/relationships/footer" Target="footer29.xml" /><Relationship Id="rId7" Type="http://schemas.openxmlformats.org/officeDocument/2006/relationships/image" Target="media/image1.png" /><Relationship Id="rId70" Type="http://schemas.openxmlformats.org/officeDocument/2006/relationships/header" Target="header30.xml" /><Relationship Id="rId71" Type="http://schemas.openxmlformats.org/officeDocument/2006/relationships/footer" Target="footer30.xml" /><Relationship Id="rId72" Type="http://schemas.openxmlformats.org/officeDocument/2006/relationships/header" Target="header31.xml" /><Relationship Id="rId73" Type="http://schemas.openxmlformats.org/officeDocument/2006/relationships/header" Target="header32.xml" /><Relationship Id="rId74" Type="http://schemas.openxmlformats.org/officeDocument/2006/relationships/footer" Target="footer31.xml" /><Relationship Id="rId75" Type="http://schemas.openxmlformats.org/officeDocument/2006/relationships/footer" Target="footer32.xml" /><Relationship Id="rId76" Type="http://schemas.openxmlformats.org/officeDocument/2006/relationships/header" Target="header33.xml" /><Relationship Id="rId77" Type="http://schemas.openxmlformats.org/officeDocument/2006/relationships/footer" Target="footer33.xml" /><Relationship Id="rId78" Type="http://schemas.openxmlformats.org/officeDocument/2006/relationships/header" Target="header34.xml" /><Relationship Id="rId79" Type="http://schemas.openxmlformats.org/officeDocument/2006/relationships/header" Target="header35.xml" /><Relationship Id="rId8" Type="http://schemas.openxmlformats.org/officeDocument/2006/relationships/image" Target="media/image2.png" /><Relationship Id="rId80" Type="http://schemas.openxmlformats.org/officeDocument/2006/relationships/footer" Target="footer34.xml" /><Relationship Id="rId81" Type="http://schemas.openxmlformats.org/officeDocument/2006/relationships/footer" Target="footer35.xml" /><Relationship Id="rId82" Type="http://schemas.openxmlformats.org/officeDocument/2006/relationships/header" Target="header36.xml" /><Relationship Id="rId83" Type="http://schemas.openxmlformats.org/officeDocument/2006/relationships/footer" Target="footer36.xml" /><Relationship Id="rId84" Type="http://schemas.openxmlformats.org/officeDocument/2006/relationships/header" Target="header37.xml" /><Relationship Id="rId85" Type="http://schemas.openxmlformats.org/officeDocument/2006/relationships/header" Target="header38.xml" /><Relationship Id="rId86" Type="http://schemas.openxmlformats.org/officeDocument/2006/relationships/footer" Target="footer37.xml" /><Relationship Id="rId87" Type="http://schemas.openxmlformats.org/officeDocument/2006/relationships/footer" Target="footer38.xml" /><Relationship Id="rId88" Type="http://schemas.openxmlformats.org/officeDocument/2006/relationships/header" Target="header39.xml" /><Relationship Id="rId89" Type="http://schemas.openxmlformats.org/officeDocument/2006/relationships/footer" Target="footer39.xml" /><Relationship Id="rId9" Type="http://schemas.openxmlformats.org/officeDocument/2006/relationships/header" Target="header1.xml" /><Relationship Id="rId90" Type="http://schemas.openxmlformats.org/officeDocument/2006/relationships/header" Target="header40.xml" /><Relationship Id="rId91" Type="http://schemas.openxmlformats.org/officeDocument/2006/relationships/header" Target="header41.xml" /><Relationship Id="rId92" Type="http://schemas.openxmlformats.org/officeDocument/2006/relationships/footer" Target="footer40.xml" /><Relationship Id="rId93" Type="http://schemas.openxmlformats.org/officeDocument/2006/relationships/footer" Target="footer41.xml" /><Relationship Id="rId94" Type="http://schemas.openxmlformats.org/officeDocument/2006/relationships/header" Target="header42.xml" /><Relationship Id="rId95" Type="http://schemas.openxmlformats.org/officeDocument/2006/relationships/footer" Target="footer42.xml" /><Relationship Id="rId96" Type="http://schemas.openxmlformats.org/officeDocument/2006/relationships/header" Target="header43.xml" /><Relationship Id="rId97" Type="http://schemas.openxmlformats.org/officeDocument/2006/relationships/header" Target="header44.xml" /><Relationship Id="rId98" Type="http://schemas.openxmlformats.org/officeDocument/2006/relationships/footer" Target="footer43.xml" /><Relationship Id="rId99" Type="http://schemas.openxmlformats.org/officeDocument/2006/relationships/footer" Target="footer4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5123"/>
    <customShpInfo spid="_x0000_s1066"/>
    <customShpInfo spid="_x0000_s1028"/>
    <customShpInfo spid="_x0000_s1029"/>
    <customShpInfo spid="_x0000_s1030"/>
    <customShpInfo spid="_x0000_s1031"/>
    <customShpInfo spid="_x0000_s1032"/>
    <customShpInfo spid="_x0000_s1033"/>
    <customShpInfo spid="_x0000_s107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3A99C9-79E2-4711-BC70-270659F413A3}">
  <ds:schemaRefs/>
</ds:datastoreItem>
</file>

<file path=docProps/app.xml><?xml version="1.0" encoding="utf-8"?>
<Properties xmlns="http://schemas.openxmlformats.org/officeDocument/2006/extended-properties" xmlns:vt="http://schemas.openxmlformats.org/officeDocument/2006/docPropsVTypes">
  <Template>Normal.dotm</Template>
  <TotalTime>597</TotalTime>
  <Pages>24</Pages>
  <Words>4282</Words>
  <Characters>24410</Characters>
  <Application>Microsoft Office Word</Application>
  <DocSecurity>0</DocSecurity>
  <Lines>203</Lines>
  <Paragraphs>57</Paragraphs>
  <ScaleCrop>false</ScaleCrop>
  <Company/>
  <LinksUpToDate>false</LinksUpToDate>
  <CharactersWithSpaces>28635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信息技术 安全技术</dc:title>
  <dc:creator>gongwei</dc:creator>
  <cp:lastModifiedBy>xwbjl</cp:lastModifiedBy>
  <cp:revision>235</cp:revision>
  <cp:lastPrinted>2014-01-08T03:07:00Z</cp:lastPrinted>
  <dcterms:created xsi:type="dcterms:W3CDTF">2013-10-17T07:55:00Z</dcterms:created>
  <dcterms:modified xsi:type="dcterms:W3CDTF">2024-02-18T04:04:00Z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87EDFD3ACA3845C795240E35D82B43AE_12</vt:lpwstr>
  </property>
  <property fmtid="{D5CDD505-2E9C-101B-9397-08002B2CF9AE}" pid="3" name="KSOProductBuildVer">
    <vt:lpwstr>2052-12.1.0.16120</vt:lpwstr>
  </property>
</Properties>
</file>