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54" w:lineRule="auto"/>
      </w:pPr>
      <w:r>
        <w:pict>
          <v:rect id="_x0000_s1026" o:spid="_x0000_s1025" style="width:33.95pt;height:0.35pt;margin-top:814.65pt;margin-left:482.2pt;mso-height-relative:page;mso-position-horizontal-relative:page;mso-position-vertical-relative:page;mso-width-relative:page;position:absolute;z-index:251659264" coordsize="21600,21600" o:allowincell="f" filled="t" fillcolor="black" stroked="f"/>
        </w:pict>
      </w: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5" w:lineRule="auto"/>
      </w:pPr>
    </w:p>
    <w:p>
      <w:pPr>
        <w:pStyle w:val="BodyText"/>
        <w:spacing w:line="255" w:lineRule="auto"/>
      </w:pPr>
    </w:p>
    <w:p>
      <w:pPr>
        <w:spacing w:before="136" w:line="221" w:lineRule="auto"/>
        <w:ind w:left="2051"/>
        <w:outlineLvl w:val="0"/>
        <w:rPr>
          <w:rFonts w:ascii="黑体" w:eastAsia="黑体" w:hAnsi="黑体" w:cs="黑体"/>
          <w:sz w:val="42"/>
          <w:szCs w:val="42"/>
        </w:rPr>
      </w:pPr>
      <w:r>
        <w:rPr>
          <w:rFonts w:ascii="黑体" w:eastAsia="黑体" w:hAnsi="黑体" w:cs="黑体"/>
          <w:b/>
          <w:bCs/>
          <w:spacing w:val="11"/>
          <w:sz w:val="42"/>
          <w:szCs w:val="42"/>
        </w:rPr>
        <w:t>美新科技股份有限公司</w:t>
      </w:r>
    </w:p>
    <w:p>
      <w:pPr>
        <w:spacing w:before="358" w:line="222" w:lineRule="auto"/>
        <w:ind w:left="2941"/>
        <w:outlineLvl w:val="0"/>
        <w:rPr>
          <w:rFonts w:ascii="黑体" w:eastAsia="黑体" w:hAnsi="黑体" w:cs="黑体"/>
          <w:sz w:val="42"/>
          <w:szCs w:val="42"/>
        </w:rPr>
      </w:pPr>
      <w:r>
        <w:rPr>
          <w:rFonts w:ascii="黑体" w:eastAsia="黑体" w:hAnsi="黑体" w:cs="黑体"/>
          <w:b/>
          <w:bCs/>
          <w:spacing w:val="6"/>
          <w:sz w:val="42"/>
          <w:szCs w:val="42"/>
        </w:rPr>
        <w:t>二〇二三年度</w:t>
      </w:r>
    </w:p>
    <w:p>
      <w:pPr>
        <w:spacing w:before="354" w:line="222" w:lineRule="auto"/>
        <w:ind w:left="2490"/>
        <w:rPr>
          <w:rFonts w:ascii="黑体" w:eastAsia="黑体" w:hAnsi="黑体" w:cs="黑体"/>
          <w:sz w:val="42"/>
          <w:szCs w:val="42"/>
        </w:rPr>
      </w:pPr>
      <w:r>
        <w:rPr>
          <w:rFonts w:ascii="黑体" w:eastAsia="黑体" w:hAnsi="黑体" w:cs="黑体"/>
          <w:b/>
          <w:bCs/>
          <w:spacing w:val="13"/>
          <w:sz w:val="42"/>
          <w:szCs w:val="42"/>
        </w:rPr>
        <w:t>盈利预测审核报告</w:t>
      </w: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spacing w:before="137" w:line="221" w:lineRule="auto"/>
        <w:ind w:left="980"/>
        <w:rPr>
          <w:rFonts w:ascii="黑体" w:eastAsia="黑体" w:hAnsi="黑体" w:cs="黑体"/>
          <w:sz w:val="42"/>
          <w:szCs w:val="42"/>
        </w:rPr>
      </w:pPr>
      <w:r>
        <w:rPr>
          <w:rFonts w:ascii="黑体" w:eastAsia="黑体" w:hAnsi="黑体" w:cs="黑体"/>
          <w:b/>
          <w:bCs/>
          <w:color w:val="BB23C1"/>
          <w:spacing w:val="-4"/>
          <w:sz w:val="42"/>
          <w:szCs w:val="42"/>
        </w:rPr>
        <w:t>致同会计师事务所(特殊普通合伙)</w:t>
      </w:r>
    </w:p>
    <w:p>
      <w:pPr>
        <w:pStyle w:val="BodyText"/>
        <w:spacing w:line="268" w:lineRule="auto"/>
      </w:pPr>
    </w:p>
    <w:p>
      <w:pPr>
        <w:pStyle w:val="BodyText"/>
        <w:spacing w:line="268" w:lineRule="auto"/>
      </w:pPr>
    </w:p>
    <w:p>
      <w:pPr>
        <w:pStyle w:val="BodyText"/>
        <w:spacing w:line="268" w:lineRule="auto"/>
      </w:pPr>
    </w:p>
    <w:p>
      <w:pPr>
        <w:pStyle w:val="BodyText"/>
        <w:spacing w:line="268" w:lineRule="auto"/>
      </w:pPr>
    </w:p>
    <w:p>
      <w:pPr>
        <w:pStyle w:val="BodyText"/>
        <w:spacing w:line="269" w:lineRule="auto"/>
      </w:pPr>
    </w:p>
    <w:p>
      <w:pPr>
        <w:pStyle w:val="BodyText"/>
        <w:spacing w:line="269" w:lineRule="auto"/>
      </w:pPr>
    </w:p>
    <w:p>
      <w:pPr>
        <w:pStyle w:val="BodyText"/>
        <w:spacing w:line="269" w:lineRule="auto"/>
      </w:pPr>
    </w:p>
    <w:p>
      <w:pPr>
        <w:pStyle w:val="BodyText"/>
        <w:spacing w:line="269" w:lineRule="auto"/>
      </w:pPr>
    </w:p>
    <w:p>
      <w:pPr>
        <w:spacing w:before="43" w:line="193" w:lineRule="auto"/>
        <w:ind w:left="4325"/>
        <w:rPr>
          <w:rFonts w:ascii="宋体" w:eastAsia="宋体" w:hAnsi="宋体" w:cs="宋体"/>
          <w:sz w:val="13"/>
          <w:szCs w:val="13"/>
        </w:rPr>
      </w:pPr>
      <w:r>
        <w:rPr>
          <w:rFonts w:ascii="宋体" w:eastAsia="宋体" w:hAnsi="宋体" w:cs="宋体"/>
          <w:spacing w:val="10"/>
          <w:sz w:val="13"/>
          <w:szCs w:val="13"/>
        </w:rPr>
        <w:t>此码用于证明该审计报告是否由具有执业许可的会计</w:t>
      </w:r>
      <w:r>
        <w:rPr>
          <w:rFonts w:ascii="宋体" w:eastAsia="宋体" w:hAnsi="宋体" w:cs="宋体"/>
          <w:spacing w:val="9"/>
          <w:sz w:val="13"/>
          <w:szCs w:val="13"/>
        </w:rPr>
        <w:t>师事务所出具，</w:t>
      </w:r>
    </w:p>
    <w:p>
      <w:pPr>
        <w:spacing w:line="212" w:lineRule="auto"/>
        <w:ind w:left="4524"/>
        <w:rPr>
          <w:rFonts w:ascii="宋体" w:eastAsia="宋体" w:hAnsi="宋体" w:cs="宋体"/>
          <w:sz w:val="13"/>
          <w:szCs w:val="13"/>
        </w:rPr>
      </w:pPr>
      <w:r>
        <w:pict>
          <v:shapetype id="_x0000_t202" coordsize="21600,21600" o:spt="202" path="m,l,21600r21600,l21600,xe">
            <v:stroke joinstyle="miter"/>
            <v:path gradientshapeok="t" o:connecttype="rect"/>
          </v:shapetype>
          <v:shape id="_x0000_s1027" o:spid="_x0000_s1026" type="#_x0000_t202" style="width:80.9pt;height:9.7pt;margin-top:-0.95pt;margin-left:112.75pt;mso-height-relative:page;mso-width-relative:page;position:absolute;z-index:251658240" coordsize="21600,21600" filled="f" stroked="f">
            <o:lock v:ext="edit" aspectratio="f"/>
            <v:textbox inset="0,0,0,0">
              <w:txbxContent>
                <w:p>
                  <w:pPr>
                    <w:spacing w:before="19" w:line="219" w:lineRule="auto"/>
                    <w:ind w:left="20"/>
                    <w:rPr>
                      <w:rFonts w:ascii="宋体" w:eastAsia="宋体" w:hAnsi="宋体" w:cs="宋体"/>
                      <w:sz w:val="13"/>
                      <w:szCs w:val="13"/>
                    </w:rPr>
                  </w:pPr>
                  <w:r>
                    <w:rPr>
                      <w:rFonts w:ascii="宋体" w:eastAsia="宋体" w:hAnsi="宋体" w:cs="宋体"/>
                      <w:spacing w:val="13"/>
                      <w:sz w:val="13"/>
                      <w:szCs w:val="13"/>
                    </w:rPr>
                    <w:t>您可使用手机“扫一扫”</w:t>
                  </w:r>
                </w:p>
              </w:txbxContent>
            </v:textbox>
          </v:shape>
        </w:pict>
      </w:r>
      <w:r>
        <w:rPr>
          <w:rFonts w:ascii="宋体" w:eastAsia="宋体" w:hAnsi="宋体" w:cs="宋体"/>
          <w:spacing w:val="3"/>
          <w:sz w:val="13"/>
          <w:szCs w:val="13"/>
        </w:rPr>
        <w:t>册会计师行业统一监管平台</w:t>
      </w:r>
      <w:r>
        <w:rPr>
          <w:rFonts w:ascii="Times New Roman" w:eastAsia="Times New Roman" w:hAnsi="Times New Roman" w:cs="Times New Roman"/>
          <w:spacing w:val="3"/>
          <w:sz w:val="13"/>
          <w:szCs w:val="13"/>
        </w:rPr>
        <w:t>(</w:t>
      </w:r>
      <w:r>
        <w:rPr>
          <w:rFonts w:ascii="Times New Roman" w:eastAsia="Times New Roman" w:hAnsi="Times New Roman" w:cs="Times New Roman"/>
          <w:sz w:val="13"/>
          <w:szCs w:val="13"/>
        </w:rPr>
        <w:t>htp</w:t>
      </w:r>
      <w:r>
        <w:rPr>
          <w:rFonts w:ascii="Times New Roman" w:eastAsia="Times New Roman" w:hAnsi="Times New Roman" w:cs="Times New Roman"/>
          <w:spacing w:val="3"/>
          <w:sz w:val="13"/>
          <w:szCs w:val="13"/>
        </w:rPr>
        <w:t>://</w:t>
      </w:r>
      <w:r>
        <w:rPr>
          <w:rFonts w:ascii="Times New Roman" w:eastAsia="Times New Roman" w:hAnsi="Times New Roman" w:cs="Times New Roman"/>
          <w:sz w:val="13"/>
          <w:szCs w:val="13"/>
        </w:rPr>
        <w:t>accmof</w:t>
      </w:r>
      <w:r>
        <w:rPr>
          <w:rFonts w:ascii="Times New Roman" w:eastAsia="Times New Roman" w:hAnsi="Times New Roman" w:cs="Times New Roman"/>
          <w:spacing w:val="3"/>
          <w:sz w:val="13"/>
          <w:szCs w:val="13"/>
        </w:rPr>
        <w:t xml:space="preserve">           </w:t>
      </w:r>
      <w:r>
        <w:rPr>
          <w:rFonts w:ascii="Times New Roman" w:eastAsia="Times New Roman" w:hAnsi="Times New Roman" w:cs="Times New Roman"/>
          <w:sz w:val="13"/>
          <w:szCs w:val="13"/>
        </w:rPr>
        <w:t>gov</w:t>
      </w:r>
      <w:r>
        <w:rPr>
          <w:rFonts w:ascii="Times New Roman" w:eastAsia="Times New Roman" w:hAnsi="Times New Roman" w:cs="Times New Roman"/>
          <w:spacing w:val="3"/>
          <w:sz w:val="13"/>
          <w:szCs w:val="13"/>
        </w:rPr>
        <w:t>.</w:t>
      </w:r>
      <w:r>
        <w:rPr>
          <w:rFonts w:ascii="Times New Roman" w:eastAsia="Times New Roman" w:hAnsi="Times New Roman" w:cs="Times New Roman"/>
          <w:sz w:val="13"/>
          <w:szCs w:val="13"/>
        </w:rPr>
        <w:t>cn</w:t>
      </w:r>
      <w:r>
        <w:rPr>
          <w:rFonts w:ascii="Times New Roman" w:eastAsia="Times New Roman" w:hAnsi="Times New Roman" w:cs="Times New Roman"/>
          <w:spacing w:val="3"/>
          <w:sz w:val="13"/>
          <w:szCs w:val="13"/>
        </w:rPr>
        <w:t xml:space="preserve">)      </w:t>
      </w:r>
      <w:r>
        <w:rPr>
          <w:rFonts w:ascii="宋体" w:eastAsia="宋体" w:hAnsi="宋体" w:cs="宋体"/>
          <w:spacing w:val="3"/>
          <w:sz w:val="13"/>
          <w:szCs w:val="13"/>
        </w:rPr>
        <w:t>井行查验。</w:t>
      </w:r>
    </w:p>
    <w:p>
      <w:pPr>
        <w:spacing w:before="3" w:line="212" w:lineRule="auto"/>
        <w:ind w:left="6825"/>
        <w:rPr>
          <w:rFonts w:ascii="Times New Roman" w:eastAsia="Times New Roman" w:hAnsi="Times New Roman" w:cs="Times New Roman"/>
          <w:sz w:val="13"/>
          <w:szCs w:val="13"/>
        </w:rPr>
      </w:pPr>
      <w:r>
        <w:rPr>
          <w:rFonts w:ascii="宋体" w:eastAsia="宋体" w:hAnsi="宋体" w:cs="宋体"/>
          <w:spacing w:val="-6"/>
          <w:sz w:val="13"/>
          <w:szCs w:val="13"/>
        </w:rPr>
        <w:t>报告编码：京23</w:t>
      </w:r>
      <w:r>
        <w:rPr>
          <w:rFonts w:ascii="Times New Roman" w:eastAsia="Times New Roman" w:hAnsi="Times New Roman" w:cs="Times New Roman"/>
          <w:spacing w:val="-6"/>
          <w:sz w:val="13"/>
          <w:szCs w:val="13"/>
        </w:rPr>
        <w:t>SPPGQVAG</w:t>
      </w:r>
    </w:p>
    <w:p>
      <w:pPr>
        <w:spacing w:line="212" w:lineRule="auto"/>
        <w:rPr>
          <w:rFonts w:ascii="Times New Roman" w:eastAsia="Times New Roman" w:hAnsi="Times New Roman" w:cs="Times New Roman"/>
          <w:sz w:val="13"/>
          <w:szCs w:val="13"/>
        </w:rPr>
        <w:sectPr>
          <w:pgSz w:w="11900" w:h="16820"/>
          <w:pgMar w:top="1429" w:right="188" w:bottom="0" w:left="1785" w:header="0" w:footer="0" w:gutter="0"/>
          <w:cols w:num="1" w:space="720"/>
        </w:sectPr>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sdt>
      <w:sdtPr>
        <w:rPr>
          <w:rFonts w:ascii="仿宋" w:eastAsia="仿宋" w:hAnsi="仿宋" w:cs="仿宋"/>
          <w:sz w:val="29"/>
          <w:szCs w:val="29"/>
        </w:rPr>
        <w:id w:val="1"/>
        <w:docPartObj>
          <w:docPartGallery w:val="Table of Contents"/>
          <w:docPartUnique/>
        </w:docPartObj>
      </w:sdtPr>
      <w:sdtEndPr>
        <w:rPr>
          <w:rFonts w:ascii="宋体" w:eastAsia="宋体" w:hAnsi="宋体" w:cs="宋体"/>
          <w:sz w:val="21"/>
          <w:szCs w:val="21"/>
        </w:rPr>
      </w:sdtEndPr>
      <w:sdtContent>
        <w:p>
          <w:pPr>
            <w:spacing w:before="95" w:line="223" w:lineRule="auto"/>
            <w:ind w:left="3829"/>
            <w:rPr>
              <w:rFonts w:ascii="仿宋" w:eastAsia="仿宋" w:hAnsi="仿宋" w:cs="仿宋"/>
              <w:sz w:val="29"/>
              <w:szCs w:val="29"/>
            </w:rPr>
          </w:pPr>
          <w:bookmarkStart w:id="0" w:name="bookmark1"/>
          <w:bookmarkEnd w:id="0"/>
          <w:r>
            <w:rPr>
              <w:rFonts w:ascii="仿宋" w:eastAsia="仿宋" w:hAnsi="仿宋" w:cs="仿宋"/>
              <w:b/>
              <w:bCs/>
              <w:spacing w:val="-25"/>
              <w:sz w:val="29"/>
              <w:szCs w:val="29"/>
            </w:rPr>
            <w:t>目</w:t>
          </w:r>
          <w:r>
            <w:rPr>
              <w:rFonts w:ascii="仿宋" w:eastAsia="仿宋" w:hAnsi="仿宋" w:cs="仿宋"/>
              <w:spacing w:val="-25"/>
              <w:sz w:val="29"/>
              <w:szCs w:val="29"/>
            </w:rPr>
            <w:t xml:space="preserve">   </w:t>
          </w:r>
          <w:r>
            <w:rPr>
              <w:rFonts w:ascii="仿宋" w:eastAsia="仿宋" w:hAnsi="仿宋" w:cs="仿宋"/>
              <w:b/>
              <w:bCs/>
              <w:spacing w:val="-25"/>
              <w:sz w:val="29"/>
              <w:szCs w:val="29"/>
            </w:rPr>
            <w:t>录</w:t>
          </w:r>
        </w:p>
        <w:p>
          <w:pPr>
            <w:pStyle w:val="BodyText"/>
            <w:spacing w:line="281" w:lineRule="auto"/>
          </w:pPr>
        </w:p>
        <w:p>
          <w:pPr>
            <w:pStyle w:val="BodyText"/>
            <w:spacing w:line="281" w:lineRule="auto"/>
          </w:pPr>
        </w:p>
        <w:p>
          <w:pPr>
            <w:pStyle w:val="BodyText"/>
            <w:spacing w:line="281" w:lineRule="auto"/>
          </w:pPr>
        </w:p>
        <w:p>
          <w:pPr>
            <w:spacing w:before="69" w:line="222" w:lineRule="auto"/>
            <w:ind w:left="437"/>
            <w:rPr>
              <w:rFonts w:ascii="宋体" w:eastAsia="宋体" w:hAnsi="宋体" w:cs="宋体"/>
              <w:sz w:val="9"/>
              <w:szCs w:val="9"/>
            </w:rPr>
          </w:pPr>
          <w:r>
            <w:rPr>
              <w:rFonts w:ascii="仿宋" w:eastAsia="仿宋" w:hAnsi="仿宋" w:cs="仿宋"/>
              <w:b/>
              <w:bCs/>
              <w:spacing w:val="7"/>
              <w:sz w:val="21"/>
              <w:szCs w:val="21"/>
            </w:rPr>
            <w:t>盈利预测审核报告</w:t>
          </w:r>
          <w:r>
            <w:rPr>
              <w:rFonts w:ascii="仿宋" w:eastAsia="仿宋" w:hAnsi="仿宋" w:cs="仿宋"/>
              <w:spacing w:val="2"/>
              <w:sz w:val="21"/>
              <w:szCs w:val="21"/>
            </w:rPr>
            <w:t xml:space="preserve">                                        </w:t>
          </w:r>
          <w:r>
            <w:rPr>
              <w:rFonts w:ascii="仿宋" w:eastAsia="仿宋" w:hAnsi="仿宋" w:cs="仿宋"/>
              <w:spacing w:val="1"/>
              <w:sz w:val="21"/>
              <w:szCs w:val="21"/>
            </w:rPr>
            <w:t xml:space="preserve">    </w:t>
          </w:r>
          <w:hyperlink w:anchor="bookmark2" w:history="1">
            <w:r>
              <w:rPr>
                <w:rFonts w:ascii="宋体" w:eastAsia="宋体" w:hAnsi="宋体" w:cs="宋体"/>
                <w:spacing w:val="7"/>
                <w:position w:val="-2"/>
                <w:sz w:val="9"/>
                <w:szCs w:val="9"/>
              </w:rPr>
              <w:t>4</w:t>
            </w:r>
          </w:hyperlink>
        </w:p>
        <w:p>
          <w:pPr>
            <w:pStyle w:val="BodyText"/>
            <w:spacing w:line="454" w:lineRule="auto"/>
          </w:pPr>
        </w:p>
        <w:p>
          <w:pPr>
            <w:spacing w:before="68" w:line="219" w:lineRule="auto"/>
            <w:ind w:left="437"/>
            <w:rPr>
              <w:rFonts w:ascii="宋体" w:eastAsia="宋体" w:hAnsi="宋体" w:cs="宋体"/>
            </w:rPr>
          </w:pPr>
          <w:r>
            <w:rPr>
              <w:rFonts w:ascii="仿宋" w:eastAsia="仿宋" w:hAnsi="仿宋" w:cs="仿宋"/>
              <w:b/>
              <w:bCs/>
              <w:spacing w:val="6"/>
              <w:sz w:val="21"/>
              <w:szCs w:val="21"/>
            </w:rPr>
            <w:t>合并盈利预测表</w:t>
          </w:r>
          <w:r>
            <w:rPr>
              <w:rFonts w:ascii="仿宋" w:eastAsia="仿宋" w:hAnsi="仿宋" w:cs="仿宋"/>
              <w:spacing w:val="2"/>
              <w:sz w:val="21"/>
              <w:szCs w:val="21"/>
            </w:rPr>
            <w:t xml:space="preserve">                         </w:t>
          </w:r>
          <w:r>
            <w:rPr>
              <w:rFonts w:ascii="仿宋" w:eastAsia="仿宋" w:hAnsi="仿宋" w:cs="仿宋"/>
              <w:spacing w:val="1"/>
              <w:sz w:val="21"/>
              <w:szCs w:val="21"/>
            </w:rPr>
            <w:t xml:space="preserve">                     </w:t>
          </w:r>
          <w:hyperlink w:anchor="bookmark1" w:history="1">
            <w:r>
              <w:rPr>
                <w:rFonts w:ascii="宋体" w:eastAsia="宋体" w:hAnsi="宋体" w:cs="宋体"/>
                <w:spacing w:val="6"/>
                <w:position w:val="-3"/>
                <w:sz w:val="21"/>
                <w:szCs w:val="21"/>
              </w:rPr>
              <w:t>2</w:t>
            </w:r>
          </w:hyperlink>
        </w:p>
        <w:p>
          <w:pPr>
            <w:pStyle w:val="BodyText"/>
            <w:spacing w:line="449" w:lineRule="auto"/>
          </w:pPr>
        </w:p>
        <w:p>
          <w:pPr>
            <w:spacing w:before="68" w:line="220" w:lineRule="auto"/>
            <w:ind w:left="437"/>
            <w:rPr>
              <w:rFonts w:ascii="宋体" w:eastAsia="宋体" w:hAnsi="宋体" w:cs="宋体"/>
            </w:rPr>
          </w:pPr>
          <w:r>
            <w:rPr>
              <w:rFonts w:ascii="仿宋" w:eastAsia="仿宋" w:hAnsi="仿宋" w:cs="仿宋"/>
              <w:b/>
              <w:bCs/>
              <w:spacing w:val="5"/>
              <w:sz w:val="21"/>
              <w:szCs w:val="21"/>
            </w:rPr>
            <w:t>盈利预测编制基础、假设和编制说明</w:t>
          </w:r>
          <w:r>
            <w:rPr>
              <w:rFonts w:ascii="仿宋" w:eastAsia="仿宋" w:hAnsi="仿宋" w:cs="仿宋"/>
              <w:spacing w:val="3"/>
              <w:sz w:val="21"/>
              <w:szCs w:val="21"/>
            </w:rPr>
            <w:t xml:space="preserve">                   </w:t>
          </w:r>
          <w:r>
            <w:rPr>
              <w:rFonts w:ascii="仿宋" w:eastAsia="仿宋" w:hAnsi="仿宋" w:cs="仿宋"/>
              <w:spacing w:val="2"/>
              <w:sz w:val="21"/>
              <w:szCs w:val="21"/>
            </w:rPr>
            <w:t xml:space="preserve">        </w:t>
          </w:r>
          <w:r>
            <w:rPr>
              <w:rFonts w:ascii="宋体" w:eastAsia="宋体" w:hAnsi="宋体" w:cs="宋体"/>
              <w:b/>
              <w:bCs/>
              <w:spacing w:val="5"/>
              <w:position w:val="-1"/>
              <w:sz w:val="21"/>
              <w:szCs w:val="21"/>
            </w:rPr>
            <w:t>3-</w:t>
          </w:r>
          <w:hyperlink w:anchor="bookmark3" w:history="1">
            <w:r>
              <w:rPr>
                <w:rFonts w:ascii="宋体" w:eastAsia="宋体" w:hAnsi="宋体" w:cs="宋体"/>
                <w:b/>
                <w:bCs/>
                <w:spacing w:val="5"/>
                <w:position w:val="-1"/>
                <w:sz w:val="21"/>
                <w:szCs w:val="21"/>
              </w:rPr>
              <w:t>53</w:t>
            </w:r>
          </w:hyperlink>
        </w:p>
      </w:sdtContent>
    </w:sdt>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spacing w:before="68" w:line="183" w:lineRule="auto"/>
        <w:ind w:left="3924"/>
        <w:rPr>
          <w:rFonts w:ascii="宋体" w:eastAsia="宋体" w:hAnsi="宋体" w:cs="宋体"/>
        </w:rPr>
      </w:pPr>
      <w:r>
        <w:rPr>
          <w:rFonts w:ascii="宋体" w:eastAsia="宋体" w:hAnsi="宋体" w:cs="宋体"/>
          <w:spacing w:val="-17"/>
          <w:w w:val="97"/>
          <w:sz w:val="21"/>
          <w:szCs w:val="21"/>
        </w:rPr>
        <w:t>3-2-3-2</w:t>
      </w:r>
    </w:p>
    <w:p>
      <w:pPr>
        <w:spacing w:line="183" w:lineRule="auto"/>
        <w:rPr>
          <w:rFonts w:ascii="宋体" w:eastAsia="宋体" w:hAnsi="宋体" w:cs="宋体"/>
        </w:rPr>
        <w:sectPr>
          <w:pgSz w:w="11900" w:h="16820"/>
          <w:pgMar w:top="1429" w:right="490" w:bottom="0" w:left="1785" w:header="0" w:footer="0" w:gutter="0"/>
          <w:pgNumType w:start="2"/>
          <w:cols w:num="1" w:space="720"/>
        </w:sectPr>
      </w:pPr>
    </w:p>
    <w:p>
      <w:pPr>
        <w:spacing w:before="188"/>
      </w:pPr>
    </w:p>
    <w:p>
      <w:pPr>
        <w:sectPr>
          <w:pgSz w:w="11900" w:h="16820"/>
          <w:pgMar w:top="1429" w:right="470" w:bottom="0" w:left="1785" w:header="0" w:footer="0" w:gutter="0"/>
          <w:pgNumType w:start="3"/>
          <w:cols w:num="1" w:space="708" w:equalWidth="0">
            <w:col w:w="9645" w:space="0"/>
          </w:cols>
        </w:sectPr>
      </w:pPr>
    </w:p>
    <w:p>
      <w:pPr>
        <w:spacing w:line="590" w:lineRule="exact"/>
        <w:ind w:firstLine="185"/>
      </w:pPr>
    </w:p>
    <w:p>
      <w:pPr>
        <w:pStyle w:val="BodyText"/>
        <w:spacing w:line="14" w:lineRule="auto"/>
        <w:rPr>
          <w:sz w:val="2"/>
        </w:rPr>
      </w:pPr>
      <w:r>
        <w:rPr>
          <w:sz w:val="2"/>
          <w:szCs w:val="2"/>
        </w:rPr>
        <w:br w:type="column"/>
      </w:r>
    </w:p>
    <w:p>
      <w:pPr>
        <w:pStyle w:val="BodyText"/>
        <w:spacing w:before="226" w:line="198" w:lineRule="auto"/>
        <w:ind w:left="9"/>
        <w:rPr>
          <w:sz w:val="31"/>
          <w:szCs w:val="31"/>
        </w:rPr>
      </w:pPr>
      <w:r>
        <w:rPr>
          <w:spacing w:val="-2"/>
          <w:sz w:val="31"/>
          <w:szCs w:val="31"/>
        </w:rPr>
        <w:t>GrantThornton</w:t>
      </w:r>
    </w:p>
    <w:p>
      <w:pPr>
        <w:spacing w:before="50" w:line="223" w:lineRule="auto"/>
        <w:rPr>
          <w:rFonts w:ascii="黑体" w:eastAsia="黑体" w:hAnsi="黑体" w:cs="黑体"/>
          <w:sz w:val="28"/>
          <w:szCs w:val="28"/>
        </w:rPr>
      </w:pPr>
      <w:r>
        <w:rPr>
          <w:rFonts w:ascii="黑体" w:eastAsia="黑体" w:hAnsi="黑体" w:cs="黑体"/>
          <w:color w:val="4F25B3"/>
          <w:spacing w:val="17"/>
          <w:sz w:val="28"/>
          <w:szCs w:val="28"/>
        </w:rPr>
        <w:t>致同</w:t>
      </w:r>
    </w:p>
    <w:p>
      <w:pPr>
        <w:pStyle w:val="BodyText"/>
        <w:spacing w:line="14" w:lineRule="auto"/>
        <w:rPr>
          <w:sz w:val="2"/>
        </w:rPr>
      </w:pPr>
      <w:r>
        <w:rPr>
          <w:sz w:val="2"/>
          <w:szCs w:val="2"/>
        </w:rPr>
        <w:br w:type="column"/>
      </w:r>
    </w:p>
    <w:p>
      <w:pPr>
        <w:spacing w:before="241" w:line="224" w:lineRule="auto"/>
        <w:ind w:left="1"/>
        <w:rPr>
          <w:rFonts w:ascii="宋体" w:eastAsia="宋体" w:hAnsi="宋体" w:cs="宋体"/>
          <w:sz w:val="14"/>
          <w:szCs w:val="14"/>
        </w:rPr>
      </w:pPr>
      <w:r>
        <w:rPr>
          <w:rFonts w:ascii="宋体" w:eastAsia="宋体" w:hAnsi="宋体" w:cs="宋体"/>
          <w:b/>
          <w:bCs/>
          <w:spacing w:val="-9"/>
          <w:sz w:val="14"/>
          <w:szCs w:val="14"/>
        </w:rPr>
        <w:t>致同会计师事务所(特殊普通合伙)</w:t>
      </w:r>
    </w:p>
    <w:p>
      <w:pPr>
        <w:spacing w:line="221" w:lineRule="auto"/>
        <w:ind w:left="1"/>
        <w:rPr>
          <w:rFonts w:ascii="黑体" w:eastAsia="黑体" w:hAnsi="黑体" w:cs="黑体"/>
          <w:sz w:val="14"/>
          <w:szCs w:val="14"/>
        </w:rPr>
      </w:pPr>
      <w:r>
        <w:rPr>
          <w:rFonts w:ascii="黑体" w:eastAsia="黑体" w:hAnsi="黑体" w:cs="黑体"/>
          <w:b/>
          <w:bCs/>
          <w:spacing w:val="-10"/>
          <w:sz w:val="14"/>
          <w:szCs w:val="14"/>
        </w:rPr>
        <w:t>中国北京朝阳区建国门外大街22号</w:t>
      </w:r>
    </w:p>
    <w:p>
      <w:pPr>
        <w:spacing w:before="1" w:line="227" w:lineRule="auto"/>
        <w:ind w:left="1"/>
        <w:rPr>
          <w:rFonts w:ascii="黑体" w:eastAsia="黑体" w:hAnsi="黑体" w:cs="黑体"/>
          <w:sz w:val="14"/>
          <w:szCs w:val="14"/>
        </w:rPr>
      </w:pPr>
      <w:r>
        <w:rPr>
          <w:rFonts w:ascii="黑体" w:eastAsia="黑体" w:hAnsi="黑体" w:cs="黑体"/>
          <w:b/>
          <w:bCs/>
          <w:spacing w:val="-7"/>
          <w:sz w:val="14"/>
          <w:szCs w:val="14"/>
        </w:rPr>
        <w:t>赛特广场5层邮编100004</w:t>
      </w:r>
    </w:p>
    <w:p>
      <w:pPr>
        <w:spacing w:before="1" w:line="221" w:lineRule="auto"/>
        <w:ind w:left="1"/>
        <w:rPr>
          <w:rFonts w:ascii="黑体" w:eastAsia="黑体" w:hAnsi="黑体" w:cs="黑体"/>
          <w:sz w:val="14"/>
          <w:szCs w:val="14"/>
        </w:rPr>
      </w:pPr>
      <w:r>
        <w:rPr>
          <w:rFonts w:ascii="黑体" w:eastAsia="黑体" w:hAnsi="黑体" w:cs="黑体"/>
          <w:b/>
          <w:bCs/>
          <w:spacing w:val="-5"/>
          <w:sz w:val="14"/>
          <w:szCs w:val="14"/>
        </w:rPr>
        <w:t>电话+861085665588</w:t>
      </w:r>
    </w:p>
    <w:p>
      <w:pPr>
        <w:spacing w:line="242" w:lineRule="auto"/>
        <w:ind w:left="2"/>
        <w:rPr>
          <w:rFonts w:ascii="黑体" w:eastAsia="黑体" w:hAnsi="黑体" w:cs="黑体"/>
          <w:sz w:val="14"/>
          <w:szCs w:val="14"/>
        </w:rPr>
      </w:pPr>
      <w:r>
        <w:rPr>
          <w:rFonts w:ascii="黑体" w:eastAsia="黑体" w:hAnsi="黑体" w:cs="黑体"/>
          <w:b/>
          <w:bCs/>
          <w:spacing w:val="-2"/>
          <w:sz w:val="14"/>
          <w:szCs w:val="14"/>
        </w:rPr>
        <w:t>传真+86108566512</w:t>
      </w:r>
      <w:r>
        <w:rPr>
          <w:rFonts w:ascii="黑体" w:eastAsia="黑体" w:hAnsi="黑体" w:cs="黑体"/>
          <w:spacing w:val="-2"/>
          <w:sz w:val="14"/>
          <w:szCs w:val="14"/>
        </w:rPr>
        <w:t>0</w:t>
      </w:r>
    </w:p>
    <w:p>
      <w:pPr>
        <w:pStyle w:val="BodyText"/>
        <w:spacing w:line="195" w:lineRule="auto"/>
        <w:rPr>
          <w:sz w:val="11"/>
          <w:szCs w:val="11"/>
        </w:rPr>
      </w:pPr>
      <w:r>
        <w:rPr>
          <w:b/>
          <w:bCs/>
          <w:spacing w:val="-7"/>
          <w:sz w:val="11"/>
          <w:szCs w:val="11"/>
        </w:rPr>
        <w:t>www.grantthomton.cn</w:t>
      </w:r>
    </w:p>
    <w:p>
      <w:pPr>
        <w:spacing w:line="195" w:lineRule="auto"/>
        <w:rPr>
          <w:sz w:val="11"/>
          <w:szCs w:val="11"/>
        </w:rPr>
        <w:sectPr>
          <w:type w:val="continuous"/>
          <w:pgSz w:w="11900" w:h="16820"/>
          <w:pgMar w:top="1429" w:right="470" w:bottom="0" w:left="1785" w:header="0" w:footer="0" w:gutter="0"/>
          <w:pgNumType w:start="4"/>
          <w:cols w:num="3" w:space="708" w:equalWidth="0">
            <w:col w:w="786" w:space="100"/>
            <w:col w:w="5370" w:space="100"/>
            <w:col w:w="3290" w:space="0"/>
          </w:cols>
        </w:sectPr>
      </w:pPr>
    </w:p>
    <w:p>
      <w:pPr>
        <w:pStyle w:val="BodyText"/>
        <w:spacing w:line="303" w:lineRule="auto"/>
      </w:pPr>
    </w:p>
    <w:p>
      <w:pPr>
        <w:pStyle w:val="BodyText"/>
        <w:spacing w:line="303" w:lineRule="auto"/>
      </w:pPr>
    </w:p>
    <w:p>
      <w:pPr>
        <w:pStyle w:val="BodyText"/>
        <w:spacing w:line="303" w:lineRule="auto"/>
      </w:pPr>
    </w:p>
    <w:p>
      <w:pPr>
        <w:spacing w:before="91" w:line="222" w:lineRule="auto"/>
        <w:ind w:left="3229"/>
        <w:rPr>
          <w:rFonts w:ascii="仿宋" w:eastAsia="仿宋" w:hAnsi="仿宋" w:cs="仿宋"/>
          <w:sz w:val="28"/>
          <w:szCs w:val="28"/>
        </w:rPr>
      </w:pPr>
      <w:r>
        <w:rPr>
          <w:rFonts w:ascii="仿宋" w:eastAsia="仿宋" w:hAnsi="仿宋" w:cs="仿宋"/>
          <w:b/>
          <w:bCs/>
          <w:spacing w:val="6"/>
          <w:sz w:val="28"/>
          <w:szCs w:val="28"/>
        </w:rPr>
        <w:t>盈利预测审核报告</w:t>
      </w:r>
    </w:p>
    <w:p>
      <w:pPr>
        <w:spacing w:before="225" w:line="222" w:lineRule="auto"/>
        <w:ind w:left="4854"/>
        <w:rPr>
          <w:rFonts w:ascii="仿宋" w:eastAsia="仿宋" w:hAnsi="仿宋" w:cs="仿宋"/>
          <w:sz w:val="22"/>
          <w:szCs w:val="22"/>
        </w:rPr>
      </w:pPr>
      <w:r>
        <w:rPr>
          <w:rFonts w:ascii="仿宋" w:eastAsia="仿宋" w:hAnsi="仿宋" w:cs="仿宋"/>
          <w:spacing w:val="9"/>
          <w:sz w:val="22"/>
          <w:szCs w:val="22"/>
        </w:rPr>
        <w:t>致同专字(2023)第441A018550号</w:t>
      </w:r>
    </w:p>
    <w:p>
      <w:pPr>
        <w:spacing w:before="202" w:line="222" w:lineRule="auto"/>
        <w:ind w:left="518"/>
        <w:rPr>
          <w:rFonts w:ascii="仿宋" w:eastAsia="仿宋" w:hAnsi="仿宋" w:cs="仿宋"/>
          <w:sz w:val="22"/>
          <w:szCs w:val="22"/>
        </w:rPr>
      </w:pPr>
      <w:r>
        <w:rPr>
          <w:rFonts w:ascii="仿宋" w:eastAsia="仿宋" w:hAnsi="仿宋" w:cs="仿宋"/>
          <w:b/>
          <w:bCs/>
          <w:spacing w:val="-3"/>
          <w:sz w:val="22"/>
          <w:szCs w:val="22"/>
        </w:rPr>
        <w:t>美新科技股份有限公司全体股东：</w:t>
      </w:r>
    </w:p>
    <w:p>
      <w:pPr>
        <w:spacing w:before="225" w:line="238" w:lineRule="auto"/>
        <w:ind w:left="515" w:right="1543" w:firstLine="459"/>
        <w:jc w:val="both"/>
        <w:rPr>
          <w:rFonts w:ascii="仿宋" w:eastAsia="仿宋" w:hAnsi="仿宋" w:cs="仿宋"/>
          <w:sz w:val="22"/>
          <w:szCs w:val="22"/>
        </w:rPr>
      </w:pPr>
      <w:r>
        <w:rPr>
          <w:rFonts w:ascii="仿宋" w:eastAsia="仿宋" w:hAnsi="仿宋" w:cs="仿宋"/>
          <w:spacing w:val="9"/>
          <w:sz w:val="22"/>
          <w:szCs w:val="22"/>
        </w:rPr>
        <w:t>我们审核了后附的美新科技股份有限公司(以下</w:t>
      </w:r>
      <w:r>
        <w:rPr>
          <w:rFonts w:ascii="仿宋" w:eastAsia="仿宋" w:hAnsi="仿宋" w:cs="仿宋"/>
          <w:spacing w:val="8"/>
          <w:sz w:val="22"/>
          <w:szCs w:val="22"/>
        </w:rPr>
        <w:t>简称“美新科技公司”)</w:t>
      </w:r>
      <w:r>
        <w:rPr>
          <w:rFonts w:ascii="仿宋" w:eastAsia="仿宋" w:hAnsi="仿宋" w:cs="仿宋"/>
          <w:sz w:val="22"/>
          <w:szCs w:val="22"/>
        </w:rPr>
        <w:t xml:space="preserve"> </w:t>
      </w:r>
      <w:r>
        <w:rPr>
          <w:rFonts w:ascii="仿宋" w:eastAsia="仿宋" w:hAnsi="仿宋" w:cs="仿宋"/>
          <w:spacing w:val="3"/>
          <w:sz w:val="22"/>
          <w:szCs w:val="22"/>
        </w:rPr>
        <w:t>编制的2023年度盈利预测。我们的审核依据是《中国注册会计师</w:t>
      </w:r>
      <w:r>
        <w:rPr>
          <w:rFonts w:ascii="仿宋" w:eastAsia="仿宋" w:hAnsi="仿宋" w:cs="仿宋"/>
          <w:spacing w:val="2"/>
          <w:sz w:val="22"/>
          <w:szCs w:val="22"/>
        </w:rPr>
        <w:t>其他鉴证业务</w:t>
      </w:r>
      <w:r>
        <w:rPr>
          <w:rFonts w:ascii="仿宋" w:eastAsia="仿宋" w:hAnsi="仿宋" w:cs="仿宋"/>
          <w:sz w:val="22"/>
          <w:szCs w:val="22"/>
        </w:rPr>
        <w:t xml:space="preserve"> </w:t>
      </w:r>
      <w:r>
        <w:rPr>
          <w:rFonts w:ascii="仿宋" w:eastAsia="仿宋" w:hAnsi="仿宋" w:cs="仿宋"/>
          <w:spacing w:val="1"/>
          <w:sz w:val="22"/>
          <w:szCs w:val="22"/>
        </w:rPr>
        <w:t>准则第3111</w:t>
      </w:r>
      <w:r>
        <w:rPr>
          <w:rFonts w:ascii="仿宋" w:eastAsia="仿宋" w:hAnsi="仿宋" w:cs="仿宋"/>
          <w:spacing w:val="-47"/>
          <w:sz w:val="22"/>
          <w:szCs w:val="22"/>
        </w:rPr>
        <w:t xml:space="preserve"> </w:t>
      </w:r>
      <w:r>
        <w:rPr>
          <w:rFonts w:ascii="仿宋" w:eastAsia="仿宋" w:hAnsi="仿宋" w:cs="仿宋"/>
          <w:spacing w:val="1"/>
          <w:sz w:val="22"/>
          <w:szCs w:val="22"/>
        </w:rPr>
        <w:t>号——预测性财务信息的审核》。美新科技公司管理层对该预测及</w:t>
      </w:r>
      <w:r>
        <w:rPr>
          <w:rFonts w:ascii="仿宋" w:eastAsia="仿宋" w:hAnsi="仿宋" w:cs="仿宋"/>
          <w:sz w:val="22"/>
          <w:szCs w:val="22"/>
        </w:rPr>
        <w:t xml:space="preserve"> </w:t>
      </w:r>
      <w:r>
        <w:rPr>
          <w:rFonts w:ascii="仿宋" w:eastAsia="仿宋" w:hAnsi="仿宋" w:cs="仿宋"/>
          <w:spacing w:val="3"/>
          <w:sz w:val="22"/>
          <w:szCs w:val="22"/>
        </w:rPr>
        <w:t xml:space="preserve">其所依据的各项假设负责。这些假设已在盈利预测的编制基础、假设和编制说 </w:t>
      </w:r>
      <w:r>
        <w:rPr>
          <w:rFonts w:ascii="仿宋" w:eastAsia="仿宋" w:hAnsi="仿宋" w:cs="仿宋"/>
          <w:spacing w:val="-13"/>
          <w:sz w:val="22"/>
          <w:szCs w:val="22"/>
        </w:rPr>
        <w:t>明中披露。</w:t>
      </w:r>
    </w:p>
    <w:p>
      <w:pPr>
        <w:spacing w:before="222" w:line="230" w:lineRule="auto"/>
        <w:ind w:left="515" w:right="1517" w:firstLine="459"/>
        <w:jc w:val="both"/>
        <w:rPr>
          <w:rFonts w:ascii="仿宋" w:eastAsia="仿宋" w:hAnsi="仿宋" w:cs="仿宋"/>
          <w:sz w:val="22"/>
          <w:szCs w:val="22"/>
        </w:rPr>
      </w:pPr>
      <w:r>
        <w:rPr>
          <w:rFonts w:ascii="仿宋" w:eastAsia="仿宋" w:hAnsi="仿宋" w:cs="仿宋"/>
          <w:spacing w:val="3"/>
          <w:sz w:val="22"/>
          <w:szCs w:val="22"/>
        </w:rPr>
        <w:t>根据我们对支持这些假设的证据的审核，我们没有注意到任何事项使我们</w:t>
      </w:r>
      <w:r>
        <w:rPr>
          <w:rFonts w:ascii="仿宋" w:eastAsia="仿宋" w:hAnsi="仿宋" w:cs="仿宋"/>
          <w:spacing w:val="15"/>
          <w:sz w:val="22"/>
          <w:szCs w:val="22"/>
        </w:rPr>
        <w:t xml:space="preserve"> </w:t>
      </w:r>
      <w:r>
        <w:rPr>
          <w:rFonts w:ascii="仿宋" w:eastAsia="仿宋" w:hAnsi="仿宋" w:cs="仿宋"/>
          <w:spacing w:val="3"/>
          <w:sz w:val="22"/>
          <w:szCs w:val="22"/>
        </w:rPr>
        <w:t>认为这些假设没有为预测提供合理基础。而且，我们认为，该预测是在这些假</w:t>
      </w:r>
      <w:r>
        <w:rPr>
          <w:rFonts w:ascii="仿宋" w:eastAsia="仿宋" w:hAnsi="仿宋" w:cs="仿宋"/>
          <w:spacing w:val="2"/>
          <w:sz w:val="22"/>
          <w:szCs w:val="22"/>
        </w:rPr>
        <w:t xml:space="preserve"> </w:t>
      </w:r>
      <w:r>
        <w:rPr>
          <w:rFonts w:ascii="仿宋" w:eastAsia="仿宋" w:hAnsi="仿宋" w:cs="仿宋"/>
          <w:spacing w:val="-1"/>
          <w:sz w:val="22"/>
          <w:szCs w:val="22"/>
        </w:rPr>
        <w:t>设的基础上恰当编制的，并按照企业会计准则编制基</w:t>
      </w:r>
      <w:r>
        <w:rPr>
          <w:rFonts w:ascii="仿宋" w:eastAsia="仿宋" w:hAnsi="仿宋" w:cs="仿宋"/>
          <w:spacing w:val="-2"/>
          <w:sz w:val="22"/>
          <w:szCs w:val="22"/>
        </w:rPr>
        <w:t>础的规定进行了列报。</w:t>
      </w:r>
    </w:p>
    <w:p>
      <w:pPr>
        <w:spacing w:before="225" w:line="236" w:lineRule="auto"/>
        <w:ind w:left="515" w:right="1543" w:firstLine="459"/>
        <w:rPr>
          <w:rFonts w:ascii="仿宋" w:eastAsia="仿宋" w:hAnsi="仿宋" w:cs="仿宋"/>
          <w:sz w:val="22"/>
          <w:szCs w:val="22"/>
        </w:rPr>
      </w:pPr>
      <w:r>
        <w:rPr>
          <w:rFonts w:ascii="仿宋" w:eastAsia="仿宋" w:hAnsi="仿宋" w:cs="仿宋"/>
          <w:spacing w:val="3"/>
          <w:sz w:val="22"/>
          <w:szCs w:val="22"/>
        </w:rPr>
        <w:t>由于预期事项通常并非如预期那样发生，并且变</w:t>
      </w:r>
      <w:r>
        <w:rPr>
          <w:rFonts w:ascii="仿宋" w:eastAsia="仿宋" w:hAnsi="仿宋" w:cs="仿宋"/>
          <w:spacing w:val="2"/>
          <w:sz w:val="22"/>
          <w:szCs w:val="22"/>
        </w:rPr>
        <w:t>动可能重大，实际结果可</w:t>
      </w:r>
      <w:r>
        <w:rPr>
          <w:rFonts w:ascii="仿宋" w:eastAsia="仿宋" w:hAnsi="仿宋" w:cs="仿宋"/>
          <w:sz w:val="22"/>
          <w:szCs w:val="22"/>
        </w:rPr>
        <w:t xml:space="preserve"> </w:t>
      </w:r>
      <w:r>
        <w:rPr>
          <w:rFonts w:ascii="仿宋" w:eastAsia="仿宋" w:hAnsi="仿宋" w:cs="仿宋"/>
          <w:spacing w:val="-4"/>
          <w:sz w:val="22"/>
          <w:szCs w:val="22"/>
        </w:rPr>
        <w:t>能与预测性财务信息存在差异。</w:t>
      </w:r>
    </w:p>
    <w:p>
      <w:pPr>
        <w:spacing w:before="229" w:line="228" w:lineRule="auto"/>
        <w:ind w:left="515" w:right="1550" w:firstLine="459"/>
        <w:rPr>
          <w:rFonts w:ascii="仿宋" w:eastAsia="仿宋" w:hAnsi="仿宋" w:cs="仿宋"/>
          <w:sz w:val="22"/>
          <w:szCs w:val="22"/>
        </w:rPr>
      </w:pPr>
      <w:r>
        <w:rPr>
          <w:rFonts w:ascii="仿宋" w:eastAsia="仿宋" w:hAnsi="仿宋" w:cs="仿宋"/>
          <w:spacing w:val="2"/>
          <w:sz w:val="22"/>
          <w:szCs w:val="22"/>
        </w:rPr>
        <w:t>本审核报告仅供美新科技公司首次公开发行股票并在创业板上市时使用，</w:t>
      </w:r>
      <w:r>
        <w:rPr>
          <w:rFonts w:ascii="仿宋" w:eastAsia="仿宋" w:hAnsi="仿宋" w:cs="仿宋"/>
          <w:spacing w:val="14"/>
          <w:sz w:val="22"/>
          <w:szCs w:val="22"/>
        </w:rPr>
        <w:t xml:space="preserve"> </w:t>
      </w:r>
      <w:r>
        <w:rPr>
          <w:rFonts w:ascii="仿宋" w:eastAsia="仿宋" w:hAnsi="仿宋" w:cs="仿宋"/>
          <w:spacing w:val="-5"/>
          <w:sz w:val="22"/>
          <w:szCs w:val="22"/>
        </w:rPr>
        <w:t>不得用作任何其他用途。</w:t>
      </w: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9" w:lineRule="auto"/>
      </w:pPr>
    </w:p>
    <w:p>
      <w:pPr>
        <w:spacing w:before="72" w:line="222" w:lineRule="auto"/>
        <w:ind w:left="414"/>
        <w:rPr>
          <w:rFonts w:ascii="仿宋" w:eastAsia="仿宋" w:hAnsi="仿宋" w:cs="仿宋"/>
          <w:sz w:val="22"/>
          <w:szCs w:val="22"/>
        </w:rPr>
      </w:pPr>
      <w:r>
        <w:rPr>
          <w:rFonts w:ascii="仿宋" w:eastAsia="仿宋" w:hAnsi="仿宋" w:cs="仿宋"/>
          <w:spacing w:val="-1"/>
          <w:sz w:val="22"/>
          <w:szCs w:val="22"/>
        </w:rPr>
        <w:t>致同会计</w:t>
      </w:r>
      <w:r>
        <w:rPr>
          <w:rFonts w:ascii="宋体" w:eastAsia="宋体" w:hAnsi="宋体" w:cs="宋体"/>
          <w:spacing w:val="-1"/>
          <w:sz w:val="22"/>
          <w:szCs w:val="22"/>
        </w:rPr>
        <w:t xml:space="preserve">v </w:t>
      </w:r>
      <w:r>
        <w:rPr>
          <w:rFonts w:ascii="仿宋" w:eastAsia="仿宋" w:hAnsi="仿宋" w:cs="仿宋"/>
          <w:spacing w:val="-1"/>
          <w:sz w:val="22"/>
          <w:szCs w:val="22"/>
        </w:rPr>
        <w:t>事务  、特殄号通合伙)   中国注册会计师：</w:t>
      </w:r>
    </w:p>
    <w:p>
      <w:pPr>
        <w:spacing w:before="56" w:line="222" w:lineRule="auto"/>
        <w:ind w:left="4395"/>
        <w:rPr>
          <w:rFonts w:ascii="仿宋" w:eastAsia="仿宋" w:hAnsi="仿宋" w:cs="仿宋"/>
          <w:sz w:val="22"/>
          <w:szCs w:val="22"/>
        </w:rPr>
      </w:pPr>
      <w:r>
        <w:rPr>
          <w:rFonts w:ascii="仿宋" w:eastAsia="仿宋" w:hAnsi="仿宋" w:cs="仿宋"/>
          <w:spacing w:val="6"/>
          <w:sz w:val="22"/>
          <w:szCs w:val="22"/>
        </w:rPr>
        <w:t>(项目合伙人)</w:t>
      </w:r>
    </w:p>
    <w:p>
      <w:pPr>
        <w:pStyle w:val="BodyText"/>
        <w:spacing w:line="354" w:lineRule="auto"/>
      </w:pPr>
    </w:p>
    <w:p>
      <w:pPr>
        <w:pStyle w:val="BodyText"/>
        <w:spacing w:line="355" w:lineRule="auto"/>
      </w:pPr>
    </w:p>
    <w:p>
      <w:pPr>
        <w:spacing w:before="72" w:line="222" w:lineRule="auto"/>
        <w:ind w:left="4214"/>
        <w:rPr>
          <w:rFonts w:ascii="仿宋" w:eastAsia="仿宋" w:hAnsi="仿宋" w:cs="仿宋"/>
          <w:sz w:val="22"/>
          <w:szCs w:val="22"/>
        </w:rPr>
      </w:pPr>
      <w:r>
        <w:rPr>
          <w:rFonts w:ascii="仿宋" w:eastAsia="仿宋" w:hAnsi="仿宋" w:cs="仿宋"/>
          <w:spacing w:val="-11"/>
          <w:sz w:val="22"/>
          <w:szCs w:val="22"/>
        </w:rPr>
        <w:t>中国注册会计师：</w:t>
      </w:r>
    </w:p>
    <w:p>
      <w:pPr>
        <w:spacing w:before="25" w:line="222" w:lineRule="auto"/>
        <w:ind w:left="1765"/>
        <w:rPr>
          <w:rFonts w:ascii="仿宋" w:eastAsia="仿宋" w:hAnsi="仿宋" w:cs="仿宋"/>
          <w:sz w:val="22"/>
          <w:szCs w:val="22"/>
        </w:rPr>
      </w:pPr>
      <w:r>
        <w:rPr>
          <w:rFonts w:ascii="仿宋" w:eastAsia="仿宋" w:hAnsi="仿宋" w:cs="仿宋"/>
          <w:spacing w:val="-9"/>
          <w:sz w:val="22"/>
          <w:szCs w:val="22"/>
        </w:rPr>
        <w:t>中国·北京</w:t>
      </w:r>
    </w:p>
    <w:p>
      <w:pPr>
        <w:pStyle w:val="BodyText"/>
        <w:spacing w:line="312" w:lineRule="auto"/>
      </w:pPr>
    </w:p>
    <w:p>
      <w:pPr>
        <w:pStyle w:val="BodyText"/>
        <w:spacing w:line="313" w:lineRule="auto"/>
      </w:pPr>
    </w:p>
    <w:p>
      <w:pPr>
        <w:pStyle w:val="BodyText"/>
        <w:spacing w:line="313" w:lineRule="auto"/>
      </w:pPr>
    </w:p>
    <w:p>
      <w:pPr>
        <w:spacing w:before="72" w:line="222" w:lineRule="auto"/>
        <w:ind w:left="5625"/>
        <w:rPr>
          <w:rFonts w:ascii="仿宋" w:eastAsia="仿宋" w:hAnsi="仿宋" w:cs="仿宋"/>
          <w:sz w:val="22"/>
          <w:szCs w:val="22"/>
        </w:rPr>
      </w:pPr>
      <w:r>
        <w:rPr>
          <w:rFonts w:ascii="仿宋" w:eastAsia="仿宋" w:hAnsi="仿宋" w:cs="仿宋"/>
          <w:spacing w:val="-7"/>
          <w:sz w:val="22"/>
          <w:szCs w:val="22"/>
        </w:rPr>
        <w:t>二〇二三年十月二十三日</w:t>
      </w:r>
    </w:p>
    <w:p>
      <w:pPr>
        <w:pStyle w:val="BodyText"/>
        <w:spacing w:line="288" w:lineRule="auto"/>
      </w:pPr>
    </w:p>
    <w:p>
      <w:pPr>
        <w:pStyle w:val="BodyText"/>
        <w:spacing w:line="289" w:lineRule="auto"/>
      </w:pPr>
    </w:p>
    <w:p>
      <w:pPr>
        <w:pStyle w:val="BodyText"/>
        <w:spacing w:line="289" w:lineRule="auto"/>
      </w:pPr>
    </w:p>
    <w:p>
      <w:pPr>
        <w:pStyle w:val="BodyText"/>
        <w:spacing w:line="289" w:lineRule="auto"/>
      </w:pPr>
    </w:p>
    <w:p>
      <w:pPr>
        <w:spacing w:before="52" w:line="184" w:lineRule="auto"/>
        <w:ind w:left="4214"/>
        <w:rPr>
          <w:rFonts w:ascii="宋体" w:eastAsia="宋体" w:hAnsi="宋体" w:cs="宋体"/>
          <w:sz w:val="16"/>
          <w:szCs w:val="16"/>
        </w:rPr>
      </w:pPr>
      <w:r>
        <w:rPr>
          <w:rFonts w:ascii="宋体" w:eastAsia="宋体" w:hAnsi="宋体" w:cs="宋体"/>
          <w:sz w:val="16"/>
          <w:szCs w:val="16"/>
        </w:rPr>
        <w:t>1</w:t>
      </w:r>
    </w:p>
    <w:p>
      <w:pPr>
        <w:pStyle w:val="BodyText"/>
        <w:spacing w:line="415" w:lineRule="auto"/>
      </w:pPr>
    </w:p>
    <w:p>
      <w:pPr>
        <w:spacing w:before="72" w:line="153" w:lineRule="exact"/>
        <w:ind w:left="3894"/>
        <w:rPr>
          <w:rFonts w:ascii="宋体" w:eastAsia="宋体" w:hAnsi="宋体" w:cs="宋体"/>
          <w:sz w:val="22"/>
          <w:szCs w:val="22"/>
        </w:rPr>
      </w:pPr>
      <w:r>
        <w:rPr>
          <w:rFonts w:ascii="宋体" w:eastAsia="宋体" w:hAnsi="宋体" w:cs="宋体"/>
          <w:color w:val="F38900"/>
          <w:spacing w:val="-19"/>
          <w:w w:val="97"/>
          <w:position w:val="-3"/>
          <w:sz w:val="22"/>
          <w:szCs w:val="22"/>
        </w:rPr>
        <w:t>3</w:t>
      </w:r>
      <w:r>
        <w:rPr>
          <w:rFonts w:ascii="宋体" w:eastAsia="宋体" w:hAnsi="宋体" w:cs="宋体"/>
          <w:spacing w:val="-19"/>
          <w:w w:val="97"/>
          <w:position w:val="-3"/>
          <w:sz w:val="22"/>
          <w:szCs w:val="22"/>
        </w:rPr>
        <w:t>-2-</w:t>
      </w:r>
      <w:r>
        <w:rPr>
          <w:rFonts w:ascii="宋体" w:eastAsia="宋体" w:hAnsi="宋体" w:cs="宋体"/>
          <w:color w:val="F38900"/>
          <w:spacing w:val="-19"/>
          <w:w w:val="97"/>
          <w:position w:val="-3"/>
          <w:sz w:val="22"/>
          <w:szCs w:val="22"/>
        </w:rPr>
        <w:t>3</w:t>
      </w:r>
      <w:r>
        <w:rPr>
          <w:rFonts w:ascii="宋体" w:eastAsia="宋体" w:hAnsi="宋体" w:cs="宋体"/>
          <w:spacing w:val="-19"/>
          <w:w w:val="97"/>
          <w:position w:val="-3"/>
          <w:sz w:val="22"/>
          <w:szCs w:val="22"/>
        </w:rPr>
        <w:t>-</w:t>
      </w:r>
      <w:r>
        <w:rPr>
          <w:rFonts w:ascii="宋体" w:eastAsia="宋体" w:hAnsi="宋体" w:cs="宋体"/>
          <w:color w:val="F38900"/>
          <w:spacing w:val="-19"/>
          <w:w w:val="97"/>
          <w:position w:val="-3"/>
          <w:sz w:val="22"/>
          <w:szCs w:val="22"/>
        </w:rPr>
        <w:t>3</w:t>
      </w:r>
    </w:p>
    <w:p>
      <w:pPr>
        <w:spacing w:line="153" w:lineRule="exact"/>
        <w:rPr>
          <w:rFonts w:ascii="宋体" w:eastAsia="宋体" w:hAnsi="宋体" w:cs="宋体"/>
          <w:sz w:val="22"/>
          <w:szCs w:val="22"/>
        </w:rPr>
        <w:sectPr>
          <w:type w:val="continuous"/>
          <w:pgSz w:w="11900" w:h="16820"/>
          <w:pgMar w:top="1429" w:right="470" w:bottom="0" w:left="1785" w:header="0" w:footer="0" w:gutter="0"/>
          <w:pgNumType w:start="5"/>
          <w:cols w:num="1" w:space="708" w:equalWidth="0">
            <w:col w:w="9645" w:space="0"/>
          </w:cols>
        </w:sectPr>
      </w:pPr>
    </w:p>
    <w:p>
      <w:pPr>
        <w:pStyle w:val="BodyText"/>
        <w:spacing w:line="268" w:lineRule="auto"/>
      </w:pPr>
    </w:p>
    <w:p>
      <w:pPr>
        <w:pStyle w:val="BodyText"/>
        <w:spacing w:line="268" w:lineRule="auto"/>
      </w:pPr>
    </w:p>
    <w:p>
      <w:pPr>
        <w:pStyle w:val="BodyText"/>
        <w:spacing w:line="269" w:lineRule="auto"/>
      </w:pPr>
    </w:p>
    <w:p>
      <w:pPr>
        <w:pStyle w:val="BodyText"/>
        <w:spacing w:line="269" w:lineRule="auto"/>
      </w:pPr>
    </w:p>
    <w:p>
      <w:pPr>
        <w:pStyle w:val="BodyText"/>
        <w:spacing w:line="269" w:lineRule="auto"/>
      </w:pPr>
    </w:p>
    <w:p>
      <w:pPr>
        <w:pStyle w:val="BodyText"/>
        <w:spacing w:line="269" w:lineRule="auto"/>
      </w:pPr>
    </w:p>
    <w:p>
      <w:pPr>
        <w:spacing w:before="62" w:line="220" w:lineRule="auto"/>
        <w:ind w:left="3939"/>
        <w:rPr>
          <w:rFonts w:ascii="仿宋" w:eastAsia="仿宋" w:hAnsi="仿宋" w:cs="仿宋"/>
          <w:sz w:val="19"/>
          <w:szCs w:val="19"/>
        </w:rPr>
      </w:pPr>
      <w:bookmarkStart w:id="1" w:name="bookmark2"/>
      <w:bookmarkEnd w:id="1"/>
      <w:r>
        <w:rPr>
          <w:rFonts w:ascii="仿宋" w:eastAsia="仿宋" w:hAnsi="仿宋" w:cs="仿宋"/>
          <w:spacing w:val="3"/>
          <w:sz w:val="19"/>
          <w:szCs w:val="19"/>
        </w:rPr>
        <w:t>合并盈利预测表</w:t>
      </w:r>
    </w:p>
    <w:p>
      <w:pPr>
        <w:pStyle w:val="BodyText"/>
        <w:spacing w:line="261" w:lineRule="auto"/>
      </w:pPr>
    </w:p>
    <w:p>
      <w:pPr>
        <w:spacing w:before="52" w:line="219" w:lineRule="auto"/>
        <w:ind w:left="7930"/>
        <w:rPr>
          <w:rFonts w:ascii="宋体" w:eastAsia="宋体" w:hAnsi="宋体" w:cs="宋体"/>
          <w:sz w:val="16"/>
          <w:szCs w:val="16"/>
        </w:rPr>
      </w:pPr>
      <w:r>
        <w:pict>
          <v:shape id="_x0000_s1028" o:spid="_x0000_s1027" type="#_x0000_t202" style="width:104.75pt;height:10.4pt;margin-top:0.45pt;margin-left:4.45pt;mso-height-relative:page;mso-width-relative:page;position:absolute;z-index:251660288" coordsize="21600,21600" filled="f" stroked="f">
            <o:lock v:ext="edit" aspectratio="f"/>
            <v:textbox inset="0,0,0,0">
              <w:txbxContent>
                <w:p>
                  <w:pPr>
                    <w:spacing w:before="19" w:line="221" w:lineRule="auto"/>
                    <w:ind w:left="20"/>
                    <w:rPr>
                      <w:rFonts w:ascii="宋体" w:eastAsia="宋体" w:hAnsi="宋体" w:cs="宋体"/>
                      <w:sz w:val="7"/>
                      <w:szCs w:val="7"/>
                    </w:rPr>
                  </w:pPr>
                  <w:r>
                    <w:rPr>
                      <w:rFonts w:ascii="仿宋" w:eastAsia="仿宋" w:hAnsi="仿宋" w:cs="仿宋"/>
                      <w:spacing w:val="1"/>
                      <w:sz w:val="14"/>
                      <w:szCs w:val="14"/>
                    </w:rPr>
                    <w:t xml:space="preserve">编制单位：是部科技股们 </w:t>
                  </w:r>
                  <w:r>
                    <w:rPr>
                      <w:rFonts w:ascii="宋体" w:eastAsia="宋体" w:hAnsi="宋体" w:cs="宋体"/>
                      <w:spacing w:val="1"/>
                      <w:sz w:val="7"/>
                      <w:szCs w:val="7"/>
                    </w:rPr>
                    <w:t>有   限</w:t>
                  </w:r>
                  <w:r>
                    <w:rPr>
                      <w:rFonts w:ascii="宋体" w:eastAsia="宋体" w:hAnsi="宋体" w:cs="宋体"/>
                      <w:spacing w:val="3"/>
                      <w:sz w:val="7"/>
                      <w:szCs w:val="7"/>
                    </w:rPr>
                    <w:t xml:space="preserve">   </w:t>
                  </w:r>
                  <w:r>
                    <w:rPr>
                      <w:rFonts w:ascii="宋体" w:eastAsia="宋体" w:hAnsi="宋体" w:cs="宋体"/>
                      <w:spacing w:val="1"/>
                      <w:sz w:val="7"/>
                      <w:szCs w:val="7"/>
                    </w:rPr>
                    <w:t>公</w:t>
                  </w:r>
                </w:p>
              </w:txbxContent>
            </v:textbox>
          </v:shape>
        </w:pict>
      </w:r>
      <w:r>
        <w:rPr>
          <w:rFonts w:ascii="宋体" w:eastAsia="宋体" w:hAnsi="宋体" w:cs="宋体"/>
          <w:spacing w:val="-7"/>
          <w:sz w:val="16"/>
          <w:szCs w:val="16"/>
        </w:rPr>
        <w:t>单位：人民币万元</w:t>
      </w:r>
    </w:p>
    <w:p>
      <w:pPr>
        <w:spacing w:line="19" w:lineRule="exact"/>
      </w:pPr>
    </w:p>
    <w:tbl>
      <w:tblPr>
        <w:tblStyle w:val="TableNormal00"/>
        <w:tblW w:w="9140" w:type="dxa"/>
        <w:tblInd w:w="0" w:type="dxa"/>
        <w:tblBorders>
          <w:top w:val="nil"/>
          <w:left w:val="nil"/>
          <w:bottom w:val="nil"/>
          <w:right w:val="nil"/>
          <w:insideH w:val="nil"/>
          <w:insideV w:val="nil"/>
        </w:tblBorders>
        <w:tblLayout w:type="fixed"/>
        <w:tblCellMar>
          <w:top w:w="0" w:type="dxa"/>
          <w:left w:w="0" w:type="dxa"/>
          <w:bottom w:w="0" w:type="dxa"/>
          <w:right w:w="0" w:type="dxa"/>
        </w:tblCellMar>
      </w:tblPr>
      <w:tblGrid>
        <w:gridCol w:w="3680"/>
        <w:gridCol w:w="980"/>
        <w:gridCol w:w="1010"/>
        <w:gridCol w:w="1520"/>
        <w:gridCol w:w="1030"/>
        <w:gridCol w:w="920"/>
      </w:tblGrid>
      <w:tr>
        <w:tblPrEx>
          <w:tblW w:w="9140" w:type="dxa"/>
          <w:tblInd w:w="0" w:type="dxa"/>
          <w:tblBorders>
            <w:top w:val="nil"/>
            <w:left w:val="nil"/>
            <w:bottom w:val="nil"/>
            <w:right w:val="nil"/>
            <w:insideH w:val="nil"/>
            <w:insideV w:val="nil"/>
          </w:tblBorders>
          <w:tblLayout w:type="fixed"/>
          <w:tblCellMar>
            <w:top w:w="0" w:type="dxa"/>
            <w:left w:w="0" w:type="dxa"/>
            <w:bottom w:w="0" w:type="dxa"/>
            <w:right w:w="0" w:type="dxa"/>
          </w:tblCellMar>
        </w:tblPrEx>
        <w:trPr>
          <w:trHeight w:val="235"/>
        </w:trPr>
        <w:tc>
          <w:tcPr>
            <w:tcW w:w="3680" w:type="dxa"/>
            <w:vMerge w:val="restart"/>
            <w:tcBorders>
              <w:top w:val="single" w:sz="4" w:space="0" w:color="000000"/>
              <w:bottom w:val="nil"/>
              <w:right w:val="single" w:sz="4" w:space="0" w:color="000000"/>
            </w:tcBorders>
            <w:vAlign w:val="top"/>
          </w:tcPr>
          <w:p>
            <w:pPr>
              <w:spacing w:line="300" w:lineRule="auto"/>
            </w:pPr>
          </w:p>
          <w:p>
            <w:pPr>
              <w:pStyle w:val="TableText"/>
              <w:spacing w:before="29" w:line="224" w:lineRule="auto"/>
              <w:ind w:left="2050"/>
              <w:rPr>
                <w:sz w:val="9"/>
                <w:szCs w:val="9"/>
              </w:rPr>
            </w:pPr>
            <w:r>
              <w:rPr>
                <w:sz w:val="9"/>
                <w:szCs w:val="9"/>
              </w:rPr>
              <w:t>日</w:t>
            </w:r>
          </w:p>
        </w:tc>
        <w:tc>
          <w:tcPr>
            <w:tcW w:w="980" w:type="dxa"/>
            <w:vMerge w:val="restart"/>
            <w:tcBorders>
              <w:top w:val="single" w:sz="4" w:space="0" w:color="000000"/>
              <w:left w:val="single" w:sz="4" w:space="0" w:color="000000"/>
              <w:bottom w:val="nil"/>
              <w:right w:val="single" w:sz="4" w:space="0" w:color="000000"/>
            </w:tcBorders>
            <w:vAlign w:val="top"/>
          </w:tcPr>
          <w:p>
            <w:pPr>
              <w:pStyle w:val="TableText"/>
              <w:spacing w:before="190" w:line="219" w:lineRule="auto"/>
              <w:ind w:left="274"/>
            </w:pPr>
            <w:r>
              <w:rPr>
                <w:spacing w:val="-1"/>
              </w:rPr>
              <w:t>2022年</w:t>
            </w:r>
          </w:p>
          <w:p>
            <w:pPr>
              <w:pStyle w:val="TableText"/>
              <w:spacing w:before="23" w:line="219" w:lineRule="auto"/>
              <w:ind w:left="135"/>
            </w:pPr>
            <w:r>
              <w:rPr>
                <w:spacing w:val="1"/>
              </w:rPr>
              <w:t>已审实现数</w:t>
            </w:r>
          </w:p>
        </w:tc>
        <w:tc>
          <w:tcPr>
            <w:tcW w:w="4480" w:type="dxa"/>
            <w:gridSpan w:val="4"/>
            <w:tcBorders>
              <w:top w:val="single" w:sz="4" w:space="0" w:color="000000"/>
              <w:left w:val="single" w:sz="4" w:space="0" w:color="000000"/>
              <w:bottom w:val="single" w:sz="4" w:space="0" w:color="000000"/>
            </w:tcBorders>
            <w:vAlign w:val="top"/>
          </w:tcPr>
          <w:p>
            <w:pPr>
              <w:pStyle w:val="TableText"/>
              <w:spacing w:before="48" w:line="219" w:lineRule="auto"/>
              <w:ind w:left="1737"/>
            </w:pPr>
            <w:r>
              <w:rPr>
                <w:b/>
                <w:bCs/>
                <w:spacing w:val="-3"/>
              </w:rPr>
              <w:t>2023年度预测数</w:t>
            </w:r>
          </w:p>
        </w:tc>
      </w:tr>
      <w:tr>
        <w:tblPrEx>
          <w:tblW w:w="9140" w:type="dxa"/>
          <w:tblInd w:w="0" w:type="dxa"/>
          <w:tblLayout w:type="fixed"/>
          <w:tblCellMar>
            <w:top w:w="0" w:type="dxa"/>
            <w:left w:w="0" w:type="dxa"/>
            <w:bottom w:w="0" w:type="dxa"/>
            <w:right w:w="0" w:type="dxa"/>
          </w:tblCellMar>
        </w:tblPrEx>
        <w:trPr>
          <w:trHeight w:val="499"/>
        </w:trPr>
        <w:tc>
          <w:tcPr>
            <w:tcW w:w="3680" w:type="dxa"/>
            <w:vMerge/>
            <w:tcBorders>
              <w:top w:val="nil"/>
              <w:bottom w:val="single" w:sz="4" w:space="0" w:color="000000"/>
              <w:right w:val="single" w:sz="4" w:space="0" w:color="000000"/>
            </w:tcBorders>
            <w:vAlign w:val="top"/>
          </w:tcPr>
          <w:p/>
        </w:tc>
        <w:tc>
          <w:tcPr>
            <w:tcW w:w="980" w:type="dxa"/>
            <w:vMerge/>
            <w:tcBorders>
              <w:top w:val="nil"/>
              <w:left w:val="single" w:sz="4" w:space="0" w:color="000000"/>
              <w:bottom w:val="single" w:sz="4" w:space="0" w:color="000000"/>
              <w:right w:val="single" w:sz="4" w:space="0" w:color="000000"/>
            </w:tcBorders>
            <w:vAlign w:val="top"/>
          </w:tcPr>
          <w:p/>
        </w:tc>
        <w:tc>
          <w:tcPr>
            <w:tcW w:w="1010" w:type="dxa"/>
            <w:tcBorders>
              <w:top w:val="single" w:sz="4" w:space="0" w:color="000000"/>
              <w:left w:val="single" w:sz="4" w:space="0" w:color="000000"/>
              <w:bottom w:val="single" w:sz="4" w:space="0" w:color="000000"/>
              <w:right w:val="single" w:sz="4" w:space="0" w:color="000000"/>
            </w:tcBorders>
            <w:vAlign w:val="top"/>
          </w:tcPr>
          <w:p>
            <w:pPr>
              <w:pStyle w:val="TableText"/>
              <w:spacing w:before="95" w:line="215" w:lineRule="auto"/>
              <w:ind w:left="144" w:right="56"/>
            </w:pPr>
            <w:r>
              <w:rPr>
                <w:spacing w:val="3"/>
              </w:rPr>
              <w:t>2023年1-6月</w:t>
            </w:r>
            <w:r>
              <w:t xml:space="preserve"> </w:t>
            </w:r>
            <w:r>
              <w:rPr>
                <w:spacing w:val="1"/>
              </w:rPr>
              <w:t>已审实际数</w:t>
            </w:r>
          </w:p>
        </w:tc>
        <w:tc>
          <w:tcPr>
            <w:tcW w:w="1520" w:type="dxa"/>
            <w:tcBorders>
              <w:top w:val="single" w:sz="4" w:space="0" w:color="000000"/>
              <w:left w:val="single" w:sz="4" w:space="0" w:color="000000"/>
              <w:bottom w:val="single" w:sz="4" w:space="0" w:color="000000"/>
              <w:right w:val="single" w:sz="4" w:space="0" w:color="000000"/>
            </w:tcBorders>
            <w:vAlign w:val="top"/>
          </w:tcPr>
          <w:p>
            <w:pPr>
              <w:pStyle w:val="TableText"/>
              <w:spacing w:before="84" w:line="223" w:lineRule="auto"/>
              <w:ind w:left="244" w:right="12" w:hanging="140"/>
            </w:pPr>
            <w:r>
              <w:rPr>
                <w:spacing w:val="-1"/>
              </w:rPr>
              <w:t>2023年7-9月实际数(未</w:t>
            </w:r>
            <w:r>
              <w:rPr>
                <w:spacing w:val="5"/>
              </w:rPr>
              <w:t xml:space="preserve"> </w:t>
            </w:r>
            <w:r>
              <w:rPr>
                <w:spacing w:val="4"/>
              </w:rPr>
              <w:t>经审计或审阅)</w:t>
            </w:r>
          </w:p>
        </w:tc>
        <w:tc>
          <w:tcPr>
            <w:tcW w:w="1030" w:type="dxa"/>
            <w:tcBorders>
              <w:top w:val="single" w:sz="4" w:space="0" w:color="000000"/>
              <w:left w:val="single" w:sz="4" w:space="0" w:color="000000"/>
              <w:bottom w:val="single" w:sz="4" w:space="0" w:color="000000"/>
              <w:right w:val="single" w:sz="4" w:space="0" w:color="000000"/>
            </w:tcBorders>
            <w:vAlign w:val="top"/>
          </w:tcPr>
          <w:p>
            <w:pPr>
              <w:pStyle w:val="TableText"/>
              <w:spacing w:before="83" w:line="222" w:lineRule="auto"/>
              <w:ind w:left="296" w:right="8" w:hanging="220"/>
            </w:pPr>
            <w:r>
              <w:rPr>
                <w:b/>
                <w:bCs/>
              </w:rPr>
              <w:t>2023年10-12月</w:t>
            </w:r>
            <w:r>
              <w:rPr>
                <w:spacing w:val="7"/>
              </w:rPr>
              <w:t xml:space="preserve"> </w:t>
            </w:r>
            <w:r>
              <w:rPr>
                <w:b/>
                <w:bCs/>
                <w:spacing w:val="-3"/>
              </w:rPr>
              <w:t>预测数</w:t>
            </w:r>
          </w:p>
        </w:tc>
        <w:tc>
          <w:tcPr>
            <w:tcW w:w="920" w:type="dxa"/>
            <w:tcBorders>
              <w:top w:val="single" w:sz="4" w:space="0" w:color="000000"/>
              <w:left w:val="single" w:sz="4" w:space="0" w:color="000000"/>
              <w:bottom w:val="single" w:sz="4" w:space="0" w:color="000000"/>
            </w:tcBorders>
            <w:vAlign w:val="top"/>
          </w:tcPr>
          <w:p>
            <w:pPr>
              <w:pStyle w:val="TableText"/>
              <w:spacing w:before="173" w:line="219" w:lineRule="auto"/>
              <w:ind w:left="186"/>
            </w:pPr>
            <w:r>
              <w:rPr>
                <w:b/>
                <w:bCs/>
                <w:spacing w:val="-3"/>
              </w:rPr>
              <w:t>2023年度</w:t>
            </w:r>
          </w:p>
        </w:tc>
      </w:tr>
      <w:tr>
        <w:tblPrEx>
          <w:tblW w:w="9140" w:type="dxa"/>
          <w:tblInd w:w="0" w:type="dxa"/>
          <w:tblLayout w:type="fixed"/>
          <w:tblCellMar>
            <w:top w:w="0" w:type="dxa"/>
            <w:left w:w="0" w:type="dxa"/>
            <w:bottom w:w="0" w:type="dxa"/>
            <w:right w:w="0" w:type="dxa"/>
          </w:tblCellMar>
        </w:tblPrEx>
        <w:trPr>
          <w:trHeight w:val="379"/>
        </w:trPr>
        <w:tc>
          <w:tcPr>
            <w:tcW w:w="3680" w:type="dxa"/>
            <w:tcBorders>
              <w:top w:val="single" w:sz="4" w:space="0" w:color="000000"/>
              <w:right w:val="single" w:sz="4" w:space="0" w:color="000000"/>
            </w:tcBorders>
            <w:vAlign w:val="top"/>
          </w:tcPr>
          <w:p>
            <w:pPr>
              <w:pStyle w:val="TableText"/>
              <w:spacing w:before="114" w:line="219" w:lineRule="auto"/>
              <w:ind w:left="21"/>
            </w:pPr>
            <w:r>
              <w:rPr>
                <w:b/>
                <w:bCs/>
                <w:spacing w:val="-4"/>
              </w:rPr>
              <w:t>一、营业收入</w:t>
            </w:r>
          </w:p>
        </w:tc>
        <w:tc>
          <w:tcPr>
            <w:tcW w:w="980" w:type="dxa"/>
            <w:tcBorders>
              <w:top w:val="single" w:sz="4" w:space="0" w:color="000000"/>
              <w:left w:val="single" w:sz="4" w:space="0" w:color="000000"/>
              <w:right w:val="single" w:sz="4" w:space="0" w:color="000000"/>
            </w:tcBorders>
            <w:vAlign w:val="top"/>
          </w:tcPr>
          <w:p>
            <w:pPr>
              <w:pStyle w:val="TableText"/>
              <w:spacing w:before="155" w:line="184" w:lineRule="auto"/>
              <w:jc w:val="right"/>
            </w:pPr>
            <w:r>
              <w:rPr>
                <w:spacing w:val="-8"/>
              </w:rPr>
              <w:t>74,618.90</w:t>
            </w:r>
          </w:p>
        </w:tc>
        <w:tc>
          <w:tcPr>
            <w:tcW w:w="1010" w:type="dxa"/>
            <w:tcBorders>
              <w:top w:val="single" w:sz="4" w:space="0" w:color="000000"/>
              <w:left w:val="single" w:sz="4" w:space="0" w:color="000000"/>
              <w:right w:val="single" w:sz="4" w:space="0" w:color="000000"/>
            </w:tcBorders>
            <w:vAlign w:val="top"/>
          </w:tcPr>
          <w:p>
            <w:pPr>
              <w:pStyle w:val="TableText"/>
              <w:spacing w:before="145" w:line="184" w:lineRule="auto"/>
              <w:ind w:left="345"/>
            </w:pPr>
            <w:r>
              <w:rPr>
                <w:spacing w:val="-1"/>
              </w:rPr>
              <w:t>40,026.31</w:t>
            </w:r>
          </w:p>
        </w:tc>
        <w:tc>
          <w:tcPr>
            <w:tcW w:w="1520" w:type="dxa"/>
            <w:tcBorders>
              <w:top w:val="single" w:sz="4" w:space="0" w:color="000000"/>
              <w:left w:val="single" w:sz="4" w:space="0" w:color="000000"/>
              <w:right w:val="single" w:sz="4" w:space="0" w:color="000000"/>
            </w:tcBorders>
            <w:vAlign w:val="top"/>
          </w:tcPr>
          <w:p>
            <w:pPr>
              <w:pStyle w:val="TableText"/>
              <w:spacing w:before="135" w:line="184" w:lineRule="auto"/>
              <w:ind w:right="20"/>
              <w:jc w:val="right"/>
            </w:pPr>
            <w:r>
              <w:rPr>
                <w:spacing w:val="-2"/>
              </w:rPr>
              <w:t>19,749.74</w:t>
            </w:r>
          </w:p>
        </w:tc>
        <w:tc>
          <w:tcPr>
            <w:tcW w:w="1030" w:type="dxa"/>
            <w:tcBorders>
              <w:top w:val="single" w:sz="4" w:space="0" w:color="000000"/>
              <w:left w:val="single" w:sz="4" w:space="0" w:color="000000"/>
              <w:right w:val="single" w:sz="4" w:space="0" w:color="000000"/>
            </w:tcBorders>
            <w:vAlign w:val="top"/>
          </w:tcPr>
          <w:p>
            <w:pPr>
              <w:pStyle w:val="TableText"/>
              <w:spacing w:before="124" w:line="183" w:lineRule="auto"/>
              <w:ind w:right="10"/>
              <w:jc w:val="right"/>
            </w:pPr>
            <w:r>
              <w:rPr>
                <w:b/>
                <w:bCs/>
                <w:spacing w:val="-3"/>
              </w:rPr>
              <w:t>20,308.50</w:t>
            </w:r>
          </w:p>
        </w:tc>
        <w:tc>
          <w:tcPr>
            <w:tcW w:w="920" w:type="dxa"/>
            <w:tcBorders>
              <w:top w:val="single" w:sz="4" w:space="0" w:color="000000"/>
              <w:left w:val="single" w:sz="4" w:space="0" w:color="000000"/>
            </w:tcBorders>
            <w:vAlign w:val="top"/>
          </w:tcPr>
          <w:p>
            <w:pPr>
              <w:pStyle w:val="TableText"/>
              <w:spacing w:before="134" w:line="183" w:lineRule="auto"/>
              <w:ind w:left="257"/>
            </w:pPr>
            <w:r>
              <w:rPr>
                <w:b/>
                <w:bCs/>
                <w:spacing w:val="-3"/>
              </w:rPr>
              <w:t>80,084.56</w:t>
            </w:r>
          </w:p>
        </w:tc>
      </w:tr>
      <w:tr>
        <w:tblPrEx>
          <w:tblW w:w="9140" w:type="dxa"/>
          <w:tblInd w:w="0" w:type="dxa"/>
          <w:tblLayout w:type="fixed"/>
          <w:tblCellMar>
            <w:top w:w="0" w:type="dxa"/>
            <w:left w:w="0" w:type="dxa"/>
            <w:bottom w:w="0" w:type="dxa"/>
            <w:right w:w="0" w:type="dxa"/>
          </w:tblCellMar>
        </w:tblPrEx>
        <w:trPr>
          <w:trHeight w:val="390"/>
        </w:trPr>
        <w:tc>
          <w:tcPr>
            <w:tcW w:w="3680" w:type="dxa"/>
            <w:tcBorders>
              <w:right w:val="single" w:sz="4" w:space="0" w:color="000000"/>
            </w:tcBorders>
            <w:vAlign w:val="top"/>
          </w:tcPr>
          <w:p>
            <w:pPr>
              <w:pStyle w:val="TableText"/>
              <w:spacing w:before="106" w:line="219" w:lineRule="auto"/>
              <w:ind w:left="299"/>
            </w:pPr>
            <w:r>
              <w:rPr>
                <w:spacing w:val="-1"/>
              </w:rPr>
              <w:t>减：营业成本</w:t>
            </w:r>
          </w:p>
        </w:tc>
        <w:tc>
          <w:tcPr>
            <w:tcW w:w="980" w:type="dxa"/>
            <w:tcBorders>
              <w:left w:val="single" w:sz="4" w:space="0" w:color="000000"/>
              <w:right w:val="single" w:sz="4" w:space="0" w:color="000000"/>
            </w:tcBorders>
            <w:vAlign w:val="top"/>
          </w:tcPr>
          <w:p>
            <w:pPr>
              <w:pStyle w:val="TableText"/>
              <w:spacing w:before="146" w:line="184" w:lineRule="auto"/>
              <w:jc w:val="right"/>
            </w:pPr>
            <w:r>
              <w:rPr>
                <w:spacing w:val="-10"/>
              </w:rPr>
              <w:t>5</w:t>
            </w:r>
            <w:r>
              <w:rPr>
                <w:spacing w:val="-9"/>
              </w:rPr>
              <w:t>2,831.6</w:t>
            </w:r>
            <w:r>
              <w:rPr>
                <w:spacing w:val="-8"/>
              </w:rPr>
              <w:t>9</w:t>
            </w:r>
          </w:p>
        </w:tc>
        <w:tc>
          <w:tcPr>
            <w:tcW w:w="1010" w:type="dxa"/>
            <w:tcBorders>
              <w:left w:val="single" w:sz="4" w:space="0" w:color="000000"/>
              <w:right w:val="single" w:sz="4" w:space="0" w:color="000000"/>
            </w:tcBorders>
            <w:vAlign w:val="top"/>
          </w:tcPr>
          <w:p>
            <w:pPr>
              <w:pStyle w:val="TableText"/>
              <w:spacing w:before="137" w:line="183" w:lineRule="auto"/>
              <w:ind w:left="345"/>
            </w:pPr>
            <w:r>
              <w:rPr>
                <w:spacing w:val="-1"/>
              </w:rPr>
              <w:t>27,373.62</w:t>
            </w:r>
          </w:p>
        </w:tc>
        <w:tc>
          <w:tcPr>
            <w:tcW w:w="1520" w:type="dxa"/>
            <w:tcBorders>
              <w:left w:val="single" w:sz="4" w:space="0" w:color="000000"/>
              <w:right w:val="single" w:sz="4" w:space="0" w:color="000000"/>
            </w:tcBorders>
            <w:vAlign w:val="top"/>
          </w:tcPr>
          <w:p>
            <w:pPr>
              <w:pStyle w:val="TableText"/>
              <w:spacing w:before="136" w:line="184" w:lineRule="auto"/>
              <w:jc w:val="right"/>
            </w:pPr>
            <w:r>
              <w:rPr>
                <w:spacing w:val="-9"/>
              </w:rPr>
              <w:t>13,507.87</w:t>
            </w:r>
          </w:p>
        </w:tc>
        <w:tc>
          <w:tcPr>
            <w:tcW w:w="1030" w:type="dxa"/>
            <w:tcBorders>
              <w:left w:val="single" w:sz="4" w:space="0" w:color="000000"/>
              <w:right w:val="single" w:sz="4" w:space="0" w:color="000000"/>
            </w:tcBorders>
            <w:vAlign w:val="top"/>
          </w:tcPr>
          <w:p>
            <w:pPr>
              <w:pStyle w:val="TableText"/>
              <w:spacing w:before="146" w:line="184" w:lineRule="auto"/>
              <w:ind w:right="20"/>
              <w:jc w:val="right"/>
            </w:pPr>
            <w:r>
              <w:rPr>
                <w:spacing w:val="-2"/>
              </w:rPr>
              <w:t>13,725.94</w:t>
            </w:r>
          </w:p>
        </w:tc>
        <w:tc>
          <w:tcPr>
            <w:tcW w:w="920" w:type="dxa"/>
            <w:tcBorders>
              <w:left w:val="single" w:sz="4" w:space="0" w:color="000000"/>
            </w:tcBorders>
            <w:vAlign w:val="top"/>
          </w:tcPr>
          <w:p>
            <w:pPr>
              <w:pStyle w:val="TableText"/>
              <w:spacing w:before="157" w:line="183" w:lineRule="auto"/>
              <w:jc w:val="right"/>
            </w:pPr>
            <w:r>
              <w:rPr>
                <w:spacing w:val="-7"/>
              </w:rPr>
              <w:t>54,607.43</w:t>
            </w:r>
          </w:p>
        </w:tc>
      </w:tr>
      <w:tr>
        <w:tblPrEx>
          <w:tblW w:w="9140" w:type="dxa"/>
          <w:tblInd w:w="0" w:type="dxa"/>
          <w:tblLayout w:type="fixed"/>
          <w:tblCellMar>
            <w:top w:w="0" w:type="dxa"/>
            <w:left w:w="0" w:type="dxa"/>
            <w:bottom w:w="0" w:type="dxa"/>
            <w:right w:w="0" w:type="dxa"/>
          </w:tblCellMar>
        </w:tblPrEx>
        <w:trPr>
          <w:trHeight w:val="363"/>
        </w:trPr>
        <w:tc>
          <w:tcPr>
            <w:tcW w:w="3680" w:type="dxa"/>
            <w:tcBorders>
              <w:right w:val="single" w:sz="4" w:space="0" w:color="000000"/>
            </w:tcBorders>
            <w:vAlign w:val="top"/>
          </w:tcPr>
          <w:p>
            <w:pPr>
              <w:pStyle w:val="TableText"/>
              <w:spacing w:before="116" w:line="219" w:lineRule="auto"/>
              <w:ind w:left="590"/>
            </w:pPr>
            <w:r>
              <w:rPr>
                <w:spacing w:val="-1"/>
              </w:rPr>
              <w:t>税金及附加</w:t>
            </w:r>
          </w:p>
        </w:tc>
        <w:tc>
          <w:tcPr>
            <w:tcW w:w="980" w:type="dxa"/>
            <w:tcBorders>
              <w:left w:val="single" w:sz="4" w:space="0" w:color="000000"/>
              <w:right w:val="single" w:sz="4" w:space="0" w:color="000000"/>
            </w:tcBorders>
            <w:vAlign w:val="top"/>
          </w:tcPr>
          <w:p>
            <w:pPr>
              <w:pStyle w:val="TableText"/>
              <w:spacing w:before="143" w:line="184" w:lineRule="auto"/>
              <w:ind w:right="19"/>
              <w:jc w:val="right"/>
            </w:pPr>
            <w:r>
              <w:rPr>
                <w:spacing w:val="-1"/>
              </w:rPr>
              <w:t>483.31</w:t>
            </w:r>
          </w:p>
        </w:tc>
        <w:tc>
          <w:tcPr>
            <w:tcW w:w="1010" w:type="dxa"/>
            <w:tcBorders>
              <w:left w:val="single" w:sz="4" w:space="0" w:color="000000"/>
              <w:right w:val="single" w:sz="4" w:space="0" w:color="000000"/>
            </w:tcBorders>
            <w:vAlign w:val="top"/>
          </w:tcPr>
          <w:p>
            <w:pPr>
              <w:pStyle w:val="TableText"/>
              <w:spacing w:before="143" w:line="184" w:lineRule="auto"/>
              <w:ind w:left="555"/>
            </w:pPr>
            <w:r>
              <w:rPr>
                <w:spacing w:val="-1"/>
              </w:rPr>
              <w:t>238.13</w:t>
            </w:r>
          </w:p>
        </w:tc>
        <w:tc>
          <w:tcPr>
            <w:tcW w:w="1520" w:type="dxa"/>
            <w:tcBorders>
              <w:left w:val="single" w:sz="4" w:space="0" w:color="000000"/>
              <w:right w:val="single" w:sz="4" w:space="0" w:color="000000"/>
            </w:tcBorders>
            <w:vAlign w:val="top"/>
          </w:tcPr>
          <w:p>
            <w:pPr>
              <w:pStyle w:val="TableText"/>
              <w:spacing w:before="143" w:line="184" w:lineRule="auto"/>
              <w:ind w:right="18"/>
              <w:jc w:val="right"/>
            </w:pPr>
            <w:r>
              <w:rPr>
                <w:spacing w:val="-3"/>
              </w:rPr>
              <w:t>135.50</w:t>
            </w:r>
          </w:p>
        </w:tc>
        <w:tc>
          <w:tcPr>
            <w:tcW w:w="1030" w:type="dxa"/>
            <w:tcBorders>
              <w:left w:val="single" w:sz="4" w:space="0" w:color="000000"/>
              <w:right w:val="single" w:sz="4" w:space="0" w:color="000000"/>
            </w:tcBorders>
            <w:vAlign w:val="top"/>
          </w:tcPr>
          <w:p>
            <w:pPr>
              <w:pStyle w:val="TableText"/>
              <w:spacing w:before="143" w:line="184" w:lineRule="auto"/>
              <w:ind w:right="18"/>
              <w:jc w:val="right"/>
            </w:pPr>
            <w:r>
              <w:rPr>
                <w:spacing w:val="-3"/>
              </w:rPr>
              <w:t>122.69</w:t>
            </w:r>
          </w:p>
        </w:tc>
        <w:tc>
          <w:tcPr>
            <w:tcW w:w="920" w:type="dxa"/>
            <w:tcBorders>
              <w:left w:val="single" w:sz="4" w:space="0" w:color="000000"/>
            </w:tcBorders>
            <w:vAlign w:val="top"/>
          </w:tcPr>
          <w:p>
            <w:pPr>
              <w:pStyle w:val="TableText"/>
              <w:spacing w:before="153" w:line="183" w:lineRule="auto"/>
              <w:ind w:left="464"/>
            </w:pPr>
            <w:r>
              <w:rPr>
                <w:spacing w:val="-1"/>
              </w:rPr>
              <w:t>496.32</w:t>
            </w:r>
          </w:p>
        </w:tc>
      </w:tr>
      <w:tr>
        <w:tblPrEx>
          <w:tblW w:w="9140" w:type="dxa"/>
          <w:tblInd w:w="0" w:type="dxa"/>
          <w:tblLayout w:type="fixed"/>
          <w:tblCellMar>
            <w:top w:w="0" w:type="dxa"/>
            <w:left w:w="0" w:type="dxa"/>
            <w:bottom w:w="0" w:type="dxa"/>
            <w:right w:w="0" w:type="dxa"/>
          </w:tblCellMar>
        </w:tblPrEx>
        <w:trPr>
          <w:trHeight w:val="367"/>
        </w:trPr>
        <w:tc>
          <w:tcPr>
            <w:tcW w:w="3680" w:type="dxa"/>
            <w:tcBorders>
              <w:right w:val="single" w:sz="4" w:space="0" w:color="000000"/>
            </w:tcBorders>
            <w:vAlign w:val="top"/>
          </w:tcPr>
          <w:p>
            <w:pPr>
              <w:pStyle w:val="TableText"/>
              <w:spacing w:before="125" w:line="220" w:lineRule="auto"/>
              <w:ind w:left="590"/>
            </w:pPr>
            <w:r>
              <w:rPr>
                <w:spacing w:val="4"/>
              </w:rPr>
              <w:t>销售费用</w:t>
            </w:r>
          </w:p>
        </w:tc>
        <w:tc>
          <w:tcPr>
            <w:tcW w:w="980" w:type="dxa"/>
            <w:tcBorders>
              <w:left w:val="single" w:sz="4" w:space="0" w:color="000000"/>
              <w:right w:val="single" w:sz="4" w:space="0" w:color="000000"/>
            </w:tcBorders>
            <w:vAlign w:val="top"/>
          </w:tcPr>
          <w:p>
            <w:pPr>
              <w:pStyle w:val="TableText"/>
              <w:spacing w:before="143" w:line="184" w:lineRule="auto"/>
              <w:jc w:val="right"/>
            </w:pPr>
            <w:r>
              <w:rPr>
                <w:spacing w:val="-9"/>
              </w:rPr>
              <w:t>3,062.13</w:t>
            </w:r>
          </w:p>
        </w:tc>
        <w:tc>
          <w:tcPr>
            <w:tcW w:w="1010" w:type="dxa"/>
            <w:tcBorders>
              <w:left w:val="single" w:sz="4" w:space="0" w:color="000000"/>
              <w:right w:val="single" w:sz="4" w:space="0" w:color="000000"/>
            </w:tcBorders>
            <w:vAlign w:val="top"/>
          </w:tcPr>
          <w:p>
            <w:pPr>
              <w:pStyle w:val="TableText"/>
              <w:spacing w:before="114" w:line="183" w:lineRule="auto"/>
              <w:ind w:left="414"/>
            </w:pPr>
            <w:r>
              <w:rPr>
                <w:spacing w:val="-1"/>
              </w:rPr>
              <w:t>2,290.43</w:t>
            </w:r>
          </w:p>
        </w:tc>
        <w:tc>
          <w:tcPr>
            <w:tcW w:w="1520" w:type="dxa"/>
            <w:tcBorders>
              <w:left w:val="single" w:sz="4" w:space="0" w:color="000000"/>
              <w:right w:val="single" w:sz="4" w:space="0" w:color="000000"/>
            </w:tcBorders>
            <w:vAlign w:val="top"/>
          </w:tcPr>
          <w:p>
            <w:pPr>
              <w:pStyle w:val="TableText"/>
              <w:spacing w:before="113" w:line="184" w:lineRule="auto"/>
              <w:ind w:right="20"/>
              <w:jc w:val="right"/>
            </w:pPr>
            <w:r>
              <w:rPr>
                <w:spacing w:val="-2"/>
              </w:rPr>
              <w:t>1,174.72</w:t>
            </w:r>
          </w:p>
        </w:tc>
        <w:tc>
          <w:tcPr>
            <w:tcW w:w="1030" w:type="dxa"/>
            <w:tcBorders>
              <w:left w:val="single" w:sz="4" w:space="0" w:color="000000"/>
              <w:right w:val="single" w:sz="4" w:space="0" w:color="000000"/>
            </w:tcBorders>
            <w:vAlign w:val="top"/>
          </w:tcPr>
          <w:p>
            <w:pPr>
              <w:pStyle w:val="TableText"/>
              <w:spacing w:before="143" w:line="184" w:lineRule="auto"/>
              <w:ind w:right="20"/>
              <w:jc w:val="right"/>
            </w:pPr>
            <w:r>
              <w:rPr>
                <w:spacing w:val="-2"/>
              </w:rPr>
              <w:t>1,241.50</w:t>
            </w:r>
          </w:p>
        </w:tc>
        <w:tc>
          <w:tcPr>
            <w:tcW w:w="920" w:type="dxa"/>
            <w:tcBorders>
              <w:left w:val="single" w:sz="4" w:space="0" w:color="000000"/>
            </w:tcBorders>
            <w:vAlign w:val="top"/>
          </w:tcPr>
          <w:p>
            <w:pPr>
              <w:pStyle w:val="TableText"/>
              <w:spacing w:before="144" w:line="183" w:lineRule="auto"/>
              <w:jc w:val="right"/>
            </w:pPr>
            <w:r>
              <w:rPr>
                <w:spacing w:val="-7"/>
              </w:rPr>
              <w:t>4,706.65</w:t>
            </w:r>
          </w:p>
        </w:tc>
      </w:tr>
      <w:tr>
        <w:tblPrEx>
          <w:tblW w:w="9140" w:type="dxa"/>
          <w:tblInd w:w="0" w:type="dxa"/>
          <w:tblLayout w:type="fixed"/>
          <w:tblCellMar>
            <w:top w:w="0" w:type="dxa"/>
            <w:left w:w="0" w:type="dxa"/>
            <w:bottom w:w="0" w:type="dxa"/>
            <w:right w:w="0" w:type="dxa"/>
          </w:tblCellMar>
        </w:tblPrEx>
        <w:trPr>
          <w:trHeight w:val="395"/>
        </w:trPr>
        <w:tc>
          <w:tcPr>
            <w:tcW w:w="3680" w:type="dxa"/>
            <w:tcBorders>
              <w:right w:val="single" w:sz="4" w:space="0" w:color="000000"/>
            </w:tcBorders>
            <w:vAlign w:val="top"/>
          </w:tcPr>
          <w:p>
            <w:pPr>
              <w:pStyle w:val="TableText"/>
              <w:spacing w:before="107" w:line="219" w:lineRule="auto"/>
              <w:ind w:left="590"/>
            </w:pPr>
            <w:r>
              <w:rPr>
                <w:spacing w:val="4"/>
              </w:rPr>
              <w:t>管理费用</w:t>
            </w:r>
          </w:p>
        </w:tc>
        <w:tc>
          <w:tcPr>
            <w:tcW w:w="980" w:type="dxa"/>
            <w:tcBorders>
              <w:left w:val="single" w:sz="4" w:space="0" w:color="000000"/>
              <w:right w:val="single" w:sz="4" w:space="0" w:color="000000"/>
            </w:tcBorders>
            <w:vAlign w:val="top"/>
          </w:tcPr>
          <w:p>
            <w:pPr>
              <w:pStyle w:val="TableText"/>
              <w:spacing w:before="167" w:line="183" w:lineRule="auto"/>
              <w:ind w:left="395"/>
            </w:pPr>
            <w:r>
              <w:rPr>
                <w:spacing w:val="-1"/>
              </w:rPr>
              <w:t>6,000.67</w:t>
            </w:r>
          </w:p>
        </w:tc>
        <w:tc>
          <w:tcPr>
            <w:tcW w:w="1010" w:type="dxa"/>
            <w:tcBorders>
              <w:left w:val="single" w:sz="4" w:space="0" w:color="000000"/>
              <w:right w:val="single" w:sz="4" w:space="0" w:color="000000"/>
            </w:tcBorders>
            <w:vAlign w:val="top"/>
          </w:tcPr>
          <w:p>
            <w:pPr>
              <w:pStyle w:val="TableText"/>
              <w:spacing w:before="156" w:line="184" w:lineRule="auto"/>
              <w:jc w:val="right"/>
            </w:pPr>
            <w:r>
              <w:rPr>
                <w:spacing w:val="-7"/>
              </w:rPr>
              <w:t>3,396.12</w:t>
            </w:r>
          </w:p>
        </w:tc>
        <w:tc>
          <w:tcPr>
            <w:tcW w:w="1520" w:type="dxa"/>
            <w:tcBorders>
              <w:left w:val="single" w:sz="4" w:space="0" w:color="000000"/>
              <w:right w:val="single" w:sz="4" w:space="0" w:color="000000"/>
            </w:tcBorders>
            <w:vAlign w:val="top"/>
          </w:tcPr>
          <w:p>
            <w:pPr>
              <w:pStyle w:val="TableText"/>
              <w:spacing w:before="146" w:line="184" w:lineRule="auto"/>
              <w:ind w:right="12"/>
              <w:jc w:val="right"/>
            </w:pPr>
            <w:r>
              <w:rPr>
                <w:spacing w:val="-1"/>
              </w:rPr>
              <w:t>2,123.72</w:t>
            </w:r>
          </w:p>
        </w:tc>
        <w:tc>
          <w:tcPr>
            <w:tcW w:w="1030" w:type="dxa"/>
            <w:tcBorders>
              <w:left w:val="single" w:sz="4" w:space="0" w:color="000000"/>
              <w:right w:val="single" w:sz="4" w:space="0" w:color="000000"/>
            </w:tcBorders>
            <w:vAlign w:val="top"/>
          </w:tcPr>
          <w:p>
            <w:pPr>
              <w:pStyle w:val="TableText"/>
              <w:spacing w:before="156" w:line="184" w:lineRule="auto"/>
              <w:jc w:val="right"/>
            </w:pPr>
            <w:r>
              <w:rPr>
                <w:spacing w:val="-11"/>
              </w:rPr>
              <w:t>1</w:t>
            </w:r>
            <w:r>
              <w:rPr>
                <w:spacing w:val="-10"/>
              </w:rPr>
              <w:t>,920.6</w:t>
            </w:r>
            <w:r>
              <w:rPr>
                <w:spacing w:val="-9"/>
              </w:rPr>
              <w:t>7</w:t>
            </w:r>
          </w:p>
        </w:tc>
        <w:tc>
          <w:tcPr>
            <w:tcW w:w="920" w:type="dxa"/>
            <w:tcBorders>
              <w:left w:val="single" w:sz="4" w:space="0" w:color="000000"/>
            </w:tcBorders>
            <w:vAlign w:val="top"/>
          </w:tcPr>
          <w:p>
            <w:pPr>
              <w:pStyle w:val="TableText"/>
              <w:spacing w:before="167" w:line="183" w:lineRule="auto"/>
              <w:jc w:val="right"/>
            </w:pPr>
            <w:r>
              <w:rPr>
                <w:spacing w:val="-7"/>
              </w:rPr>
              <w:t>7,440.50</w:t>
            </w:r>
          </w:p>
        </w:tc>
      </w:tr>
      <w:tr>
        <w:tblPrEx>
          <w:tblW w:w="9140" w:type="dxa"/>
          <w:tblInd w:w="0" w:type="dxa"/>
          <w:tblLayout w:type="fixed"/>
          <w:tblCellMar>
            <w:top w:w="0" w:type="dxa"/>
            <w:left w:w="0" w:type="dxa"/>
            <w:bottom w:w="0" w:type="dxa"/>
            <w:right w:w="0" w:type="dxa"/>
          </w:tblCellMar>
        </w:tblPrEx>
        <w:trPr>
          <w:trHeight w:val="369"/>
        </w:trPr>
        <w:tc>
          <w:tcPr>
            <w:tcW w:w="3680" w:type="dxa"/>
            <w:tcBorders>
              <w:right w:val="single" w:sz="4" w:space="0" w:color="000000"/>
            </w:tcBorders>
            <w:vAlign w:val="top"/>
          </w:tcPr>
          <w:p>
            <w:pPr>
              <w:pStyle w:val="TableText"/>
              <w:spacing w:before="113" w:line="220" w:lineRule="auto"/>
              <w:ind w:left="590"/>
            </w:pPr>
            <w:r>
              <w:rPr>
                <w:spacing w:val="4"/>
              </w:rPr>
              <w:t>研发费用</w:t>
            </w:r>
          </w:p>
        </w:tc>
        <w:tc>
          <w:tcPr>
            <w:tcW w:w="980" w:type="dxa"/>
            <w:tcBorders>
              <w:left w:val="single" w:sz="4" w:space="0" w:color="000000"/>
              <w:right w:val="single" w:sz="4" w:space="0" w:color="000000"/>
            </w:tcBorders>
            <w:vAlign w:val="top"/>
          </w:tcPr>
          <w:p>
            <w:pPr>
              <w:pStyle w:val="TableText"/>
              <w:spacing w:before="142" w:line="183" w:lineRule="auto"/>
              <w:jc w:val="right"/>
            </w:pPr>
            <w:r>
              <w:rPr>
                <w:spacing w:val="-10"/>
              </w:rPr>
              <w:t>2</w:t>
            </w:r>
            <w:r>
              <w:rPr>
                <w:spacing w:val="-9"/>
              </w:rPr>
              <w:t>,578.7</w:t>
            </w:r>
            <w:r>
              <w:rPr>
                <w:spacing w:val="-8"/>
              </w:rPr>
              <w:t>6</w:t>
            </w:r>
          </w:p>
        </w:tc>
        <w:tc>
          <w:tcPr>
            <w:tcW w:w="1010" w:type="dxa"/>
            <w:tcBorders>
              <w:left w:val="single" w:sz="4" w:space="0" w:color="000000"/>
              <w:right w:val="single" w:sz="4" w:space="0" w:color="000000"/>
            </w:tcBorders>
            <w:vAlign w:val="top"/>
          </w:tcPr>
          <w:p>
            <w:pPr>
              <w:pStyle w:val="TableText"/>
              <w:spacing w:before="131" w:line="184" w:lineRule="auto"/>
              <w:jc w:val="right"/>
            </w:pPr>
            <w:r>
              <w:rPr>
                <w:spacing w:val="-7"/>
              </w:rPr>
              <w:t>1,259.93</w:t>
            </w:r>
          </w:p>
        </w:tc>
        <w:tc>
          <w:tcPr>
            <w:tcW w:w="1520" w:type="dxa"/>
            <w:tcBorders>
              <w:left w:val="single" w:sz="4" w:space="0" w:color="000000"/>
              <w:right w:val="single" w:sz="4" w:space="0" w:color="000000"/>
            </w:tcBorders>
            <w:vAlign w:val="top"/>
          </w:tcPr>
          <w:p>
            <w:pPr>
              <w:pStyle w:val="TableText"/>
              <w:spacing w:before="148" w:line="183" w:lineRule="auto"/>
              <w:ind w:right="10"/>
              <w:jc w:val="right"/>
            </w:pPr>
            <w:r>
              <w:rPr>
                <w:spacing w:val="-1"/>
              </w:rPr>
              <w:t>688.06</w:t>
            </w:r>
          </w:p>
        </w:tc>
        <w:tc>
          <w:tcPr>
            <w:tcW w:w="1030" w:type="dxa"/>
            <w:tcBorders>
              <w:left w:val="single" w:sz="4" w:space="0" w:color="000000"/>
              <w:right w:val="single" w:sz="4" w:space="0" w:color="000000"/>
            </w:tcBorders>
            <w:vAlign w:val="top"/>
          </w:tcPr>
          <w:p>
            <w:pPr>
              <w:pStyle w:val="TableText"/>
              <w:spacing w:before="148" w:line="183" w:lineRule="auto"/>
              <w:ind w:right="10"/>
              <w:jc w:val="right"/>
            </w:pPr>
            <w:r>
              <w:rPr>
                <w:spacing w:val="-1"/>
              </w:rPr>
              <w:t>694.37</w:t>
            </w:r>
          </w:p>
        </w:tc>
        <w:tc>
          <w:tcPr>
            <w:tcW w:w="920" w:type="dxa"/>
            <w:tcBorders>
              <w:left w:val="single" w:sz="4" w:space="0" w:color="000000"/>
            </w:tcBorders>
            <w:vAlign w:val="top"/>
          </w:tcPr>
          <w:p>
            <w:pPr>
              <w:pStyle w:val="TableText"/>
              <w:spacing w:before="142" w:line="183" w:lineRule="auto"/>
              <w:jc w:val="right"/>
            </w:pPr>
            <w:r>
              <w:rPr>
                <w:spacing w:val="-7"/>
              </w:rPr>
              <w:t>2,642.36</w:t>
            </w:r>
          </w:p>
        </w:tc>
      </w:tr>
      <w:tr>
        <w:tblPrEx>
          <w:tblW w:w="9140" w:type="dxa"/>
          <w:tblInd w:w="0" w:type="dxa"/>
          <w:tblLayout w:type="fixed"/>
          <w:tblCellMar>
            <w:top w:w="0" w:type="dxa"/>
            <w:left w:w="0" w:type="dxa"/>
            <w:bottom w:w="0" w:type="dxa"/>
            <w:right w:w="0" w:type="dxa"/>
          </w:tblCellMar>
        </w:tblPrEx>
        <w:trPr>
          <w:trHeight w:val="369"/>
        </w:trPr>
        <w:tc>
          <w:tcPr>
            <w:tcW w:w="3680" w:type="dxa"/>
            <w:tcBorders>
              <w:right w:val="single" w:sz="4" w:space="0" w:color="000000"/>
            </w:tcBorders>
            <w:vAlign w:val="top"/>
          </w:tcPr>
          <w:p>
            <w:pPr>
              <w:pStyle w:val="TableText"/>
              <w:spacing w:before="113" w:line="219" w:lineRule="auto"/>
              <w:ind w:left="590"/>
            </w:pPr>
            <w:r>
              <w:rPr>
                <w:spacing w:val="4"/>
              </w:rPr>
              <w:t>财务费用</w:t>
            </w:r>
          </w:p>
        </w:tc>
        <w:tc>
          <w:tcPr>
            <w:tcW w:w="980" w:type="dxa"/>
            <w:tcBorders>
              <w:left w:val="single" w:sz="4" w:space="0" w:color="000000"/>
              <w:right w:val="single" w:sz="4" w:space="0" w:color="000000"/>
            </w:tcBorders>
            <w:vAlign w:val="top"/>
          </w:tcPr>
          <w:p>
            <w:pPr>
              <w:pStyle w:val="TableText"/>
              <w:spacing w:before="149" w:line="183" w:lineRule="auto"/>
              <w:ind w:right="18"/>
              <w:jc w:val="right"/>
            </w:pPr>
            <w:r>
              <w:rPr>
                <w:spacing w:val="-1"/>
              </w:rPr>
              <w:t>-328.84</w:t>
            </w:r>
          </w:p>
        </w:tc>
        <w:tc>
          <w:tcPr>
            <w:tcW w:w="1010" w:type="dxa"/>
            <w:tcBorders>
              <w:left w:val="single" w:sz="4" w:space="0" w:color="000000"/>
              <w:right w:val="single" w:sz="4" w:space="0" w:color="000000"/>
            </w:tcBorders>
            <w:vAlign w:val="top"/>
          </w:tcPr>
          <w:p>
            <w:pPr>
              <w:pStyle w:val="TableText"/>
              <w:spacing w:before="129" w:line="184" w:lineRule="auto"/>
              <w:ind w:left="484"/>
            </w:pPr>
            <w:r>
              <w:rPr>
                <w:spacing w:val="-1"/>
              </w:rPr>
              <w:t>-110.33</w:t>
            </w:r>
          </w:p>
        </w:tc>
        <w:tc>
          <w:tcPr>
            <w:tcW w:w="1520" w:type="dxa"/>
            <w:tcBorders>
              <w:left w:val="single" w:sz="4" w:space="0" w:color="000000"/>
              <w:right w:val="single" w:sz="4" w:space="0" w:color="000000"/>
            </w:tcBorders>
            <w:vAlign w:val="top"/>
          </w:tcPr>
          <w:p>
            <w:pPr>
              <w:pStyle w:val="TableText"/>
              <w:spacing w:before="149" w:line="184" w:lineRule="auto"/>
              <w:ind w:right="11"/>
              <w:jc w:val="right"/>
            </w:pPr>
            <w:r>
              <w:rPr>
                <w:spacing w:val="-2"/>
              </w:rPr>
              <w:t>586.71</w:t>
            </w:r>
          </w:p>
        </w:tc>
        <w:tc>
          <w:tcPr>
            <w:tcW w:w="1030" w:type="dxa"/>
            <w:tcBorders>
              <w:left w:val="single" w:sz="4" w:space="0" w:color="000000"/>
              <w:right w:val="single" w:sz="4" w:space="0" w:color="000000"/>
            </w:tcBorders>
            <w:vAlign w:val="top"/>
          </w:tcPr>
          <w:p>
            <w:pPr>
              <w:pStyle w:val="TableText"/>
              <w:spacing w:before="149" w:line="183" w:lineRule="auto"/>
              <w:ind w:right="10"/>
              <w:jc w:val="right"/>
            </w:pPr>
            <w:r>
              <w:rPr>
                <w:spacing w:val="-1"/>
              </w:rPr>
              <w:t>262.23</w:t>
            </w:r>
          </w:p>
        </w:tc>
        <w:tc>
          <w:tcPr>
            <w:tcW w:w="920" w:type="dxa"/>
            <w:tcBorders>
              <w:left w:val="single" w:sz="4" w:space="0" w:color="000000"/>
            </w:tcBorders>
            <w:vAlign w:val="top"/>
          </w:tcPr>
          <w:p>
            <w:pPr>
              <w:pStyle w:val="TableText"/>
              <w:spacing w:before="169" w:line="183" w:lineRule="auto"/>
              <w:ind w:left="464"/>
            </w:pPr>
            <w:r>
              <w:rPr>
                <w:spacing w:val="-2"/>
              </w:rPr>
              <w:t>738.62</w:t>
            </w:r>
          </w:p>
        </w:tc>
      </w:tr>
      <w:tr>
        <w:tblPrEx>
          <w:tblW w:w="9140" w:type="dxa"/>
          <w:tblInd w:w="0" w:type="dxa"/>
          <w:tblLayout w:type="fixed"/>
          <w:tblCellMar>
            <w:top w:w="0" w:type="dxa"/>
            <w:left w:w="0" w:type="dxa"/>
            <w:bottom w:w="0" w:type="dxa"/>
            <w:right w:w="0" w:type="dxa"/>
          </w:tblCellMar>
        </w:tblPrEx>
        <w:trPr>
          <w:trHeight w:val="385"/>
        </w:trPr>
        <w:tc>
          <w:tcPr>
            <w:tcW w:w="3680" w:type="dxa"/>
            <w:tcBorders>
              <w:right w:val="single" w:sz="4" w:space="0" w:color="000000"/>
            </w:tcBorders>
            <w:vAlign w:val="top"/>
          </w:tcPr>
          <w:p>
            <w:pPr>
              <w:pStyle w:val="TableText"/>
              <w:spacing w:before="104" w:line="219" w:lineRule="auto"/>
              <w:ind w:left="280"/>
            </w:pPr>
            <w:r>
              <w:rPr>
                <w:spacing w:val="-1"/>
              </w:rPr>
              <w:t>加：其他收益</w:t>
            </w:r>
          </w:p>
        </w:tc>
        <w:tc>
          <w:tcPr>
            <w:tcW w:w="980" w:type="dxa"/>
            <w:tcBorders>
              <w:left w:val="single" w:sz="4" w:space="0" w:color="000000"/>
              <w:right w:val="single" w:sz="4" w:space="0" w:color="000000"/>
            </w:tcBorders>
            <w:vAlign w:val="top"/>
          </w:tcPr>
          <w:p>
            <w:pPr>
              <w:pStyle w:val="TableText"/>
              <w:spacing w:before="160" w:line="183" w:lineRule="auto"/>
              <w:ind w:left="534"/>
            </w:pPr>
            <w:r>
              <w:rPr>
                <w:spacing w:val="-2"/>
              </w:rPr>
              <w:t>375.40</w:t>
            </w:r>
          </w:p>
        </w:tc>
        <w:tc>
          <w:tcPr>
            <w:tcW w:w="1010" w:type="dxa"/>
            <w:tcBorders>
              <w:left w:val="single" w:sz="4" w:space="0" w:color="000000"/>
              <w:right w:val="single" w:sz="4" w:space="0" w:color="000000"/>
            </w:tcBorders>
            <w:vAlign w:val="top"/>
          </w:tcPr>
          <w:p>
            <w:pPr>
              <w:pStyle w:val="TableText"/>
              <w:spacing w:before="150" w:line="184" w:lineRule="auto"/>
              <w:ind w:left="555"/>
            </w:pPr>
            <w:r>
              <w:rPr>
                <w:spacing w:val="-3"/>
              </w:rPr>
              <w:t>156.80</w:t>
            </w:r>
          </w:p>
        </w:tc>
        <w:tc>
          <w:tcPr>
            <w:tcW w:w="1520" w:type="dxa"/>
            <w:tcBorders>
              <w:left w:val="single" w:sz="4" w:space="0" w:color="000000"/>
              <w:right w:val="single" w:sz="4" w:space="0" w:color="000000"/>
            </w:tcBorders>
            <w:vAlign w:val="top"/>
          </w:tcPr>
          <w:p>
            <w:pPr>
              <w:pStyle w:val="TableText"/>
              <w:spacing w:before="150" w:line="184" w:lineRule="auto"/>
              <w:ind w:right="10"/>
              <w:jc w:val="right"/>
            </w:pPr>
            <w:r>
              <w:rPr>
                <w:spacing w:val="-1"/>
              </w:rPr>
              <w:t>247.81</w:t>
            </w:r>
          </w:p>
        </w:tc>
        <w:tc>
          <w:tcPr>
            <w:tcW w:w="1030" w:type="dxa"/>
            <w:tcBorders>
              <w:left w:val="single" w:sz="4" w:space="0" w:color="000000"/>
              <w:right w:val="single" w:sz="4" w:space="0" w:color="000000"/>
            </w:tcBorders>
            <w:vAlign w:val="top"/>
          </w:tcPr>
          <w:p>
            <w:pPr>
              <w:pStyle w:val="TableText"/>
              <w:spacing w:before="170" w:line="184" w:lineRule="auto"/>
              <w:ind w:right="17"/>
              <w:jc w:val="right"/>
            </w:pPr>
            <w:r>
              <w:rPr>
                <w:spacing w:val="-3"/>
              </w:rPr>
              <w:t>14.00</w:t>
            </w:r>
          </w:p>
        </w:tc>
        <w:tc>
          <w:tcPr>
            <w:tcW w:w="920" w:type="dxa"/>
            <w:tcBorders>
              <w:left w:val="single" w:sz="4" w:space="0" w:color="000000"/>
            </w:tcBorders>
            <w:vAlign w:val="top"/>
          </w:tcPr>
          <w:p>
            <w:pPr>
              <w:pStyle w:val="TableText"/>
              <w:spacing w:before="170" w:line="184" w:lineRule="auto"/>
              <w:ind w:left="464"/>
            </w:pPr>
            <w:r>
              <w:rPr>
                <w:spacing w:val="-1"/>
              </w:rPr>
              <w:t>418.62</w:t>
            </w:r>
          </w:p>
        </w:tc>
      </w:tr>
      <w:tr>
        <w:tblPrEx>
          <w:tblW w:w="9140" w:type="dxa"/>
          <w:tblInd w:w="0" w:type="dxa"/>
          <w:tblLayout w:type="fixed"/>
          <w:tblCellMar>
            <w:top w:w="0" w:type="dxa"/>
            <w:left w:w="0" w:type="dxa"/>
            <w:bottom w:w="0" w:type="dxa"/>
            <w:right w:w="0" w:type="dxa"/>
          </w:tblCellMar>
        </w:tblPrEx>
        <w:trPr>
          <w:trHeight w:val="380"/>
        </w:trPr>
        <w:tc>
          <w:tcPr>
            <w:tcW w:w="3680" w:type="dxa"/>
            <w:tcBorders>
              <w:right w:val="single" w:sz="4" w:space="0" w:color="000000"/>
            </w:tcBorders>
            <w:vAlign w:val="top"/>
          </w:tcPr>
          <w:p>
            <w:pPr>
              <w:pStyle w:val="TableText"/>
              <w:spacing w:before="119" w:line="219" w:lineRule="auto"/>
              <w:ind w:left="590"/>
            </w:pPr>
            <w:r>
              <w:rPr>
                <w:spacing w:val="2"/>
              </w:rPr>
              <w:t>投资收益(损失以“-”号填列)</w:t>
            </w:r>
          </w:p>
        </w:tc>
        <w:tc>
          <w:tcPr>
            <w:tcW w:w="980" w:type="dxa"/>
            <w:tcBorders>
              <w:left w:val="single" w:sz="4" w:space="0" w:color="000000"/>
              <w:right w:val="single" w:sz="4" w:space="0" w:color="000000"/>
            </w:tcBorders>
            <w:vAlign w:val="top"/>
          </w:tcPr>
          <w:p>
            <w:pPr>
              <w:pStyle w:val="TableText"/>
              <w:spacing w:before="155" w:line="183" w:lineRule="auto"/>
              <w:ind w:right="19"/>
              <w:jc w:val="right"/>
            </w:pPr>
            <w:r>
              <w:rPr>
                <w:spacing w:val="-2"/>
              </w:rPr>
              <w:t>6.00</w:t>
            </w:r>
          </w:p>
        </w:tc>
        <w:tc>
          <w:tcPr>
            <w:tcW w:w="1010" w:type="dxa"/>
            <w:tcBorders>
              <w:left w:val="single" w:sz="4" w:space="0" w:color="000000"/>
              <w:right w:val="single" w:sz="4" w:space="0" w:color="000000"/>
            </w:tcBorders>
            <w:vAlign w:val="top"/>
          </w:tcPr>
          <w:p>
            <w:pPr>
              <w:pStyle w:val="TableText"/>
              <w:spacing w:before="155" w:line="183" w:lineRule="auto"/>
              <w:ind w:left="555"/>
            </w:pPr>
            <w:r>
              <w:rPr>
                <w:spacing w:val="-1"/>
              </w:rPr>
              <w:t>-43.64</w:t>
            </w:r>
          </w:p>
        </w:tc>
        <w:tc>
          <w:tcPr>
            <w:tcW w:w="1520" w:type="dxa"/>
            <w:tcBorders>
              <w:left w:val="single" w:sz="4" w:space="0" w:color="000000"/>
              <w:right w:val="single" w:sz="4" w:space="0" w:color="000000"/>
            </w:tcBorders>
            <w:vAlign w:val="top"/>
          </w:tcPr>
          <w:p>
            <w:pPr>
              <w:pStyle w:val="TableText"/>
              <w:spacing w:before="145" w:line="184" w:lineRule="auto"/>
              <w:ind w:right="8"/>
              <w:jc w:val="right"/>
            </w:pPr>
            <w:r>
              <w:rPr>
                <w:spacing w:val="-1"/>
              </w:rPr>
              <w:t>-251.81</w:t>
            </w:r>
          </w:p>
        </w:tc>
        <w:tc>
          <w:tcPr>
            <w:tcW w:w="1030" w:type="dxa"/>
            <w:tcBorders>
              <w:left w:val="single" w:sz="4" w:space="0" w:color="000000"/>
              <w:right w:val="single" w:sz="4" w:space="0" w:color="000000"/>
            </w:tcBorders>
            <w:vAlign w:val="top"/>
          </w:tcPr>
          <w:p>
            <w:pPr>
              <w:pStyle w:val="TableText"/>
              <w:spacing w:before="155" w:line="183" w:lineRule="auto"/>
              <w:ind w:right="8"/>
              <w:jc w:val="right"/>
            </w:pPr>
            <w:r>
              <w:rPr>
                <w:spacing w:val="-1"/>
              </w:rPr>
              <w:t>-608.55</w:t>
            </w:r>
          </w:p>
        </w:tc>
        <w:tc>
          <w:tcPr>
            <w:tcW w:w="920" w:type="dxa"/>
            <w:tcBorders>
              <w:left w:val="single" w:sz="4" w:space="0" w:color="000000"/>
            </w:tcBorders>
            <w:vAlign w:val="top"/>
          </w:tcPr>
          <w:p>
            <w:pPr>
              <w:pStyle w:val="TableText"/>
              <w:spacing w:before="175" w:line="183" w:lineRule="auto"/>
              <w:ind w:left="464"/>
            </w:pPr>
            <w:r>
              <w:rPr>
                <w:spacing w:val="-1"/>
              </w:rPr>
              <w:t>903.99</w:t>
            </w:r>
          </w:p>
        </w:tc>
      </w:tr>
      <w:tr>
        <w:tblPrEx>
          <w:tblW w:w="9140" w:type="dxa"/>
          <w:tblInd w:w="0" w:type="dxa"/>
          <w:tblLayout w:type="fixed"/>
          <w:tblCellMar>
            <w:top w:w="0" w:type="dxa"/>
            <w:left w:w="0" w:type="dxa"/>
            <w:bottom w:w="0" w:type="dxa"/>
            <w:right w:w="0" w:type="dxa"/>
          </w:tblCellMar>
        </w:tblPrEx>
        <w:trPr>
          <w:trHeight w:val="305"/>
        </w:trPr>
        <w:tc>
          <w:tcPr>
            <w:tcW w:w="3680" w:type="dxa"/>
            <w:tcBorders>
              <w:right w:val="single" w:sz="4" w:space="0" w:color="000000"/>
            </w:tcBorders>
            <w:vAlign w:val="top"/>
          </w:tcPr>
          <w:p>
            <w:pPr>
              <w:pStyle w:val="TableText"/>
              <w:spacing w:before="109" w:line="219" w:lineRule="auto"/>
              <w:ind w:left="719"/>
            </w:pPr>
            <w:r>
              <w:rPr>
                <w:spacing w:val="-1"/>
              </w:rPr>
              <w:t>其中：对联营企业和合营企业的投资收益</w:t>
            </w:r>
          </w:p>
        </w:tc>
        <w:tc>
          <w:tcPr>
            <w:tcW w:w="980" w:type="dxa"/>
            <w:tcBorders>
              <w:left w:val="single" w:sz="4" w:space="0" w:color="000000"/>
              <w:right w:val="single" w:sz="4" w:space="0" w:color="000000"/>
            </w:tcBorders>
            <w:vAlign w:val="top"/>
          </w:tcPr>
          <w:p/>
        </w:tc>
        <w:tc>
          <w:tcPr>
            <w:tcW w:w="1010" w:type="dxa"/>
            <w:tcBorders>
              <w:left w:val="single" w:sz="4" w:space="0" w:color="000000"/>
              <w:right w:val="single" w:sz="4" w:space="0" w:color="000000"/>
            </w:tcBorders>
            <w:vAlign w:val="top"/>
          </w:tcPr>
          <w:p/>
        </w:tc>
        <w:tc>
          <w:tcPr>
            <w:tcW w:w="1520" w:type="dxa"/>
            <w:tcBorders>
              <w:left w:val="single" w:sz="4" w:space="0" w:color="000000"/>
              <w:right w:val="single" w:sz="4" w:space="0" w:color="000000"/>
            </w:tcBorders>
            <w:vAlign w:val="top"/>
          </w:tcPr>
          <w:p/>
        </w:tc>
        <w:tc>
          <w:tcPr>
            <w:tcW w:w="1030" w:type="dxa"/>
            <w:tcBorders>
              <w:left w:val="single" w:sz="4" w:space="0" w:color="000000"/>
              <w:right w:val="single" w:sz="4" w:space="0" w:color="000000"/>
            </w:tcBorders>
            <w:vAlign w:val="top"/>
          </w:tcPr>
          <w:p/>
        </w:tc>
        <w:tc>
          <w:tcPr>
            <w:tcW w:w="920" w:type="dxa"/>
            <w:tcBorders>
              <w:left w:val="single" w:sz="4" w:space="0" w:color="000000"/>
            </w:tcBorders>
            <w:vAlign w:val="top"/>
          </w:tcPr>
          <w:p/>
        </w:tc>
      </w:tr>
      <w:tr>
        <w:tblPrEx>
          <w:tblW w:w="9140" w:type="dxa"/>
          <w:tblInd w:w="0" w:type="dxa"/>
          <w:tblLayout w:type="fixed"/>
          <w:tblCellMar>
            <w:top w:w="0" w:type="dxa"/>
            <w:left w:w="0" w:type="dxa"/>
            <w:bottom w:w="0" w:type="dxa"/>
            <w:right w:w="0" w:type="dxa"/>
          </w:tblCellMar>
        </w:tblPrEx>
        <w:trPr>
          <w:trHeight w:val="216"/>
        </w:trPr>
        <w:tc>
          <w:tcPr>
            <w:tcW w:w="3680" w:type="dxa"/>
            <w:tcBorders>
              <w:right w:val="single" w:sz="4" w:space="0" w:color="000000"/>
            </w:tcBorders>
            <w:vAlign w:val="top"/>
          </w:tcPr>
          <w:p>
            <w:pPr>
              <w:pStyle w:val="TableText"/>
              <w:spacing w:before="64" w:line="187" w:lineRule="auto"/>
              <w:ind w:left="1110"/>
            </w:pPr>
            <w:r>
              <w:t>以摊余成本计量的金融资产终止确认收</w:t>
            </w:r>
          </w:p>
        </w:tc>
        <w:tc>
          <w:tcPr>
            <w:tcW w:w="980" w:type="dxa"/>
            <w:tcBorders>
              <w:left w:val="single" w:sz="4" w:space="0" w:color="000000"/>
              <w:right w:val="single" w:sz="4" w:space="0" w:color="000000"/>
            </w:tcBorders>
            <w:vAlign w:val="top"/>
          </w:tcPr>
          <w:p>
            <w:pPr>
              <w:spacing w:line="205" w:lineRule="exact"/>
              <w:rPr>
                <w:sz w:val="17"/>
              </w:rPr>
            </w:pPr>
          </w:p>
        </w:tc>
        <w:tc>
          <w:tcPr>
            <w:tcW w:w="1010" w:type="dxa"/>
            <w:tcBorders>
              <w:left w:val="single" w:sz="4" w:space="0" w:color="000000"/>
              <w:right w:val="single" w:sz="4" w:space="0" w:color="000000"/>
            </w:tcBorders>
            <w:vAlign w:val="top"/>
          </w:tcPr>
          <w:p>
            <w:pPr>
              <w:spacing w:line="205" w:lineRule="exact"/>
              <w:rPr>
                <w:sz w:val="17"/>
              </w:rPr>
            </w:pPr>
          </w:p>
        </w:tc>
        <w:tc>
          <w:tcPr>
            <w:tcW w:w="1520" w:type="dxa"/>
            <w:tcBorders>
              <w:left w:val="single" w:sz="4" w:space="0" w:color="000000"/>
              <w:right w:val="single" w:sz="4" w:space="0" w:color="000000"/>
            </w:tcBorders>
            <w:vAlign w:val="top"/>
          </w:tcPr>
          <w:p>
            <w:pPr>
              <w:spacing w:line="205" w:lineRule="exact"/>
              <w:rPr>
                <w:sz w:val="17"/>
              </w:rPr>
            </w:pPr>
          </w:p>
        </w:tc>
        <w:tc>
          <w:tcPr>
            <w:tcW w:w="1030" w:type="dxa"/>
            <w:tcBorders>
              <w:left w:val="single" w:sz="4" w:space="0" w:color="000000"/>
              <w:right w:val="single" w:sz="4" w:space="0" w:color="000000"/>
            </w:tcBorders>
            <w:vAlign w:val="top"/>
          </w:tcPr>
          <w:p>
            <w:pPr>
              <w:spacing w:line="205" w:lineRule="exact"/>
              <w:rPr>
                <w:sz w:val="17"/>
              </w:rPr>
            </w:pPr>
          </w:p>
        </w:tc>
        <w:tc>
          <w:tcPr>
            <w:tcW w:w="920" w:type="dxa"/>
            <w:tcBorders>
              <w:left w:val="single" w:sz="4" w:space="0" w:color="000000"/>
            </w:tcBorders>
            <w:vAlign w:val="top"/>
          </w:tcPr>
          <w:p>
            <w:pPr>
              <w:spacing w:line="205" w:lineRule="exact"/>
              <w:rPr>
                <w:sz w:val="17"/>
              </w:rPr>
            </w:pPr>
          </w:p>
        </w:tc>
      </w:tr>
      <w:tr>
        <w:tblPrEx>
          <w:tblW w:w="9140" w:type="dxa"/>
          <w:tblInd w:w="0" w:type="dxa"/>
          <w:tblLayout w:type="fixed"/>
          <w:tblCellMar>
            <w:top w:w="0" w:type="dxa"/>
            <w:left w:w="0" w:type="dxa"/>
            <w:bottom w:w="0" w:type="dxa"/>
            <w:right w:w="0" w:type="dxa"/>
          </w:tblCellMar>
        </w:tblPrEx>
        <w:trPr>
          <w:trHeight w:val="209"/>
        </w:trPr>
        <w:tc>
          <w:tcPr>
            <w:tcW w:w="3680" w:type="dxa"/>
            <w:tcBorders>
              <w:right w:val="single" w:sz="4" w:space="0" w:color="000000"/>
            </w:tcBorders>
            <w:vAlign w:val="top"/>
          </w:tcPr>
          <w:p>
            <w:pPr>
              <w:pStyle w:val="TableText"/>
              <w:spacing w:before="19" w:line="220" w:lineRule="auto"/>
              <w:ind w:left="19"/>
            </w:pPr>
            <w:r>
              <w:rPr>
                <w:spacing w:val="2"/>
              </w:rPr>
              <w:t>益(损失以“-”号填列)</w:t>
            </w:r>
          </w:p>
        </w:tc>
        <w:tc>
          <w:tcPr>
            <w:tcW w:w="980" w:type="dxa"/>
            <w:tcBorders>
              <w:left w:val="single" w:sz="4" w:space="0" w:color="000000"/>
              <w:right w:val="single" w:sz="4" w:space="0" w:color="000000"/>
            </w:tcBorders>
            <w:vAlign w:val="top"/>
          </w:tcPr>
          <w:p>
            <w:pPr>
              <w:spacing w:line="199" w:lineRule="exact"/>
              <w:rPr>
                <w:sz w:val="17"/>
              </w:rPr>
            </w:pPr>
          </w:p>
        </w:tc>
        <w:tc>
          <w:tcPr>
            <w:tcW w:w="1010" w:type="dxa"/>
            <w:tcBorders>
              <w:left w:val="single" w:sz="4" w:space="0" w:color="000000"/>
              <w:right w:val="single" w:sz="4" w:space="0" w:color="000000"/>
            </w:tcBorders>
            <w:vAlign w:val="top"/>
          </w:tcPr>
          <w:p>
            <w:pPr>
              <w:spacing w:line="199" w:lineRule="exact"/>
              <w:rPr>
                <w:sz w:val="17"/>
              </w:rPr>
            </w:pPr>
          </w:p>
        </w:tc>
        <w:tc>
          <w:tcPr>
            <w:tcW w:w="1520" w:type="dxa"/>
            <w:tcBorders>
              <w:left w:val="single" w:sz="4" w:space="0" w:color="000000"/>
              <w:right w:val="single" w:sz="4" w:space="0" w:color="000000"/>
            </w:tcBorders>
            <w:vAlign w:val="top"/>
          </w:tcPr>
          <w:p>
            <w:pPr>
              <w:spacing w:line="199" w:lineRule="exact"/>
              <w:rPr>
                <w:sz w:val="17"/>
              </w:rPr>
            </w:pPr>
          </w:p>
        </w:tc>
        <w:tc>
          <w:tcPr>
            <w:tcW w:w="1030" w:type="dxa"/>
            <w:tcBorders>
              <w:left w:val="single" w:sz="4" w:space="0" w:color="000000"/>
              <w:right w:val="single" w:sz="4" w:space="0" w:color="000000"/>
            </w:tcBorders>
            <w:vAlign w:val="top"/>
          </w:tcPr>
          <w:p>
            <w:pPr>
              <w:spacing w:line="199" w:lineRule="exact"/>
              <w:rPr>
                <w:sz w:val="17"/>
              </w:rPr>
            </w:pPr>
          </w:p>
        </w:tc>
        <w:tc>
          <w:tcPr>
            <w:tcW w:w="920" w:type="dxa"/>
            <w:tcBorders>
              <w:left w:val="single" w:sz="4" w:space="0" w:color="000000"/>
            </w:tcBorders>
            <w:vAlign w:val="top"/>
          </w:tcPr>
          <w:p>
            <w:pPr>
              <w:spacing w:line="199" w:lineRule="exact"/>
              <w:rPr>
                <w:sz w:val="17"/>
              </w:rPr>
            </w:pPr>
          </w:p>
        </w:tc>
      </w:tr>
      <w:tr>
        <w:tblPrEx>
          <w:tblW w:w="9140" w:type="dxa"/>
          <w:tblInd w:w="0" w:type="dxa"/>
          <w:tblLayout w:type="fixed"/>
          <w:tblCellMar>
            <w:top w:w="0" w:type="dxa"/>
            <w:left w:w="0" w:type="dxa"/>
            <w:bottom w:w="0" w:type="dxa"/>
            <w:right w:w="0" w:type="dxa"/>
          </w:tblCellMar>
        </w:tblPrEx>
        <w:trPr>
          <w:trHeight w:val="324"/>
        </w:trPr>
        <w:tc>
          <w:tcPr>
            <w:tcW w:w="3680" w:type="dxa"/>
            <w:tcBorders>
              <w:right w:val="single" w:sz="4" w:space="0" w:color="000000"/>
            </w:tcBorders>
            <w:vAlign w:val="top"/>
          </w:tcPr>
          <w:p>
            <w:pPr>
              <w:pStyle w:val="TableText"/>
              <w:spacing w:before="59" w:line="219" w:lineRule="auto"/>
              <w:ind w:left="590"/>
            </w:pPr>
            <w:r>
              <w:rPr>
                <w:spacing w:val="1"/>
              </w:rPr>
              <w:t>净敞口套期收益(损失以“-”号填列)</w:t>
            </w:r>
          </w:p>
        </w:tc>
        <w:tc>
          <w:tcPr>
            <w:tcW w:w="980" w:type="dxa"/>
            <w:tcBorders>
              <w:left w:val="single" w:sz="4" w:space="0" w:color="000000"/>
              <w:right w:val="single" w:sz="4" w:space="0" w:color="000000"/>
            </w:tcBorders>
            <w:vAlign w:val="top"/>
          </w:tcPr>
          <w:p/>
        </w:tc>
        <w:tc>
          <w:tcPr>
            <w:tcW w:w="1010" w:type="dxa"/>
            <w:tcBorders>
              <w:left w:val="single" w:sz="4" w:space="0" w:color="000000"/>
              <w:right w:val="single" w:sz="4" w:space="0" w:color="000000"/>
            </w:tcBorders>
            <w:vAlign w:val="top"/>
          </w:tcPr>
          <w:p/>
        </w:tc>
        <w:tc>
          <w:tcPr>
            <w:tcW w:w="1520" w:type="dxa"/>
            <w:tcBorders>
              <w:left w:val="single" w:sz="4" w:space="0" w:color="000000"/>
              <w:right w:val="single" w:sz="4" w:space="0" w:color="000000"/>
            </w:tcBorders>
            <w:vAlign w:val="top"/>
          </w:tcPr>
          <w:p/>
        </w:tc>
        <w:tc>
          <w:tcPr>
            <w:tcW w:w="1030" w:type="dxa"/>
            <w:tcBorders>
              <w:left w:val="single" w:sz="4" w:space="0" w:color="000000"/>
              <w:right w:val="single" w:sz="4" w:space="0" w:color="000000"/>
            </w:tcBorders>
            <w:vAlign w:val="top"/>
          </w:tcPr>
          <w:p/>
        </w:tc>
        <w:tc>
          <w:tcPr>
            <w:tcW w:w="920" w:type="dxa"/>
            <w:tcBorders>
              <w:left w:val="single" w:sz="4" w:space="0" w:color="000000"/>
            </w:tcBorders>
            <w:vAlign w:val="top"/>
          </w:tcPr>
          <w:p/>
        </w:tc>
      </w:tr>
      <w:tr>
        <w:tblPrEx>
          <w:tblW w:w="9140" w:type="dxa"/>
          <w:tblInd w:w="0" w:type="dxa"/>
          <w:tblLayout w:type="fixed"/>
          <w:tblCellMar>
            <w:top w:w="0" w:type="dxa"/>
            <w:left w:w="0" w:type="dxa"/>
            <w:bottom w:w="0" w:type="dxa"/>
            <w:right w:w="0" w:type="dxa"/>
          </w:tblCellMar>
        </w:tblPrEx>
        <w:trPr>
          <w:trHeight w:val="395"/>
        </w:trPr>
        <w:tc>
          <w:tcPr>
            <w:tcW w:w="3680" w:type="dxa"/>
            <w:tcBorders>
              <w:right w:val="single" w:sz="4" w:space="0" w:color="000000"/>
            </w:tcBorders>
            <w:vAlign w:val="top"/>
          </w:tcPr>
          <w:p>
            <w:pPr>
              <w:pStyle w:val="TableText"/>
              <w:spacing w:before="134" w:line="218" w:lineRule="auto"/>
              <w:ind w:left="590"/>
            </w:pPr>
            <w:r>
              <w:rPr>
                <w:spacing w:val="1"/>
              </w:rPr>
              <w:t>公允价值变动收益(损失以“-”号填列)</w:t>
            </w:r>
          </w:p>
        </w:tc>
        <w:tc>
          <w:tcPr>
            <w:tcW w:w="980" w:type="dxa"/>
            <w:tcBorders>
              <w:left w:val="single" w:sz="4" w:space="0" w:color="000000"/>
              <w:right w:val="single" w:sz="4" w:space="0" w:color="000000"/>
            </w:tcBorders>
            <w:vAlign w:val="top"/>
          </w:tcPr>
          <w:p>
            <w:pPr>
              <w:pStyle w:val="TableText"/>
              <w:spacing w:before="161" w:line="184" w:lineRule="auto"/>
              <w:ind w:left="604"/>
            </w:pPr>
            <w:r>
              <w:rPr>
                <w:spacing w:val="-3"/>
              </w:rPr>
              <w:t>13.14</w:t>
            </w:r>
          </w:p>
        </w:tc>
        <w:tc>
          <w:tcPr>
            <w:tcW w:w="1010" w:type="dxa"/>
            <w:tcBorders>
              <w:left w:val="single" w:sz="4" w:space="0" w:color="000000"/>
              <w:right w:val="single" w:sz="4" w:space="0" w:color="000000"/>
            </w:tcBorders>
            <w:vAlign w:val="top"/>
          </w:tcPr>
          <w:p>
            <w:pPr>
              <w:pStyle w:val="TableText"/>
              <w:spacing w:before="171" w:line="183" w:lineRule="auto"/>
              <w:ind w:left="694"/>
            </w:pPr>
            <w:r>
              <w:rPr>
                <w:spacing w:val="-2"/>
              </w:rPr>
              <w:t>7.67</w:t>
            </w:r>
          </w:p>
        </w:tc>
        <w:tc>
          <w:tcPr>
            <w:tcW w:w="1520" w:type="dxa"/>
            <w:tcBorders>
              <w:left w:val="single" w:sz="4" w:space="0" w:color="000000"/>
              <w:right w:val="single" w:sz="4" w:space="0" w:color="000000"/>
            </w:tcBorders>
            <w:vAlign w:val="top"/>
          </w:tcPr>
          <w:p>
            <w:pPr>
              <w:pStyle w:val="TableText"/>
              <w:spacing w:before="171" w:line="183" w:lineRule="auto"/>
              <w:ind w:right="11"/>
              <w:jc w:val="right"/>
            </w:pPr>
            <w:r>
              <w:rPr>
                <w:spacing w:val="-2"/>
              </w:rPr>
              <w:t>3.84</w:t>
            </w:r>
          </w:p>
        </w:tc>
        <w:tc>
          <w:tcPr>
            <w:tcW w:w="1030" w:type="dxa"/>
            <w:tcBorders>
              <w:left w:val="single" w:sz="4" w:space="0" w:color="000000"/>
              <w:right w:val="single" w:sz="4" w:space="0" w:color="000000"/>
            </w:tcBorders>
            <w:vAlign w:val="top"/>
          </w:tcPr>
          <w:p>
            <w:pPr>
              <w:pStyle w:val="TableText"/>
              <w:spacing w:before="181" w:line="183" w:lineRule="auto"/>
              <w:ind w:right="11"/>
              <w:jc w:val="right"/>
            </w:pPr>
            <w:r>
              <w:rPr>
                <w:spacing w:val="-2"/>
              </w:rPr>
              <w:t>3.84</w:t>
            </w:r>
          </w:p>
        </w:tc>
        <w:tc>
          <w:tcPr>
            <w:tcW w:w="920" w:type="dxa"/>
            <w:tcBorders>
              <w:left w:val="single" w:sz="4" w:space="0" w:color="000000"/>
            </w:tcBorders>
            <w:vAlign w:val="top"/>
          </w:tcPr>
          <w:p>
            <w:pPr>
              <w:pStyle w:val="TableText"/>
              <w:spacing w:before="191" w:line="184" w:lineRule="auto"/>
              <w:ind w:left="534"/>
            </w:pPr>
            <w:r>
              <w:rPr>
                <w:spacing w:val="-3"/>
              </w:rPr>
              <w:t>15.35</w:t>
            </w:r>
          </w:p>
        </w:tc>
      </w:tr>
      <w:tr>
        <w:tblPrEx>
          <w:tblW w:w="9140" w:type="dxa"/>
          <w:tblInd w:w="0" w:type="dxa"/>
          <w:tblLayout w:type="fixed"/>
          <w:tblCellMar>
            <w:top w:w="0" w:type="dxa"/>
            <w:left w:w="0" w:type="dxa"/>
            <w:bottom w:w="0" w:type="dxa"/>
            <w:right w:w="0" w:type="dxa"/>
          </w:tblCellMar>
        </w:tblPrEx>
        <w:trPr>
          <w:trHeight w:val="374"/>
        </w:trPr>
        <w:tc>
          <w:tcPr>
            <w:tcW w:w="3680" w:type="dxa"/>
            <w:tcBorders>
              <w:right w:val="single" w:sz="4" w:space="0" w:color="000000"/>
            </w:tcBorders>
            <w:vAlign w:val="top"/>
          </w:tcPr>
          <w:p>
            <w:pPr>
              <w:pStyle w:val="TableText"/>
              <w:spacing w:before="110" w:line="219" w:lineRule="auto"/>
              <w:ind w:left="580"/>
            </w:pPr>
            <w:r>
              <w:rPr>
                <w:spacing w:val="1"/>
              </w:rPr>
              <w:t>信用减值损失(损失以“-”号填列)</w:t>
            </w:r>
          </w:p>
        </w:tc>
        <w:tc>
          <w:tcPr>
            <w:tcW w:w="980" w:type="dxa"/>
            <w:tcBorders>
              <w:left w:val="single" w:sz="4" w:space="0" w:color="000000"/>
              <w:right w:val="single" w:sz="4" w:space="0" w:color="000000"/>
            </w:tcBorders>
            <w:vAlign w:val="top"/>
          </w:tcPr>
          <w:p>
            <w:pPr>
              <w:pStyle w:val="TableText"/>
              <w:spacing w:before="166" w:line="184" w:lineRule="auto"/>
              <w:ind w:right="18"/>
              <w:jc w:val="right"/>
            </w:pPr>
            <w:r>
              <w:rPr>
                <w:spacing w:val="-1"/>
              </w:rPr>
              <w:t>-193.62</w:t>
            </w:r>
          </w:p>
        </w:tc>
        <w:tc>
          <w:tcPr>
            <w:tcW w:w="1010" w:type="dxa"/>
            <w:tcBorders>
              <w:left w:val="single" w:sz="4" w:space="0" w:color="000000"/>
              <w:right w:val="single" w:sz="4" w:space="0" w:color="000000"/>
            </w:tcBorders>
            <w:vAlign w:val="top"/>
          </w:tcPr>
          <w:p>
            <w:pPr>
              <w:pStyle w:val="TableText"/>
              <w:spacing w:before="156" w:line="183" w:lineRule="auto"/>
              <w:ind w:left="555"/>
            </w:pPr>
            <w:r>
              <w:rPr>
                <w:spacing w:val="-1"/>
              </w:rPr>
              <w:t>424.48</w:t>
            </w:r>
          </w:p>
        </w:tc>
        <w:tc>
          <w:tcPr>
            <w:tcW w:w="1520" w:type="dxa"/>
            <w:tcBorders>
              <w:left w:val="single" w:sz="4" w:space="0" w:color="000000"/>
              <w:right w:val="single" w:sz="4" w:space="0" w:color="000000"/>
            </w:tcBorders>
            <w:vAlign w:val="top"/>
          </w:tcPr>
          <w:p>
            <w:pPr>
              <w:pStyle w:val="TableText"/>
              <w:spacing w:before="146" w:line="184" w:lineRule="auto"/>
              <w:ind w:right="9"/>
              <w:jc w:val="right"/>
            </w:pPr>
            <w:r>
              <w:rPr>
                <w:spacing w:val="-1"/>
              </w:rPr>
              <w:t>87.41</w:t>
            </w:r>
          </w:p>
        </w:tc>
        <w:tc>
          <w:tcPr>
            <w:tcW w:w="1030" w:type="dxa"/>
            <w:tcBorders>
              <w:left w:val="single" w:sz="4" w:space="0" w:color="000000"/>
              <w:right w:val="single" w:sz="4" w:space="0" w:color="000000"/>
            </w:tcBorders>
            <w:vAlign w:val="top"/>
          </w:tcPr>
          <w:p>
            <w:pPr>
              <w:pStyle w:val="TableText"/>
              <w:spacing w:before="156" w:line="183" w:lineRule="auto"/>
              <w:ind w:right="9"/>
              <w:jc w:val="right"/>
            </w:pPr>
            <w:r>
              <w:rPr>
                <w:spacing w:val="-1"/>
              </w:rPr>
              <w:t>86.70</w:t>
            </w:r>
          </w:p>
        </w:tc>
        <w:tc>
          <w:tcPr>
            <w:tcW w:w="920" w:type="dxa"/>
            <w:tcBorders>
              <w:left w:val="single" w:sz="4" w:space="0" w:color="000000"/>
            </w:tcBorders>
            <w:vAlign w:val="top"/>
          </w:tcPr>
          <w:p>
            <w:pPr>
              <w:pStyle w:val="TableText"/>
              <w:spacing w:before="166" w:line="183" w:lineRule="auto"/>
              <w:jc w:val="right"/>
            </w:pPr>
            <w:r>
              <w:rPr>
                <w:spacing w:val="-8"/>
              </w:rPr>
              <w:t>-250.36</w:t>
            </w:r>
          </w:p>
        </w:tc>
      </w:tr>
      <w:tr>
        <w:tblPrEx>
          <w:tblW w:w="9140" w:type="dxa"/>
          <w:tblInd w:w="0" w:type="dxa"/>
          <w:tblLayout w:type="fixed"/>
          <w:tblCellMar>
            <w:top w:w="0" w:type="dxa"/>
            <w:left w:w="0" w:type="dxa"/>
            <w:bottom w:w="0" w:type="dxa"/>
            <w:right w:w="0" w:type="dxa"/>
          </w:tblCellMar>
        </w:tblPrEx>
        <w:trPr>
          <w:trHeight w:val="379"/>
        </w:trPr>
        <w:tc>
          <w:tcPr>
            <w:tcW w:w="3680" w:type="dxa"/>
            <w:tcBorders>
              <w:right w:val="single" w:sz="4" w:space="0" w:color="000000"/>
            </w:tcBorders>
            <w:vAlign w:val="top"/>
          </w:tcPr>
          <w:p>
            <w:pPr>
              <w:pStyle w:val="TableText"/>
              <w:spacing w:before="116" w:line="219" w:lineRule="auto"/>
              <w:ind w:left="599"/>
            </w:pPr>
            <w:r>
              <w:rPr>
                <w:spacing w:val="1"/>
              </w:rPr>
              <w:t>资产减值损失(损失以“-”号填列)</w:t>
            </w:r>
          </w:p>
        </w:tc>
        <w:tc>
          <w:tcPr>
            <w:tcW w:w="980" w:type="dxa"/>
            <w:tcBorders>
              <w:left w:val="single" w:sz="4" w:space="0" w:color="000000"/>
              <w:right w:val="single" w:sz="4" w:space="0" w:color="000000"/>
            </w:tcBorders>
            <w:vAlign w:val="top"/>
          </w:tcPr>
          <w:p>
            <w:pPr>
              <w:pStyle w:val="TableText"/>
              <w:spacing w:before="162" w:line="184" w:lineRule="auto"/>
              <w:ind w:left="534"/>
            </w:pPr>
            <w:r>
              <w:rPr>
                <w:spacing w:val="-2"/>
              </w:rPr>
              <w:t>530.14</w:t>
            </w:r>
          </w:p>
        </w:tc>
        <w:tc>
          <w:tcPr>
            <w:tcW w:w="1010" w:type="dxa"/>
            <w:tcBorders>
              <w:left w:val="single" w:sz="4" w:space="0" w:color="000000"/>
              <w:right w:val="single" w:sz="4" w:space="0" w:color="000000"/>
            </w:tcBorders>
            <w:vAlign w:val="top"/>
          </w:tcPr>
          <w:p>
            <w:pPr>
              <w:pStyle w:val="TableText"/>
              <w:spacing w:before="152" w:line="184" w:lineRule="auto"/>
              <w:ind w:left="555"/>
            </w:pPr>
            <w:r>
              <w:rPr>
                <w:spacing w:val="-1"/>
              </w:rPr>
              <w:t>455.21</w:t>
            </w:r>
          </w:p>
        </w:tc>
        <w:tc>
          <w:tcPr>
            <w:tcW w:w="1520" w:type="dxa"/>
            <w:tcBorders>
              <w:left w:val="single" w:sz="4" w:space="0" w:color="000000"/>
              <w:right w:val="single" w:sz="4" w:space="0" w:color="000000"/>
            </w:tcBorders>
            <w:vAlign w:val="top"/>
          </w:tcPr>
          <w:p>
            <w:pPr>
              <w:pStyle w:val="TableText"/>
              <w:spacing w:before="152" w:line="183" w:lineRule="auto"/>
              <w:ind w:right="11"/>
              <w:jc w:val="right"/>
            </w:pPr>
            <w:r>
              <w:rPr>
                <w:spacing w:val="-2"/>
              </w:rPr>
              <w:t>38.35</w:t>
            </w:r>
          </w:p>
        </w:tc>
        <w:tc>
          <w:tcPr>
            <w:tcW w:w="1030" w:type="dxa"/>
            <w:tcBorders>
              <w:left w:val="single" w:sz="4" w:space="0" w:color="000000"/>
              <w:right w:val="single" w:sz="4" w:space="0" w:color="000000"/>
            </w:tcBorders>
            <w:vAlign w:val="top"/>
          </w:tcPr>
          <w:p>
            <w:pPr>
              <w:pStyle w:val="TableText"/>
              <w:spacing w:before="152" w:line="183" w:lineRule="auto"/>
              <w:ind w:right="8"/>
              <w:jc w:val="right"/>
            </w:pPr>
            <w:r>
              <w:rPr>
                <w:spacing w:val="-1"/>
              </w:rPr>
              <w:t>46.88</w:t>
            </w:r>
          </w:p>
        </w:tc>
        <w:tc>
          <w:tcPr>
            <w:tcW w:w="920" w:type="dxa"/>
            <w:tcBorders>
              <w:left w:val="single" w:sz="4" w:space="0" w:color="000000"/>
            </w:tcBorders>
            <w:vAlign w:val="top"/>
          </w:tcPr>
          <w:p>
            <w:pPr>
              <w:pStyle w:val="TableText"/>
              <w:spacing w:before="172" w:line="183" w:lineRule="auto"/>
              <w:ind w:left="464"/>
            </w:pPr>
            <w:r>
              <w:rPr>
                <w:spacing w:val="-2"/>
              </w:rPr>
              <w:t>540.44</w:t>
            </w:r>
          </w:p>
        </w:tc>
      </w:tr>
      <w:tr>
        <w:tblPrEx>
          <w:tblW w:w="9140" w:type="dxa"/>
          <w:tblInd w:w="0" w:type="dxa"/>
          <w:tblLayout w:type="fixed"/>
          <w:tblCellMar>
            <w:top w:w="0" w:type="dxa"/>
            <w:left w:w="0" w:type="dxa"/>
            <w:bottom w:w="0" w:type="dxa"/>
            <w:right w:w="0" w:type="dxa"/>
          </w:tblCellMar>
        </w:tblPrEx>
        <w:trPr>
          <w:trHeight w:val="374"/>
        </w:trPr>
        <w:tc>
          <w:tcPr>
            <w:tcW w:w="3680" w:type="dxa"/>
            <w:tcBorders>
              <w:right w:val="single" w:sz="4" w:space="0" w:color="000000"/>
            </w:tcBorders>
            <w:vAlign w:val="top"/>
          </w:tcPr>
          <w:p>
            <w:pPr>
              <w:pStyle w:val="TableText"/>
              <w:spacing w:before="117" w:line="219" w:lineRule="auto"/>
              <w:ind w:left="599"/>
            </w:pPr>
            <w:r>
              <w:rPr>
                <w:spacing w:val="1"/>
              </w:rPr>
              <w:t>资产处置收益(损失以“-”号填列)</w:t>
            </w:r>
          </w:p>
        </w:tc>
        <w:tc>
          <w:tcPr>
            <w:tcW w:w="980" w:type="dxa"/>
            <w:tcBorders>
              <w:left w:val="single" w:sz="4" w:space="0" w:color="000000"/>
              <w:right w:val="single" w:sz="4" w:space="0" w:color="000000"/>
            </w:tcBorders>
            <w:vAlign w:val="top"/>
          </w:tcPr>
          <w:p>
            <w:pPr>
              <w:pStyle w:val="TableText"/>
              <w:spacing w:before="153" w:line="183" w:lineRule="auto"/>
              <w:ind w:left="604"/>
            </w:pPr>
            <w:r>
              <w:rPr>
                <w:spacing w:val="-2"/>
              </w:rPr>
              <w:t>36.04</w:t>
            </w:r>
          </w:p>
        </w:tc>
        <w:tc>
          <w:tcPr>
            <w:tcW w:w="1010" w:type="dxa"/>
            <w:tcBorders>
              <w:left w:val="single" w:sz="4" w:space="0" w:color="000000"/>
              <w:right w:val="single" w:sz="4" w:space="0" w:color="000000"/>
            </w:tcBorders>
            <w:vAlign w:val="top"/>
          </w:tcPr>
          <w:p>
            <w:pPr>
              <w:pStyle w:val="TableText"/>
              <w:spacing w:before="153" w:line="184" w:lineRule="auto"/>
              <w:ind w:left="625"/>
            </w:pPr>
            <w:r>
              <w:rPr>
                <w:spacing w:val="-3"/>
              </w:rPr>
              <w:t>19.36</w:t>
            </w:r>
          </w:p>
        </w:tc>
        <w:tc>
          <w:tcPr>
            <w:tcW w:w="1520" w:type="dxa"/>
            <w:tcBorders>
              <w:left w:val="single" w:sz="4" w:space="0" w:color="000000"/>
              <w:right w:val="single" w:sz="4" w:space="0" w:color="000000"/>
            </w:tcBorders>
            <w:vAlign w:val="top"/>
          </w:tcPr>
          <w:p/>
        </w:tc>
        <w:tc>
          <w:tcPr>
            <w:tcW w:w="1030" w:type="dxa"/>
            <w:tcBorders>
              <w:left w:val="single" w:sz="4" w:space="0" w:color="000000"/>
              <w:right w:val="single" w:sz="4" w:space="0" w:color="000000"/>
            </w:tcBorders>
            <w:vAlign w:val="top"/>
          </w:tcPr>
          <w:p/>
        </w:tc>
        <w:tc>
          <w:tcPr>
            <w:tcW w:w="920" w:type="dxa"/>
            <w:tcBorders>
              <w:left w:val="single" w:sz="4" w:space="0" w:color="000000"/>
            </w:tcBorders>
            <w:vAlign w:val="top"/>
          </w:tcPr>
          <w:p>
            <w:pPr>
              <w:pStyle w:val="TableText"/>
              <w:spacing w:before="173" w:line="184" w:lineRule="auto"/>
              <w:ind w:left="534"/>
            </w:pPr>
            <w:r>
              <w:rPr>
                <w:spacing w:val="-3"/>
              </w:rPr>
              <w:t>19.36</w:t>
            </w:r>
          </w:p>
        </w:tc>
      </w:tr>
      <w:tr>
        <w:tblPrEx>
          <w:tblW w:w="9140" w:type="dxa"/>
          <w:tblInd w:w="0" w:type="dxa"/>
          <w:tblLayout w:type="fixed"/>
          <w:tblCellMar>
            <w:top w:w="0" w:type="dxa"/>
            <w:left w:w="0" w:type="dxa"/>
            <w:bottom w:w="0" w:type="dxa"/>
            <w:right w:w="0" w:type="dxa"/>
          </w:tblCellMar>
        </w:tblPrEx>
        <w:trPr>
          <w:trHeight w:val="370"/>
        </w:trPr>
        <w:tc>
          <w:tcPr>
            <w:tcW w:w="3680" w:type="dxa"/>
            <w:tcBorders>
              <w:right w:val="single" w:sz="4" w:space="0" w:color="000000"/>
            </w:tcBorders>
            <w:vAlign w:val="top"/>
          </w:tcPr>
          <w:p>
            <w:pPr>
              <w:pStyle w:val="TableText"/>
              <w:spacing w:before="112" w:line="220" w:lineRule="auto"/>
              <w:ind w:left="21"/>
            </w:pPr>
            <w:r>
              <w:rPr>
                <w:b/>
                <w:bCs/>
              </w:rPr>
              <w:t>二、营业利润(亏损以“-”号填列)</w:t>
            </w:r>
          </w:p>
        </w:tc>
        <w:tc>
          <w:tcPr>
            <w:tcW w:w="980" w:type="dxa"/>
            <w:tcBorders>
              <w:left w:val="single" w:sz="4" w:space="0" w:color="000000"/>
              <w:right w:val="single" w:sz="4" w:space="0" w:color="000000"/>
            </w:tcBorders>
            <w:vAlign w:val="top"/>
          </w:tcPr>
          <w:p>
            <w:pPr>
              <w:pStyle w:val="TableText"/>
              <w:spacing w:before="143" w:line="183" w:lineRule="auto"/>
              <w:ind w:left="395"/>
            </w:pPr>
            <w:r>
              <w:rPr>
                <w:spacing w:val="-1"/>
              </w:rPr>
              <w:t>9,697.99</w:t>
            </w:r>
          </w:p>
        </w:tc>
        <w:tc>
          <w:tcPr>
            <w:tcW w:w="1010" w:type="dxa"/>
            <w:tcBorders>
              <w:left w:val="single" w:sz="4" w:space="0" w:color="000000"/>
              <w:right w:val="single" w:sz="4" w:space="0" w:color="000000"/>
            </w:tcBorders>
            <w:vAlign w:val="top"/>
          </w:tcPr>
          <w:p>
            <w:pPr>
              <w:pStyle w:val="TableText"/>
              <w:spacing w:before="133" w:line="183" w:lineRule="auto"/>
              <w:ind w:left="414"/>
            </w:pPr>
            <w:r>
              <w:rPr>
                <w:spacing w:val="-1"/>
              </w:rPr>
              <w:t>4,838.92</w:t>
            </w:r>
          </w:p>
        </w:tc>
        <w:tc>
          <w:tcPr>
            <w:tcW w:w="1520" w:type="dxa"/>
            <w:tcBorders>
              <w:left w:val="single" w:sz="4" w:space="0" w:color="000000"/>
              <w:right w:val="single" w:sz="4" w:space="0" w:color="000000"/>
            </w:tcBorders>
            <w:vAlign w:val="top"/>
          </w:tcPr>
          <w:p>
            <w:pPr>
              <w:pStyle w:val="TableText"/>
              <w:spacing w:before="132" w:line="184" w:lineRule="auto"/>
              <w:ind w:right="20"/>
              <w:jc w:val="right"/>
            </w:pPr>
            <w:r>
              <w:rPr>
                <w:spacing w:val="-2"/>
              </w:rPr>
              <w:t>1,582.07</w:t>
            </w:r>
          </w:p>
        </w:tc>
        <w:tc>
          <w:tcPr>
            <w:tcW w:w="1030" w:type="dxa"/>
            <w:tcBorders>
              <w:left w:val="single" w:sz="4" w:space="0" w:color="000000"/>
              <w:right w:val="single" w:sz="4" w:space="0" w:color="000000"/>
            </w:tcBorders>
            <w:vAlign w:val="top"/>
          </w:tcPr>
          <w:p>
            <w:pPr>
              <w:pStyle w:val="TableText"/>
              <w:spacing w:before="142" w:line="184" w:lineRule="auto"/>
              <w:ind w:right="20"/>
              <w:jc w:val="right"/>
            </w:pPr>
            <w:r>
              <w:rPr>
                <w:spacing w:val="-2"/>
              </w:rPr>
              <w:t>1,790.22</w:t>
            </w:r>
          </w:p>
        </w:tc>
        <w:tc>
          <w:tcPr>
            <w:tcW w:w="920" w:type="dxa"/>
            <w:tcBorders>
              <w:left w:val="single" w:sz="4" w:space="0" w:color="000000"/>
            </w:tcBorders>
            <w:vAlign w:val="top"/>
          </w:tcPr>
          <w:p>
            <w:pPr>
              <w:pStyle w:val="TableText"/>
              <w:spacing w:before="152" w:line="184" w:lineRule="auto"/>
              <w:ind w:left="325"/>
            </w:pPr>
            <w:r>
              <w:rPr>
                <w:spacing w:val="-1"/>
              </w:rPr>
              <w:t>8,211.21</w:t>
            </w:r>
          </w:p>
        </w:tc>
      </w:tr>
      <w:tr>
        <w:tblPrEx>
          <w:tblW w:w="9140" w:type="dxa"/>
          <w:tblInd w:w="0" w:type="dxa"/>
          <w:tblLayout w:type="fixed"/>
          <w:tblCellMar>
            <w:top w:w="0" w:type="dxa"/>
            <w:left w:w="0" w:type="dxa"/>
            <w:bottom w:w="0" w:type="dxa"/>
            <w:right w:w="0" w:type="dxa"/>
          </w:tblCellMar>
        </w:tblPrEx>
        <w:trPr>
          <w:trHeight w:val="375"/>
        </w:trPr>
        <w:tc>
          <w:tcPr>
            <w:tcW w:w="3680" w:type="dxa"/>
            <w:tcBorders>
              <w:right w:val="single" w:sz="4" w:space="0" w:color="000000"/>
            </w:tcBorders>
            <w:vAlign w:val="top"/>
          </w:tcPr>
          <w:p>
            <w:pPr>
              <w:pStyle w:val="TableText"/>
              <w:spacing w:before="113" w:line="219" w:lineRule="auto"/>
              <w:ind w:left="290"/>
            </w:pPr>
            <w:r>
              <w:rPr>
                <w:spacing w:val="-1"/>
              </w:rPr>
              <w:t>加：营业外收入</w:t>
            </w:r>
          </w:p>
        </w:tc>
        <w:tc>
          <w:tcPr>
            <w:tcW w:w="980" w:type="dxa"/>
            <w:tcBorders>
              <w:left w:val="single" w:sz="4" w:space="0" w:color="000000"/>
              <w:right w:val="single" w:sz="4" w:space="0" w:color="000000"/>
            </w:tcBorders>
            <w:vAlign w:val="top"/>
          </w:tcPr>
          <w:p>
            <w:pPr>
              <w:pStyle w:val="TableText"/>
              <w:spacing w:before="169" w:line="183" w:lineRule="auto"/>
              <w:ind w:right="20"/>
              <w:jc w:val="right"/>
            </w:pPr>
            <w:r>
              <w:rPr>
                <w:spacing w:val="-2"/>
              </w:rPr>
              <w:t>22.65</w:t>
            </w:r>
          </w:p>
        </w:tc>
        <w:tc>
          <w:tcPr>
            <w:tcW w:w="1010" w:type="dxa"/>
            <w:tcBorders>
              <w:left w:val="single" w:sz="4" w:space="0" w:color="000000"/>
              <w:right w:val="single" w:sz="4" w:space="0" w:color="000000"/>
            </w:tcBorders>
            <w:vAlign w:val="top"/>
          </w:tcPr>
          <w:p>
            <w:pPr>
              <w:pStyle w:val="TableText"/>
              <w:spacing w:before="159" w:line="184" w:lineRule="auto"/>
              <w:ind w:left="694"/>
            </w:pPr>
            <w:r>
              <w:rPr>
                <w:spacing w:val="-3"/>
              </w:rPr>
              <w:t>1.30</w:t>
            </w:r>
          </w:p>
        </w:tc>
        <w:tc>
          <w:tcPr>
            <w:tcW w:w="1520" w:type="dxa"/>
            <w:tcBorders>
              <w:left w:val="single" w:sz="4" w:space="0" w:color="000000"/>
              <w:right w:val="single" w:sz="4" w:space="0" w:color="000000"/>
            </w:tcBorders>
            <w:vAlign w:val="top"/>
          </w:tcPr>
          <w:p/>
        </w:tc>
        <w:tc>
          <w:tcPr>
            <w:tcW w:w="1030" w:type="dxa"/>
            <w:tcBorders>
              <w:left w:val="single" w:sz="4" w:space="0" w:color="000000"/>
              <w:right w:val="single" w:sz="4" w:space="0" w:color="000000"/>
            </w:tcBorders>
            <w:vAlign w:val="top"/>
          </w:tcPr>
          <w:p/>
        </w:tc>
        <w:tc>
          <w:tcPr>
            <w:tcW w:w="920" w:type="dxa"/>
            <w:tcBorders>
              <w:left w:val="single" w:sz="4" w:space="0" w:color="000000"/>
            </w:tcBorders>
            <w:vAlign w:val="top"/>
          </w:tcPr>
          <w:p>
            <w:pPr>
              <w:pStyle w:val="TableText"/>
              <w:spacing w:before="186" w:line="184" w:lineRule="auto"/>
              <w:jc w:val="right"/>
              <w:rPr>
                <w:sz w:val="13"/>
                <w:szCs w:val="13"/>
              </w:rPr>
            </w:pPr>
            <w:r>
              <w:rPr>
                <w:spacing w:val="-9"/>
                <w:sz w:val="13"/>
                <w:szCs w:val="13"/>
              </w:rPr>
              <w:t>.</w:t>
            </w:r>
            <w:r>
              <w:rPr>
                <w:spacing w:val="-8"/>
                <w:sz w:val="13"/>
                <w:szCs w:val="13"/>
              </w:rPr>
              <w:t>1.3</w:t>
            </w:r>
            <w:r>
              <w:rPr>
                <w:spacing w:val="-7"/>
                <w:sz w:val="13"/>
                <w:szCs w:val="13"/>
              </w:rPr>
              <w:t>0</w:t>
            </w:r>
          </w:p>
        </w:tc>
      </w:tr>
      <w:tr>
        <w:tblPrEx>
          <w:tblW w:w="9140" w:type="dxa"/>
          <w:tblInd w:w="0" w:type="dxa"/>
          <w:tblLayout w:type="fixed"/>
          <w:tblCellMar>
            <w:top w:w="0" w:type="dxa"/>
            <w:left w:w="0" w:type="dxa"/>
            <w:bottom w:w="0" w:type="dxa"/>
            <w:right w:w="0" w:type="dxa"/>
          </w:tblCellMar>
        </w:tblPrEx>
        <w:trPr>
          <w:trHeight w:val="387"/>
        </w:trPr>
        <w:tc>
          <w:tcPr>
            <w:tcW w:w="3680" w:type="dxa"/>
            <w:tcBorders>
              <w:right w:val="single" w:sz="4" w:space="0" w:color="000000"/>
            </w:tcBorders>
            <w:vAlign w:val="top"/>
          </w:tcPr>
          <w:p>
            <w:pPr>
              <w:pStyle w:val="TableText"/>
              <w:spacing w:before="109" w:line="220" w:lineRule="auto"/>
              <w:ind w:left="290"/>
            </w:pPr>
            <w:r>
              <w:rPr>
                <w:spacing w:val="2"/>
              </w:rPr>
              <w:t>减：营业外支出</w:t>
            </w:r>
          </w:p>
        </w:tc>
        <w:tc>
          <w:tcPr>
            <w:tcW w:w="980" w:type="dxa"/>
            <w:tcBorders>
              <w:left w:val="single" w:sz="4" w:space="0" w:color="000000"/>
              <w:right w:val="single" w:sz="4" w:space="0" w:color="000000"/>
            </w:tcBorders>
            <w:vAlign w:val="top"/>
          </w:tcPr>
          <w:p>
            <w:pPr>
              <w:pStyle w:val="TableText"/>
              <w:spacing w:before="174" w:line="184" w:lineRule="auto"/>
              <w:ind w:left="534"/>
            </w:pPr>
            <w:r>
              <w:rPr>
                <w:spacing w:val="-3"/>
              </w:rPr>
              <w:t>185.54</w:t>
            </w:r>
          </w:p>
        </w:tc>
        <w:tc>
          <w:tcPr>
            <w:tcW w:w="1010" w:type="dxa"/>
            <w:tcBorders>
              <w:left w:val="single" w:sz="4" w:space="0" w:color="000000"/>
              <w:right w:val="single" w:sz="4" w:space="0" w:color="000000"/>
            </w:tcBorders>
            <w:vAlign w:val="top"/>
          </w:tcPr>
          <w:p>
            <w:pPr>
              <w:pStyle w:val="TableText"/>
              <w:spacing w:before="164" w:line="184" w:lineRule="auto"/>
              <w:ind w:left="625"/>
            </w:pPr>
            <w:r>
              <w:rPr>
                <w:spacing w:val="-3"/>
              </w:rPr>
              <w:t>15.31</w:t>
            </w:r>
          </w:p>
        </w:tc>
        <w:tc>
          <w:tcPr>
            <w:tcW w:w="1520" w:type="dxa"/>
            <w:tcBorders>
              <w:left w:val="single" w:sz="4" w:space="0" w:color="000000"/>
              <w:right w:val="single" w:sz="4" w:space="0" w:color="000000"/>
            </w:tcBorders>
            <w:vAlign w:val="top"/>
          </w:tcPr>
          <w:p>
            <w:pPr>
              <w:pStyle w:val="TableText"/>
              <w:spacing w:before="174" w:line="184" w:lineRule="auto"/>
              <w:ind w:right="17"/>
              <w:jc w:val="right"/>
            </w:pPr>
            <w:r>
              <w:rPr>
                <w:spacing w:val="-3"/>
              </w:rPr>
              <w:t>17.92</w:t>
            </w:r>
          </w:p>
        </w:tc>
        <w:tc>
          <w:tcPr>
            <w:tcW w:w="1030" w:type="dxa"/>
            <w:tcBorders>
              <w:left w:val="single" w:sz="4" w:space="0" w:color="000000"/>
              <w:right w:val="single" w:sz="4" w:space="0" w:color="000000"/>
            </w:tcBorders>
            <w:vAlign w:val="top"/>
          </w:tcPr>
          <w:p/>
        </w:tc>
        <w:tc>
          <w:tcPr>
            <w:tcW w:w="920" w:type="dxa"/>
            <w:tcBorders>
              <w:left w:val="single" w:sz="4" w:space="0" w:color="000000"/>
            </w:tcBorders>
            <w:vAlign w:val="top"/>
          </w:tcPr>
          <w:p>
            <w:pPr>
              <w:pStyle w:val="TableText"/>
              <w:spacing w:before="194" w:line="183" w:lineRule="auto"/>
              <w:ind w:left="534"/>
            </w:pPr>
            <w:r>
              <w:rPr>
                <w:spacing w:val="-2"/>
              </w:rPr>
              <w:t>33.23</w:t>
            </w:r>
          </w:p>
        </w:tc>
      </w:tr>
      <w:tr>
        <w:tblPrEx>
          <w:tblW w:w="9140" w:type="dxa"/>
          <w:tblInd w:w="0" w:type="dxa"/>
          <w:tblLayout w:type="fixed"/>
          <w:tblCellMar>
            <w:top w:w="0" w:type="dxa"/>
            <w:left w:w="0" w:type="dxa"/>
            <w:bottom w:w="0" w:type="dxa"/>
            <w:right w:w="0" w:type="dxa"/>
          </w:tblCellMar>
        </w:tblPrEx>
        <w:trPr>
          <w:trHeight w:val="392"/>
        </w:trPr>
        <w:tc>
          <w:tcPr>
            <w:tcW w:w="3680" w:type="dxa"/>
            <w:tcBorders>
              <w:right w:val="single" w:sz="4" w:space="0" w:color="000000"/>
            </w:tcBorders>
            <w:vAlign w:val="top"/>
          </w:tcPr>
          <w:p>
            <w:pPr>
              <w:pStyle w:val="TableText"/>
              <w:spacing w:before="109" w:line="219" w:lineRule="auto"/>
              <w:ind w:left="21"/>
            </w:pPr>
            <w:r>
              <w:rPr>
                <w:b/>
                <w:bCs/>
                <w:spacing w:val="-1"/>
              </w:rPr>
              <w:t>三、利润总额(亏损总额以“-”号填列)</w:t>
            </w:r>
          </w:p>
        </w:tc>
        <w:tc>
          <w:tcPr>
            <w:tcW w:w="980" w:type="dxa"/>
            <w:tcBorders>
              <w:left w:val="single" w:sz="4" w:space="0" w:color="000000"/>
              <w:right w:val="single" w:sz="4" w:space="0" w:color="000000"/>
            </w:tcBorders>
            <w:vAlign w:val="top"/>
          </w:tcPr>
          <w:p>
            <w:pPr>
              <w:pStyle w:val="TableText"/>
              <w:spacing w:before="130" w:line="184" w:lineRule="auto"/>
              <w:jc w:val="right"/>
            </w:pPr>
            <w:r>
              <w:rPr>
                <w:spacing w:val="-10"/>
              </w:rPr>
              <w:t>9</w:t>
            </w:r>
            <w:r>
              <w:rPr>
                <w:spacing w:val="-9"/>
              </w:rPr>
              <w:t>,535.1</w:t>
            </w:r>
            <w:r>
              <w:rPr>
                <w:spacing w:val="-8"/>
              </w:rPr>
              <w:t>0</w:t>
            </w:r>
          </w:p>
        </w:tc>
        <w:tc>
          <w:tcPr>
            <w:tcW w:w="1010" w:type="dxa"/>
            <w:tcBorders>
              <w:left w:val="single" w:sz="4" w:space="0" w:color="000000"/>
              <w:right w:val="single" w:sz="4" w:space="0" w:color="000000"/>
            </w:tcBorders>
            <w:vAlign w:val="top"/>
          </w:tcPr>
          <w:p>
            <w:pPr>
              <w:pStyle w:val="TableText"/>
              <w:spacing w:before="110" w:line="184" w:lineRule="auto"/>
              <w:ind w:left="414"/>
            </w:pPr>
            <w:r>
              <w:rPr>
                <w:spacing w:val="-1"/>
              </w:rPr>
              <w:t>4,824.91</w:t>
            </w:r>
          </w:p>
        </w:tc>
        <w:tc>
          <w:tcPr>
            <w:tcW w:w="1520" w:type="dxa"/>
            <w:tcBorders>
              <w:left w:val="single" w:sz="4" w:space="0" w:color="000000"/>
              <w:right w:val="single" w:sz="4" w:space="0" w:color="000000"/>
            </w:tcBorders>
            <w:vAlign w:val="top"/>
          </w:tcPr>
          <w:p>
            <w:pPr>
              <w:pStyle w:val="TableText"/>
              <w:spacing w:before="150" w:line="184" w:lineRule="auto"/>
              <w:ind w:right="20"/>
              <w:jc w:val="right"/>
            </w:pPr>
            <w:r>
              <w:rPr>
                <w:spacing w:val="-2"/>
              </w:rPr>
              <w:t>1,564.15</w:t>
            </w:r>
          </w:p>
        </w:tc>
        <w:tc>
          <w:tcPr>
            <w:tcW w:w="1030" w:type="dxa"/>
            <w:tcBorders>
              <w:left w:val="single" w:sz="4" w:space="0" w:color="000000"/>
              <w:right w:val="single" w:sz="4" w:space="0" w:color="000000"/>
            </w:tcBorders>
            <w:vAlign w:val="top"/>
          </w:tcPr>
          <w:p>
            <w:pPr>
              <w:pStyle w:val="TableText"/>
              <w:spacing w:before="120" w:line="184" w:lineRule="auto"/>
              <w:ind w:right="20"/>
              <w:jc w:val="right"/>
            </w:pPr>
            <w:r>
              <w:rPr>
                <w:spacing w:val="-2"/>
              </w:rPr>
              <w:t>1,790.22</w:t>
            </w:r>
          </w:p>
        </w:tc>
        <w:tc>
          <w:tcPr>
            <w:tcW w:w="920" w:type="dxa"/>
            <w:tcBorders>
              <w:left w:val="single" w:sz="4" w:space="0" w:color="000000"/>
            </w:tcBorders>
            <w:vAlign w:val="top"/>
          </w:tcPr>
          <w:p>
            <w:pPr>
              <w:pStyle w:val="TableText"/>
              <w:spacing w:before="160" w:line="184" w:lineRule="auto"/>
              <w:jc w:val="right"/>
            </w:pPr>
            <w:r>
              <w:rPr>
                <w:spacing w:val="-7"/>
              </w:rPr>
              <w:t>8,179.29</w:t>
            </w:r>
          </w:p>
        </w:tc>
      </w:tr>
      <w:tr>
        <w:tblPrEx>
          <w:tblW w:w="9140" w:type="dxa"/>
          <w:tblInd w:w="0" w:type="dxa"/>
          <w:tblLayout w:type="fixed"/>
          <w:tblCellMar>
            <w:top w:w="0" w:type="dxa"/>
            <w:left w:w="0" w:type="dxa"/>
            <w:bottom w:w="0" w:type="dxa"/>
            <w:right w:w="0" w:type="dxa"/>
          </w:tblCellMar>
        </w:tblPrEx>
        <w:trPr>
          <w:trHeight w:val="365"/>
        </w:trPr>
        <w:tc>
          <w:tcPr>
            <w:tcW w:w="3680" w:type="dxa"/>
            <w:tcBorders>
              <w:right w:val="single" w:sz="4" w:space="0" w:color="000000"/>
            </w:tcBorders>
            <w:vAlign w:val="top"/>
          </w:tcPr>
          <w:p>
            <w:pPr>
              <w:pStyle w:val="TableText"/>
              <w:spacing w:before="129" w:line="219" w:lineRule="auto"/>
              <w:ind w:left="299"/>
            </w:pPr>
            <w:r>
              <w:rPr>
                <w:spacing w:val="2"/>
              </w:rPr>
              <w:t>减：所得税费用</w:t>
            </w:r>
          </w:p>
        </w:tc>
        <w:tc>
          <w:tcPr>
            <w:tcW w:w="980" w:type="dxa"/>
            <w:tcBorders>
              <w:left w:val="single" w:sz="4" w:space="0" w:color="000000"/>
              <w:right w:val="single" w:sz="4" w:space="0" w:color="000000"/>
            </w:tcBorders>
            <w:vAlign w:val="top"/>
          </w:tcPr>
          <w:p>
            <w:pPr>
              <w:pStyle w:val="TableText"/>
              <w:spacing w:before="138" w:line="184" w:lineRule="auto"/>
              <w:ind w:left="395"/>
            </w:pPr>
            <w:r>
              <w:rPr>
                <w:spacing w:val="-2"/>
              </w:rPr>
              <w:t>1,061.43</w:t>
            </w:r>
          </w:p>
        </w:tc>
        <w:tc>
          <w:tcPr>
            <w:tcW w:w="1010" w:type="dxa"/>
            <w:tcBorders>
              <w:left w:val="single" w:sz="4" w:space="0" w:color="000000"/>
              <w:right w:val="single" w:sz="4" w:space="0" w:color="000000"/>
            </w:tcBorders>
            <w:vAlign w:val="top"/>
          </w:tcPr>
          <w:p>
            <w:pPr>
              <w:pStyle w:val="TableText"/>
              <w:spacing w:before="155" w:line="184" w:lineRule="auto"/>
              <w:ind w:left="555"/>
            </w:pPr>
            <w:r>
              <w:rPr>
                <w:spacing w:val="-1"/>
              </w:rPr>
              <w:t>431.66</w:t>
            </w:r>
          </w:p>
        </w:tc>
        <w:tc>
          <w:tcPr>
            <w:tcW w:w="1520" w:type="dxa"/>
            <w:tcBorders>
              <w:left w:val="single" w:sz="4" w:space="0" w:color="000000"/>
              <w:right w:val="single" w:sz="4" w:space="0" w:color="000000"/>
            </w:tcBorders>
            <w:vAlign w:val="top"/>
          </w:tcPr>
          <w:p>
            <w:pPr>
              <w:pStyle w:val="TableText"/>
              <w:spacing w:before="145" w:line="184" w:lineRule="auto"/>
              <w:ind w:right="18"/>
              <w:jc w:val="right"/>
            </w:pPr>
            <w:r>
              <w:rPr>
                <w:spacing w:val="-3"/>
              </w:rPr>
              <w:t>156.94</w:t>
            </w:r>
          </w:p>
        </w:tc>
        <w:tc>
          <w:tcPr>
            <w:tcW w:w="1030" w:type="dxa"/>
            <w:tcBorders>
              <w:left w:val="single" w:sz="4" w:space="0" w:color="000000"/>
              <w:right w:val="single" w:sz="4" w:space="0" w:color="000000"/>
            </w:tcBorders>
            <w:vAlign w:val="top"/>
          </w:tcPr>
          <w:p>
            <w:pPr>
              <w:pStyle w:val="TableText"/>
              <w:spacing w:before="155" w:line="184" w:lineRule="auto"/>
              <w:ind w:right="18"/>
              <w:jc w:val="right"/>
            </w:pPr>
            <w:r>
              <w:rPr>
                <w:spacing w:val="-3"/>
              </w:rPr>
              <w:t>179.02</w:t>
            </w:r>
          </w:p>
        </w:tc>
        <w:tc>
          <w:tcPr>
            <w:tcW w:w="920" w:type="dxa"/>
            <w:tcBorders>
              <w:left w:val="single" w:sz="4" w:space="0" w:color="000000"/>
            </w:tcBorders>
            <w:vAlign w:val="top"/>
          </w:tcPr>
          <w:p>
            <w:pPr>
              <w:pStyle w:val="TableText"/>
              <w:spacing w:before="155" w:line="183" w:lineRule="auto"/>
              <w:ind w:left="464"/>
            </w:pPr>
            <w:r>
              <w:rPr>
                <w:spacing w:val="-2"/>
              </w:rPr>
              <w:t>767.62</w:t>
            </w:r>
          </w:p>
        </w:tc>
      </w:tr>
      <w:tr>
        <w:tblPrEx>
          <w:tblW w:w="9140" w:type="dxa"/>
          <w:tblInd w:w="0" w:type="dxa"/>
          <w:tblLayout w:type="fixed"/>
          <w:tblCellMar>
            <w:top w:w="0" w:type="dxa"/>
            <w:left w:w="0" w:type="dxa"/>
            <w:bottom w:w="0" w:type="dxa"/>
            <w:right w:w="0" w:type="dxa"/>
          </w:tblCellMar>
        </w:tblPrEx>
        <w:trPr>
          <w:trHeight w:val="733"/>
        </w:trPr>
        <w:tc>
          <w:tcPr>
            <w:tcW w:w="3680" w:type="dxa"/>
            <w:tcBorders>
              <w:right w:val="single" w:sz="4" w:space="0" w:color="000000"/>
            </w:tcBorders>
            <w:vAlign w:val="top"/>
          </w:tcPr>
          <w:p>
            <w:pPr>
              <w:pStyle w:val="TableText"/>
              <w:spacing w:before="115" w:line="220" w:lineRule="auto"/>
              <w:ind w:left="19"/>
            </w:pPr>
            <w:r>
              <w:rPr>
                <w:spacing w:val="1"/>
              </w:rPr>
              <w:t>四、净利润(净亏损以“-”号填列)</w:t>
            </w:r>
          </w:p>
          <w:p>
            <w:pPr>
              <w:pStyle w:val="TableText"/>
              <w:spacing w:before="200" w:line="219" w:lineRule="auto"/>
              <w:ind w:left="222"/>
            </w:pPr>
            <w:r>
              <w:rPr>
                <w:b/>
                <w:bCs/>
                <w:spacing w:val="-2"/>
              </w:rPr>
              <w:t>(一)按经营持续性分类：</w:t>
            </w:r>
          </w:p>
        </w:tc>
        <w:tc>
          <w:tcPr>
            <w:tcW w:w="980" w:type="dxa"/>
            <w:tcBorders>
              <w:left w:val="single" w:sz="4" w:space="0" w:color="000000"/>
              <w:right w:val="single" w:sz="4" w:space="0" w:color="000000"/>
            </w:tcBorders>
            <w:vAlign w:val="top"/>
          </w:tcPr>
          <w:p>
            <w:pPr>
              <w:pStyle w:val="TableText"/>
              <w:spacing w:before="144" w:line="183" w:lineRule="auto"/>
              <w:ind w:left="395"/>
            </w:pPr>
            <w:r>
              <w:rPr>
                <w:spacing w:val="-1"/>
              </w:rPr>
              <w:t>8,473.67</w:t>
            </w:r>
          </w:p>
        </w:tc>
        <w:tc>
          <w:tcPr>
            <w:tcW w:w="1010" w:type="dxa"/>
            <w:tcBorders>
              <w:left w:val="single" w:sz="4" w:space="0" w:color="000000"/>
              <w:right w:val="single" w:sz="4" w:space="0" w:color="000000"/>
            </w:tcBorders>
            <w:vAlign w:val="top"/>
          </w:tcPr>
          <w:p>
            <w:pPr>
              <w:pStyle w:val="TableText"/>
              <w:spacing w:before="144" w:line="183" w:lineRule="auto"/>
              <w:ind w:left="414"/>
            </w:pPr>
            <w:r>
              <w:rPr>
                <w:spacing w:val="-1"/>
              </w:rPr>
              <w:t>4,393.25</w:t>
            </w:r>
          </w:p>
        </w:tc>
        <w:tc>
          <w:tcPr>
            <w:tcW w:w="1520" w:type="dxa"/>
            <w:tcBorders>
              <w:left w:val="single" w:sz="4" w:space="0" w:color="000000"/>
              <w:right w:val="single" w:sz="4" w:space="0" w:color="000000"/>
            </w:tcBorders>
            <w:vAlign w:val="top"/>
          </w:tcPr>
          <w:p>
            <w:pPr>
              <w:pStyle w:val="TableText"/>
              <w:spacing w:before="133" w:line="184" w:lineRule="auto"/>
              <w:ind w:right="20"/>
              <w:jc w:val="right"/>
            </w:pPr>
            <w:r>
              <w:rPr>
                <w:spacing w:val="-2"/>
              </w:rPr>
              <w:t>1,407.22</w:t>
            </w:r>
          </w:p>
        </w:tc>
        <w:tc>
          <w:tcPr>
            <w:tcW w:w="1030" w:type="dxa"/>
            <w:tcBorders>
              <w:left w:val="single" w:sz="4" w:space="0" w:color="000000"/>
              <w:right w:val="single" w:sz="4" w:space="0" w:color="000000"/>
            </w:tcBorders>
            <w:vAlign w:val="top"/>
          </w:tcPr>
          <w:p>
            <w:pPr>
              <w:pStyle w:val="TableText"/>
              <w:spacing w:before="143" w:line="184" w:lineRule="auto"/>
              <w:ind w:right="20"/>
              <w:jc w:val="right"/>
            </w:pPr>
            <w:r>
              <w:rPr>
                <w:spacing w:val="-2"/>
              </w:rPr>
              <w:t>1,611.20</w:t>
            </w:r>
          </w:p>
        </w:tc>
        <w:tc>
          <w:tcPr>
            <w:tcW w:w="920" w:type="dxa"/>
            <w:tcBorders>
              <w:left w:val="single" w:sz="4" w:space="0" w:color="000000"/>
            </w:tcBorders>
            <w:vAlign w:val="top"/>
          </w:tcPr>
          <w:p>
            <w:pPr>
              <w:pStyle w:val="TableText"/>
              <w:spacing w:before="163" w:line="184" w:lineRule="auto"/>
              <w:ind w:left="325"/>
            </w:pPr>
            <w:r>
              <w:rPr>
                <w:spacing w:val="-2"/>
              </w:rPr>
              <w:t>7,411.67</w:t>
            </w:r>
          </w:p>
        </w:tc>
      </w:tr>
      <w:tr>
        <w:tblPrEx>
          <w:tblW w:w="9140" w:type="dxa"/>
          <w:tblInd w:w="0" w:type="dxa"/>
          <w:tblLayout w:type="fixed"/>
          <w:tblCellMar>
            <w:top w:w="0" w:type="dxa"/>
            <w:left w:w="0" w:type="dxa"/>
            <w:bottom w:w="0" w:type="dxa"/>
            <w:right w:w="0" w:type="dxa"/>
          </w:tblCellMar>
        </w:tblPrEx>
        <w:trPr>
          <w:trHeight w:val="396"/>
        </w:trPr>
        <w:tc>
          <w:tcPr>
            <w:tcW w:w="3680" w:type="dxa"/>
            <w:tcBorders>
              <w:right w:val="single" w:sz="4" w:space="0" w:color="000000"/>
            </w:tcBorders>
            <w:vAlign w:val="top"/>
          </w:tcPr>
          <w:p>
            <w:pPr>
              <w:pStyle w:val="TableText"/>
              <w:spacing w:before="131" w:line="219" w:lineRule="auto"/>
              <w:ind w:left="280"/>
            </w:pPr>
            <w:r>
              <w:rPr>
                <w:spacing w:val="1"/>
              </w:rPr>
              <w:t>其中：持续经营净利润(净亏损以“-”号填列)</w:t>
            </w:r>
          </w:p>
        </w:tc>
        <w:tc>
          <w:tcPr>
            <w:tcW w:w="980" w:type="dxa"/>
            <w:tcBorders>
              <w:left w:val="single" w:sz="4" w:space="0" w:color="000000"/>
              <w:right w:val="single" w:sz="4" w:space="0" w:color="000000"/>
            </w:tcBorders>
            <w:vAlign w:val="top"/>
          </w:tcPr>
          <w:p>
            <w:pPr>
              <w:pStyle w:val="TableText"/>
              <w:spacing w:before="171" w:line="183" w:lineRule="auto"/>
              <w:ind w:left="395"/>
            </w:pPr>
            <w:r>
              <w:rPr>
                <w:spacing w:val="-1"/>
              </w:rPr>
              <w:t>8,473.67</w:t>
            </w:r>
          </w:p>
        </w:tc>
        <w:tc>
          <w:tcPr>
            <w:tcW w:w="1010" w:type="dxa"/>
            <w:tcBorders>
              <w:left w:val="single" w:sz="4" w:space="0" w:color="000000"/>
              <w:right w:val="single" w:sz="4" w:space="0" w:color="000000"/>
            </w:tcBorders>
            <w:vAlign w:val="top"/>
          </w:tcPr>
          <w:p>
            <w:pPr>
              <w:pStyle w:val="TableText"/>
              <w:spacing w:before="171" w:line="183" w:lineRule="auto"/>
              <w:ind w:left="414"/>
            </w:pPr>
            <w:r>
              <w:rPr>
                <w:spacing w:val="-1"/>
              </w:rPr>
              <w:t>4,393.25</w:t>
            </w:r>
          </w:p>
        </w:tc>
        <w:tc>
          <w:tcPr>
            <w:tcW w:w="1520" w:type="dxa"/>
            <w:tcBorders>
              <w:left w:val="single" w:sz="4" w:space="0" w:color="000000"/>
              <w:right w:val="single" w:sz="4" w:space="0" w:color="000000"/>
            </w:tcBorders>
            <w:vAlign w:val="top"/>
          </w:tcPr>
          <w:p>
            <w:pPr>
              <w:pStyle w:val="TableText"/>
              <w:spacing w:before="140" w:line="184" w:lineRule="auto"/>
              <w:ind w:right="20"/>
              <w:jc w:val="right"/>
            </w:pPr>
            <w:r>
              <w:rPr>
                <w:spacing w:val="-2"/>
              </w:rPr>
              <w:t>1,407.22</w:t>
            </w:r>
          </w:p>
        </w:tc>
        <w:tc>
          <w:tcPr>
            <w:tcW w:w="1030" w:type="dxa"/>
            <w:tcBorders>
              <w:left w:val="single" w:sz="4" w:space="0" w:color="000000"/>
              <w:right w:val="single" w:sz="4" w:space="0" w:color="000000"/>
            </w:tcBorders>
            <w:vAlign w:val="top"/>
          </w:tcPr>
          <w:p>
            <w:pPr>
              <w:pStyle w:val="TableText"/>
              <w:spacing w:before="140" w:line="184" w:lineRule="auto"/>
              <w:ind w:right="20"/>
              <w:jc w:val="right"/>
            </w:pPr>
            <w:r>
              <w:rPr>
                <w:spacing w:val="-2"/>
              </w:rPr>
              <w:t>1,611.20</w:t>
            </w:r>
          </w:p>
        </w:tc>
        <w:tc>
          <w:tcPr>
            <w:tcW w:w="920" w:type="dxa"/>
            <w:tcBorders>
              <w:left w:val="single" w:sz="4" w:space="0" w:color="000000"/>
            </w:tcBorders>
            <w:vAlign w:val="top"/>
          </w:tcPr>
          <w:p>
            <w:pPr>
              <w:pStyle w:val="TableText"/>
              <w:spacing w:before="180" w:line="184" w:lineRule="auto"/>
              <w:ind w:left="325"/>
            </w:pPr>
            <w:r>
              <w:rPr>
                <w:spacing w:val="-2"/>
              </w:rPr>
              <w:t>7,411.67</w:t>
            </w:r>
          </w:p>
        </w:tc>
      </w:tr>
      <w:tr>
        <w:tblPrEx>
          <w:tblW w:w="9140" w:type="dxa"/>
          <w:tblInd w:w="0" w:type="dxa"/>
          <w:tblLayout w:type="fixed"/>
          <w:tblCellMar>
            <w:top w:w="0" w:type="dxa"/>
            <w:left w:w="0" w:type="dxa"/>
            <w:bottom w:w="0" w:type="dxa"/>
            <w:right w:w="0" w:type="dxa"/>
          </w:tblCellMar>
        </w:tblPrEx>
        <w:trPr>
          <w:trHeight w:val="358"/>
        </w:trPr>
        <w:tc>
          <w:tcPr>
            <w:tcW w:w="3680" w:type="dxa"/>
            <w:tcBorders>
              <w:right w:val="single" w:sz="4" w:space="0" w:color="000000"/>
            </w:tcBorders>
            <w:vAlign w:val="top"/>
          </w:tcPr>
          <w:p>
            <w:pPr>
              <w:pStyle w:val="TableText"/>
              <w:spacing w:before="116" w:line="220" w:lineRule="auto"/>
              <w:ind w:left="719"/>
            </w:pPr>
            <w:r>
              <w:rPr>
                <w:spacing w:val="1"/>
              </w:rPr>
              <w:t>终止经营净利润(净亏损以“-”号填列)</w:t>
            </w:r>
          </w:p>
        </w:tc>
        <w:tc>
          <w:tcPr>
            <w:tcW w:w="980" w:type="dxa"/>
            <w:tcBorders>
              <w:left w:val="single" w:sz="4" w:space="0" w:color="000000"/>
              <w:right w:val="single" w:sz="4" w:space="0" w:color="000000"/>
            </w:tcBorders>
            <w:vAlign w:val="top"/>
          </w:tcPr>
          <w:p/>
        </w:tc>
        <w:tc>
          <w:tcPr>
            <w:tcW w:w="1010" w:type="dxa"/>
            <w:tcBorders>
              <w:left w:val="single" w:sz="4" w:space="0" w:color="000000"/>
              <w:right w:val="single" w:sz="4" w:space="0" w:color="000000"/>
            </w:tcBorders>
            <w:vAlign w:val="top"/>
          </w:tcPr>
          <w:p/>
        </w:tc>
        <w:tc>
          <w:tcPr>
            <w:tcW w:w="1520" w:type="dxa"/>
            <w:tcBorders>
              <w:left w:val="single" w:sz="4" w:space="0" w:color="000000"/>
              <w:right w:val="single" w:sz="4" w:space="0" w:color="000000"/>
            </w:tcBorders>
            <w:vAlign w:val="top"/>
          </w:tcPr>
          <w:p/>
        </w:tc>
        <w:tc>
          <w:tcPr>
            <w:tcW w:w="1030" w:type="dxa"/>
            <w:tcBorders>
              <w:left w:val="single" w:sz="4" w:space="0" w:color="000000"/>
              <w:right w:val="single" w:sz="4" w:space="0" w:color="000000"/>
            </w:tcBorders>
            <w:vAlign w:val="top"/>
          </w:tcPr>
          <w:p/>
        </w:tc>
        <w:tc>
          <w:tcPr>
            <w:tcW w:w="920" w:type="dxa"/>
            <w:tcBorders>
              <w:left w:val="single" w:sz="4" w:space="0" w:color="000000"/>
            </w:tcBorders>
            <w:vAlign w:val="top"/>
          </w:tcPr>
          <w:p/>
        </w:tc>
      </w:tr>
      <w:tr>
        <w:tblPrEx>
          <w:tblW w:w="9140" w:type="dxa"/>
          <w:tblInd w:w="0" w:type="dxa"/>
          <w:tblLayout w:type="fixed"/>
          <w:tblCellMar>
            <w:top w:w="0" w:type="dxa"/>
            <w:left w:w="0" w:type="dxa"/>
            <w:bottom w:w="0" w:type="dxa"/>
            <w:right w:w="0" w:type="dxa"/>
          </w:tblCellMar>
        </w:tblPrEx>
        <w:trPr>
          <w:trHeight w:val="375"/>
        </w:trPr>
        <w:tc>
          <w:tcPr>
            <w:tcW w:w="3680" w:type="dxa"/>
            <w:tcBorders>
              <w:right w:val="single" w:sz="4" w:space="0" w:color="000000"/>
            </w:tcBorders>
            <w:vAlign w:val="top"/>
          </w:tcPr>
          <w:p>
            <w:pPr>
              <w:pStyle w:val="TableText"/>
              <w:spacing w:before="125" w:line="219" w:lineRule="auto"/>
              <w:ind w:left="222"/>
            </w:pPr>
            <w:r>
              <w:rPr>
                <w:b/>
                <w:bCs/>
                <w:spacing w:val="-2"/>
              </w:rPr>
              <w:t>(二)按所有权归属分类：</w:t>
            </w:r>
          </w:p>
        </w:tc>
        <w:tc>
          <w:tcPr>
            <w:tcW w:w="980" w:type="dxa"/>
            <w:tcBorders>
              <w:left w:val="single" w:sz="4" w:space="0" w:color="000000"/>
              <w:right w:val="single" w:sz="4" w:space="0" w:color="000000"/>
            </w:tcBorders>
            <w:vAlign w:val="top"/>
          </w:tcPr>
          <w:p/>
        </w:tc>
        <w:tc>
          <w:tcPr>
            <w:tcW w:w="1010" w:type="dxa"/>
            <w:tcBorders>
              <w:left w:val="single" w:sz="4" w:space="0" w:color="000000"/>
              <w:right w:val="single" w:sz="4" w:space="0" w:color="000000"/>
            </w:tcBorders>
            <w:vAlign w:val="top"/>
          </w:tcPr>
          <w:p/>
        </w:tc>
        <w:tc>
          <w:tcPr>
            <w:tcW w:w="1520" w:type="dxa"/>
            <w:tcBorders>
              <w:left w:val="single" w:sz="4" w:space="0" w:color="000000"/>
              <w:right w:val="single" w:sz="4" w:space="0" w:color="000000"/>
            </w:tcBorders>
            <w:vAlign w:val="top"/>
          </w:tcPr>
          <w:p/>
        </w:tc>
        <w:tc>
          <w:tcPr>
            <w:tcW w:w="1030" w:type="dxa"/>
            <w:tcBorders>
              <w:left w:val="single" w:sz="4" w:space="0" w:color="000000"/>
              <w:right w:val="single" w:sz="4" w:space="0" w:color="000000"/>
            </w:tcBorders>
            <w:vAlign w:val="top"/>
          </w:tcPr>
          <w:p/>
        </w:tc>
        <w:tc>
          <w:tcPr>
            <w:tcW w:w="920" w:type="dxa"/>
            <w:tcBorders>
              <w:left w:val="single" w:sz="4" w:space="0" w:color="000000"/>
            </w:tcBorders>
            <w:vAlign w:val="top"/>
          </w:tcPr>
          <w:p/>
        </w:tc>
      </w:tr>
      <w:tr>
        <w:tblPrEx>
          <w:tblW w:w="9140" w:type="dxa"/>
          <w:tblInd w:w="0" w:type="dxa"/>
          <w:tblLayout w:type="fixed"/>
          <w:tblCellMar>
            <w:top w:w="0" w:type="dxa"/>
            <w:left w:w="0" w:type="dxa"/>
            <w:bottom w:w="0" w:type="dxa"/>
            <w:right w:w="0" w:type="dxa"/>
          </w:tblCellMar>
        </w:tblPrEx>
        <w:trPr>
          <w:trHeight w:val="751"/>
        </w:trPr>
        <w:tc>
          <w:tcPr>
            <w:tcW w:w="3680" w:type="dxa"/>
            <w:tcBorders>
              <w:bottom w:val="single" w:sz="4" w:space="0" w:color="000000"/>
              <w:right w:val="single" w:sz="4" w:space="0" w:color="000000"/>
            </w:tcBorders>
            <w:vAlign w:val="top"/>
          </w:tcPr>
          <w:p>
            <w:pPr>
              <w:pStyle w:val="TableText"/>
              <w:spacing w:before="132" w:line="219" w:lineRule="auto"/>
              <w:ind w:left="359"/>
            </w:pPr>
            <w:r>
              <w:rPr>
                <w:spacing w:val="5"/>
              </w:rPr>
              <w:t>其中：归属于母公司股东的净利润(净亏损以“-</w:t>
            </w:r>
            <w:r>
              <w:rPr>
                <w:spacing w:val="-49"/>
              </w:rPr>
              <w:t xml:space="preserve"> </w:t>
            </w:r>
            <w:r>
              <w:rPr>
                <w:spacing w:val="5"/>
              </w:rPr>
              <w:t>”</w:t>
            </w:r>
          </w:p>
          <w:p>
            <w:pPr>
              <w:pStyle w:val="TableText"/>
              <w:spacing w:before="203" w:line="219" w:lineRule="auto"/>
              <w:ind w:left="790"/>
            </w:pPr>
            <w:r>
              <w:rPr>
                <w:spacing w:val="1"/>
              </w:rPr>
              <w:t>少数股东损益(净亏损以“-”号填列)</w:t>
            </w:r>
          </w:p>
        </w:tc>
        <w:tc>
          <w:tcPr>
            <w:tcW w:w="980" w:type="dxa"/>
            <w:tcBorders>
              <w:left w:val="single" w:sz="4" w:space="0" w:color="000000"/>
              <w:bottom w:val="single" w:sz="4" w:space="0" w:color="000000"/>
              <w:right w:val="single" w:sz="4" w:space="0" w:color="000000"/>
            </w:tcBorders>
            <w:vAlign w:val="top"/>
          </w:tcPr>
          <w:p>
            <w:pPr>
              <w:pStyle w:val="TableText"/>
              <w:spacing w:before="172" w:line="183" w:lineRule="auto"/>
              <w:ind w:left="395"/>
            </w:pPr>
            <w:r>
              <w:rPr>
                <w:spacing w:val="-1"/>
              </w:rPr>
              <w:t>8,473.67</w:t>
            </w:r>
          </w:p>
        </w:tc>
        <w:tc>
          <w:tcPr>
            <w:tcW w:w="1010" w:type="dxa"/>
            <w:tcBorders>
              <w:left w:val="single" w:sz="4" w:space="0" w:color="000000"/>
              <w:bottom w:val="single" w:sz="4" w:space="0" w:color="000000"/>
              <w:right w:val="single" w:sz="4" w:space="0" w:color="000000"/>
            </w:tcBorders>
            <w:vAlign w:val="top"/>
          </w:tcPr>
          <w:p>
            <w:pPr>
              <w:pStyle w:val="TableText"/>
              <w:spacing w:before="172" w:line="183" w:lineRule="auto"/>
              <w:jc w:val="right"/>
            </w:pPr>
            <w:r>
              <w:rPr>
                <w:spacing w:val="-7"/>
              </w:rPr>
              <w:t>4,393.25</w:t>
            </w:r>
          </w:p>
        </w:tc>
        <w:tc>
          <w:tcPr>
            <w:tcW w:w="1520" w:type="dxa"/>
            <w:tcBorders>
              <w:left w:val="single" w:sz="4" w:space="0" w:color="000000"/>
              <w:bottom w:val="single" w:sz="4" w:space="0" w:color="000000"/>
              <w:right w:val="single" w:sz="4" w:space="0" w:color="000000"/>
            </w:tcBorders>
            <w:vAlign w:val="top"/>
          </w:tcPr>
          <w:p>
            <w:pPr>
              <w:pStyle w:val="TableText"/>
              <w:spacing w:before="161" w:line="184" w:lineRule="auto"/>
              <w:ind w:right="20"/>
              <w:jc w:val="right"/>
            </w:pPr>
            <w:r>
              <w:rPr>
                <w:spacing w:val="-2"/>
              </w:rPr>
              <w:t>1,407.22</w:t>
            </w:r>
          </w:p>
        </w:tc>
        <w:tc>
          <w:tcPr>
            <w:tcW w:w="1030" w:type="dxa"/>
            <w:tcBorders>
              <w:left w:val="single" w:sz="4" w:space="0" w:color="000000"/>
              <w:bottom w:val="single" w:sz="4" w:space="0" w:color="000000"/>
              <w:right w:val="single" w:sz="4" w:space="0" w:color="000000"/>
            </w:tcBorders>
            <w:vAlign w:val="top"/>
          </w:tcPr>
          <w:p>
            <w:pPr>
              <w:pStyle w:val="TableText"/>
              <w:spacing w:before="161" w:line="184" w:lineRule="auto"/>
              <w:ind w:right="20"/>
              <w:jc w:val="right"/>
            </w:pPr>
            <w:r>
              <w:rPr>
                <w:spacing w:val="-2"/>
              </w:rPr>
              <w:t>1,611.20</w:t>
            </w:r>
          </w:p>
        </w:tc>
        <w:tc>
          <w:tcPr>
            <w:tcW w:w="920" w:type="dxa"/>
            <w:tcBorders>
              <w:left w:val="single" w:sz="4" w:space="0" w:color="000000"/>
              <w:bottom w:val="single" w:sz="4" w:space="0" w:color="000000"/>
            </w:tcBorders>
            <w:vAlign w:val="top"/>
          </w:tcPr>
          <w:p>
            <w:pPr>
              <w:pStyle w:val="TableText"/>
              <w:spacing w:before="201" w:line="184" w:lineRule="auto"/>
              <w:ind w:left="325"/>
            </w:pPr>
            <w:r>
              <w:rPr>
                <w:spacing w:val="-2"/>
              </w:rPr>
              <w:t>7,411.67</w:t>
            </w:r>
          </w:p>
        </w:tc>
      </w:tr>
    </w:tbl>
    <w:p>
      <w:pPr>
        <w:pStyle w:val="BodyText"/>
        <w:spacing w:line="289" w:lineRule="auto"/>
      </w:pPr>
    </w:p>
    <w:p>
      <w:pPr>
        <w:spacing w:before="45" w:line="179" w:lineRule="auto"/>
        <w:ind w:left="2781"/>
        <w:rPr>
          <w:rFonts w:ascii="仿宋" w:eastAsia="仿宋" w:hAnsi="仿宋" w:cs="仿宋"/>
          <w:sz w:val="14"/>
          <w:szCs w:val="14"/>
        </w:rPr>
      </w:pPr>
      <w:r>
        <w:pict>
          <v:shape id="_x0000_s1029" o:spid="_x0000_s1028" type="#_x0000_t202" style="width:59.8pt;height:10.5pt;margin-top:0.35pt;margin-left:0.05pt;mso-height-relative:page;mso-width-relative:page;position:absolute;z-index:251662336" coordsize="21600,21600" filled="f" stroked="f">
            <o:lock v:ext="edit" aspectratio="f"/>
            <v:textbox inset="0,0,0,0">
              <w:txbxContent>
                <w:p>
                  <w:pPr>
                    <w:spacing w:before="20" w:line="223" w:lineRule="auto"/>
                    <w:ind w:left="20"/>
                    <w:rPr>
                      <w:rFonts w:ascii="仿宋" w:eastAsia="仿宋" w:hAnsi="仿宋" w:cs="仿宋"/>
                      <w:sz w:val="14"/>
                      <w:szCs w:val="14"/>
                    </w:rPr>
                  </w:pPr>
                  <w:r>
                    <w:rPr>
                      <w:rFonts w:ascii="仿宋" w:eastAsia="仿宋" w:hAnsi="仿宋" w:cs="仿宋"/>
                      <w:b/>
                      <w:bCs/>
                      <w:spacing w:val="3"/>
                      <w:sz w:val="14"/>
                      <w:szCs w:val="14"/>
                    </w:rPr>
                    <w:t>公司法定代表人：</w:t>
                  </w:r>
                </w:p>
              </w:txbxContent>
            </v:textbox>
          </v:shape>
        </w:pict>
      </w:r>
      <w:r>
        <w:pict>
          <v:shape id="_x0000_s1030" o:spid="_x0000_s1029" type="#_x0000_t202" style="width:74.05pt;height:10.45pt;margin-top:1.95pt;margin-left:316.45pt;mso-height-relative:page;mso-width-relative:page;position:absolute;z-index:251661312" coordsize="21600,21600" filled="f" stroked="f">
            <o:lock v:ext="edit" aspectratio="f"/>
            <v:textbox inset="0,0,0,0">
              <w:txbxContent>
                <w:p>
                  <w:pPr>
                    <w:spacing w:before="20" w:line="222" w:lineRule="auto"/>
                    <w:ind w:left="20"/>
                    <w:rPr>
                      <w:rFonts w:ascii="仿宋" w:eastAsia="仿宋" w:hAnsi="仿宋" w:cs="仿宋"/>
                      <w:sz w:val="14"/>
                      <w:szCs w:val="14"/>
                    </w:rPr>
                  </w:pPr>
                  <w:r>
                    <w:rPr>
                      <w:rFonts w:ascii="仿宋" w:eastAsia="仿宋" w:hAnsi="仿宋" w:cs="仿宋"/>
                      <w:spacing w:val="4"/>
                      <w:sz w:val="14"/>
                      <w:szCs w:val="14"/>
                    </w:rPr>
                    <w:t>公司会计机构负责人：</w:t>
                  </w:r>
                </w:p>
              </w:txbxContent>
            </v:textbox>
          </v:shape>
        </w:pict>
      </w:r>
      <w:r>
        <w:rPr>
          <w:rFonts w:ascii="仿宋" w:eastAsia="仿宋" w:hAnsi="仿宋" w:cs="仿宋"/>
          <w:b/>
          <w:bCs/>
          <w:spacing w:val="1"/>
          <w:sz w:val="14"/>
          <w:szCs w:val="14"/>
        </w:rPr>
        <w:t>主管会计工作的公司负责人：</w:t>
      </w:r>
    </w:p>
    <w:p>
      <w:pPr>
        <w:spacing w:line="612" w:lineRule="exact"/>
        <w:ind w:firstLine="2370"/>
      </w:pPr>
    </w:p>
    <w:p>
      <w:pPr>
        <w:pStyle w:val="BodyText"/>
        <w:spacing w:line="291" w:lineRule="auto"/>
      </w:pPr>
    </w:p>
    <w:p>
      <w:pPr>
        <w:pStyle w:val="BodyText"/>
        <w:spacing w:line="291" w:lineRule="auto"/>
      </w:pPr>
    </w:p>
    <w:p>
      <w:pPr>
        <w:spacing w:before="56" w:line="183" w:lineRule="auto"/>
        <w:ind w:left="4450"/>
        <w:rPr>
          <w:rFonts w:ascii="宋体" w:eastAsia="宋体" w:hAnsi="宋体" w:cs="宋体"/>
          <w:sz w:val="17"/>
          <w:szCs w:val="17"/>
        </w:rPr>
      </w:pPr>
      <w:r>
        <w:rPr>
          <w:rFonts w:ascii="宋体" w:eastAsia="宋体" w:hAnsi="宋体" w:cs="宋体"/>
          <w:sz w:val="17"/>
          <w:szCs w:val="17"/>
        </w:rPr>
        <w:t>2</w:t>
      </w:r>
    </w:p>
    <w:p>
      <w:pPr>
        <w:spacing w:before="297" w:line="183" w:lineRule="auto"/>
        <w:ind w:left="4189"/>
        <w:rPr>
          <w:rFonts w:ascii="宋体" w:eastAsia="宋体" w:hAnsi="宋体" w:cs="宋体"/>
          <w:sz w:val="19"/>
          <w:szCs w:val="19"/>
        </w:rPr>
      </w:pPr>
      <w:r>
        <w:rPr>
          <w:rFonts w:ascii="宋体" w:eastAsia="宋体" w:hAnsi="宋体" w:cs="宋体"/>
          <w:spacing w:val="-7"/>
          <w:sz w:val="19"/>
          <w:szCs w:val="19"/>
        </w:rPr>
        <w:t>3-2-3-4</w:t>
      </w:r>
    </w:p>
    <w:p>
      <w:pPr>
        <w:spacing w:line="183" w:lineRule="auto"/>
        <w:rPr>
          <w:rFonts w:ascii="宋体" w:eastAsia="宋体" w:hAnsi="宋体" w:cs="宋体"/>
          <w:sz w:val="19"/>
          <w:szCs w:val="19"/>
        </w:rPr>
        <w:sectPr>
          <w:headerReference w:type="default" r:id="rId5"/>
          <w:pgSz w:w="11900" w:h="16820"/>
          <w:pgMar w:top="400" w:right="490" w:bottom="0" w:left="1499" w:header="0" w:footer="0" w:gutter="0"/>
          <w:pgNumType w:start="6"/>
          <w:cols w:num="1" w:space="720"/>
        </w:sectPr>
      </w:pPr>
    </w:p>
    <w:p>
      <w:pPr>
        <w:pStyle w:val="BodyText"/>
        <w:spacing w:line="286" w:lineRule="auto"/>
      </w:pPr>
    </w:p>
    <w:p>
      <w:pPr>
        <w:pStyle w:val="BodyText"/>
        <w:spacing w:line="287" w:lineRule="auto"/>
      </w:pPr>
    </w:p>
    <w:p>
      <w:pPr>
        <w:pStyle w:val="BodyText"/>
        <w:spacing w:line="287" w:lineRule="auto"/>
      </w:pPr>
    </w:p>
    <w:p>
      <w:pPr>
        <w:spacing w:before="72" w:line="222" w:lineRule="auto"/>
        <w:ind w:left="29"/>
        <w:rPr>
          <w:rFonts w:ascii="仿宋" w:eastAsia="仿宋" w:hAnsi="仿宋" w:cs="仿宋"/>
          <w:sz w:val="22"/>
          <w:szCs w:val="22"/>
        </w:rPr>
      </w:pPr>
      <w:r>
        <w:rPr>
          <w:rFonts w:ascii="仿宋" w:eastAsia="仿宋" w:hAnsi="仿宋" w:cs="仿宋"/>
          <w:spacing w:val="1"/>
          <w:sz w:val="22"/>
          <w:szCs w:val="22"/>
        </w:rPr>
        <w:t>美新科技股份有限公司</w:t>
      </w:r>
    </w:p>
    <w:p>
      <w:pPr>
        <w:spacing w:before="42" w:line="220" w:lineRule="auto"/>
        <w:ind w:left="29"/>
        <w:rPr>
          <w:rFonts w:ascii="仿宋" w:eastAsia="仿宋" w:hAnsi="仿宋" w:cs="仿宋"/>
          <w:sz w:val="22"/>
          <w:szCs w:val="22"/>
        </w:rPr>
      </w:pPr>
      <w:r>
        <w:rPr>
          <w:rFonts w:ascii="仿宋" w:eastAsia="仿宋" w:hAnsi="仿宋" w:cs="仿宋"/>
          <w:spacing w:val="4"/>
          <w:sz w:val="22"/>
          <w:szCs w:val="22"/>
        </w:rPr>
        <w:t>盈利预测的编制基础、假设和编制说明</w:t>
      </w:r>
    </w:p>
    <w:p>
      <w:pPr>
        <w:spacing w:before="28" w:line="221" w:lineRule="auto"/>
        <w:ind w:left="29"/>
        <w:rPr>
          <w:rFonts w:ascii="仿宋" w:eastAsia="仿宋" w:hAnsi="仿宋" w:cs="仿宋"/>
          <w:sz w:val="22"/>
          <w:szCs w:val="22"/>
        </w:rPr>
      </w:pPr>
      <w:r>
        <w:rPr>
          <w:rFonts w:ascii="仿宋" w:eastAsia="仿宋" w:hAnsi="仿宋" w:cs="仿宋"/>
          <w:spacing w:val="11"/>
          <w:sz w:val="22"/>
          <w:szCs w:val="22"/>
        </w:rPr>
        <w:t>2023年度(除特别注明外，金额单位为人民币万元)</w:t>
      </w:r>
    </w:p>
    <w:p>
      <w:pPr>
        <w:spacing w:before="41" w:line="20" w:lineRule="exact"/>
      </w:pPr>
    </w:p>
    <w:p>
      <w:pPr>
        <w:pStyle w:val="BodyText"/>
        <w:spacing w:line="302" w:lineRule="auto"/>
      </w:pPr>
    </w:p>
    <w:p>
      <w:pPr>
        <w:spacing w:before="98" w:line="220" w:lineRule="auto"/>
        <w:ind w:left="2144"/>
        <w:rPr>
          <w:rFonts w:ascii="仿宋" w:eastAsia="仿宋" w:hAnsi="仿宋" w:cs="仿宋"/>
          <w:sz w:val="30"/>
          <w:szCs w:val="30"/>
        </w:rPr>
      </w:pPr>
      <w:r>
        <w:rPr>
          <w:rFonts w:ascii="仿宋" w:eastAsia="仿宋" w:hAnsi="仿宋" w:cs="仿宋"/>
          <w:b/>
          <w:bCs/>
          <w:spacing w:val="-5"/>
          <w:sz w:val="30"/>
          <w:szCs w:val="30"/>
        </w:rPr>
        <w:t>盈利预测的编制基础、假设和编制说明</w:t>
      </w:r>
    </w:p>
    <w:p>
      <w:pPr>
        <w:spacing w:before="216" w:line="227" w:lineRule="auto"/>
        <w:ind w:left="359" w:right="1144"/>
        <w:rPr>
          <w:rFonts w:ascii="仿宋" w:eastAsia="仿宋" w:hAnsi="仿宋" w:cs="仿宋"/>
          <w:sz w:val="22"/>
          <w:szCs w:val="22"/>
        </w:rPr>
      </w:pPr>
      <w:r>
        <w:rPr>
          <w:rFonts w:ascii="仿宋" w:eastAsia="仿宋" w:hAnsi="仿宋" w:cs="仿宋"/>
          <w:spacing w:val="3"/>
          <w:sz w:val="22"/>
          <w:szCs w:val="22"/>
        </w:rPr>
        <w:t>美新科技股份有限公司(以下简称：“美新科技”或“本公司”)基于以下编制基</w:t>
      </w:r>
      <w:r>
        <w:rPr>
          <w:rFonts w:ascii="仿宋" w:eastAsia="仿宋" w:hAnsi="仿宋" w:cs="仿宋"/>
          <w:spacing w:val="2"/>
          <w:sz w:val="22"/>
          <w:szCs w:val="22"/>
        </w:rPr>
        <w:t>础及基</w:t>
      </w:r>
      <w:r>
        <w:rPr>
          <w:rFonts w:ascii="仿宋" w:eastAsia="仿宋" w:hAnsi="仿宋" w:cs="仿宋"/>
          <w:sz w:val="22"/>
          <w:szCs w:val="22"/>
        </w:rPr>
        <w:t xml:space="preserve"> </w:t>
      </w:r>
      <w:r>
        <w:rPr>
          <w:rFonts w:ascii="仿宋" w:eastAsia="仿宋" w:hAnsi="仿宋" w:cs="仿宋"/>
          <w:spacing w:val="5"/>
          <w:sz w:val="22"/>
          <w:szCs w:val="22"/>
        </w:rPr>
        <w:t>本假设对2023年度盈利情况进行预测。</w:t>
      </w:r>
    </w:p>
    <w:p>
      <w:pPr>
        <w:spacing w:before="246" w:line="228" w:lineRule="auto"/>
        <w:ind w:left="359" w:right="1139"/>
        <w:rPr>
          <w:rFonts w:ascii="仿宋" w:eastAsia="仿宋" w:hAnsi="仿宋" w:cs="仿宋"/>
          <w:sz w:val="22"/>
          <w:szCs w:val="22"/>
        </w:rPr>
      </w:pPr>
      <w:r>
        <w:rPr>
          <w:rFonts w:ascii="仿宋" w:eastAsia="仿宋" w:hAnsi="仿宋" w:cs="仿宋"/>
          <w:spacing w:val="3"/>
          <w:sz w:val="22"/>
          <w:szCs w:val="22"/>
        </w:rPr>
        <w:t>鉴于盈利预测所依据的各种假设具有不确定性，投资者在进行投资决策时不应过分依赖</w:t>
      </w:r>
      <w:r>
        <w:rPr>
          <w:rFonts w:ascii="仿宋" w:eastAsia="仿宋" w:hAnsi="仿宋" w:cs="仿宋"/>
          <w:spacing w:val="6"/>
          <w:sz w:val="22"/>
          <w:szCs w:val="22"/>
        </w:rPr>
        <w:t xml:space="preserve"> </w:t>
      </w:r>
      <w:r>
        <w:rPr>
          <w:rFonts w:ascii="仿宋" w:eastAsia="仿宋" w:hAnsi="仿宋" w:cs="仿宋"/>
          <w:spacing w:val="-8"/>
          <w:sz w:val="22"/>
          <w:szCs w:val="22"/>
        </w:rPr>
        <w:t>该项资料。</w:t>
      </w:r>
    </w:p>
    <w:p>
      <w:pPr>
        <w:spacing w:before="226" w:line="222" w:lineRule="auto"/>
        <w:ind w:left="33"/>
        <w:outlineLvl w:val="0"/>
        <w:rPr>
          <w:rFonts w:ascii="仿宋" w:eastAsia="仿宋" w:hAnsi="仿宋" w:cs="仿宋"/>
          <w:sz w:val="22"/>
          <w:szCs w:val="22"/>
        </w:rPr>
      </w:pPr>
      <w:r>
        <w:rPr>
          <w:rFonts w:ascii="仿宋" w:eastAsia="仿宋" w:hAnsi="仿宋" w:cs="仿宋"/>
          <w:b/>
          <w:bCs/>
          <w:spacing w:val="-1"/>
          <w:sz w:val="22"/>
          <w:szCs w:val="22"/>
        </w:rPr>
        <w:t>一、盈利预测编制基础</w:t>
      </w:r>
    </w:p>
    <w:p>
      <w:pPr>
        <w:spacing w:before="267" w:line="232" w:lineRule="auto"/>
        <w:ind w:left="359" w:right="1142"/>
        <w:rPr>
          <w:rFonts w:ascii="仿宋" w:eastAsia="仿宋" w:hAnsi="仿宋" w:cs="仿宋"/>
          <w:sz w:val="22"/>
          <w:szCs w:val="22"/>
        </w:rPr>
      </w:pPr>
      <w:r>
        <w:rPr>
          <w:rFonts w:ascii="仿宋" w:eastAsia="仿宋" w:hAnsi="仿宋" w:cs="仿宋"/>
          <w:spacing w:val="7"/>
          <w:sz w:val="22"/>
          <w:szCs w:val="22"/>
        </w:rPr>
        <w:t>1、公司盈利预测报告系管理层根据公司经审计的2022年度及2023年1-6月的合并经营</w:t>
      </w:r>
      <w:r>
        <w:rPr>
          <w:rFonts w:ascii="仿宋" w:eastAsia="仿宋" w:hAnsi="仿宋" w:cs="仿宋"/>
          <w:sz w:val="22"/>
          <w:szCs w:val="22"/>
        </w:rPr>
        <w:t xml:space="preserve"> </w:t>
      </w:r>
      <w:r>
        <w:rPr>
          <w:rFonts w:ascii="仿宋" w:eastAsia="仿宋" w:hAnsi="仿宋" w:cs="仿宋"/>
          <w:spacing w:val="9"/>
          <w:sz w:val="22"/>
          <w:szCs w:val="22"/>
        </w:rPr>
        <w:t>业绩、未经审计或审阅的2023年7-9月的实际经营业绩，结合2023年度的市场情况、</w:t>
      </w:r>
      <w:r>
        <w:rPr>
          <w:rFonts w:ascii="仿宋" w:eastAsia="仿宋" w:hAnsi="仿宋" w:cs="仿宋"/>
          <w:spacing w:val="10"/>
          <w:sz w:val="22"/>
          <w:szCs w:val="22"/>
        </w:rPr>
        <w:t xml:space="preserve"> </w:t>
      </w:r>
      <w:r>
        <w:rPr>
          <w:rFonts w:ascii="仿宋" w:eastAsia="仿宋" w:hAnsi="仿宋" w:cs="仿宋"/>
          <w:spacing w:val="3"/>
          <w:sz w:val="22"/>
          <w:szCs w:val="22"/>
        </w:rPr>
        <w:t>经营环境、生产经营计划、营销计划、投资计划、融资计划以及各项假设条件的前提下</w:t>
      </w:r>
      <w:r>
        <w:rPr>
          <w:rFonts w:ascii="仿宋" w:eastAsia="仿宋" w:hAnsi="仿宋" w:cs="仿宋"/>
          <w:spacing w:val="2"/>
          <w:sz w:val="22"/>
          <w:szCs w:val="22"/>
        </w:rPr>
        <w:t xml:space="preserve"> </w:t>
      </w:r>
      <w:r>
        <w:rPr>
          <w:rFonts w:ascii="仿宋" w:eastAsia="仿宋" w:hAnsi="仿宋" w:cs="仿宋"/>
          <w:spacing w:val="-9"/>
          <w:sz w:val="22"/>
          <w:szCs w:val="22"/>
        </w:rPr>
        <w:t>编制的。</w:t>
      </w:r>
    </w:p>
    <w:p>
      <w:pPr>
        <w:spacing w:before="263" w:line="236" w:lineRule="auto"/>
        <w:ind w:left="359" w:right="1114"/>
        <w:jc w:val="both"/>
        <w:rPr>
          <w:rFonts w:ascii="仿宋" w:eastAsia="仿宋" w:hAnsi="仿宋" w:cs="仿宋"/>
          <w:sz w:val="22"/>
          <w:szCs w:val="22"/>
        </w:rPr>
      </w:pPr>
      <w:r>
        <w:rPr>
          <w:rFonts w:ascii="仿宋" w:eastAsia="仿宋" w:hAnsi="仿宋" w:cs="仿宋"/>
          <w:spacing w:val="7"/>
          <w:sz w:val="22"/>
          <w:szCs w:val="22"/>
        </w:rPr>
        <w:t>2、公司编制本盈利预测报告所依据的编制基础、主要会计</w:t>
      </w:r>
      <w:r>
        <w:rPr>
          <w:rFonts w:ascii="仿宋" w:eastAsia="仿宋" w:hAnsi="仿宋" w:cs="仿宋"/>
          <w:spacing w:val="6"/>
          <w:sz w:val="22"/>
          <w:szCs w:val="22"/>
        </w:rPr>
        <w:t>政策和会计估计均符合《企</w:t>
      </w:r>
      <w:r>
        <w:rPr>
          <w:rFonts w:ascii="仿宋" w:eastAsia="仿宋" w:hAnsi="仿宋" w:cs="仿宋"/>
          <w:sz w:val="22"/>
          <w:szCs w:val="22"/>
        </w:rPr>
        <w:t xml:space="preserve"> </w:t>
      </w:r>
      <w:r>
        <w:rPr>
          <w:rFonts w:ascii="仿宋" w:eastAsia="仿宋" w:hAnsi="仿宋" w:cs="仿宋"/>
          <w:spacing w:val="2"/>
          <w:sz w:val="22"/>
          <w:szCs w:val="22"/>
        </w:rPr>
        <w:t>业会计准则》的规定，在所有重要方面均与公司编制报告期间的财务报表所采用的编制</w:t>
      </w:r>
      <w:r>
        <w:rPr>
          <w:rFonts w:ascii="仿宋" w:eastAsia="仿宋" w:hAnsi="仿宋" w:cs="仿宋"/>
          <w:spacing w:val="10"/>
          <w:sz w:val="22"/>
          <w:szCs w:val="22"/>
        </w:rPr>
        <w:t xml:space="preserve"> </w:t>
      </w:r>
      <w:r>
        <w:rPr>
          <w:rFonts w:ascii="仿宋" w:eastAsia="仿宋" w:hAnsi="仿宋" w:cs="仿宋"/>
          <w:spacing w:val="2"/>
          <w:sz w:val="22"/>
          <w:szCs w:val="22"/>
        </w:rPr>
        <w:t>基础、主要会计政策和会计估计一致。</w:t>
      </w:r>
    </w:p>
    <w:p>
      <w:pPr>
        <w:spacing w:before="215" w:line="500" w:lineRule="exact"/>
        <w:ind w:left="33"/>
        <w:rPr>
          <w:rFonts w:ascii="仿宋" w:eastAsia="仿宋" w:hAnsi="仿宋" w:cs="仿宋"/>
          <w:sz w:val="22"/>
          <w:szCs w:val="22"/>
        </w:rPr>
      </w:pPr>
      <w:r>
        <w:rPr>
          <w:rFonts w:ascii="仿宋" w:eastAsia="仿宋" w:hAnsi="仿宋" w:cs="仿宋"/>
          <w:b/>
          <w:bCs/>
          <w:spacing w:val="-6"/>
          <w:position w:val="21"/>
          <w:sz w:val="22"/>
          <w:szCs w:val="22"/>
        </w:rPr>
        <w:t>二、</w:t>
      </w:r>
      <w:r>
        <w:rPr>
          <w:rFonts w:ascii="仿宋" w:eastAsia="仿宋" w:hAnsi="仿宋" w:cs="仿宋"/>
          <w:spacing w:val="-32"/>
          <w:position w:val="21"/>
          <w:sz w:val="22"/>
          <w:szCs w:val="22"/>
        </w:rPr>
        <w:t xml:space="preserve"> </w:t>
      </w:r>
      <w:r>
        <w:rPr>
          <w:rFonts w:ascii="仿宋" w:eastAsia="仿宋" w:hAnsi="仿宋" w:cs="仿宋"/>
          <w:b/>
          <w:bCs/>
          <w:spacing w:val="-6"/>
          <w:position w:val="21"/>
          <w:sz w:val="22"/>
          <w:szCs w:val="22"/>
        </w:rPr>
        <w:t>盈利预测的相关假设</w:t>
      </w:r>
    </w:p>
    <w:p>
      <w:pPr>
        <w:spacing w:line="220" w:lineRule="auto"/>
        <w:ind w:left="143"/>
        <w:rPr>
          <w:rFonts w:ascii="仿宋" w:eastAsia="仿宋" w:hAnsi="仿宋" w:cs="仿宋"/>
          <w:sz w:val="22"/>
          <w:szCs w:val="22"/>
        </w:rPr>
      </w:pPr>
      <w:r>
        <w:rPr>
          <w:rFonts w:ascii="仿宋" w:eastAsia="仿宋" w:hAnsi="仿宋" w:cs="仿宋"/>
          <w:b/>
          <w:bCs/>
          <w:spacing w:val="8"/>
          <w:sz w:val="22"/>
          <w:szCs w:val="22"/>
        </w:rPr>
        <w:t>(</w:t>
      </w:r>
      <w:r>
        <w:rPr>
          <w:rFonts w:ascii="仿宋" w:eastAsia="仿宋" w:hAnsi="仿宋" w:cs="仿宋"/>
          <w:spacing w:val="-65"/>
          <w:sz w:val="22"/>
          <w:szCs w:val="22"/>
        </w:rPr>
        <w:t xml:space="preserve"> </w:t>
      </w:r>
      <w:r>
        <w:rPr>
          <w:rFonts w:ascii="仿宋" w:eastAsia="仿宋" w:hAnsi="仿宋" w:cs="仿宋"/>
          <w:b/>
          <w:bCs/>
          <w:spacing w:val="8"/>
          <w:sz w:val="22"/>
          <w:szCs w:val="22"/>
        </w:rPr>
        <w:t>一)基本假设</w:t>
      </w:r>
    </w:p>
    <w:p>
      <w:pPr>
        <w:spacing w:before="281" w:line="224" w:lineRule="auto"/>
        <w:ind w:left="359" w:right="1183"/>
        <w:rPr>
          <w:rFonts w:ascii="仿宋" w:eastAsia="仿宋" w:hAnsi="仿宋" w:cs="仿宋"/>
          <w:sz w:val="22"/>
          <w:szCs w:val="22"/>
        </w:rPr>
      </w:pPr>
      <w:r>
        <w:rPr>
          <w:rFonts w:ascii="仿宋" w:eastAsia="仿宋" w:hAnsi="仿宋" w:cs="仿宋"/>
          <w:spacing w:val="3"/>
          <w:sz w:val="22"/>
          <w:szCs w:val="22"/>
        </w:rPr>
        <w:t>1、</w:t>
      </w:r>
      <w:r>
        <w:rPr>
          <w:rFonts w:ascii="仿宋" w:eastAsia="仿宋" w:hAnsi="仿宋" w:cs="仿宋"/>
          <w:spacing w:val="-39"/>
          <w:sz w:val="22"/>
          <w:szCs w:val="22"/>
        </w:rPr>
        <w:t xml:space="preserve"> </w:t>
      </w:r>
      <w:r>
        <w:rPr>
          <w:rFonts w:ascii="仿宋" w:eastAsia="仿宋" w:hAnsi="仿宋" w:cs="仿宋"/>
          <w:spacing w:val="3"/>
          <w:sz w:val="22"/>
          <w:szCs w:val="22"/>
        </w:rPr>
        <w:t>于预测期间，本公司所遵循的我国和地方现行政策、法律法规以及当前的社会、政</w:t>
      </w:r>
      <w:r>
        <w:rPr>
          <w:rFonts w:ascii="仿宋" w:eastAsia="仿宋" w:hAnsi="仿宋" w:cs="仿宋"/>
          <w:sz w:val="22"/>
          <w:szCs w:val="22"/>
        </w:rPr>
        <w:t xml:space="preserve"> 治、经济环境不发生重大变化；</w:t>
      </w:r>
    </w:p>
    <w:p>
      <w:pPr>
        <w:spacing w:before="247" w:line="478" w:lineRule="exact"/>
        <w:ind w:left="359"/>
        <w:rPr>
          <w:rFonts w:ascii="仿宋" w:eastAsia="仿宋" w:hAnsi="仿宋" w:cs="仿宋"/>
          <w:sz w:val="22"/>
          <w:szCs w:val="22"/>
        </w:rPr>
      </w:pPr>
      <w:r>
        <w:rPr>
          <w:rFonts w:ascii="仿宋" w:eastAsia="仿宋" w:hAnsi="仿宋" w:cs="仿宋"/>
          <w:spacing w:val="1"/>
          <w:position w:val="19"/>
          <w:sz w:val="22"/>
          <w:szCs w:val="22"/>
        </w:rPr>
        <w:t>2、</w:t>
      </w:r>
      <w:r>
        <w:rPr>
          <w:rFonts w:ascii="仿宋" w:eastAsia="仿宋" w:hAnsi="仿宋" w:cs="仿宋"/>
          <w:spacing w:val="-38"/>
          <w:position w:val="19"/>
          <w:sz w:val="22"/>
          <w:szCs w:val="22"/>
        </w:rPr>
        <w:t xml:space="preserve"> </w:t>
      </w:r>
      <w:r>
        <w:rPr>
          <w:rFonts w:ascii="仿宋" w:eastAsia="仿宋" w:hAnsi="仿宋" w:cs="仿宋"/>
          <w:spacing w:val="1"/>
          <w:position w:val="19"/>
          <w:sz w:val="22"/>
          <w:szCs w:val="22"/>
        </w:rPr>
        <w:t>于预测期间，本公司所遵循的税收政策、执行的税负、税率不发生重大变化；</w:t>
      </w:r>
    </w:p>
    <w:p>
      <w:pPr>
        <w:spacing w:line="219" w:lineRule="auto"/>
        <w:ind w:left="359"/>
        <w:rPr>
          <w:rFonts w:ascii="仿宋" w:eastAsia="仿宋" w:hAnsi="仿宋" w:cs="仿宋"/>
          <w:sz w:val="22"/>
          <w:szCs w:val="22"/>
        </w:rPr>
      </w:pPr>
      <w:r>
        <w:rPr>
          <w:rFonts w:ascii="仿宋" w:eastAsia="仿宋" w:hAnsi="仿宋" w:cs="仿宋"/>
          <w:spacing w:val="-1"/>
          <w:sz w:val="22"/>
          <w:szCs w:val="22"/>
        </w:rPr>
        <w:t>3、</w:t>
      </w:r>
      <w:r>
        <w:rPr>
          <w:rFonts w:ascii="仿宋" w:eastAsia="仿宋" w:hAnsi="仿宋" w:cs="仿宋"/>
          <w:spacing w:val="-35"/>
          <w:sz w:val="22"/>
          <w:szCs w:val="22"/>
        </w:rPr>
        <w:t xml:space="preserve"> </w:t>
      </w:r>
      <w:r>
        <w:rPr>
          <w:rFonts w:ascii="仿宋" w:eastAsia="仿宋" w:hAnsi="仿宋" w:cs="仿宋"/>
          <w:spacing w:val="-1"/>
          <w:sz w:val="22"/>
          <w:szCs w:val="22"/>
        </w:rPr>
        <w:t>于预测期间，本公司适用的金融机构信贷利率相对稳定；</w:t>
      </w:r>
    </w:p>
    <w:p>
      <w:pPr>
        <w:spacing w:before="261" w:line="491" w:lineRule="exact"/>
        <w:ind w:left="359"/>
        <w:rPr>
          <w:rFonts w:ascii="仿宋" w:eastAsia="仿宋" w:hAnsi="仿宋" w:cs="仿宋"/>
          <w:sz w:val="22"/>
          <w:szCs w:val="22"/>
        </w:rPr>
      </w:pPr>
      <w:r>
        <w:rPr>
          <w:rFonts w:ascii="仿宋" w:eastAsia="仿宋" w:hAnsi="仿宋" w:cs="仿宋"/>
          <w:spacing w:val="1"/>
          <w:position w:val="20"/>
          <w:sz w:val="22"/>
          <w:szCs w:val="22"/>
        </w:rPr>
        <w:t>4、</w:t>
      </w:r>
      <w:r>
        <w:rPr>
          <w:rFonts w:ascii="仿宋" w:eastAsia="仿宋" w:hAnsi="仿宋" w:cs="仿宋"/>
          <w:spacing w:val="-39"/>
          <w:position w:val="20"/>
          <w:sz w:val="22"/>
          <w:szCs w:val="22"/>
        </w:rPr>
        <w:t xml:space="preserve"> </w:t>
      </w:r>
      <w:r>
        <w:rPr>
          <w:rFonts w:ascii="仿宋" w:eastAsia="仿宋" w:hAnsi="仿宋" w:cs="仿宋"/>
          <w:spacing w:val="1"/>
          <w:position w:val="20"/>
          <w:sz w:val="22"/>
          <w:szCs w:val="22"/>
        </w:rPr>
        <w:t>于预测期间，本公司所从事行业的市场状况及市场占有率不</w:t>
      </w:r>
      <w:r>
        <w:rPr>
          <w:rFonts w:ascii="仿宋" w:eastAsia="仿宋" w:hAnsi="仿宋" w:cs="仿宋"/>
          <w:position w:val="20"/>
          <w:sz w:val="22"/>
          <w:szCs w:val="22"/>
        </w:rPr>
        <w:t>发生重大变化；</w:t>
      </w:r>
    </w:p>
    <w:p>
      <w:pPr>
        <w:spacing w:line="221" w:lineRule="auto"/>
        <w:ind w:left="359"/>
        <w:rPr>
          <w:rFonts w:ascii="仿宋" w:eastAsia="仿宋" w:hAnsi="仿宋" w:cs="仿宋"/>
          <w:sz w:val="22"/>
          <w:szCs w:val="22"/>
        </w:rPr>
      </w:pPr>
      <w:r>
        <w:rPr>
          <w:rFonts w:ascii="仿宋" w:eastAsia="仿宋" w:hAnsi="仿宋" w:cs="仿宋"/>
          <w:spacing w:val="1"/>
          <w:sz w:val="22"/>
          <w:szCs w:val="22"/>
        </w:rPr>
        <w:t>5、</w:t>
      </w:r>
      <w:r>
        <w:rPr>
          <w:rFonts w:ascii="仿宋" w:eastAsia="仿宋" w:hAnsi="仿宋" w:cs="仿宋"/>
          <w:spacing w:val="-37"/>
          <w:sz w:val="22"/>
          <w:szCs w:val="22"/>
        </w:rPr>
        <w:t xml:space="preserve"> </w:t>
      </w:r>
      <w:r>
        <w:rPr>
          <w:rFonts w:ascii="仿宋" w:eastAsia="仿宋" w:hAnsi="仿宋" w:cs="仿宋"/>
          <w:spacing w:val="1"/>
          <w:sz w:val="22"/>
          <w:szCs w:val="22"/>
        </w:rPr>
        <w:t>于预测期间，无其他不可抗拒因素和不可预见因素所造</w:t>
      </w:r>
      <w:r>
        <w:rPr>
          <w:rFonts w:ascii="仿宋" w:eastAsia="仿宋" w:hAnsi="仿宋" w:cs="仿宋"/>
          <w:sz w:val="22"/>
          <w:szCs w:val="22"/>
        </w:rPr>
        <w:t>成的重大不利影响；</w:t>
      </w:r>
    </w:p>
    <w:p>
      <w:pPr>
        <w:spacing w:before="246" w:line="222" w:lineRule="auto"/>
        <w:ind w:left="359"/>
        <w:rPr>
          <w:rFonts w:ascii="仿宋" w:eastAsia="仿宋" w:hAnsi="仿宋" w:cs="仿宋"/>
          <w:sz w:val="22"/>
          <w:szCs w:val="22"/>
        </w:rPr>
      </w:pPr>
      <w:r>
        <w:rPr>
          <w:rFonts w:ascii="仿宋" w:eastAsia="仿宋" w:hAnsi="仿宋" w:cs="仿宋"/>
          <w:spacing w:val="2"/>
          <w:sz w:val="22"/>
          <w:szCs w:val="22"/>
        </w:rPr>
        <w:t>6、</w:t>
      </w:r>
      <w:r>
        <w:rPr>
          <w:rFonts w:ascii="仿宋" w:eastAsia="仿宋" w:hAnsi="仿宋" w:cs="仿宋"/>
          <w:spacing w:val="-48"/>
          <w:sz w:val="22"/>
          <w:szCs w:val="22"/>
        </w:rPr>
        <w:t xml:space="preserve"> </w:t>
      </w:r>
      <w:r>
        <w:rPr>
          <w:rFonts w:ascii="仿宋" w:eastAsia="仿宋" w:hAnsi="仿宋" w:cs="仿宋"/>
          <w:spacing w:val="2"/>
          <w:sz w:val="22"/>
          <w:szCs w:val="22"/>
        </w:rPr>
        <w:t>于预测期间，本公司组织结构及经营活</w:t>
      </w:r>
      <w:r>
        <w:rPr>
          <w:rFonts w:ascii="仿宋" w:eastAsia="仿宋" w:hAnsi="仿宋" w:cs="仿宋"/>
          <w:spacing w:val="1"/>
          <w:sz w:val="22"/>
          <w:szCs w:val="22"/>
        </w:rPr>
        <w:t>动、预计产品结构及生产能力无重大变化。</w:t>
      </w:r>
    </w:p>
    <w:p>
      <w:pPr>
        <w:spacing w:before="191" w:line="220" w:lineRule="auto"/>
        <w:ind w:left="113"/>
        <w:rPr>
          <w:rFonts w:ascii="仿宋" w:eastAsia="仿宋" w:hAnsi="仿宋" w:cs="仿宋"/>
          <w:sz w:val="22"/>
          <w:szCs w:val="22"/>
        </w:rPr>
      </w:pPr>
      <w:r>
        <w:rPr>
          <w:rFonts w:ascii="仿宋" w:eastAsia="仿宋" w:hAnsi="仿宋" w:cs="仿宋"/>
          <w:b/>
          <w:bCs/>
          <w:spacing w:val="16"/>
          <w:sz w:val="22"/>
          <w:szCs w:val="22"/>
        </w:rPr>
        <w:t>(二)特定假设</w:t>
      </w:r>
    </w:p>
    <w:p>
      <w:pPr>
        <w:spacing w:before="272" w:line="225" w:lineRule="auto"/>
        <w:ind w:left="359" w:right="1146"/>
        <w:rPr>
          <w:rFonts w:ascii="仿宋" w:eastAsia="仿宋" w:hAnsi="仿宋" w:cs="仿宋"/>
          <w:sz w:val="22"/>
          <w:szCs w:val="22"/>
        </w:rPr>
      </w:pPr>
      <w:r>
        <w:rPr>
          <w:rFonts w:ascii="仿宋" w:eastAsia="仿宋" w:hAnsi="仿宋" w:cs="仿宋"/>
          <w:spacing w:val="6"/>
          <w:sz w:val="22"/>
          <w:szCs w:val="22"/>
        </w:rPr>
        <w:t>1、于预测期间，本公司制定的生产计划、销售计划能够顺利执行，预计</w:t>
      </w:r>
      <w:r>
        <w:rPr>
          <w:rFonts w:ascii="仿宋" w:eastAsia="仿宋" w:hAnsi="仿宋" w:cs="仿宋"/>
          <w:spacing w:val="5"/>
          <w:sz w:val="22"/>
          <w:szCs w:val="22"/>
        </w:rPr>
        <w:t>产品结构不会</w:t>
      </w:r>
      <w:r>
        <w:rPr>
          <w:rFonts w:ascii="仿宋" w:eastAsia="仿宋" w:hAnsi="仿宋" w:cs="仿宋"/>
          <w:sz w:val="22"/>
          <w:szCs w:val="22"/>
        </w:rPr>
        <w:t xml:space="preserve"> </w:t>
      </w:r>
      <w:r>
        <w:rPr>
          <w:rFonts w:ascii="仿宋" w:eastAsia="仿宋" w:hAnsi="仿宋" w:cs="仿宋"/>
          <w:spacing w:val="-4"/>
          <w:sz w:val="22"/>
          <w:szCs w:val="22"/>
        </w:rPr>
        <w:t>发生重大变化；</w:t>
      </w:r>
    </w:p>
    <w:p>
      <w:pPr>
        <w:spacing w:before="253" w:line="221" w:lineRule="auto"/>
        <w:ind w:left="359"/>
        <w:rPr>
          <w:rFonts w:ascii="仿宋" w:eastAsia="仿宋" w:hAnsi="仿宋" w:cs="仿宋"/>
          <w:sz w:val="22"/>
          <w:szCs w:val="22"/>
        </w:rPr>
      </w:pPr>
      <w:r>
        <w:rPr>
          <w:rFonts w:ascii="仿宋" w:eastAsia="仿宋" w:hAnsi="仿宋" w:cs="仿宋"/>
          <w:spacing w:val="1"/>
          <w:sz w:val="22"/>
          <w:szCs w:val="22"/>
        </w:rPr>
        <w:t>2、</w:t>
      </w:r>
      <w:r>
        <w:rPr>
          <w:rFonts w:ascii="仿宋" w:eastAsia="仿宋" w:hAnsi="仿宋" w:cs="仿宋"/>
          <w:spacing w:val="-46"/>
          <w:sz w:val="22"/>
          <w:szCs w:val="22"/>
        </w:rPr>
        <w:t xml:space="preserve"> </w:t>
      </w:r>
      <w:r>
        <w:rPr>
          <w:rFonts w:ascii="仿宋" w:eastAsia="仿宋" w:hAnsi="仿宋" w:cs="仿宋"/>
          <w:spacing w:val="1"/>
          <w:sz w:val="22"/>
          <w:szCs w:val="22"/>
        </w:rPr>
        <w:t>于预测期间，本公司所执行的产品定价政策和销售价格不会发生重大变化；</w:t>
      </w:r>
    </w:p>
    <w:p>
      <w:pPr>
        <w:spacing w:before="245" w:line="226" w:lineRule="auto"/>
        <w:ind w:left="359" w:right="1145"/>
        <w:rPr>
          <w:rFonts w:ascii="仿宋" w:eastAsia="仿宋" w:hAnsi="仿宋" w:cs="仿宋"/>
          <w:sz w:val="22"/>
          <w:szCs w:val="22"/>
        </w:rPr>
      </w:pPr>
      <w:r>
        <w:rPr>
          <w:rFonts w:ascii="仿宋" w:eastAsia="仿宋" w:hAnsi="仿宋" w:cs="仿宋"/>
          <w:spacing w:val="4"/>
          <w:sz w:val="22"/>
          <w:szCs w:val="22"/>
        </w:rPr>
        <w:t>3、</w:t>
      </w:r>
      <w:r>
        <w:rPr>
          <w:rFonts w:ascii="仿宋" w:eastAsia="仿宋" w:hAnsi="仿宋" w:cs="仿宋"/>
          <w:spacing w:val="-39"/>
          <w:sz w:val="22"/>
          <w:szCs w:val="22"/>
        </w:rPr>
        <w:t xml:space="preserve"> </w:t>
      </w:r>
      <w:r>
        <w:rPr>
          <w:rFonts w:ascii="仿宋" w:eastAsia="仿宋" w:hAnsi="仿宋" w:cs="仿宋"/>
          <w:spacing w:val="4"/>
          <w:sz w:val="22"/>
          <w:szCs w:val="22"/>
        </w:rPr>
        <w:t>于预测期间，本公司生产经营所需的主要原材料、资源能够按需取得且现行供应价</w:t>
      </w:r>
      <w:r>
        <w:rPr>
          <w:rFonts w:ascii="仿宋" w:eastAsia="仿宋" w:hAnsi="仿宋" w:cs="仿宋"/>
          <w:sz w:val="22"/>
          <w:szCs w:val="22"/>
        </w:rPr>
        <w:t xml:space="preserve"> 格不会发生重大变化；</w:t>
      </w:r>
    </w:p>
    <w:p>
      <w:pPr>
        <w:pStyle w:val="BodyText"/>
        <w:spacing w:line="246" w:lineRule="auto"/>
      </w:pPr>
    </w:p>
    <w:p>
      <w:pPr>
        <w:pStyle w:val="BodyText"/>
        <w:spacing w:line="247" w:lineRule="auto"/>
      </w:pPr>
    </w:p>
    <w:p>
      <w:pPr>
        <w:pStyle w:val="BodyText"/>
        <w:spacing w:line="247" w:lineRule="auto"/>
      </w:pPr>
    </w:p>
    <w:p>
      <w:pPr>
        <w:pStyle w:val="BodyText"/>
        <w:spacing w:line="247" w:lineRule="auto"/>
      </w:pPr>
    </w:p>
    <w:p>
      <w:pPr>
        <w:spacing w:before="50" w:line="183" w:lineRule="auto"/>
        <w:ind w:left="4569"/>
        <w:rPr>
          <w:rFonts w:ascii="宋体" w:eastAsia="宋体" w:hAnsi="宋体" w:cs="宋体"/>
          <w:sz w:val="15"/>
          <w:szCs w:val="15"/>
        </w:rPr>
      </w:pPr>
      <w:r>
        <w:rPr>
          <w:rFonts w:ascii="宋体" w:eastAsia="宋体" w:hAnsi="宋体" w:cs="宋体"/>
          <w:sz w:val="15"/>
          <w:szCs w:val="15"/>
        </w:rPr>
        <w:t>3</w:t>
      </w:r>
    </w:p>
    <w:p>
      <w:pPr>
        <w:pStyle w:val="BodyText"/>
        <w:spacing w:line="293" w:lineRule="auto"/>
      </w:pPr>
    </w:p>
    <w:p>
      <w:pPr>
        <w:pStyle w:val="BodyText"/>
        <w:spacing w:line="294" w:lineRule="auto"/>
      </w:pPr>
    </w:p>
    <w:p>
      <w:pPr>
        <w:spacing w:before="71" w:line="183" w:lineRule="auto"/>
        <w:ind w:left="4179"/>
        <w:rPr>
          <w:rFonts w:ascii="宋体" w:eastAsia="宋体" w:hAnsi="宋体" w:cs="宋体"/>
          <w:sz w:val="22"/>
          <w:szCs w:val="22"/>
        </w:rPr>
      </w:pPr>
      <w:r>
        <w:rPr>
          <w:rFonts w:ascii="宋体" w:eastAsia="宋体" w:hAnsi="宋体" w:cs="宋体"/>
          <w:color w:val="F48A00"/>
          <w:spacing w:val="-19"/>
          <w:sz w:val="22"/>
          <w:szCs w:val="22"/>
        </w:rPr>
        <w:t>3</w:t>
      </w:r>
      <w:r>
        <w:rPr>
          <w:rFonts w:ascii="宋体" w:eastAsia="宋体" w:hAnsi="宋体" w:cs="宋体"/>
          <w:spacing w:val="-19"/>
          <w:sz w:val="22"/>
          <w:szCs w:val="22"/>
        </w:rPr>
        <w:t>-2-</w:t>
      </w:r>
      <w:r>
        <w:rPr>
          <w:rFonts w:ascii="宋体" w:eastAsia="宋体" w:hAnsi="宋体" w:cs="宋体"/>
          <w:color w:val="F48A00"/>
          <w:spacing w:val="-19"/>
          <w:sz w:val="22"/>
          <w:szCs w:val="22"/>
        </w:rPr>
        <w:t>3</w:t>
      </w:r>
      <w:r>
        <w:rPr>
          <w:rFonts w:ascii="宋体" w:eastAsia="宋体" w:hAnsi="宋体" w:cs="宋体"/>
          <w:spacing w:val="-19"/>
          <w:sz w:val="22"/>
          <w:szCs w:val="22"/>
        </w:rPr>
        <w:t>-5</w:t>
      </w:r>
    </w:p>
    <w:p>
      <w:pPr>
        <w:spacing w:line="183" w:lineRule="auto"/>
        <w:rPr>
          <w:rFonts w:ascii="宋体" w:eastAsia="宋体" w:hAnsi="宋体" w:cs="宋体"/>
          <w:sz w:val="22"/>
          <w:szCs w:val="22"/>
        </w:rPr>
        <w:sectPr>
          <w:headerReference w:type="default" r:id="rId6"/>
          <w:pgSz w:w="11900" w:h="16820"/>
          <w:pgMar w:top="400" w:right="419" w:bottom="0" w:left="1499" w:header="0" w:footer="0" w:gutter="0"/>
          <w:pgNumType w:start="7"/>
          <w:cols w:num="1" w:space="720"/>
        </w:sectPr>
      </w:pPr>
    </w:p>
    <w:p>
      <w:pPr>
        <w:pStyle w:val="BodyText"/>
        <w:spacing w:line="247" w:lineRule="auto"/>
      </w:pPr>
    </w:p>
    <w:p>
      <w:pPr>
        <w:pStyle w:val="BodyText"/>
        <w:spacing w:line="247" w:lineRule="auto"/>
      </w:pPr>
    </w:p>
    <w:p>
      <w:pPr>
        <w:pStyle w:val="BodyText"/>
        <w:spacing w:line="248" w:lineRule="auto"/>
      </w:pPr>
    </w:p>
    <w:p>
      <w:pPr>
        <w:pStyle w:val="BodyText"/>
        <w:spacing w:line="248" w:lineRule="auto"/>
      </w:pPr>
    </w:p>
    <w:p>
      <w:pPr>
        <w:spacing w:before="71" w:line="222" w:lineRule="auto"/>
        <w:ind w:left="9"/>
        <w:rPr>
          <w:rFonts w:ascii="仿宋" w:eastAsia="仿宋" w:hAnsi="仿宋" w:cs="仿宋"/>
          <w:sz w:val="22"/>
          <w:szCs w:val="22"/>
        </w:rPr>
      </w:pPr>
      <w:r>
        <w:rPr>
          <w:rFonts w:ascii="仿宋" w:eastAsia="仿宋" w:hAnsi="仿宋" w:cs="仿宋"/>
          <w:spacing w:val="4"/>
          <w:sz w:val="22"/>
          <w:szCs w:val="22"/>
        </w:rPr>
        <w:t>美新科技股份有限公司</w:t>
      </w:r>
    </w:p>
    <w:p>
      <w:pPr>
        <w:spacing w:before="32" w:line="220" w:lineRule="auto"/>
        <w:ind w:left="9"/>
        <w:rPr>
          <w:rFonts w:ascii="仿宋" w:eastAsia="仿宋" w:hAnsi="仿宋" w:cs="仿宋"/>
          <w:sz w:val="22"/>
          <w:szCs w:val="22"/>
        </w:rPr>
      </w:pPr>
      <w:r>
        <w:rPr>
          <w:rFonts w:ascii="仿宋" w:eastAsia="仿宋" w:hAnsi="仿宋" w:cs="仿宋"/>
          <w:spacing w:val="3"/>
          <w:sz w:val="22"/>
          <w:szCs w:val="22"/>
        </w:rPr>
        <w:t>盈利预测的编制基础、假设和编制说明</w:t>
      </w:r>
    </w:p>
    <w:p>
      <w:pPr>
        <w:spacing w:before="18" w:line="221" w:lineRule="auto"/>
        <w:ind w:left="9"/>
        <w:rPr>
          <w:rFonts w:ascii="仿宋" w:eastAsia="仿宋" w:hAnsi="仿宋" w:cs="仿宋"/>
          <w:sz w:val="22"/>
          <w:szCs w:val="22"/>
        </w:rPr>
      </w:pPr>
      <w:r>
        <w:rPr>
          <w:rFonts w:ascii="仿宋" w:eastAsia="仿宋" w:hAnsi="仿宋" w:cs="仿宋"/>
          <w:spacing w:val="12"/>
          <w:sz w:val="22"/>
          <w:szCs w:val="22"/>
        </w:rPr>
        <w:t>2023年度(除特别注明外，金额单位为人民币万元)</w:t>
      </w:r>
    </w:p>
    <w:p>
      <w:pPr>
        <w:spacing w:before="21" w:line="20" w:lineRule="exact"/>
      </w:pPr>
    </w:p>
    <w:p>
      <w:pPr>
        <w:spacing w:before="263" w:line="247" w:lineRule="auto"/>
        <w:ind w:left="409" w:right="1266"/>
        <w:rPr>
          <w:rFonts w:ascii="仿宋" w:eastAsia="仿宋" w:hAnsi="仿宋" w:cs="仿宋"/>
          <w:sz w:val="22"/>
          <w:szCs w:val="22"/>
        </w:rPr>
      </w:pPr>
      <w:r>
        <w:rPr>
          <w:rFonts w:ascii="仿宋" w:eastAsia="仿宋" w:hAnsi="仿宋" w:cs="仿宋"/>
          <w:spacing w:val="4"/>
          <w:sz w:val="22"/>
          <w:szCs w:val="22"/>
        </w:rPr>
        <w:t>4、</w:t>
      </w:r>
      <w:r>
        <w:rPr>
          <w:rFonts w:ascii="仿宋" w:eastAsia="仿宋" w:hAnsi="仿宋" w:cs="仿宋"/>
          <w:spacing w:val="-50"/>
          <w:sz w:val="22"/>
          <w:szCs w:val="22"/>
        </w:rPr>
        <w:t xml:space="preserve"> </w:t>
      </w:r>
      <w:r>
        <w:rPr>
          <w:rFonts w:ascii="仿宋" w:eastAsia="仿宋" w:hAnsi="仿宋" w:cs="仿宋"/>
          <w:spacing w:val="4"/>
          <w:sz w:val="22"/>
          <w:szCs w:val="22"/>
        </w:rPr>
        <w:t>于预测期间，本公司制定的投资计划、融资计划能够顺利执行，不存在资金问题资</w:t>
      </w:r>
      <w:r>
        <w:rPr>
          <w:rFonts w:ascii="仿宋" w:eastAsia="仿宋" w:hAnsi="仿宋" w:cs="仿宋"/>
          <w:sz w:val="22"/>
          <w:szCs w:val="22"/>
        </w:rPr>
        <w:t xml:space="preserve"> </w:t>
      </w:r>
      <w:r>
        <w:rPr>
          <w:rFonts w:ascii="仿宋" w:eastAsia="仿宋" w:hAnsi="仿宋" w:cs="仿宋"/>
          <w:spacing w:val="-2"/>
          <w:sz w:val="22"/>
          <w:szCs w:val="22"/>
        </w:rPr>
        <w:t>源短缺问题的不利影响；</w:t>
      </w:r>
    </w:p>
    <w:p>
      <w:pPr>
        <w:spacing w:before="225" w:line="222" w:lineRule="auto"/>
        <w:ind w:left="409"/>
        <w:rPr>
          <w:rFonts w:ascii="仿宋" w:eastAsia="仿宋" w:hAnsi="仿宋" w:cs="仿宋"/>
          <w:sz w:val="22"/>
          <w:szCs w:val="22"/>
        </w:rPr>
      </w:pPr>
      <w:r>
        <w:rPr>
          <w:rFonts w:ascii="仿宋" w:eastAsia="仿宋" w:hAnsi="仿宋" w:cs="仿宋"/>
          <w:sz w:val="22"/>
          <w:szCs w:val="22"/>
        </w:rPr>
        <w:t>5、</w:t>
      </w:r>
      <w:r>
        <w:rPr>
          <w:rFonts w:ascii="仿宋" w:eastAsia="仿宋" w:hAnsi="仿宋" w:cs="仿宋"/>
          <w:spacing w:val="-42"/>
          <w:sz w:val="22"/>
          <w:szCs w:val="22"/>
        </w:rPr>
        <w:t xml:space="preserve"> </w:t>
      </w:r>
      <w:r>
        <w:rPr>
          <w:rFonts w:ascii="仿宋" w:eastAsia="仿宋" w:hAnsi="仿宋" w:cs="仿宋"/>
          <w:sz w:val="22"/>
          <w:szCs w:val="22"/>
        </w:rPr>
        <w:t>于预测期间，本公司对子公司的股权比例不会发生重大变化；</w:t>
      </w:r>
    </w:p>
    <w:p>
      <w:pPr>
        <w:spacing w:before="202" w:line="246" w:lineRule="auto"/>
        <w:ind w:left="409" w:right="1253"/>
        <w:rPr>
          <w:rFonts w:ascii="仿宋" w:eastAsia="仿宋" w:hAnsi="仿宋" w:cs="仿宋"/>
          <w:sz w:val="22"/>
          <w:szCs w:val="22"/>
        </w:rPr>
      </w:pPr>
      <w:r>
        <w:rPr>
          <w:rFonts w:ascii="仿宋" w:eastAsia="仿宋" w:hAnsi="仿宋" w:cs="仿宋"/>
          <w:spacing w:val="4"/>
          <w:sz w:val="22"/>
          <w:szCs w:val="22"/>
        </w:rPr>
        <w:t>6、</w:t>
      </w:r>
      <w:r>
        <w:rPr>
          <w:rFonts w:ascii="仿宋" w:eastAsia="仿宋" w:hAnsi="仿宋" w:cs="仿宋"/>
          <w:spacing w:val="-37"/>
          <w:sz w:val="22"/>
          <w:szCs w:val="22"/>
        </w:rPr>
        <w:t xml:space="preserve"> </w:t>
      </w:r>
      <w:r>
        <w:rPr>
          <w:rFonts w:ascii="仿宋" w:eastAsia="仿宋" w:hAnsi="仿宋" w:cs="仿宋"/>
          <w:spacing w:val="4"/>
          <w:sz w:val="22"/>
          <w:szCs w:val="22"/>
        </w:rPr>
        <w:t>于预测期间，本公司员工的薪酬体系不会发生重大变化，职工薪酬按照公司的人员</w:t>
      </w:r>
      <w:r>
        <w:rPr>
          <w:rFonts w:ascii="仿宋" w:eastAsia="仿宋" w:hAnsi="仿宋" w:cs="仿宋"/>
          <w:sz w:val="22"/>
          <w:szCs w:val="22"/>
        </w:rPr>
        <w:t xml:space="preserve"> </w:t>
      </w:r>
      <w:r>
        <w:rPr>
          <w:rFonts w:ascii="仿宋" w:eastAsia="仿宋" w:hAnsi="仿宋" w:cs="仿宋"/>
          <w:spacing w:val="2"/>
          <w:sz w:val="22"/>
          <w:szCs w:val="22"/>
        </w:rPr>
        <w:t>和工资增长计划编制，员工人数不会大幅增加，人员结构能满足公司的运菅需要。</w:t>
      </w:r>
    </w:p>
    <w:p>
      <w:pPr>
        <w:spacing w:before="233" w:line="491" w:lineRule="exact"/>
        <w:ind w:left="13"/>
        <w:rPr>
          <w:rFonts w:ascii="仿宋" w:eastAsia="仿宋" w:hAnsi="仿宋" w:cs="仿宋"/>
          <w:sz w:val="22"/>
          <w:szCs w:val="22"/>
        </w:rPr>
      </w:pPr>
      <w:r>
        <w:rPr>
          <w:rFonts w:ascii="仿宋" w:eastAsia="仿宋" w:hAnsi="仿宋" w:cs="仿宋"/>
          <w:b/>
          <w:bCs/>
          <w:position w:val="20"/>
          <w:sz w:val="22"/>
          <w:szCs w:val="22"/>
        </w:rPr>
        <w:t>三、盈利预测编制说明</w:t>
      </w:r>
    </w:p>
    <w:p>
      <w:pPr>
        <w:spacing w:line="222" w:lineRule="auto"/>
        <w:ind w:left="123"/>
        <w:rPr>
          <w:rFonts w:ascii="仿宋" w:eastAsia="仿宋" w:hAnsi="仿宋" w:cs="仿宋"/>
          <w:sz w:val="22"/>
          <w:szCs w:val="22"/>
        </w:rPr>
      </w:pPr>
      <w:r>
        <w:rPr>
          <w:rFonts w:ascii="仿宋" w:eastAsia="仿宋" w:hAnsi="仿宋" w:cs="仿宋"/>
          <w:b/>
          <w:bCs/>
          <w:spacing w:val="13"/>
          <w:sz w:val="22"/>
          <w:szCs w:val="22"/>
        </w:rPr>
        <w:t>(</w:t>
      </w:r>
      <w:r>
        <w:rPr>
          <w:rFonts w:ascii="仿宋" w:eastAsia="仿宋" w:hAnsi="仿宋" w:cs="仿宋"/>
          <w:spacing w:val="-59"/>
          <w:sz w:val="22"/>
          <w:szCs w:val="22"/>
        </w:rPr>
        <w:t xml:space="preserve"> </w:t>
      </w:r>
      <w:r>
        <w:rPr>
          <w:rFonts w:ascii="仿宋" w:eastAsia="仿宋" w:hAnsi="仿宋" w:cs="仿宋"/>
          <w:b/>
          <w:bCs/>
          <w:spacing w:val="13"/>
          <w:sz w:val="22"/>
          <w:szCs w:val="22"/>
        </w:rPr>
        <w:t>一)公司基本情况</w:t>
      </w:r>
    </w:p>
    <w:p>
      <w:pPr>
        <w:spacing w:before="216" w:line="245" w:lineRule="auto"/>
        <w:ind w:left="409" w:right="1250"/>
        <w:jc w:val="both"/>
        <w:rPr>
          <w:rFonts w:ascii="仿宋" w:eastAsia="仿宋" w:hAnsi="仿宋" w:cs="仿宋"/>
          <w:sz w:val="22"/>
          <w:szCs w:val="22"/>
        </w:rPr>
      </w:pPr>
      <w:r>
        <w:rPr>
          <w:rFonts w:ascii="仿宋" w:eastAsia="仿宋" w:hAnsi="仿宋" w:cs="仿宋"/>
          <w:spacing w:val="11"/>
          <w:sz w:val="22"/>
          <w:szCs w:val="22"/>
        </w:rPr>
        <w:t>本公司是由惠东美新塑木型材制品有限公司整体变更</w:t>
      </w:r>
      <w:r>
        <w:rPr>
          <w:rFonts w:ascii="仿宋" w:eastAsia="仿宋" w:hAnsi="仿宋" w:cs="仿宋"/>
          <w:spacing w:val="10"/>
          <w:sz w:val="22"/>
          <w:szCs w:val="22"/>
        </w:rPr>
        <w:t>设立，于2021年3月26日完成工</w:t>
      </w:r>
      <w:r>
        <w:rPr>
          <w:rFonts w:ascii="仿宋" w:eastAsia="仿宋" w:hAnsi="仿宋" w:cs="仿宋"/>
          <w:sz w:val="22"/>
          <w:szCs w:val="22"/>
        </w:rPr>
        <w:t xml:space="preserve"> </w:t>
      </w:r>
      <w:r>
        <w:rPr>
          <w:rFonts w:ascii="仿宋" w:eastAsia="仿宋" w:hAnsi="仿宋" w:cs="仿宋"/>
          <w:spacing w:val="3"/>
          <w:sz w:val="22"/>
          <w:szCs w:val="22"/>
        </w:rPr>
        <w:t>商变更登记，取得惠州市市场监督管理局颁发的企业法人营业执照。企业统一社会信用</w:t>
      </w:r>
      <w:r>
        <w:rPr>
          <w:rFonts w:ascii="仿宋" w:eastAsia="仿宋" w:hAnsi="仿宋" w:cs="仿宋"/>
          <w:spacing w:val="4"/>
          <w:sz w:val="22"/>
          <w:szCs w:val="22"/>
        </w:rPr>
        <w:t xml:space="preserve"> </w:t>
      </w:r>
      <w:r>
        <w:rPr>
          <w:rFonts w:ascii="宋体" w:eastAsia="宋体" w:hAnsi="宋体" w:cs="宋体"/>
          <w:sz w:val="22"/>
          <w:szCs w:val="22"/>
        </w:rPr>
        <w:t>代码：914413237638068970;公司注册地址：惠州市惠东县大岭镇十</w:t>
      </w:r>
      <w:r>
        <w:rPr>
          <w:rFonts w:ascii="宋体" w:eastAsia="宋体" w:hAnsi="宋体" w:cs="宋体"/>
          <w:spacing w:val="-1"/>
          <w:sz w:val="22"/>
          <w:szCs w:val="22"/>
        </w:rPr>
        <w:t>二托乌塘地段。法定</w:t>
      </w:r>
      <w:r>
        <w:rPr>
          <w:rFonts w:ascii="宋体" w:eastAsia="宋体" w:hAnsi="宋体" w:cs="宋体"/>
          <w:sz w:val="22"/>
          <w:szCs w:val="22"/>
        </w:rPr>
        <w:t xml:space="preserve"> </w:t>
      </w:r>
      <w:r>
        <w:rPr>
          <w:rFonts w:ascii="仿宋" w:eastAsia="仿宋" w:hAnsi="仿宋" w:cs="仿宋"/>
          <w:spacing w:val="-2"/>
          <w:sz w:val="22"/>
          <w:szCs w:val="22"/>
        </w:rPr>
        <w:t>代表人：林东亮，股本人民币8,915.0185万元。</w:t>
      </w:r>
    </w:p>
    <w:p>
      <w:pPr>
        <w:spacing w:before="226" w:line="239" w:lineRule="auto"/>
        <w:ind w:left="409" w:right="1267"/>
        <w:rPr>
          <w:rFonts w:ascii="仿宋" w:eastAsia="仿宋" w:hAnsi="仿宋" w:cs="仿宋"/>
          <w:sz w:val="22"/>
          <w:szCs w:val="22"/>
        </w:rPr>
      </w:pPr>
      <w:r>
        <w:rPr>
          <w:rFonts w:ascii="仿宋" w:eastAsia="仿宋" w:hAnsi="仿宋" w:cs="仿宋"/>
          <w:spacing w:val="11"/>
          <w:sz w:val="22"/>
          <w:szCs w:val="22"/>
        </w:rPr>
        <w:t>本公司的前身为惠东美新塑木型材制品有限公司，于2004年6月1</w:t>
      </w:r>
      <w:r>
        <w:rPr>
          <w:rFonts w:ascii="仿宋" w:eastAsia="仿宋" w:hAnsi="仿宋" w:cs="仿宋"/>
          <w:spacing w:val="10"/>
          <w:sz w:val="22"/>
          <w:szCs w:val="22"/>
        </w:rPr>
        <w:t>6日经批准成立，成</w:t>
      </w:r>
      <w:r>
        <w:rPr>
          <w:rFonts w:ascii="仿宋" w:eastAsia="仿宋" w:hAnsi="仿宋" w:cs="仿宋"/>
          <w:sz w:val="22"/>
          <w:szCs w:val="22"/>
        </w:rPr>
        <w:t xml:space="preserve"> </w:t>
      </w:r>
      <w:r>
        <w:rPr>
          <w:rFonts w:ascii="仿宋" w:eastAsia="仿宋" w:hAnsi="仿宋" w:cs="仿宋"/>
          <w:spacing w:val="7"/>
          <w:sz w:val="22"/>
          <w:szCs w:val="22"/>
        </w:rPr>
        <w:t>立时注册资本为7,500万元，截至2004年8月19日止，公司已收到新兴亚洲投资有限公</w:t>
      </w:r>
      <w:r>
        <w:rPr>
          <w:rFonts w:ascii="仿宋" w:eastAsia="仿宋" w:hAnsi="仿宋" w:cs="仿宋"/>
          <w:spacing w:val="13"/>
          <w:sz w:val="22"/>
          <w:szCs w:val="22"/>
        </w:rPr>
        <w:t xml:space="preserve"> </w:t>
      </w:r>
      <w:r>
        <w:rPr>
          <w:rFonts w:ascii="仿宋" w:eastAsia="仿宋" w:hAnsi="仿宋" w:cs="仿宋"/>
          <w:spacing w:val="1"/>
          <w:sz w:val="22"/>
          <w:szCs w:val="22"/>
        </w:rPr>
        <w:t>司第一期缴纳的注册资本1,070万港币，折合人民币1,133.772万元，以货币方式出资，</w:t>
      </w:r>
      <w:r>
        <w:rPr>
          <w:rFonts w:ascii="仿宋" w:eastAsia="仿宋" w:hAnsi="仿宋" w:cs="仿宋"/>
          <w:spacing w:val="13"/>
          <w:sz w:val="22"/>
          <w:szCs w:val="22"/>
        </w:rPr>
        <w:t xml:space="preserve"> </w:t>
      </w:r>
      <w:r>
        <w:rPr>
          <w:rFonts w:ascii="仿宋" w:eastAsia="仿宋" w:hAnsi="仿宋" w:cs="仿宋"/>
          <w:spacing w:val="5"/>
          <w:sz w:val="22"/>
          <w:szCs w:val="22"/>
        </w:rPr>
        <w:t>此次出资由惠州市立诚会计师事务所有限公司出具惠立会验字【</w:t>
      </w:r>
      <w:r>
        <w:rPr>
          <w:rFonts w:ascii="仿宋" w:eastAsia="仿宋" w:hAnsi="仿宋" w:cs="仿宋"/>
          <w:spacing w:val="4"/>
          <w:sz w:val="22"/>
          <w:szCs w:val="22"/>
        </w:rPr>
        <w:t>2004】第169号《验资</w:t>
      </w:r>
      <w:r>
        <w:rPr>
          <w:rFonts w:ascii="仿宋" w:eastAsia="仿宋" w:hAnsi="仿宋" w:cs="仿宋"/>
          <w:sz w:val="22"/>
          <w:szCs w:val="22"/>
        </w:rPr>
        <w:t xml:space="preserve"> 报告》予以验证。</w:t>
      </w:r>
    </w:p>
    <w:p>
      <w:pPr>
        <w:spacing w:before="255" w:line="222" w:lineRule="auto"/>
        <w:ind w:left="409"/>
        <w:rPr>
          <w:rFonts w:ascii="仿宋" w:eastAsia="仿宋" w:hAnsi="仿宋" w:cs="仿宋"/>
          <w:sz w:val="22"/>
          <w:szCs w:val="22"/>
        </w:rPr>
      </w:pPr>
      <w:r>
        <w:rPr>
          <w:rFonts w:ascii="仿宋" w:eastAsia="仿宋" w:hAnsi="仿宋" w:cs="仿宋"/>
          <w:sz w:val="22"/>
          <w:szCs w:val="22"/>
        </w:rPr>
        <w:t>本次出资后，公司的股权结构如下：</w:t>
      </w:r>
    </w:p>
    <w:p>
      <w:pPr>
        <w:spacing w:line="123" w:lineRule="exact"/>
      </w:pPr>
    </w:p>
    <w:tbl>
      <w:tblPr>
        <w:tblStyle w:val="TableNormal01"/>
        <w:tblW w:w="8670" w:type="dxa"/>
        <w:tblInd w:w="369" w:type="dxa"/>
        <w:tblBorders>
          <w:top w:val="nil"/>
          <w:left w:val="nil"/>
          <w:bottom w:val="nil"/>
          <w:right w:val="nil"/>
          <w:insideH w:val="nil"/>
          <w:insideV w:val="nil"/>
        </w:tblBorders>
        <w:tblLayout w:type="fixed"/>
        <w:tblCellMar>
          <w:top w:w="0" w:type="dxa"/>
          <w:left w:w="0" w:type="dxa"/>
          <w:bottom w:w="0" w:type="dxa"/>
          <w:right w:w="0" w:type="dxa"/>
        </w:tblCellMar>
      </w:tblPr>
      <w:tblGrid>
        <w:gridCol w:w="2834"/>
        <w:gridCol w:w="2479"/>
        <w:gridCol w:w="2055"/>
        <w:gridCol w:w="1302"/>
      </w:tblGrid>
      <w:tr>
        <w:tblPrEx>
          <w:tblW w:w="8670" w:type="dxa"/>
          <w:tblInd w:w="369" w:type="dxa"/>
          <w:tblBorders>
            <w:top w:val="nil"/>
            <w:left w:val="nil"/>
            <w:bottom w:val="nil"/>
            <w:right w:val="nil"/>
            <w:insideH w:val="nil"/>
            <w:insideV w:val="nil"/>
          </w:tblBorders>
          <w:tblLayout w:type="fixed"/>
          <w:tblCellMar>
            <w:top w:w="0" w:type="dxa"/>
            <w:left w:w="0" w:type="dxa"/>
            <w:bottom w:w="0" w:type="dxa"/>
            <w:right w:w="0" w:type="dxa"/>
          </w:tblCellMar>
        </w:tblPrEx>
        <w:trPr>
          <w:trHeight w:val="363"/>
        </w:trPr>
        <w:tc>
          <w:tcPr>
            <w:tcW w:w="2834" w:type="dxa"/>
            <w:tcBorders>
              <w:top w:val="single" w:sz="4" w:space="0" w:color="000000"/>
              <w:bottom w:val="single" w:sz="4" w:space="0" w:color="000000"/>
            </w:tcBorders>
            <w:vAlign w:val="top"/>
          </w:tcPr>
          <w:p>
            <w:pPr>
              <w:pStyle w:val="TableText"/>
              <w:spacing w:before="90" w:line="219" w:lineRule="auto"/>
              <w:ind w:left="92"/>
              <w:rPr>
                <w:sz w:val="19"/>
                <w:szCs w:val="19"/>
              </w:rPr>
            </w:pPr>
            <w:r>
              <w:rPr>
                <w:b/>
                <w:bCs/>
                <w:spacing w:val="-4"/>
                <w:sz w:val="19"/>
                <w:szCs w:val="19"/>
              </w:rPr>
              <w:t>股东名称</w:t>
            </w:r>
          </w:p>
        </w:tc>
        <w:tc>
          <w:tcPr>
            <w:tcW w:w="2479" w:type="dxa"/>
            <w:tcBorders>
              <w:top w:val="single" w:sz="4" w:space="0" w:color="000000"/>
              <w:bottom w:val="single" w:sz="4" w:space="0" w:color="000000"/>
            </w:tcBorders>
            <w:vAlign w:val="top"/>
          </w:tcPr>
          <w:p>
            <w:pPr>
              <w:pStyle w:val="TableText"/>
              <w:spacing w:before="92" w:line="219" w:lineRule="auto"/>
              <w:ind w:left="1125"/>
              <w:rPr>
                <w:sz w:val="19"/>
                <w:szCs w:val="19"/>
              </w:rPr>
            </w:pPr>
            <w:r>
              <w:rPr>
                <w:spacing w:val="-2"/>
                <w:sz w:val="19"/>
                <w:szCs w:val="19"/>
              </w:rPr>
              <w:t>认缴出资额</w:t>
            </w:r>
          </w:p>
        </w:tc>
        <w:tc>
          <w:tcPr>
            <w:tcW w:w="2055" w:type="dxa"/>
            <w:tcBorders>
              <w:top w:val="single" w:sz="4" w:space="0" w:color="000000"/>
              <w:bottom w:val="single" w:sz="4" w:space="0" w:color="000000"/>
            </w:tcBorders>
            <w:vAlign w:val="top"/>
          </w:tcPr>
          <w:p>
            <w:pPr>
              <w:pStyle w:val="TableText"/>
              <w:spacing w:before="92" w:line="219" w:lineRule="auto"/>
              <w:ind w:left="516"/>
              <w:rPr>
                <w:sz w:val="19"/>
                <w:szCs w:val="19"/>
              </w:rPr>
            </w:pPr>
            <w:r>
              <w:rPr>
                <w:spacing w:val="-2"/>
                <w:sz w:val="19"/>
                <w:szCs w:val="19"/>
              </w:rPr>
              <w:t>实际出资额</w:t>
            </w:r>
          </w:p>
        </w:tc>
        <w:tc>
          <w:tcPr>
            <w:tcW w:w="1302" w:type="dxa"/>
            <w:tcBorders>
              <w:top w:val="single" w:sz="4" w:space="0" w:color="000000"/>
              <w:bottom w:val="single" w:sz="4" w:space="0" w:color="000000"/>
            </w:tcBorders>
            <w:vAlign w:val="top"/>
          </w:tcPr>
          <w:p>
            <w:pPr>
              <w:pStyle w:val="TableText"/>
              <w:spacing w:before="93" w:line="221" w:lineRule="auto"/>
              <w:ind w:left="452"/>
              <w:rPr>
                <w:sz w:val="19"/>
                <w:szCs w:val="19"/>
              </w:rPr>
            </w:pPr>
            <w:r>
              <w:rPr>
                <w:spacing w:val="1"/>
                <w:sz w:val="19"/>
                <w:szCs w:val="19"/>
              </w:rPr>
              <w:t>出资方式</w:t>
            </w:r>
          </w:p>
        </w:tc>
      </w:tr>
      <w:tr>
        <w:tblPrEx>
          <w:tblW w:w="8670" w:type="dxa"/>
          <w:tblInd w:w="369" w:type="dxa"/>
          <w:tblLayout w:type="fixed"/>
          <w:tblCellMar>
            <w:top w:w="0" w:type="dxa"/>
            <w:left w:w="0" w:type="dxa"/>
            <w:bottom w:w="0" w:type="dxa"/>
            <w:right w:w="0" w:type="dxa"/>
          </w:tblCellMar>
        </w:tblPrEx>
        <w:trPr>
          <w:trHeight w:val="329"/>
        </w:trPr>
        <w:tc>
          <w:tcPr>
            <w:tcW w:w="2834" w:type="dxa"/>
            <w:tcBorders>
              <w:top w:val="single" w:sz="4" w:space="0" w:color="000000"/>
              <w:bottom w:val="single" w:sz="4" w:space="0" w:color="000000"/>
            </w:tcBorders>
            <w:vAlign w:val="top"/>
          </w:tcPr>
          <w:p>
            <w:pPr>
              <w:pStyle w:val="TableText"/>
              <w:spacing w:before="67" w:line="220" w:lineRule="auto"/>
              <w:ind w:left="92"/>
              <w:rPr>
                <w:sz w:val="19"/>
                <w:szCs w:val="19"/>
              </w:rPr>
            </w:pPr>
            <w:r>
              <w:rPr>
                <w:b/>
                <w:bCs/>
                <w:sz w:val="19"/>
                <w:szCs w:val="19"/>
              </w:rPr>
              <w:t>新兴亚洲投资有限公司</w:t>
            </w:r>
          </w:p>
        </w:tc>
        <w:tc>
          <w:tcPr>
            <w:tcW w:w="2479" w:type="dxa"/>
            <w:tcBorders>
              <w:top w:val="single" w:sz="4" w:space="0" w:color="000000"/>
              <w:bottom w:val="single" w:sz="4" w:space="0" w:color="000000"/>
            </w:tcBorders>
            <w:vAlign w:val="top"/>
          </w:tcPr>
          <w:p>
            <w:pPr>
              <w:pStyle w:val="TableText"/>
              <w:spacing w:before="96" w:line="183" w:lineRule="auto"/>
              <w:ind w:left="835"/>
              <w:rPr>
                <w:sz w:val="19"/>
                <w:szCs w:val="19"/>
              </w:rPr>
            </w:pPr>
            <w:r>
              <w:rPr>
                <w:spacing w:val="-1"/>
                <w:sz w:val="19"/>
                <w:szCs w:val="19"/>
              </w:rPr>
              <w:t>75.000,000.00</w:t>
            </w:r>
          </w:p>
        </w:tc>
        <w:tc>
          <w:tcPr>
            <w:tcW w:w="2055" w:type="dxa"/>
            <w:tcBorders>
              <w:top w:val="single" w:sz="4" w:space="0" w:color="000000"/>
              <w:bottom w:val="single" w:sz="4" w:space="0" w:color="000000"/>
            </w:tcBorders>
            <w:vAlign w:val="top"/>
          </w:tcPr>
          <w:p>
            <w:pPr>
              <w:pStyle w:val="TableText"/>
              <w:spacing w:before="95" w:line="184" w:lineRule="auto"/>
              <w:ind w:left="377"/>
              <w:rPr>
                <w:sz w:val="19"/>
                <w:szCs w:val="19"/>
              </w:rPr>
            </w:pPr>
            <w:r>
              <w:rPr>
                <w:spacing w:val="-2"/>
                <w:sz w:val="19"/>
                <w:szCs w:val="19"/>
              </w:rPr>
              <w:t>11,337,720.00</w:t>
            </w:r>
          </w:p>
        </w:tc>
        <w:tc>
          <w:tcPr>
            <w:tcW w:w="1302" w:type="dxa"/>
            <w:tcBorders>
              <w:top w:val="single" w:sz="4" w:space="0" w:color="000000"/>
              <w:bottom w:val="single" w:sz="4" w:space="0" w:color="000000"/>
            </w:tcBorders>
            <w:vAlign w:val="top"/>
          </w:tcPr>
          <w:p>
            <w:pPr>
              <w:pStyle w:val="TableText"/>
              <w:spacing w:before="68" w:line="219" w:lineRule="auto"/>
              <w:ind w:left="832"/>
              <w:rPr>
                <w:sz w:val="19"/>
                <w:szCs w:val="19"/>
              </w:rPr>
            </w:pPr>
            <w:r>
              <w:rPr>
                <w:spacing w:val="11"/>
                <w:sz w:val="19"/>
                <w:szCs w:val="19"/>
              </w:rPr>
              <w:t>货币</w:t>
            </w:r>
          </w:p>
        </w:tc>
      </w:tr>
      <w:tr>
        <w:tblPrEx>
          <w:tblW w:w="8670" w:type="dxa"/>
          <w:tblInd w:w="369" w:type="dxa"/>
          <w:tblLayout w:type="fixed"/>
          <w:tblCellMar>
            <w:top w:w="0" w:type="dxa"/>
            <w:left w:w="0" w:type="dxa"/>
            <w:bottom w:w="0" w:type="dxa"/>
            <w:right w:w="0" w:type="dxa"/>
          </w:tblCellMar>
        </w:tblPrEx>
        <w:trPr>
          <w:trHeight w:val="1674"/>
        </w:trPr>
        <w:tc>
          <w:tcPr>
            <w:tcW w:w="8670" w:type="dxa"/>
            <w:gridSpan w:val="4"/>
            <w:tcBorders>
              <w:top w:val="single" w:sz="4" w:space="0" w:color="000000"/>
              <w:bottom w:val="single" w:sz="4" w:space="0" w:color="000000"/>
            </w:tcBorders>
            <w:vAlign w:val="top"/>
          </w:tcPr>
          <w:p>
            <w:pPr>
              <w:spacing w:before="169" w:line="242" w:lineRule="auto"/>
              <w:ind w:left="39" w:right="135"/>
              <w:jc w:val="both"/>
              <w:rPr>
                <w:rFonts w:ascii="仿宋" w:eastAsia="仿宋" w:hAnsi="仿宋" w:cs="仿宋"/>
                <w:sz w:val="22"/>
                <w:szCs w:val="22"/>
              </w:rPr>
            </w:pPr>
            <w:r>
              <w:rPr>
                <w:rFonts w:ascii="仿宋" w:eastAsia="仿宋" w:hAnsi="仿宋" w:cs="仿宋"/>
                <w:spacing w:val="8"/>
                <w:sz w:val="22"/>
                <w:szCs w:val="22"/>
              </w:rPr>
              <w:t>截至2004年11月1日止，公司收到新兴亚洲投资有限公司第二期缴纳的注册资本1,662</w:t>
            </w:r>
            <w:r>
              <w:rPr>
                <w:rFonts w:ascii="仿宋" w:eastAsia="仿宋" w:hAnsi="仿宋" w:cs="仿宋"/>
                <w:spacing w:val="9"/>
                <w:sz w:val="22"/>
                <w:szCs w:val="22"/>
              </w:rPr>
              <w:t xml:space="preserve"> </w:t>
            </w:r>
            <w:r>
              <w:rPr>
                <w:rFonts w:ascii="仿宋" w:eastAsia="仿宋" w:hAnsi="仿宋" w:cs="仿宋"/>
                <w:sz w:val="22"/>
                <w:szCs w:val="22"/>
              </w:rPr>
              <w:t>万港币，折合人民币1,762.58 万元，以货币方式出资，此次</w:t>
            </w:r>
            <w:r>
              <w:rPr>
                <w:rFonts w:ascii="仿宋" w:eastAsia="仿宋" w:hAnsi="仿宋" w:cs="仿宋"/>
                <w:spacing w:val="-1"/>
                <w:sz w:val="22"/>
                <w:szCs w:val="22"/>
              </w:rPr>
              <w:t>出资由惠州市立诚会计师事</w:t>
            </w:r>
            <w:r>
              <w:rPr>
                <w:rFonts w:ascii="仿宋" w:eastAsia="仿宋" w:hAnsi="仿宋" w:cs="仿宋"/>
                <w:sz w:val="22"/>
                <w:szCs w:val="22"/>
              </w:rPr>
              <w:t xml:space="preserve"> </w:t>
            </w:r>
            <w:r>
              <w:rPr>
                <w:rFonts w:ascii="仿宋" w:eastAsia="仿宋" w:hAnsi="仿宋" w:cs="仿宋"/>
                <w:spacing w:val="2"/>
                <w:sz w:val="22"/>
                <w:szCs w:val="22"/>
              </w:rPr>
              <w:t>务所出具惠立会验字【2004】第208号《验资报告》予以验证。</w:t>
            </w:r>
          </w:p>
          <w:p>
            <w:pPr>
              <w:spacing w:before="245" w:line="222" w:lineRule="auto"/>
              <w:ind w:left="39"/>
              <w:rPr>
                <w:rFonts w:ascii="仿宋" w:eastAsia="仿宋" w:hAnsi="仿宋" w:cs="仿宋"/>
                <w:sz w:val="22"/>
                <w:szCs w:val="22"/>
              </w:rPr>
            </w:pPr>
            <w:r>
              <w:rPr>
                <w:rFonts w:ascii="仿宋" w:eastAsia="仿宋" w:hAnsi="仿宋" w:cs="仿宋"/>
                <w:spacing w:val="-4"/>
                <w:sz w:val="22"/>
                <w:szCs w:val="22"/>
              </w:rPr>
              <w:t>本次出资完成后，股东及出资情况如下：</w:t>
            </w:r>
          </w:p>
        </w:tc>
      </w:tr>
      <w:tr>
        <w:tblPrEx>
          <w:tblW w:w="8670" w:type="dxa"/>
          <w:tblInd w:w="369" w:type="dxa"/>
          <w:tblLayout w:type="fixed"/>
          <w:tblCellMar>
            <w:top w:w="0" w:type="dxa"/>
            <w:left w:w="0" w:type="dxa"/>
            <w:bottom w:w="0" w:type="dxa"/>
            <w:right w:w="0" w:type="dxa"/>
          </w:tblCellMar>
        </w:tblPrEx>
        <w:trPr>
          <w:trHeight w:val="359"/>
        </w:trPr>
        <w:tc>
          <w:tcPr>
            <w:tcW w:w="2834" w:type="dxa"/>
            <w:tcBorders>
              <w:top w:val="single" w:sz="4" w:space="0" w:color="000000"/>
              <w:bottom w:val="single" w:sz="4" w:space="0" w:color="000000"/>
            </w:tcBorders>
            <w:vAlign w:val="top"/>
          </w:tcPr>
          <w:p>
            <w:pPr>
              <w:pStyle w:val="TableText"/>
              <w:spacing w:before="94" w:line="219" w:lineRule="auto"/>
              <w:ind w:left="102"/>
              <w:rPr>
                <w:sz w:val="19"/>
                <w:szCs w:val="19"/>
              </w:rPr>
            </w:pPr>
            <w:r>
              <w:rPr>
                <w:b/>
                <w:bCs/>
                <w:spacing w:val="-4"/>
                <w:sz w:val="19"/>
                <w:szCs w:val="19"/>
              </w:rPr>
              <w:t>股东名称</w:t>
            </w:r>
          </w:p>
        </w:tc>
        <w:tc>
          <w:tcPr>
            <w:tcW w:w="2479" w:type="dxa"/>
            <w:tcBorders>
              <w:top w:val="single" w:sz="4" w:space="0" w:color="000000"/>
              <w:bottom w:val="single" w:sz="4" w:space="0" w:color="000000"/>
            </w:tcBorders>
            <w:vAlign w:val="top"/>
          </w:tcPr>
          <w:p>
            <w:pPr>
              <w:pStyle w:val="TableText"/>
              <w:spacing w:before="96" w:line="219" w:lineRule="auto"/>
              <w:ind w:left="1165"/>
              <w:rPr>
                <w:sz w:val="19"/>
                <w:szCs w:val="19"/>
              </w:rPr>
            </w:pPr>
            <w:r>
              <w:rPr>
                <w:spacing w:val="-2"/>
                <w:sz w:val="19"/>
                <w:szCs w:val="19"/>
              </w:rPr>
              <w:t>认缴出资额</w:t>
            </w:r>
          </w:p>
        </w:tc>
        <w:tc>
          <w:tcPr>
            <w:tcW w:w="2055" w:type="dxa"/>
            <w:tcBorders>
              <w:top w:val="single" w:sz="4" w:space="0" w:color="000000"/>
              <w:bottom w:val="single" w:sz="4" w:space="0" w:color="000000"/>
            </w:tcBorders>
            <w:vAlign w:val="top"/>
          </w:tcPr>
          <w:p>
            <w:pPr>
              <w:pStyle w:val="TableText"/>
              <w:spacing w:before="96" w:line="219" w:lineRule="auto"/>
              <w:ind w:left="527"/>
              <w:rPr>
                <w:sz w:val="19"/>
                <w:szCs w:val="19"/>
              </w:rPr>
            </w:pPr>
            <w:r>
              <w:rPr>
                <w:spacing w:val="-2"/>
                <w:sz w:val="19"/>
                <w:szCs w:val="19"/>
              </w:rPr>
              <w:t>实际出资额</w:t>
            </w:r>
          </w:p>
        </w:tc>
        <w:tc>
          <w:tcPr>
            <w:tcW w:w="1302" w:type="dxa"/>
            <w:tcBorders>
              <w:top w:val="single" w:sz="4" w:space="0" w:color="000000"/>
              <w:bottom w:val="single" w:sz="4" w:space="0" w:color="000000"/>
            </w:tcBorders>
            <w:vAlign w:val="top"/>
          </w:tcPr>
          <w:p>
            <w:pPr>
              <w:pStyle w:val="TableText"/>
              <w:spacing w:before="97" w:line="221" w:lineRule="auto"/>
              <w:ind w:left="472"/>
              <w:rPr>
                <w:sz w:val="19"/>
                <w:szCs w:val="19"/>
              </w:rPr>
            </w:pPr>
            <w:r>
              <w:rPr>
                <w:spacing w:val="1"/>
                <w:sz w:val="19"/>
                <w:szCs w:val="19"/>
              </w:rPr>
              <w:t>出资方式</w:t>
            </w:r>
          </w:p>
        </w:tc>
      </w:tr>
      <w:tr>
        <w:tblPrEx>
          <w:tblW w:w="8670" w:type="dxa"/>
          <w:tblInd w:w="369" w:type="dxa"/>
          <w:tblLayout w:type="fixed"/>
          <w:tblCellMar>
            <w:top w:w="0" w:type="dxa"/>
            <w:left w:w="0" w:type="dxa"/>
            <w:bottom w:w="0" w:type="dxa"/>
            <w:right w:w="0" w:type="dxa"/>
          </w:tblCellMar>
        </w:tblPrEx>
        <w:trPr>
          <w:trHeight w:val="324"/>
        </w:trPr>
        <w:tc>
          <w:tcPr>
            <w:tcW w:w="2834" w:type="dxa"/>
            <w:tcBorders>
              <w:top w:val="single" w:sz="4" w:space="0" w:color="000000"/>
              <w:bottom w:val="single" w:sz="4" w:space="0" w:color="000000"/>
            </w:tcBorders>
            <w:vAlign w:val="top"/>
          </w:tcPr>
          <w:p>
            <w:pPr>
              <w:pStyle w:val="TableText"/>
              <w:spacing w:before="75" w:line="220" w:lineRule="auto"/>
              <w:ind w:left="102"/>
              <w:rPr>
                <w:sz w:val="19"/>
                <w:szCs w:val="19"/>
              </w:rPr>
            </w:pPr>
            <w:r>
              <w:rPr>
                <w:b/>
                <w:bCs/>
                <w:sz w:val="19"/>
                <w:szCs w:val="19"/>
              </w:rPr>
              <w:t>新兴亚洲投资有限公司</w:t>
            </w:r>
          </w:p>
        </w:tc>
        <w:tc>
          <w:tcPr>
            <w:tcW w:w="2479" w:type="dxa"/>
            <w:tcBorders>
              <w:top w:val="single" w:sz="4" w:space="0" w:color="000000"/>
              <w:bottom w:val="single" w:sz="4" w:space="0" w:color="000000"/>
            </w:tcBorders>
            <w:vAlign w:val="top"/>
          </w:tcPr>
          <w:p>
            <w:pPr>
              <w:pStyle w:val="TableText"/>
              <w:spacing w:before="104" w:line="183" w:lineRule="auto"/>
              <w:ind w:left="876"/>
              <w:rPr>
                <w:sz w:val="19"/>
                <w:szCs w:val="19"/>
              </w:rPr>
            </w:pPr>
            <w:r>
              <w:rPr>
                <w:spacing w:val="-1"/>
                <w:sz w:val="19"/>
                <w:szCs w:val="19"/>
              </w:rPr>
              <w:t>75,000,000.00</w:t>
            </w:r>
          </w:p>
        </w:tc>
        <w:tc>
          <w:tcPr>
            <w:tcW w:w="2055" w:type="dxa"/>
            <w:tcBorders>
              <w:top w:val="single" w:sz="4" w:space="0" w:color="000000"/>
              <w:bottom w:val="single" w:sz="4" w:space="0" w:color="000000"/>
            </w:tcBorders>
            <w:vAlign w:val="top"/>
          </w:tcPr>
          <w:p>
            <w:pPr>
              <w:pStyle w:val="TableText"/>
              <w:spacing w:before="104" w:line="183" w:lineRule="auto"/>
              <w:ind w:left="386"/>
              <w:rPr>
                <w:sz w:val="19"/>
                <w:szCs w:val="19"/>
              </w:rPr>
            </w:pPr>
            <w:r>
              <w:rPr>
                <w:spacing w:val="-1"/>
                <w:sz w:val="19"/>
                <w:szCs w:val="19"/>
              </w:rPr>
              <w:t>28,963,474.00</w:t>
            </w:r>
          </w:p>
        </w:tc>
        <w:tc>
          <w:tcPr>
            <w:tcW w:w="1302" w:type="dxa"/>
            <w:tcBorders>
              <w:top w:val="single" w:sz="4" w:space="0" w:color="000000"/>
              <w:bottom w:val="single" w:sz="4" w:space="0" w:color="000000"/>
            </w:tcBorders>
            <w:vAlign w:val="top"/>
          </w:tcPr>
          <w:p>
            <w:pPr>
              <w:pStyle w:val="TableText"/>
              <w:spacing w:before="76" w:line="219" w:lineRule="auto"/>
              <w:ind w:left="852"/>
              <w:rPr>
                <w:sz w:val="19"/>
                <w:szCs w:val="19"/>
              </w:rPr>
            </w:pPr>
            <w:r>
              <w:rPr>
                <w:spacing w:val="11"/>
                <w:sz w:val="19"/>
                <w:szCs w:val="19"/>
              </w:rPr>
              <w:t>货币</w:t>
            </w:r>
          </w:p>
        </w:tc>
      </w:tr>
    </w:tbl>
    <w:p>
      <w:pPr>
        <w:spacing w:before="184" w:line="238" w:lineRule="auto"/>
        <w:ind w:left="409" w:right="1200"/>
        <w:jc w:val="both"/>
        <w:rPr>
          <w:rFonts w:ascii="仿宋" w:eastAsia="仿宋" w:hAnsi="仿宋" w:cs="仿宋"/>
          <w:sz w:val="22"/>
          <w:szCs w:val="22"/>
        </w:rPr>
      </w:pPr>
      <w:r>
        <w:rPr>
          <w:rFonts w:ascii="仿宋" w:eastAsia="仿宋" w:hAnsi="仿宋" w:cs="仿宋"/>
          <w:spacing w:val="5"/>
          <w:sz w:val="22"/>
          <w:szCs w:val="22"/>
        </w:rPr>
        <w:t>截至2005年4月29日止，公司收到新兴亚洲投资有限公司第三期缴纳的注册资本418.94</w:t>
      </w:r>
      <w:r>
        <w:rPr>
          <w:rFonts w:ascii="仿宋" w:eastAsia="仿宋" w:hAnsi="仿宋" w:cs="仿宋"/>
          <w:spacing w:val="17"/>
          <w:sz w:val="22"/>
          <w:szCs w:val="22"/>
        </w:rPr>
        <w:t xml:space="preserve"> </w:t>
      </w:r>
      <w:r>
        <w:rPr>
          <w:rFonts w:ascii="仿宋" w:eastAsia="仿宋" w:hAnsi="仿宋" w:cs="仿宋"/>
          <w:spacing w:val="5"/>
          <w:sz w:val="22"/>
          <w:szCs w:val="22"/>
        </w:rPr>
        <w:t>万美元，折合人民币3,464.60万元，出资方式为实物出资(机器设备),此次出资由惠州</w:t>
      </w:r>
      <w:r>
        <w:rPr>
          <w:rFonts w:ascii="仿宋" w:eastAsia="仿宋" w:hAnsi="仿宋" w:cs="仿宋"/>
          <w:spacing w:val="10"/>
          <w:sz w:val="22"/>
          <w:szCs w:val="22"/>
        </w:rPr>
        <w:t xml:space="preserve"> </w:t>
      </w:r>
      <w:r>
        <w:rPr>
          <w:rFonts w:ascii="仿宋" w:eastAsia="仿宋" w:hAnsi="仿宋" w:cs="仿宋"/>
          <w:spacing w:val="6"/>
          <w:sz w:val="22"/>
          <w:szCs w:val="22"/>
        </w:rPr>
        <w:t>市立诚会计师事务所出具惠立会验字【2005】第084号《验资报告》予以</w:t>
      </w:r>
      <w:r>
        <w:rPr>
          <w:rFonts w:ascii="仿宋" w:eastAsia="仿宋" w:hAnsi="仿宋" w:cs="仿宋"/>
          <w:spacing w:val="5"/>
          <w:sz w:val="22"/>
          <w:szCs w:val="22"/>
        </w:rPr>
        <w:t>验证，实物出</w:t>
      </w:r>
      <w:r>
        <w:rPr>
          <w:rFonts w:ascii="仿宋" w:eastAsia="仿宋" w:hAnsi="仿宋" w:cs="仿宋"/>
          <w:sz w:val="22"/>
          <w:szCs w:val="22"/>
        </w:rPr>
        <w:t xml:space="preserve"> </w:t>
      </w:r>
      <w:r>
        <w:rPr>
          <w:rFonts w:ascii="仿宋" w:eastAsia="仿宋" w:hAnsi="仿宋" w:cs="仿宋"/>
          <w:spacing w:val="10"/>
          <w:sz w:val="22"/>
          <w:szCs w:val="22"/>
        </w:rPr>
        <w:t>资部分已由中联国际评估咨询有限公司进行追溯评估，并出具了</w:t>
      </w:r>
      <w:r>
        <w:rPr>
          <w:rFonts w:ascii="仿宋" w:eastAsia="仿宋" w:hAnsi="仿宋" w:cs="仿宋"/>
          <w:spacing w:val="9"/>
          <w:sz w:val="22"/>
          <w:szCs w:val="22"/>
        </w:rPr>
        <w:t>中联国际评字(2021)</w:t>
      </w:r>
      <w:r>
        <w:rPr>
          <w:rFonts w:ascii="仿宋" w:eastAsia="仿宋" w:hAnsi="仿宋" w:cs="仿宋"/>
          <w:sz w:val="22"/>
          <w:szCs w:val="22"/>
        </w:rPr>
        <w:t xml:space="preserve"> </w:t>
      </w:r>
      <w:r>
        <w:rPr>
          <w:rFonts w:ascii="仿宋" w:eastAsia="仿宋" w:hAnsi="仿宋" w:cs="仿宋"/>
          <w:spacing w:val="-2"/>
          <w:sz w:val="22"/>
          <w:szCs w:val="22"/>
        </w:rPr>
        <w:t>第</w:t>
      </w:r>
      <w:r>
        <w:rPr>
          <w:rFonts w:ascii="仿宋" w:eastAsia="仿宋" w:hAnsi="仿宋" w:cs="仿宋"/>
          <w:spacing w:val="-43"/>
          <w:sz w:val="22"/>
          <w:szCs w:val="22"/>
        </w:rPr>
        <w:t xml:space="preserve"> </w:t>
      </w:r>
      <w:r>
        <w:rPr>
          <w:rFonts w:ascii="宋体" w:eastAsia="宋体" w:hAnsi="宋体" w:cs="宋体"/>
          <w:spacing w:val="-2"/>
          <w:sz w:val="22"/>
          <w:szCs w:val="22"/>
        </w:rPr>
        <w:t xml:space="preserve">JNMPD0142 </w:t>
      </w:r>
      <w:r>
        <w:rPr>
          <w:rFonts w:ascii="仿宋" w:eastAsia="仿宋" w:hAnsi="仿宋" w:cs="仿宋"/>
          <w:spacing w:val="-2"/>
          <w:sz w:val="22"/>
          <w:szCs w:val="22"/>
        </w:rPr>
        <w:t>号的评估报告。</w:t>
      </w:r>
    </w:p>
    <w:p>
      <w:pPr>
        <w:spacing w:before="260" w:line="222" w:lineRule="auto"/>
        <w:ind w:left="409"/>
        <w:rPr>
          <w:rFonts w:ascii="仿宋" w:eastAsia="仿宋" w:hAnsi="仿宋" w:cs="仿宋"/>
          <w:sz w:val="22"/>
          <w:szCs w:val="22"/>
        </w:rPr>
      </w:pPr>
      <w:r>
        <w:rPr>
          <w:rFonts w:ascii="仿宋" w:eastAsia="仿宋" w:hAnsi="仿宋" w:cs="仿宋"/>
          <w:spacing w:val="2"/>
          <w:sz w:val="22"/>
          <w:szCs w:val="22"/>
        </w:rPr>
        <w:t>本次出资完成后，股东及出资情况如下：</w:t>
      </w:r>
    </w:p>
    <w:p>
      <w:pPr>
        <w:pStyle w:val="BodyText"/>
        <w:spacing w:line="276" w:lineRule="auto"/>
      </w:pPr>
    </w:p>
    <w:p>
      <w:pPr>
        <w:pStyle w:val="BodyText"/>
        <w:spacing w:line="277" w:lineRule="auto"/>
      </w:pPr>
    </w:p>
    <w:p>
      <w:pPr>
        <w:pStyle w:val="BodyText"/>
        <w:spacing w:line="277" w:lineRule="auto"/>
      </w:pPr>
    </w:p>
    <w:p>
      <w:pPr>
        <w:pStyle w:val="BodyText"/>
        <w:spacing w:line="277" w:lineRule="auto"/>
      </w:pPr>
    </w:p>
    <w:p>
      <w:pPr>
        <w:spacing w:before="43" w:line="183" w:lineRule="auto"/>
        <w:ind w:left="4679"/>
        <w:rPr>
          <w:rFonts w:ascii="宋体" w:eastAsia="宋体" w:hAnsi="宋体" w:cs="宋体"/>
          <w:sz w:val="13"/>
          <w:szCs w:val="13"/>
        </w:rPr>
      </w:pPr>
      <w:r>
        <w:rPr>
          <w:rFonts w:ascii="宋体" w:eastAsia="宋体" w:hAnsi="宋体" w:cs="宋体"/>
          <w:sz w:val="13"/>
          <w:szCs w:val="13"/>
        </w:rPr>
        <w:t>4</w:t>
      </w:r>
    </w:p>
    <w:p>
      <w:pPr>
        <w:pStyle w:val="BodyText"/>
        <w:spacing w:line="311" w:lineRule="auto"/>
      </w:pPr>
    </w:p>
    <w:p>
      <w:pPr>
        <w:pStyle w:val="BodyText"/>
        <w:spacing w:line="311" w:lineRule="auto"/>
      </w:pPr>
    </w:p>
    <w:p>
      <w:pPr>
        <w:spacing w:before="73" w:line="183" w:lineRule="auto"/>
        <w:ind w:left="4379"/>
        <w:rPr>
          <w:rFonts w:ascii="宋体" w:eastAsia="宋体" w:hAnsi="宋体" w:cs="宋体"/>
          <w:sz w:val="22"/>
          <w:szCs w:val="22"/>
        </w:rPr>
      </w:pPr>
      <w:r>
        <w:rPr>
          <w:rFonts w:ascii="宋体" w:eastAsia="宋体" w:hAnsi="宋体" w:cs="宋体"/>
          <w:spacing w:val="-19"/>
          <w:sz w:val="22"/>
          <w:szCs w:val="22"/>
        </w:rPr>
        <w:t>3-2-3-6</w:t>
      </w:r>
    </w:p>
    <w:p>
      <w:pPr>
        <w:spacing w:line="183" w:lineRule="auto"/>
        <w:rPr>
          <w:rFonts w:ascii="宋体" w:eastAsia="宋体" w:hAnsi="宋体" w:cs="宋体"/>
          <w:sz w:val="22"/>
          <w:szCs w:val="22"/>
        </w:rPr>
        <w:sectPr>
          <w:headerReference w:type="default" r:id="rId7"/>
          <w:pgSz w:w="12110" w:h="16970"/>
          <w:pgMar w:top="400" w:right="450" w:bottom="0" w:left="1520" w:header="0" w:footer="0" w:gutter="0"/>
          <w:pgNumType w:start="8"/>
          <w:cols w:num="1" w:space="720"/>
        </w:sectPr>
      </w:pPr>
    </w:p>
    <w:p>
      <w:pPr>
        <w:pStyle w:val="BodyText"/>
        <w:spacing w:line="310" w:lineRule="auto"/>
      </w:pPr>
      <w:r>
        <w:pict>
          <v:rect id="_x0000_s1031" o:spid="_x0000_s1030" style="width:447.5pt;height:0.5pt;margin-top:113.95pt;margin-left:76.5pt;mso-height-relative:page;mso-position-horizontal-relative:page;mso-position-vertical-relative:page;mso-width-relative:page;position:absolute;z-index:251663360" coordsize="21600,21600" o:allowincell="f" filled="t" fillcolor="black" stroked="f"/>
        </w:pict>
      </w:r>
    </w:p>
    <w:p>
      <w:pPr>
        <w:pStyle w:val="BodyText"/>
        <w:spacing w:line="310" w:lineRule="auto"/>
      </w:pPr>
    </w:p>
    <w:p>
      <w:pPr>
        <w:pStyle w:val="BodyText"/>
        <w:spacing w:line="310" w:lineRule="auto"/>
      </w:pPr>
    </w:p>
    <w:p>
      <w:pPr>
        <w:spacing w:before="71" w:line="216" w:lineRule="auto"/>
        <w:ind w:left="29"/>
        <w:rPr>
          <w:rFonts w:ascii="仿宋" w:eastAsia="仿宋" w:hAnsi="仿宋" w:cs="仿宋"/>
          <w:sz w:val="22"/>
          <w:szCs w:val="22"/>
        </w:rPr>
      </w:pPr>
      <w:r>
        <w:rPr>
          <w:rFonts w:ascii="仿宋" w:eastAsia="仿宋" w:hAnsi="仿宋" w:cs="仿宋"/>
          <w:spacing w:val="5"/>
          <w:sz w:val="22"/>
          <w:szCs w:val="22"/>
        </w:rPr>
        <w:t>美新科技股份有限公司</w:t>
      </w:r>
    </w:p>
    <w:p>
      <w:pPr>
        <w:spacing w:line="220" w:lineRule="auto"/>
        <w:ind w:left="29"/>
        <w:rPr>
          <w:rFonts w:ascii="仿宋" w:eastAsia="仿宋" w:hAnsi="仿宋" w:cs="仿宋"/>
          <w:sz w:val="22"/>
          <w:szCs w:val="22"/>
        </w:rPr>
      </w:pPr>
      <w:r>
        <w:rPr>
          <w:rFonts w:ascii="仿宋" w:eastAsia="仿宋" w:hAnsi="仿宋" w:cs="仿宋"/>
          <w:spacing w:val="4"/>
          <w:sz w:val="22"/>
          <w:szCs w:val="22"/>
        </w:rPr>
        <w:t>盈利预测的编制基础、假设和编制说明</w:t>
      </w:r>
    </w:p>
    <w:p>
      <w:pPr>
        <w:spacing w:before="68" w:line="221" w:lineRule="auto"/>
        <w:ind w:left="29"/>
        <w:rPr>
          <w:rFonts w:ascii="仿宋" w:eastAsia="仿宋" w:hAnsi="仿宋" w:cs="仿宋"/>
          <w:sz w:val="22"/>
          <w:szCs w:val="22"/>
        </w:rPr>
      </w:pPr>
      <w:r>
        <w:rPr>
          <w:rFonts w:ascii="仿宋" w:eastAsia="仿宋" w:hAnsi="仿宋" w:cs="仿宋"/>
          <w:spacing w:val="11"/>
          <w:sz w:val="22"/>
          <w:szCs w:val="22"/>
        </w:rPr>
        <w:t>2023年度(除特别注明外，金额单位为人民币万元)</w:t>
      </w:r>
    </w:p>
    <w:p>
      <w:pPr>
        <w:spacing w:before="39"/>
      </w:pPr>
    </w:p>
    <w:tbl>
      <w:tblPr>
        <w:tblStyle w:val="TableNormal02"/>
        <w:tblW w:w="8709" w:type="dxa"/>
        <w:tblInd w:w="349" w:type="dxa"/>
        <w:tblBorders>
          <w:top w:val="nil"/>
          <w:left w:val="nil"/>
          <w:bottom w:val="nil"/>
          <w:right w:val="nil"/>
          <w:insideH w:val="nil"/>
          <w:insideV w:val="nil"/>
        </w:tblBorders>
        <w:tblLayout w:type="fixed"/>
        <w:tblCellMar>
          <w:top w:w="0" w:type="dxa"/>
          <w:left w:w="0" w:type="dxa"/>
          <w:bottom w:w="0" w:type="dxa"/>
          <w:right w:w="0" w:type="dxa"/>
        </w:tblCellMar>
      </w:tblPr>
      <w:tblGrid>
        <w:gridCol w:w="2835"/>
        <w:gridCol w:w="2447"/>
        <w:gridCol w:w="1957"/>
        <w:gridCol w:w="1470"/>
      </w:tblGrid>
      <w:tr>
        <w:tblPrEx>
          <w:tblW w:w="8709" w:type="dxa"/>
          <w:tblInd w:w="349" w:type="dxa"/>
          <w:tblBorders>
            <w:top w:val="nil"/>
            <w:left w:val="nil"/>
            <w:bottom w:val="nil"/>
            <w:right w:val="nil"/>
            <w:insideH w:val="nil"/>
            <w:insideV w:val="nil"/>
          </w:tblBorders>
          <w:tblLayout w:type="fixed"/>
          <w:tblCellMar>
            <w:top w:w="0" w:type="dxa"/>
            <w:left w:w="0" w:type="dxa"/>
            <w:bottom w:w="0" w:type="dxa"/>
            <w:right w:w="0" w:type="dxa"/>
          </w:tblCellMar>
        </w:tblPrEx>
        <w:trPr>
          <w:trHeight w:val="320"/>
        </w:trPr>
        <w:tc>
          <w:tcPr>
            <w:tcW w:w="2835" w:type="dxa"/>
            <w:tcBorders>
              <w:top w:val="single" w:sz="6" w:space="0" w:color="000000"/>
              <w:bottom w:val="single" w:sz="2" w:space="0" w:color="000000"/>
            </w:tcBorders>
            <w:vAlign w:val="top"/>
          </w:tcPr>
          <w:p>
            <w:pPr>
              <w:spacing w:before="56" w:line="221" w:lineRule="auto"/>
              <w:ind w:left="72"/>
              <w:rPr>
                <w:rFonts w:ascii="仿宋" w:eastAsia="仿宋" w:hAnsi="仿宋" w:cs="仿宋"/>
                <w:sz w:val="19"/>
                <w:szCs w:val="19"/>
              </w:rPr>
            </w:pPr>
            <w:r>
              <w:rPr>
                <w:rFonts w:ascii="仿宋" w:eastAsia="仿宋" w:hAnsi="仿宋" w:cs="仿宋"/>
                <w:b/>
                <w:bCs/>
                <w:spacing w:val="4"/>
                <w:sz w:val="19"/>
                <w:szCs w:val="19"/>
              </w:rPr>
              <w:t>股东名称</w:t>
            </w:r>
          </w:p>
        </w:tc>
        <w:tc>
          <w:tcPr>
            <w:tcW w:w="2447" w:type="dxa"/>
            <w:tcBorders>
              <w:top w:val="single" w:sz="6" w:space="0" w:color="000000"/>
              <w:bottom w:val="single" w:sz="2" w:space="0" w:color="000000"/>
            </w:tcBorders>
            <w:vAlign w:val="top"/>
          </w:tcPr>
          <w:p>
            <w:pPr>
              <w:spacing w:before="69" w:line="223" w:lineRule="auto"/>
              <w:ind w:left="1067"/>
              <w:rPr>
                <w:rFonts w:ascii="仿宋" w:eastAsia="仿宋" w:hAnsi="仿宋" w:cs="仿宋"/>
                <w:sz w:val="19"/>
                <w:szCs w:val="19"/>
              </w:rPr>
            </w:pPr>
            <w:r>
              <w:rPr>
                <w:rFonts w:ascii="仿宋" w:eastAsia="仿宋" w:hAnsi="仿宋" w:cs="仿宋"/>
                <w:b/>
                <w:bCs/>
                <w:spacing w:val="-1"/>
                <w:sz w:val="19"/>
                <w:szCs w:val="19"/>
              </w:rPr>
              <w:t>认缴出资额</w:t>
            </w:r>
          </w:p>
        </w:tc>
        <w:tc>
          <w:tcPr>
            <w:tcW w:w="1957" w:type="dxa"/>
            <w:tcBorders>
              <w:top w:val="single" w:sz="6" w:space="0" w:color="000000"/>
              <w:bottom w:val="single" w:sz="2" w:space="0" w:color="000000"/>
            </w:tcBorders>
            <w:vAlign w:val="top"/>
          </w:tcPr>
          <w:p>
            <w:pPr>
              <w:spacing w:before="81" w:line="222" w:lineRule="auto"/>
              <w:ind w:left="467"/>
              <w:rPr>
                <w:rFonts w:ascii="仿宋" w:eastAsia="仿宋" w:hAnsi="仿宋" w:cs="仿宋"/>
                <w:sz w:val="19"/>
                <w:szCs w:val="19"/>
              </w:rPr>
            </w:pPr>
            <w:r>
              <w:rPr>
                <w:rFonts w:ascii="仿宋" w:eastAsia="仿宋" w:hAnsi="仿宋" w:cs="仿宋"/>
                <w:spacing w:val="-3"/>
                <w:sz w:val="19"/>
                <w:szCs w:val="19"/>
              </w:rPr>
              <w:t>实际出资额</w:t>
            </w:r>
          </w:p>
        </w:tc>
        <w:tc>
          <w:tcPr>
            <w:tcW w:w="1470" w:type="dxa"/>
            <w:tcBorders>
              <w:top w:val="single" w:sz="6" w:space="0" w:color="000000"/>
              <w:bottom w:val="single" w:sz="2" w:space="0" w:color="000000"/>
            </w:tcBorders>
            <w:vAlign w:val="top"/>
          </w:tcPr>
          <w:p>
            <w:pPr>
              <w:spacing w:before="52" w:line="223" w:lineRule="auto"/>
              <w:ind w:left="550"/>
              <w:rPr>
                <w:rFonts w:ascii="仿宋" w:eastAsia="仿宋" w:hAnsi="仿宋" w:cs="仿宋"/>
                <w:sz w:val="19"/>
                <w:szCs w:val="19"/>
              </w:rPr>
            </w:pPr>
            <w:r>
              <w:rPr>
                <w:rFonts w:ascii="仿宋" w:eastAsia="仿宋" w:hAnsi="仿宋" w:cs="仿宋"/>
                <w:spacing w:val="7"/>
                <w:sz w:val="19"/>
                <w:szCs w:val="19"/>
              </w:rPr>
              <w:t>出资方式</w:t>
            </w:r>
          </w:p>
        </w:tc>
      </w:tr>
      <w:tr>
        <w:tblPrEx>
          <w:tblW w:w="8709" w:type="dxa"/>
          <w:tblInd w:w="349" w:type="dxa"/>
          <w:tblLayout w:type="fixed"/>
          <w:tblCellMar>
            <w:top w:w="0" w:type="dxa"/>
            <w:left w:w="0" w:type="dxa"/>
            <w:bottom w:w="0" w:type="dxa"/>
            <w:right w:w="0" w:type="dxa"/>
          </w:tblCellMar>
        </w:tblPrEx>
        <w:trPr>
          <w:trHeight w:val="334"/>
        </w:trPr>
        <w:tc>
          <w:tcPr>
            <w:tcW w:w="2835" w:type="dxa"/>
            <w:tcBorders>
              <w:top w:val="single" w:sz="2" w:space="0" w:color="000000"/>
              <w:bottom w:val="single" w:sz="2" w:space="0" w:color="000000"/>
            </w:tcBorders>
            <w:vAlign w:val="top"/>
          </w:tcPr>
          <w:p>
            <w:pPr>
              <w:spacing w:before="56" w:line="222" w:lineRule="auto"/>
              <w:ind w:left="69"/>
              <w:rPr>
                <w:rFonts w:ascii="仿宋" w:eastAsia="仿宋" w:hAnsi="仿宋" w:cs="仿宋"/>
                <w:sz w:val="19"/>
                <w:szCs w:val="19"/>
              </w:rPr>
            </w:pPr>
            <w:r>
              <w:rPr>
                <w:rFonts w:ascii="仿宋" w:eastAsia="仿宋" w:hAnsi="仿宋" w:cs="仿宋"/>
                <w:spacing w:val="8"/>
                <w:sz w:val="19"/>
                <w:szCs w:val="19"/>
              </w:rPr>
              <w:t>新兴亚洲投资有限公司</w:t>
            </w:r>
          </w:p>
        </w:tc>
        <w:tc>
          <w:tcPr>
            <w:tcW w:w="2447" w:type="dxa"/>
            <w:tcBorders>
              <w:top w:val="single" w:sz="2" w:space="0" w:color="000000"/>
              <w:bottom w:val="single" w:sz="2" w:space="0" w:color="000000"/>
            </w:tcBorders>
            <w:vAlign w:val="top"/>
          </w:tcPr>
          <w:p>
            <w:pPr>
              <w:pStyle w:val="TableText"/>
              <w:spacing w:before="94" w:line="183" w:lineRule="auto"/>
              <w:ind w:left="1044"/>
              <w:rPr>
                <w:sz w:val="19"/>
                <w:szCs w:val="19"/>
              </w:rPr>
            </w:pPr>
            <w:r>
              <w:rPr>
                <w:spacing w:val="-15"/>
                <w:sz w:val="19"/>
                <w:szCs w:val="19"/>
              </w:rPr>
              <w:t>75,000,000.00</w:t>
            </w:r>
          </w:p>
        </w:tc>
        <w:tc>
          <w:tcPr>
            <w:tcW w:w="1957" w:type="dxa"/>
            <w:tcBorders>
              <w:top w:val="single" w:sz="2" w:space="0" w:color="000000"/>
              <w:bottom w:val="single" w:sz="2" w:space="0" w:color="000000"/>
            </w:tcBorders>
            <w:vAlign w:val="top"/>
          </w:tcPr>
          <w:p>
            <w:pPr>
              <w:pStyle w:val="TableText"/>
              <w:spacing w:before="94" w:line="183" w:lineRule="auto"/>
              <w:ind w:left="407"/>
              <w:rPr>
                <w:sz w:val="19"/>
                <w:szCs w:val="19"/>
              </w:rPr>
            </w:pPr>
            <w:r>
              <w:rPr>
                <w:spacing w:val="-13"/>
                <w:sz w:val="19"/>
                <w:szCs w:val="19"/>
              </w:rPr>
              <w:t>63,609,489.00</w:t>
            </w:r>
          </w:p>
        </w:tc>
        <w:tc>
          <w:tcPr>
            <w:tcW w:w="1470" w:type="dxa"/>
            <w:tcBorders>
              <w:top w:val="single" w:sz="2" w:space="0" w:color="000000"/>
              <w:bottom w:val="single" w:sz="2" w:space="0" w:color="000000"/>
            </w:tcBorders>
            <w:vAlign w:val="top"/>
          </w:tcPr>
          <w:p>
            <w:pPr>
              <w:spacing w:before="74" w:line="221" w:lineRule="auto"/>
              <w:ind w:left="330"/>
              <w:rPr>
                <w:rFonts w:ascii="仿宋" w:eastAsia="仿宋" w:hAnsi="仿宋" w:cs="仿宋"/>
                <w:sz w:val="19"/>
                <w:szCs w:val="19"/>
              </w:rPr>
            </w:pPr>
            <w:r>
              <w:rPr>
                <w:rFonts w:ascii="仿宋" w:eastAsia="仿宋" w:hAnsi="仿宋" w:cs="仿宋"/>
                <w:sz w:val="19"/>
                <w:szCs w:val="19"/>
              </w:rPr>
              <w:t>货币、实物</w:t>
            </w:r>
          </w:p>
        </w:tc>
      </w:tr>
      <w:tr>
        <w:tblPrEx>
          <w:tblW w:w="8709" w:type="dxa"/>
          <w:tblInd w:w="349" w:type="dxa"/>
          <w:tblLayout w:type="fixed"/>
          <w:tblCellMar>
            <w:top w:w="0" w:type="dxa"/>
            <w:left w:w="0" w:type="dxa"/>
            <w:bottom w:w="0" w:type="dxa"/>
            <w:right w:w="0" w:type="dxa"/>
          </w:tblCellMar>
        </w:tblPrEx>
        <w:trPr>
          <w:trHeight w:val="3362"/>
        </w:trPr>
        <w:tc>
          <w:tcPr>
            <w:tcW w:w="8709" w:type="dxa"/>
            <w:gridSpan w:val="4"/>
            <w:tcBorders>
              <w:top w:val="single" w:sz="2" w:space="0" w:color="000000"/>
              <w:bottom w:val="single" w:sz="2" w:space="0" w:color="000000"/>
            </w:tcBorders>
            <w:vAlign w:val="top"/>
          </w:tcPr>
          <w:p>
            <w:pPr>
              <w:spacing w:before="157" w:line="236" w:lineRule="auto"/>
              <w:ind w:left="69" w:right="163"/>
              <w:jc w:val="both"/>
              <w:rPr>
                <w:rFonts w:ascii="仿宋" w:eastAsia="仿宋" w:hAnsi="仿宋" w:cs="仿宋"/>
                <w:sz w:val="22"/>
                <w:szCs w:val="22"/>
              </w:rPr>
            </w:pPr>
            <w:r>
              <w:rPr>
                <w:rFonts w:ascii="仿宋" w:eastAsia="仿宋" w:hAnsi="仿宋" w:cs="仿宋"/>
                <w:spacing w:val="9"/>
                <w:sz w:val="22"/>
                <w:szCs w:val="22"/>
              </w:rPr>
              <w:t>2005年7月11日，经公司董事会决议，</w:t>
            </w:r>
            <w:r>
              <w:rPr>
                <w:rFonts w:ascii="仿宋" w:eastAsia="仿宋" w:hAnsi="仿宋" w:cs="仿宋"/>
                <w:spacing w:val="8"/>
                <w:sz w:val="22"/>
                <w:szCs w:val="22"/>
              </w:rPr>
              <w:t>同意公司注册资本变更为人民币15,000</w:t>
            </w:r>
            <w:r>
              <w:rPr>
                <w:rFonts w:ascii="仿宋" w:eastAsia="仿宋" w:hAnsi="仿宋" w:cs="仿宋"/>
                <w:spacing w:val="-22"/>
                <w:sz w:val="22"/>
                <w:szCs w:val="22"/>
              </w:rPr>
              <w:t xml:space="preserve"> </w:t>
            </w:r>
            <w:r>
              <w:rPr>
                <w:rFonts w:ascii="仿宋" w:eastAsia="仿宋" w:hAnsi="仿宋" w:cs="仿宋"/>
                <w:spacing w:val="8"/>
                <w:sz w:val="22"/>
                <w:szCs w:val="22"/>
              </w:rPr>
              <w:t>万元.</w:t>
            </w:r>
            <w:r>
              <w:rPr>
                <w:rFonts w:ascii="仿宋" w:eastAsia="仿宋" w:hAnsi="仿宋" w:cs="仿宋"/>
                <w:sz w:val="22"/>
                <w:szCs w:val="22"/>
              </w:rPr>
              <w:t xml:space="preserve">  </w:t>
            </w:r>
            <w:r>
              <w:rPr>
                <w:rFonts w:ascii="仿宋" w:eastAsia="仿宋" w:hAnsi="仿宋" w:cs="仿宋"/>
                <w:spacing w:val="3"/>
                <w:sz w:val="22"/>
                <w:szCs w:val="22"/>
              </w:rPr>
              <w:t>认缴增资额以等值于人民币7,500</w:t>
            </w:r>
            <w:r>
              <w:rPr>
                <w:rFonts w:ascii="仿宋" w:eastAsia="仿宋" w:hAnsi="仿宋" w:cs="仿宋"/>
                <w:spacing w:val="-6"/>
                <w:sz w:val="22"/>
                <w:szCs w:val="22"/>
              </w:rPr>
              <w:t xml:space="preserve"> </w:t>
            </w:r>
            <w:r>
              <w:rPr>
                <w:rFonts w:ascii="仿宋" w:eastAsia="仿宋" w:hAnsi="仿宋" w:cs="仿宋"/>
                <w:spacing w:val="3"/>
                <w:sz w:val="22"/>
                <w:szCs w:val="22"/>
              </w:rPr>
              <w:t>万元的外汇投入，并于营业执照变更之日起三年内缴</w:t>
            </w:r>
            <w:r>
              <w:rPr>
                <w:rFonts w:ascii="仿宋" w:eastAsia="仿宋" w:hAnsi="仿宋" w:cs="仿宋"/>
                <w:sz w:val="22"/>
                <w:szCs w:val="22"/>
              </w:rPr>
              <w:t xml:space="preserve"> </w:t>
            </w:r>
            <w:r>
              <w:rPr>
                <w:rFonts w:ascii="仿宋" w:eastAsia="仿宋" w:hAnsi="仿宋" w:cs="仿宋"/>
                <w:spacing w:val="-2"/>
                <w:sz w:val="22"/>
                <w:szCs w:val="22"/>
              </w:rPr>
              <w:t>足。同日公司修改了《惠东美新塑木型材制品有限公司补充章程》。</w:t>
            </w:r>
          </w:p>
          <w:p>
            <w:pPr>
              <w:spacing w:before="246" w:line="237" w:lineRule="auto"/>
              <w:ind w:left="69" w:right="141"/>
              <w:jc w:val="right"/>
              <w:rPr>
                <w:rFonts w:ascii="仿宋" w:eastAsia="仿宋" w:hAnsi="仿宋" w:cs="仿宋"/>
                <w:sz w:val="22"/>
                <w:szCs w:val="22"/>
              </w:rPr>
            </w:pPr>
            <w:r>
              <w:rPr>
                <w:rFonts w:ascii="仿宋" w:eastAsia="仿宋" w:hAnsi="仿宋" w:cs="仿宋"/>
                <w:spacing w:val="11"/>
                <w:sz w:val="22"/>
                <w:szCs w:val="22"/>
              </w:rPr>
              <w:t>截至2005年9月29日止，公司收到新兴亚洲</w:t>
            </w:r>
            <w:r>
              <w:rPr>
                <w:rFonts w:ascii="仿宋" w:eastAsia="仿宋" w:hAnsi="仿宋" w:cs="仿宋"/>
                <w:spacing w:val="10"/>
                <w:sz w:val="22"/>
                <w:szCs w:val="22"/>
              </w:rPr>
              <w:t>投资有限公司第四期缴纳注册资本合计人</w:t>
            </w:r>
            <w:r>
              <w:rPr>
                <w:rFonts w:ascii="仿宋" w:eastAsia="仿宋" w:hAnsi="仿宋" w:cs="仿宋"/>
                <w:sz w:val="22"/>
                <w:szCs w:val="22"/>
              </w:rPr>
              <w:t xml:space="preserve"> </w:t>
            </w:r>
            <w:r>
              <w:rPr>
                <w:rFonts w:ascii="仿宋" w:eastAsia="仿宋" w:hAnsi="仿宋" w:cs="仿宋"/>
                <w:spacing w:val="-6"/>
                <w:sz w:val="22"/>
                <w:szCs w:val="22"/>
              </w:rPr>
              <w:t>民币2,457.78万元，其中以港币出资1,950万元，折合人民币2,029.75万</w:t>
            </w:r>
            <w:r>
              <w:rPr>
                <w:rFonts w:ascii="仿宋" w:eastAsia="仿宋" w:hAnsi="仿宋" w:cs="仿宋"/>
                <w:spacing w:val="-7"/>
                <w:sz w:val="22"/>
                <w:szCs w:val="22"/>
              </w:rPr>
              <w:t>元，实物出资52.89</w:t>
            </w:r>
            <w:r>
              <w:rPr>
                <w:rFonts w:ascii="仿宋" w:eastAsia="仿宋" w:hAnsi="仿宋" w:cs="仿宋"/>
                <w:sz w:val="22"/>
                <w:szCs w:val="22"/>
              </w:rPr>
              <w:t xml:space="preserve"> </w:t>
            </w:r>
            <w:r>
              <w:rPr>
                <w:rFonts w:ascii="仿宋" w:eastAsia="仿宋" w:hAnsi="仿宋" w:cs="仿宋"/>
                <w:spacing w:val="1"/>
                <w:sz w:val="22"/>
                <w:szCs w:val="22"/>
              </w:rPr>
              <w:t>万美元，折合人民币428.03</w:t>
            </w:r>
            <w:r>
              <w:rPr>
                <w:rFonts w:ascii="仿宋" w:eastAsia="仿宋" w:hAnsi="仿宋" w:cs="仿宋"/>
                <w:spacing w:val="-29"/>
                <w:sz w:val="22"/>
                <w:szCs w:val="22"/>
              </w:rPr>
              <w:t xml:space="preserve"> </w:t>
            </w:r>
            <w:r>
              <w:rPr>
                <w:rFonts w:ascii="仿宋" w:eastAsia="仿宋" w:hAnsi="仿宋" w:cs="仿宋"/>
                <w:spacing w:val="1"/>
                <w:sz w:val="22"/>
                <w:szCs w:val="22"/>
              </w:rPr>
              <w:t>万元，此次出资由惠州市立诚会计师事务所出具惠立会验字</w:t>
            </w:r>
            <w:r>
              <w:rPr>
                <w:rFonts w:ascii="仿宋" w:eastAsia="仿宋" w:hAnsi="仿宋" w:cs="仿宋"/>
                <w:sz w:val="22"/>
                <w:szCs w:val="22"/>
              </w:rPr>
              <w:t xml:space="preserve"> </w:t>
            </w:r>
            <w:r>
              <w:rPr>
                <w:rFonts w:ascii="仿宋" w:eastAsia="仿宋" w:hAnsi="仿宋" w:cs="仿宋"/>
                <w:spacing w:val="3"/>
                <w:sz w:val="22"/>
                <w:szCs w:val="22"/>
              </w:rPr>
              <w:t>【2006】153 号《验资报告》予以验证，实物出资部分已由中联国际评估咨询有限公司</w:t>
            </w:r>
          </w:p>
          <w:p>
            <w:pPr>
              <w:spacing w:before="27" w:line="503" w:lineRule="exact"/>
              <w:ind w:left="69"/>
              <w:rPr>
                <w:rFonts w:ascii="仿宋" w:eastAsia="仿宋" w:hAnsi="仿宋" w:cs="仿宋"/>
                <w:sz w:val="22"/>
                <w:szCs w:val="22"/>
              </w:rPr>
            </w:pPr>
            <w:r>
              <w:rPr>
                <w:rFonts w:ascii="仿宋" w:eastAsia="仿宋" w:hAnsi="仿宋" w:cs="仿宋"/>
                <w:spacing w:val="7"/>
                <w:position w:val="21"/>
                <w:sz w:val="22"/>
                <w:szCs w:val="22"/>
              </w:rPr>
              <w:t>进行追溯评估，并出具了中联国际评字(2021)第</w:t>
            </w:r>
            <w:r>
              <w:rPr>
                <w:rFonts w:ascii="Times New Roman" w:eastAsia="Times New Roman" w:hAnsi="Times New Roman" w:cs="Times New Roman"/>
                <w:position w:val="21"/>
                <w:sz w:val="22"/>
                <w:szCs w:val="22"/>
              </w:rPr>
              <w:t>JNMPD</w:t>
            </w:r>
            <w:r>
              <w:rPr>
                <w:rFonts w:ascii="Times New Roman" w:eastAsia="Times New Roman" w:hAnsi="Times New Roman" w:cs="Times New Roman"/>
                <w:spacing w:val="7"/>
                <w:position w:val="21"/>
                <w:sz w:val="22"/>
                <w:szCs w:val="22"/>
              </w:rPr>
              <w:t>0143</w:t>
            </w:r>
            <w:r>
              <w:rPr>
                <w:rFonts w:ascii="仿宋" w:eastAsia="仿宋" w:hAnsi="仿宋" w:cs="仿宋"/>
                <w:spacing w:val="7"/>
                <w:position w:val="21"/>
                <w:sz w:val="22"/>
                <w:szCs w:val="22"/>
              </w:rPr>
              <w:t>号的</w:t>
            </w:r>
            <w:r>
              <w:rPr>
                <w:rFonts w:ascii="仿宋" w:eastAsia="仿宋" w:hAnsi="仿宋" w:cs="仿宋"/>
                <w:spacing w:val="6"/>
                <w:position w:val="21"/>
                <w:sz w:val="22"/>
                <w:szCs w:val="22"/>
              </w:rPr>
              <w:t>评估报告。</w:t>
            </w:r>
          </w:p>
          <w:p>
            <w:pPr>
              <w:spacing w:line="222" w:lineRule="auto"/>
              <w:ind w:left="69"/>
              <w:rPr>
                <w:rFonts w:ascii="仿宋" w:eastAsia="仿宋" w:hAnsi="仿宋" w:cs="仿宋"/>
                <w:sz w:val="22"/>
                <w:szCs w:val="22"/>
              </w:rPr>
            </w:pPr>
            <w:r>
              <w:rPr>
                <w:rFonts w:ascii="仿宋" w:eastAsia="仿宋" w:hAnsi="仿宋" w:cs="仿宋"/>
                <w:spacing w:val="-1"/>
                <w:sz w:val="22"/>
                <w:szCs w:val="22"/>
              </w:rPr>
              <w:t>本次出资完成后，股东及出资情况如下：</w:t>
            </w:r>
          </w:p>
        </w:tc>
      </w:tr>
      <w:tr>
        <w:tblPrEx>
          <w:tblW w:w="8709" w:type="dxa"/>
          <w:tblInd w:w="349" w:type="dxa"/>
          <w:tblLayout w:type="fixed"/>
          <w:tblCellMar>
            <w:top w:w="0" w:type="dxa"/>
            <w:left w:w="0" w:type="dxa"/>
            <w:bottom w:w="0" w:type="dxa"/>
            <w:right w:w="0" w:type="dxa"/>
          </w:tblCellMar>
        </w:tblPrEx>
        <w:trPr>
          <w:trHeight w:val="334"/>
        </w:trPr>
        <w:tc>
          <w:tcPr>
            <w:tcW w:w="2835" w:type="dxa"/>
            <w:tcBorders>
              <w:top w:val="single" w:sz="2" w:space="0" w:color="000000"/>
              <w:bottom w:val="single" w:sz="2" w:space="0" w:color="000000"/>
            </w:tcBorders>
            <w:vAlign w:val="top"/>
          </w:tcPr>
          <w:p>
            <w:pPr>
              <w:spacing w:before="75" w:line="221" w:lineRule="auto"/>
              <w:ind w:left="72"/>
              <w:rPr>
                <w:rFonts w:ascii="仿宋" w:eastAsia="仿宋" w:hAnsi="仿宋" w:cs="仿宋"/>
                <w:sz w:val="19"/>
                <w:szCs w:val="19"/>
              </w:rPr>
            </w:pPr>
            <w:r>
              <w:rPr>
                <w:rFonts w:ascii="仿宋" w:eastAsia="仿宋" w:hAnsi="仿宋" w:cs="仿宋"/>
                <w:b/>
                <w:bCs/>
                <w:spacing w:val="11"/>
                <w:sz w:val="19"/>
                <w:szCs w:val="19"/>
              </w:rPr>
              <w:t>股东名称</w:t>
            </w:r>
          </w:p>
        </w:tc>
        <w:tc>
          <w:tcPr>
            <w:tcW w:w="2447" w:type="dxa"/>
            <w:tcBorders>
              <w:top w:val="single" w:sz="2" w:space="0" w:color="000000"/>
              <w:bottom w:val="single" w:sz="2" w:space="0" w:color="000000"/>
            </w:tcBorders>
            <w:vAlign w:val="top"/>
          </w:tcPr>
          <w:p>
            <w:pPr>
              <w:spacing w:before="88" w:line="223" w:lineRule="auto"/>
              <w:ind w:left="1107"/>
              <w:rPr>
                <w:rFonts w:ascii="仿宋" w:eastAsia="仿宋" w:hAnsi="仿宋" w:cs="仿宋"/>
                <w:sz w:val="19"/>
                <w:szCs w:val="19"/>
              </w:rPr>
            </w:pPr>
            <w:r>
              <w:rPr>
                <w:rFonts w:ascii="仿宋" w:eastAsia="仿宋" w:hAnsi="仿宋" w:cs="仿宋"/>
                <w:b/>
                <w:bCs/>
                <w:spacing w:val="3"/>
                <w:sz w:val="19"/>
                <w:szCs w:val="19"/>
              </w:rPr>
              <w:t>认缴出资额</w:t>
            </w:r>
          </w:p>
        </w:tc>
        <w:tc>
          <w:tcPr>
            <w:tcW w:w="1957" w:type="dxa"/>
            <w:tcBorders>
              <w:top w:val="single" w:sz="2" w:space="0" w:color="000000"/>
              <w:bottom w:val="single" w:sz="2" w:space="0" w:color="000000"/>
            </w:tcBorders>
            <w:vAlign w:val="top"/>
          </w:tcPr>
          <w:p>
            <w:pPr>
              <w:spacing w:before="80" w:line="222" w:lineRule="auto"/>
              <w:ind w:left="508"/>
              <w:rPr>
                <w:rFonts w:ascii="仿宋" w:eastAsia="仿宋" w:hAnsi="仿宋" w:cs="仿宋"/>
                <w:sz w:val="19"/>
                <w:szCs w:val="19"/>
              </w:rPr>
            </w:pPr>
            <w:r>
              <w:rPr>
                <w:rFonts w:ascii="仿宋" w:eastAsia="仿宋" w:hAnsi="仿宋" w:cs="仿宋"/>
                <w:spacing w:val="2"/>
                <w:sz w:val="19"/>
                <w:szCs w:val="19"/>
              </w:rPr>
              <w:t>实际出资额</w:t>
            </w:r>
          </w:p>
        </w:tc>
        <w:tc>
          <w:tcPr>
            <w:tcW w:w="1470" w:type="dxa"/>
            <w:tcBorders>
              <w:top w:val="single" w:sz="2" w:space="0" w:color="000000"/>
              <w:bottom w:val="single" w:sz="2" w:space="0" w:color="000000"/>
            </w:tcBorders>
            <w:vAlign w:val="top"/>
          </w:tcPr>
          <w:p>
            <w:pPr>
              <w:spacing w:before="68" w:line="223" w:lineRule="auto"/>
              <w:ind w:left="553"/>
              <w:rPr>
                <w:rFonts w:ascii="仿宋" w:eastAsia="仿宋" w:hAnsi="仿宋" w:cs="仿宋"/>
                <w:sz w:val="19"/>
                <w:szCs w:val="19"/>
              </w:rPr>
            </w:pPr>
            <w:r>
              <w:rPr>
                <w:rFonts w:ascii="仿宋" w:eastAsia="仿宋" w:hAnsi="仿宋" w:cs="仿宋"/>
                <w:b/>
                <w:bCs/>
                <w:spacing w:val="4"/>
                <w:sz w:val="19"/>
                <w:szCs w:val="19"/>
              </w:rPr>
              <w:t>出资方式</w:t>
            </w:r>
          </w:p>
        </w:tc>
      </w:tr>
      <w:tr>
        <w:tblPrEx>
          <w:tblW w:w="8709" w:type="dxa"/>
          <w:tblInd w:w="349" w:type="dxa"/>
          <w:tblLayout w:type="fixed"/>
          <w:tblCellMar>
            <w:top w:w="0" w:type="dxa"/>
            <w:left w:w="0" w:type="dxa"/>
            <w:bottom w:w="0" w:type="dxa"/>
            <w:right w:w="0" w:type="dxa"/>
          </w:tblCellMar>
        </w:tblPrEx>
        <w:trPr>
          <w:trHeight w:val="325"/>
        </w:trPr>
        <w:tc>
          <w:tcPr>
            <w:tcW w:w="2835" w:type="dxa"/>
            <w:tcBorders>
              <w:top w:val="single" w:sz="2" w:space="0" w:color="000000"/>
              <w:bottom w:val="single" w:sz="2" w:space="0" w:color="000000"/>
            </w:tcBorders>
            <w:vAlign w:val="top"/>
          </w:tcPr>
          <w:p>
            <w:pPr>
              <w:spacing w:before="91" w:line="217" w:lineRule="auto"/>
              <w:ind w:left="69"/>
              <w:rPr>
                <w:rFonts w:ascii="仿宋" w:eastAsia="仿宋" w:hAnsi="仿宋" w:cs="仿宋"/>
                <w:sz w:val="19"/>
                <w:szCs w:val="19"/>
              </w:rPr>
            </w:pPr>
            <w:r>
              <w:rPr>
                <w:rFonts w:ascii="仿宋" w:eastAsia="仿宋" w:hAnsi="仿宋" w:cs="仿宋"/>
                <w:spacing w:val="8"/>
                <w:sz w:val="19"/>
                <w:szCs w:val="19"/>
              </w:rPr>
              <w:t>新兴亚洲投资有限公司</w:t>
            </w:r>
          </w:p>
        </w:tc>
        <w:tc>
          <w:tcPr>
            <w:tcW w:w="2447" w:type="dxa"/>
            <w:tcBorders>
              <w:top w:val="single" w:sz="2" w:space="0" w:color="000000"/>
              <w:bottom w:val="single" w:sz="2" w:space="0" w:color="000000"/>
            </w:tcBorders>
            <w:vAlign w:val="top"/>
          </w:tcPr>
          <w:p>
            <w:pPr>
              <w:pStyle w:val="TableText"/>
              <w:spacing w:before="98" w:line="184" w:lineRule="auto"/>
              <w:ind w:left="985"/>
              <w:rPr>
                <w:sz w:val="19"/>
                <w:szCs w:val="19"/>
              </w:rPr>
            </w:pPr>
            <w:r>
              <w:rPr>
                <w:spacing w:val="-15"/>
                <w:sz w:val="19"/>
                <w:szCs w:val="19"/>
              </w:rPr>
              <w:t>150,000,000.00</w:t>
            </w:r>
          </w:p>
        </w:tc>
        <w:tc>
          <w:tcPr>
            <w:tcW w:w="1957" w:type="dxa"/>
            <w:tcBorders>
              <w:top w:val="single" w:sz="2" w:space="0" w:color="000000"/>
              <w:bottom w:val="single" w:sz="2" w:space="0" w:color="000000"/>
            </w:tcBorders>
            <w:vAlign w:val="top"/>
          </w:tcPr>
          <w:p>
            <w:pPr>
              <w:pStyle w:val="TableText"/>
              <w:spacing w:before="85" w:line="184" w:lineRule="auto"/>
              <w:ind w:left="450"/>
              <w:rPr>
                <w:sz w:val="19"/>
                <w:szCs w:val="19"/>
              </w:rPr>
            </w:pPr>
            <w:r>
              <w:rPr>
                <w:b/>
                <w:bCs/>
                <w:spacing w:val="-16"/>
                <w:sz w:val="19"/>
                <w:szCs w:val="19"/>
              </w:rPr>
              <w:t>88,187,291.00</w:t>
            </w:r>
          </w:p>
        </w:tc>
        <w:tc>
          <w:tcPr>
            <w:tcW w:w="1470" w:type="dxa"/>
            <w:tcBorders>
              <w:top w:val="single" w:sz="2" w:space="0" w:color="000000"/>
              <w:bottom w:val="single" w:sz="2" w:space="0" w:color="000000"/>
            </w:tcBorders>
            <w:vAlign w:val="top"/>
          </w:tcPr>
          <w:p>
            <w:pPr>
              <w:spacing w:before="79" w:line="221" w:lineRule="auto"/>
              <w:ind w:left="330"/>
              <w:rPr>
                <w:rFonts w:ascii="仿宋" w:eastAsia="仿宋" w:hAnsi="仿宋" w:cs="仿宋"/>
                <w:sz w:val="19"/>
                <w:szCs w:val="19"/>
              </w:rPr>
            </w:pPr>
            <w:r>
              <w:rPr>
                <w:rFonts w:ascii="仿宋" w:eastAsia="仿宋" w:hAnsi="仿宋" w:cs="仿宋"/>
                <w:spacing w:val="4"/>
                <w:sz w:val="19"/>
                <w:szCs w:val="19"/>
              </w:rPr>
              <w:t>货币、实物</w:t>
            </w:r>
          </w:p>
        </w:tc>
      </w:tr>
      <w:tr>
        <w:tblPrEx>
          <w:tblW w:w="8709" w:type="dxa"/>
          <w:tblInd w:w="349" w:type="dxa"/>
          <w:tblLayout w:type="fixed"/>
          <w:tblCellMar>
            <w:top w:w="0" w:type="dxa"/>
            <w:left w:w="0" w:type="dxa"/>
            <w:bottom w:w="0" w:type="dxa"/>
            <w:right w:w="0" w:type="dxa"/>
          </w:tblCellMar>
        </w:tblPrEx>
        <w:trPr>
          <w:trHeight w:val="2293"/>
        </w:trPr>
        <w:tc>
          <w:tcPr>
            <w:tcW w:w="8709" w:type="dxa"/>
            <w:gridSpan w:val="4"/>
            <w:tcBorders>
              <w:top w:val="single" w:sz="2" w:space="0" w:color="000000"/>
              <w:bottom w:val="single" w:sz="2" w:space="0" w:color="000000"/>
            </w:tcBorders>
            <w:vAlign w:val="top"/>
          </w:tcPr>
          <w:p>
            <w:pPr>
              <w:pStyle w:val="TableText"/>
              <w:spacing w:before="170" w:line="242" w:lineRule="auto"/>
              <w:ind w:left="69" w:right="134"/>
              <w:jc w:val="both"/>
              <w:rPr>
                <w:rFonts w:ascii="仿宋" w:eastAsia="仿宋" w:hAnsi="仿宋" w:cs="仿宋"/>
                <w:sz w:val="22"/>
                <w:szCs w:val="22"/>
              </w:rPr>
            </w:pPr>
            <w:r>
              <w:rPr>
                <w:rFonts w:ascii="仿宋" w:eastAsia="仿宋" w:hAnsi="仿宋" w:cs="仿宋"/>
                <w:spacing w:val="9"/>
                <w:sz w:val="22"/>
                <w:szCs w:val="22"/>
              </w:rPr>
              <w:t>截至2006年12月18日止，公司收到新兴亚洲投资有限公司第五期缴纳</w:t>
            </w:r>
            <w:r>
              <w:rPr>
                <w:rFonts w:ascii="仿宋" w:eastAsia="仿宋" w:hAnsi="仿宋" w:cs="仿宋"/>
                <w:spacing w:val="8"/>
                <w:sz w:val="22"/>
                <w:szCs w:val="22"/>
              </w:rPr>
              <w:t>注册资本合计人</w:t>
            </w:r>
            <w:r>
              <w:rPr>
                <w:rFonts w:ascii="仿宋" w:eastAsia="仿宋" w:hAnsi="仿宋" w:cs="仿宋"/>
                <w:sz w:val="22"/>
                <w:szCs w:val="22"/>
              </w:rPr>
              <w:t xml:space="preserve"> </w:t>
            </w:r>
            <w:r>
              <w:rPr>
                <w:rFonts w:ascii="仿宋" w:eastAsia="仿宋" w:hAnsi="仿宋" w:cs="仿宋"/>
                <w:spacing w:val="-1"/>
                <w:sz w:val="22"/>
                <w:szCs w:val="22"/>
              </w:rPr>
              <w:t>民币3,549.6,6万元，其中以港币出资3</w:t>
            </w:r>
            <w:r>
              <w:rPr>
                <w:rFonts w:ascii="仿宋" w:eastAsia="仿宋" w:hAnsi="仿宋" w:cs="仿宋"/>
                <w:spacing w:val="-2"/>
                <w:sz w:val="22"/>
                <w:szCs w:val="22"/>
              </w:rPr>
              <w:t>,370万元，折合人民币3456.69万元；实物出资(机</w:t>
            </w:r>
            <w:r>
              <w:rPr>
                <w:rFonts w:ascii="仿宋" w:eastAsia="仿宋" w:hAnsi="仿宋" w:cs="仿宋"/>
                <w:sz w:val="22"/>
                <w:szCs w:val="22"/>
              </w:rPr>
              <w:t xml:space="preserve"> </w:t>
            </w:r>
            <w:r>
              <w:rPr>
                <w:rFonts w:ascii="仿宋" w:eastAsia="仿宋" w:hAnsi="仿宋" w:cs="仿宋"/>
                <w:spacing w:val="-2"/>
                <w:sz w:val="22"/>
                <w:szCs w:val="22"/>
              </w:rPr>
              <w:t>器设备)11.61万美元，折合人民币92.97 万元。此次出资由惠州市立诚会计师事务所出具</w:t>
            </w:r>
            <w:r>
              <w:rPr>
                <w:rFonts w:ascii="仿宋" w:eastAsia="仿宋" w:hAnsi="仿宋" w:cs="仿宋"/>
                <w:spacing w:val="13"/>
                <w:sz w:val="22"/>
                <w:szCs w:val="22"/>
              </w:rPr>
              <w:t xml:space="preserve"> </w:t>
            </w:r>
            <w:r>
              <w:rPr>
                <w:rFonts w:ascii="仿宋" w:eastAsia="仿宋" w:hAnsi="仿宋" w:cs="仿宋"/>
                <w:sz w:val="22"/>
                <w:szCs w:val="22"/>
              </w:rPr>
              <w:t>惠立会验字【2006】260号《验资报告》予以验证，实物出资部分已由中联国际评估咨询</w:t>
            </w:r>
            <w:r>
              <w:rPr>
                <w:rFonts w:ascii="仿宋" w:eastAsia="仿宋" w:hAnsi="仿宋" w:cs="仿宋"/>
                <w:spacing w:val="7"/>
                <w:sz w:val="22"/>
                <w:szCs w:val="22"/>
              </w:rPr>
              <w:t xml:space="preserve"> </w:t>
            </w:r>
            <w:r>
              <w:rPr>
                <w:rFonts w:ascii="仿宋" w:eastAsia="仿宋" w:hAnsi="仿宋" w:cs="仿宋"/>
                <w:spacing w:val="5"/>
                <w:sz w:val="22"/>
                <w:szCs w:val="22"/>
              </w:rPr>
              <w:t>有限公司进行追溯评估，并出具了中联国际评字(2021)第</w:t>
            </w:r>
            <w:r>
              <w:rPr>
                <w:sz w:val="22"/>
                <w:szCs w:val="22"/>
              </w:rPr>
              <w:t>JNMPD</w:t>
            </w:r>
            <w:r>
              <w:rPr>
                <w:spacing w:val="5"/>
                <w:sz w:val="22"/>
                <w:szCs w:val="22"/>
              </w:rPr>
              <w:t xml:space="preserve">0144 </w:t>
            </w:r>
            <w:r>
              <w:rPr>
                <w:rFonts w:ascii="仿宋" w:eastAsia="仿宋" w:hAnsi="仿宋" w:cs="仿宋"/>
                <w:spacing w:val="5"/>
                <w:sz w:val="22"/>
                <w:szCs w:val="22"/>
              </w:rPr>
              <w:t>号的评估报告。</w:t>
            </w:r>
          </w:p>
          <w:p>
            <w:pPr>
              <w:spacing w:before="240" w:line="222" w:lineRule="auto"/>
              <w:ind w:left="69"/>
              <w:rPr>
                <w:rFonts w:ascii="仿宋" w:eastAsia="仿宋" w:hAnsi="仿宋" w:cs="仿宋"/>
                <w:sz w:val="22"/>
                <w:szCs w:val="22"/>
              </w:rPr>
            </w:pPr>
            <w:r>
              <w:rPr>
                <w:rFonts w:ascii="仿宋" w:eastAsia="仿宋" w:hAnsi="仿宋" w:cs="仿宋"/>
                <w:spacing w:val="-1"/>
                <w:sz w:val="22"/>
                <w:szCs w:val="22"/>
              </w:rPr>
              <w:t>本次出资完成后，股东及出资情况如下：</w:t>
            </w:r>
          </w:p>
        </w:tc>
      </w:tr>
      <w:tr>
        <w:tblPrEx>
          <w:tblW w:w="8709" w:type="dxa"/>
          <w:tblInd w:w="349" w:type="dxa"/>
          <w:tblLayout w:type="fixed"/>
          <w:tblCellMar>
            <w:top w:w="0" w:type="dxa"/>
            <w:left w:w="0" w:type="dxa"/>
            <w:bottom w:w="0" w:type="dxa"/>
            <w:right w:w="0" w:type="dxa"/>
          </w:tblCellMar>
        </w:tblPrEx>
        <w:trPr>
          <w:trHeight w:val="334"/>
        </w:trPr>
        <w:tc>
          <w:tcPr>
            <w:tcW w:w="2835" w:type="dxa"/>
            <w:tcBorders>
              <w:top w:val="single" w:sz="2" w:space="0" w:color="000000"/>
              <w:bottom w:val="single" w:sz="2" w:space="0" w:color="000000"/>
            </w:tcBorders>
            <w:vAlign w:val="top"/>
          </w:tcPr>
          <w:p>
            <w:pPr>
              <w:spacing w:before="78" w:line="221" w:lineRule="auto"/>
              <w:ind w:left="72"/>
              <w:rPr>
                <w:rFonts w:ascii="仿宋" w:eastAsia="仿宋" w:hAnsi="仿宋" w:cs="仿宋"/>
                <w:sz w:val="19"/>
                <w:szCs w:val="19"/>
              </w:rPr>
            </w:pPr>
            <w:r>
              <w:rPr>
                <w:rFonts w:ascii="仿宋" w:eastAsia="仿宋" w:hAnsi="仿宋" w:cs="仿宋"/>
                <w:b/>
                <w:bCs/>
                <w:spacing w:val="11"/>
                <w:sz w:val="19"/>
                <w:szCs w:val="19"/>
              </w:rPr>
              <w:t>股东名称</w:t>
            </w:r>
          </w:p>
        </w:tc>
        <w:tc>
          <w:tcPr>
            <w:tcW w:w="2447" w:type="dxa"/>
            <w:tcBorders>
              <w:top w:val="single" w:sz="2" w:space="0" w:color="000000"/>
              <w:bottom w:val="single" w:sz="2" w:space="0" w:color="000000"/>
            </w:tcBorders>
            <w:vAlign w:val="top"/>
          </w:tcPr>
          <w:p>
            <w:pPr>
              <w:spacing w:before="84" w:line="223" w:lineRule="auto"/>
              <w:ind w:left="1105"/>
              <w:rPr>
                <w:rFonts w:ascii="仿宋" w:eastAsia="仿宋" w:hAnsi="仿宋" w:cs="仿宋"/>
                <w:sz w:val="19"/>
                <w:szCs w:val="19"/>
              </w:rPr>
            </w:pPr>
            <w:r>
              <w:rPr>
                <w:rFonts w:ascii="仿宋" w:eastAsia="仿宋" w:hAnsi="仿宋" w:cs="仿宋"/>
                <w:spacing w:val="6"/>
                <w:sz w:val="19"/>
                <w:szCs w:val="19"/>
              </w:rPr>
              <w:t>认缴出资额</w:t>
            </w:r>
          </w:p>
        </w:tc>
        <w:tc>
          <w:tcPr>
            <w:tcW w:w="1957" w:type="dxa"/>
            <w:tcBorders>
              <w:top w:val="single" w:sz="2" w:space="0" w:color="000000"/>
              <w:bottom w:val="single" w:sz="2" w:space="0" w:color="000000"/>
            </w:tcBorders>
            <w:vAlign w:val="top"/>
          </w:tcPr>
          <w:p>
            <w:pPr>
              <w:spacing w:before="83" w:line="222" w:lineRule="auto"/>
              <w:ind w:left="528"/>
              <w:rPr>
                <w:rFonts w:ascii="仿宋" w:eastAsia="仿宋" w:hAnsi="仿宋" w:cs="仿宋"/>
                <w:sz w:val="19"/>
                <w:szCs w:val="19"/>
              </w:rPr>
            </w:pPr>
            <w:r>
              <w:rPr>
                <w:rFonts w:ascii="仿宋" w:eastAsia="仿宋" w:hAnsi="仿宋" w:cs="仿宋"/>
                <w:spacing w:val="4"/>
                <w:sz w:val="19"/>
                <w:szCs w:val="19"/>
              </w:rPr>
              <w:t>实际出资额</w:t>
            </w:r>
          </w:p>
        </w:tc>
        <w:tc>
          <w:tcPr>
            <w:tcW w:w="1470" w:type="dxa"/>
            <w:tcBorders>
              <w:top w:val="single" w:sz="2" w:space="0" w:color="000000"/>
              <w:bottom w:val="single" w:sz="2" w:space="0" w:color="000000"/>
            </w:tcBorders>
            <w:vAlign w:val="top"/>
          </w:tcPr>
          <w:p>
            <w:pPr>
              <w:spacing w:before="73" w:line="223" w:lineRule="auto"/>
              <w:ind w:left="550"/>
              <w:rPr>
                <w:rFonts w:ascii="仿宋" w:eastAsia="仿宋" w:hAnsi="仿宋" w:cs="仿宋"/>
                <w:sz w:val="19"/>
                <w:szCs w:val="19"/>
              </w:rPr>
            </w:pPr>
            <w:r>
              <w:rPr>
                <w:rFonts w:ascii="仿宋" w:eastAsia="仿宋" w:hAnsi="仿宋" w:cs="仿宋"/>
                <w:spacing w:val="7"/>
                <w:sz w:val="19"/>
                <w:szCs w:val="19"/>
              </w:rPr>
              <w:t>出资方式</w:t>
            </w:r>
          </w:p>
        </w:tc>
      </w:tr>
      <w:tr>
        <w:tblPrEx>
          <w:tblW w:w="8709" w:type="dxa"/>
          <w:tblInd w:w="349" w:type="dxa"/>
          <w:tblLayout w:type="fixed"/>
          <w:tblCellMar>
            <w:top w:w="0" w:type="dxa"/>
            <w:left w:w="0" w:type="dxa"/>
            <w:bottom w:w="0" w:type="dxa"/>
            <w:right w:w="0" w:type="dxa"/>
          </w:tblCellMar>
        </w:tblPrEx>
        <w:trPr>
          <w:trHeight w:val="335"/>
        </w:trPr>
        <w:tc>
          <w:tcPr>
            <w:tcW w:w="2835" w:type="dxa"/>
            <w:tcBorders>
              <w:top w:val="single" w:sz="2" w:space="0" w:color="000000"/>
              <w:bottom w:val="single" w:sz="2" w:space="0" w:color="000000"/>
            </w:tcBorders>
            <w:vAlign w:val="top"/>
          </w:tcPr>
          <w:p>
            <w:pPr>
              <w:spacing w:before="74" w:line="222" w:lineRule="auto"/>
              <w:ind w:left="69"/>
              <w:rPr>
                <w:rFonts w:ascii="仿宋" w:eastAsia="仿宋" w:hAnsi="仿宋" w:cs="仿宋"/>
                <w:sz w:val="19"/>
                <w:szCs w:val="19"/>
              </w:rPr>
            </w:pPr>
            <w:r>
              <w:rPr>
                <w:rFonts w:ascii="仿宋" w:eastAsia="仿宋" w:hAnsi="仿宋" w:cs="仿宋"/>
                <w:spacing w:val="8"/>
                <w:sz w:val="19"/>
                <w:szCs w:val="19"/>
              </w:rPr>
              <w:t>新兴亚洲投资有限公司</w:t>
            </w:r>
          </w:p>
        </w:tc>
        <w:tc>
          <w:tcPr>
            <w:tcW w:w="2447" w:type="dxa"/>
            <w:tcBorders>
              <w:top w:val="single" w:sz="2" w:space="0" w:color="000000"/>
              <w:bottom w:val="single" w:sz="2" w:space="0" w:color="000000"/>
            </w:tcBorders>
            <w:vAlign w:val="top"/>
          </w:tcPr>
          <w:p>
            <w:pPr>
              <w:pStyle w:val="TableText"/>
              <w:spacing w:before="101" w:line="184" w:lineRule="auto"/>
              <w:ind w:left="974"/>
              <w:rPr>
                <w:sz w:val="19"/>
                <w:szCs w:val="19"/>
              </w:rPr>
            </w:pPr>
            <w:r>
              <w:rPr>
                <w:spacing w:val="-14"/>
                <w:sz w:val="19"/>
                <w:szCs w:val="19"/>
              </w:rPr>
              <w:t>150,000,000.00</w:t>
            </w:r>
          </w:p>
        </w:tc>
        <w:tc>
          <w:tcPr>
            <w:tcW w:w="1957" w:type="dxa"/>
            <w:tcBorders>
              <w:top w:val="single" w:sz="2" w:space="0" w:color="000000"/>
              <w:bottom w:val="single" w:sz="2" w:space="0" w:color="000000"/>
            </w:tcBorders>
            <w:vAlign w:val="top"/>
          </w:tcPr>
          <w:p>
            <w:pPr>
              <w:pStyle w:val="TableText"/>
              <w:spacing w:before="101" w:line="184" w:lineRule="auto"/>
              <w:ind w:left="388"/>
              <w:rPr>
                <w:sz w:val="19"/>
                <w:szCs w:val="19"/>
              </w:rPr>
            </w:pPr>
            <w:r>
              <w:rPr>
                <w:spacing w:val="-15"/>
                <w:sz w:val="19"/>
                <w:szCs w:val="19"/>
              </w:rPr>
              <w:t>123,683,908.00</w:t>
            </w:r>
          </w:p>
        </w:tc>
        <w:tc>
          <w:tcPr>
            <w:tcW w:w="1470" w:type="dxa"/>
            <w:tcBorders>
              <w:top w:val="single" w:sz="2" w:space="0" w:color="000000"/>
              <w:bottom w:val="single" w:sz="2" w:space="0" w:color="000000"/>
            </w:tcBorders>
            <w:vAlign w:val="top"/>
          </w:tcPr>
          <w:p>
            <w:pPr>
              <w:spacing w:before="92" w:line="221" w:lineRule="auto"/>
              <w:ind w:left="330"/>
              <w:rPr>
                <w:rFonts w:ascii="仿宋" w:eastAsia="仿宋" w:hAnsi="仿宋" w:cs="仿宋"/>
                <w:sz w:val="19"/>
                <w:szCs w:val="19"/>
              </w:rPr>
            </w:pPr>
            <w:r>
              <w:rPr>
                <w:rFonts w:ascii="仿宋" w:eastAsia="仿宋" w:hAnsi="仿宋" w:cs="仿宋"/>
                <w:sz w:val="19"/>
                <w:szCs w:val="19"/>
              </w:rPr>
              <w:t>货币、实物</w:t>
            </w:r>
          </w:p>
        </w:tc>
      </w:tr>
      <w:tr>
        <w:tblPrEx>
          <w:tblW w:w="8709" w:type="dxa"/>
          <w:tblInd w:w="349" w:type="dxa"/>
          <w:tblLayout w:type="fixed"/>
          <w:tblCellMar>
            <w:top w:w="0" w:type="dxa"/>
            <w:left w:w="0" w:type="dxa"/>
            <w:bottom w:w="0" w:type="dxa"/>
            <w:right w:w="0" w:type="dxa"/>
          </w:tblCellMar>
        </w:tblPrEx>
        <w:trPr>
          <w:trHeight w:val="2248"/>
        </w:trPr>
        <w:tc>
          <w:tcPr>
            <w:tcW w:w="8709" w:type="dxa"/>
            <w:gridSpan w:val="4"/>
            <w:tcBorders>
              <w:top w:val="single" w:sz="2" w:space="0" w:color="000000"/>
              <w:bottom w:val="single" w:sz="4" w:space="0" w:color="000000"/>
            </w:tcBorders>
            <w:vAlign w:val="top"/>
          </w:tcPr>
          <w:p>
            <w:pPr>
              <w:spacing w:before="175" w:line="222" w:lineRule="auto"/>
              <w:ind w:left="69"/>
              <w:rPr>
                <w:rFonts w:ascii="仿宋" w:eastAsia="仿宋" w:hAnsi="仿宋" w:cs="仿宋"/>
                <w:sz w:val="22"/>
                <w:szCs w:val="22"/>
              </w:rPr>
            </w:pPr>
            <w:r>
              <w:rPr>
                <w:rFonts w:ascii="仿宋" w:eastAsia="仿宋" w:hAnsi="仿宋" w:cs="仿宋"/>
                <w:spacing w:val="12"/>
                <w:sz w:val="22"/>
                <w:szCs w:val="22"/>
              </w:rPr>
              <w:t>截止2007年8月27日止，公司收到新兴亚洲投资有限公司第六期缴纳的</w:t>
            </w:r>
            <w:r>
              <w:rPr>
                <w:rFonts w:ascii="仿宋" w:eastAsia="仿宋" w:hAnsi="仿宋" w:cs="仿宋"/>
                <w:spacing w:val="11"/>
                <w:sz w:val="22"/>
                <w:szCs w:val="22"/>
              </w:rPr>
              <w:t>注册资本合计</w:t>
            </w:r>
          </w:p>
          <w:p>
            <w:pPr>
              <w:pStyle w:val="TableText"/>
              <w:spacing w:before="24" w:line="256" w:lineRule="auto"/>
              <w:ind w:left="69" w:right="108"/>
              <w:jc w:val="both"/>
              <w:rPr>
                <w:rFonts w:ascii="仿宋" w:eastAsia="仿宋" w:hAnsi="仿宋" w:cs="仿宋"/>
                <w:sz w:val="22"/>
                <w:szCs w:val="22"/>
              </w:rPr>
            </w:pPr>
            <w:r>
              <w:rPr>
                <w:rFonts w:ascii="仿宋" w:eastAsia="仿宋" w:hAnsi="仿宋" w:cs="仿宋"/>
                <w:spacing w:val="-2"/>
                <w:sz w:val="22"/>
                <w:szCs w:val="22"/>
              </w:rPr>
              <w:t>人民币1,775.111</w:t>
            </w:r>
            <w:r>
              <w:rPr>
                <w:rFonts w:ascii="仿宋" w:eastAsia="仿宋" w:hAnsi="仿宋" w:cs="仿宋"/>
                <w:spacing w:val="-5"/>
                <w:sz w:val="22"/>
                <w:szCs w:val="22"/>
              </w:rPr>
              <w:t xml:space="preserve"> </w:t>
            </w:r>
            <w:r>
              <w:rPr>
                <w:rFonts w:ascii="仿宋" w:eastAsia="仿宋" w:hAnsi="仿宋" w:cs="仿宋"/>
                <w:spacing w:val="-2"/>
                <w:sz w:val="22"/>
                <w:szCs w:val="22"/>
              </w:rPr>
              <w:t>万元，其中以港币出资1,740万元，折合人民币1,709.34 万元；以实物</w:t>
            </w:r>
            <w:r>
              <w:rPr>
                <w:rFonts w:ascii="仿宋" w:eastAsia="仿宋" w:hAnsi="仿宋" w:cs="仿宋"/>
                <w:sz w:val="22"/>
                <w:szCs w:val="22"/>
              </w:rPr>
              <w:t xml:space="preserve"> </w:t>
            </w:r>
            <w:r>
              <w:rPr>
                <w:rFonts w:ascii="仿宋" w:eastAsia="仿宋" w:hAnsi="仿宋" w:cs="仿宋"/>
                <w:spacing w:val="6"/>
                <w:sz w:val="22"/>
                <w:szCs w:val="22"/>
              </w:rPr>
              <w:t>出资8.69万美元，折合人民币65.77万元。此次出资</w:t>
            </w:r>
            <w:r>
              <w:rPr>
                <w:rFonts w:ascii="仿宋" w:eastAsia="仿宋" w:hAnsi="仿宋" w:cs="仿宋"/>
                <w:spacing w:val="5"/>
                <w:sz w:val="22"/>
                <w:szCs w:val="22"/>
              </w:rPr>
              <w:t>由惠州市立诚会计师事务所出具惠</w:t>
            </w:r>
            <w:r>
              <w:rPr>
                <w:rFonts w:ascii="仿宋" w:eastAsia="仿宋" w:hAnsi="仿宋" w:cs="仿宋"/>
                <w:sz w:val="22"/>
                <w:szCs w:val="22"/>
              </w:rPr>
              <w:t xml:space="preserve"> </w:t>
            </w:r>
            <w:r>
              <w:rPr>
                <w:spacing w:val="3"/>
                <w:sz w:val="22"/>
                <w:szCs w:val="22"/>
              </w:rPr>
              <w:t>立会验字【2007】203 号《验资报告》予以验证，实物出资部分</w:t>
            </w:r>
            <w:r>
              <w:rPr>
                <w:spacing w:val="2"/>
                <w:sz w:val="22"/>
                <w:szCs w:val="22"/>
              </w:rPr>
              <w:t>已由中联国际评估咨询</w:t>
            </w:r>
            <w:r>
              <w:rPr>
                <w:sz w:val="22"/>
                <w:szCs w:val="22"/>
              </w:rPr>
              <w:t xml:space="preserve"> </w:t>
            </w:r>
            <w:r>
              <w:rPr>
                <w:rFonts w:ascii="仿宋" w:eastAsia="仿宋" w:hAnsi="仿宋" w:cs="仿宋"/>
                <w:spacing w:val="9"/>
                <w:sz w:val="22"/>
                <w:szCs w:val="22"/>
              </w:rPr>
              <w:t>有限公司进行追溯评估，并出具了中联国际评字(2021)第</w:t>
            </w:r>
            <w:r>
              <w:rPr>
                <w:sz w:val="22"/>
                <w:szCs w:val="22"/>
              </w:rPr>
              <w:t>JNMPD</w:t>
            </w:r>
            <w:r>
              <w:rPr>
                <w:spacing w:val="9"/>
                <w:sz w:val="22"/>
                <w:szCs w:val="22"/>
              </w:rPr>
              <w:t>0</w:t>
            </w:r>
            <w:r>
              <w:rPr>
                <w:spacing w:val="8"/>
                <w:sz w:val="22"/>
                <w:szCs w:val="22"/>
              </w:rPr>
              <w:t>145</w:t>
            </w:r>
            <w:r>
              <w:rPr>
                <w:spacing w:val="48"/>
                <w:sz w:val="22"/>
                <w:szCs w:val="22"/>
              </w:rPr>
              <w:t xml:space="preserve"> </w:t>
            </w:r>
            <w:r>
              <w:rPr>
                <w:rFonts w:ascii="仿宋" w:eastAsia="仿宋" w:hAnsi="仿宋" w:cs="仿宋"/>
                <w:spacing w:val="8"/>
                <w:sz w:val="22"/>
                <w:szCs w:val="22"/>
              </w:rPr>
              <w:t>号的评估报告。</w:t>
            </w:r>
          </w:p>
          <w:p>
            <w:pPr>
              <w:spacing w:before="170" w:line="222" w:lineRule="auto"/>
              <w:ind w:left="69"/>
              <w:rPr>
                <w:rFonts w:ascii="仿宋" w:eastAsia="仿宋" w:hAnsi="仿宋" w:cs="仿宋"/>
                <w:sz w:val="22"/>
                <w:szCs w:val="22"/>
              </w:rPr>
            </w:pPr>
            <w:r>
              <w:rPr>
                <w:rFonts w:ascii="仿宋" w:eastAsia="仿宋" w:hAnsi="仿宋" w:cs="仿宋"/>
                <w:spacing w:val="1"/>
                <w:sz w:val="22"/>
                <w:szCs w:val="22"/>
              </w:rPr>
              <w:t>本次出资完成后，股东及出资情况如下：</w:t>
            </w:r>
          </w:p>
        </w:tc>
      </w:tr>
      <w:tr>
        <w:tblPrEx>
          <w:tblW w:w="8709" w:type="dxa"/>
          <w:tblInd w:w="349" w:type="dxa"/>
          <w:tblLayout w:type="fixed"/>
          <w:tblCellMar>
            <w:top w:w="0" w:type="dxa"/>
            <w:left w:w="0" w:type="dxa"/>
            <w:bottom w:w="0" w:type="dxa"/>
            <w:right w:w="0" w:type="dxa"/>
          </w:tblCellMar>
        </w:tblPrEx>
        <w:trPr>
          <w:trHeight w:val="366"/>
        </w:trPr>
        <w:tc>
          <w:tcPr>
            <w:tcW w:w="2835" w:type="dxa"/>
            <w:tcBorders>
              <w:top w:val="single" w:sz="4" w:space="0" w:color="000000"/>
            </w:tcBorders>
            <w:vAlign w:val="top"/>
          </w:tcPr>
          <w:p>
            <w:pPr>
              <w:pStyle w:val="TableText"/>
              <w:spacing w:before="125" w:line="219" w:lineRule="auto"/>
              <w:ind w:left="132"/>
              <w:rPr>
                <w:sz w:val="19"/>
                <w:szCs w:val="19"/>
              </w:rPr>
            </w:pPr>
            <w:r>
              <w:rPr>
                <w:b/>
                <w:bCs/>
                <w:spacing w:val="-4"/>
                <w:sz w:val="19"/>
                <w:szCs w:val="19"/>
              </w:rPr>
              <w:t>股东名称</w:t>
            </w:r>
          </w:p>
        </w:tc>
        <w:tc>
          <w:tcPr>
            <w:tcW w:w="2447" w:type="dxa"/>
            <w:tcBorders>
              <w:top w:val="single" w:sz="4" w:space="0" w:color="000000"/>
            </w:tcBorders>
            <w:vAlign w:val="top"/>
          </w:tcPr>
          <w:p>
            <w:pPr>
              <w:pStyle w:val="TableText"/>
              <w:spacing w:before="127" w:line="219" w:lineRule="auto"/>
              <w:ind w:left="1184"/>
              <w:rPr>
                <w:sz w:val="19"/>
                <w:szCs w:val="19"/>
              </w:rPr>
            </w:pPr>
            <w:r>
              <w:rPr>
                <w:spacing w:val="-2"/>
                <w:sz w:val="19"/>
                <w:szCs w:val="19"/>
              </w:rPr>
              <w:t>认缴出资额</w:t>
            </w:r>
          </w:p>
        </w:tc>
        <w:tc>
          <w:tcPr>
            <w:tcW w:w="1957" w:type="dxa"/>
            <w:tcBorders>
              <w:top w:val="single" w:sz="4" w:space="0" w:color="000000"/>
            </w:tcBorders>
            <w:vAlign w:val="top"/>
          </w:tcPr>
          <w:p>
            <w:pPr>
              <w:pStyle w:val="TableText"/>
              <w:spacing w:before="117" w:line="219" w:lineRule="auto"/>
              <w:ind w:left="518"/>
              <w:rPr>
                <w:sz w:val="19"/>
                <w:szCs w:val="19"/>
              </w:rPr>
            </w:pPr>
            <w:r>
              <w:rPr>
                <w:spacing w:val="-2"/>
                <w:sz w:val="19"/>
                <w:szCs w:val="19"/>
              </w:rPr>
              <w:t>实际出资额</w:t>
            </w:r>
          </w:p>
        </w:tc>
        <w:tc>
          <w:tcPr>
            <w:tcW w:w="1470" w:type="dxa"/>
            <w:tcBorders>
              <w:top w:val="single" w:sz="4" w:space="0" w:color="000000"/>
            </w:tcBorders>
            <w:vAlign w:val="top"/>
          </w:tcPr>
          <w:p>
            <w:pPr>
              <w:pStyle w:val="TableText"/>
              <w:spacing w:before="108" w:line="221" w:lineRule="auto"/>
              <w:ind w:left="641"/>
              <w:rPr>
                <w:sz w:val="19"/>
                <w:szCs w:val="19"/>
              </w:rPr>
            </w:pPr>
            <w:r>
              <w:rPr>
                <w:spacing w:val="1"/>
                <w:sz w:val="19"/>
                <w:szCs w:val="19"/>
              </w:rPr>
              <w:t>出资方式</w:t>
            </w:r>
          </w:p>
        </w:tc>
      </w:tr>
      <w:tr>
        <w:tblPrEx>
          <w:tblW w:w="8709" w:type="dxa"/>
          <w:tblInd w:w="349" w:type="dxa"/>
          <w:tblLayout w:type="fixed"/>
          <w:tblCellMar>
            <w:top w:w="0" w:type="dxa"/>
            <w:left w:w="0" w:type="dxa"/>
            <w:bottom w:w="0" w:type="dxa"/>
            <w:right w:w="0" w:type="dxa"/>
          </w:tblCellMar>
        </w:tblPrEx>
        <w:trPr>
          <w:trHeight w:val="338"/>
        </w:trPr>
        <w:tc>
          <w:tcPr>
            <w:tcW w:w="2835" w:type="dxa"/>
            <w:tcBorders>
              <w:bottom w:val="single" w:sz="4" w:space="0" w:color="000000"/>
            </w:tcBorders>
            <w:vAlign w:val="top"/>
          </w:tcPr>
          <w:p>
            <w:pPr>
              <w:pStyle w:val="TableText"/>
              <w:spacing w:before="72" w:line="220" w:lineRule="auto"/>
              <w:ind w:left="130"/>
              <w:rPr>
                <w:sz w:val="19"/>
                <w:szCs w:val="19"/>
              </w:rPr>
            </w:pPr>
            <w:r>
              <w:rPr>
                <w:spacing w:val="2"/>
                <w:sz w:val="19"/>
                <w:szCs w:val="19"/>
              </w:rPr>
              <w:t>新兴亚洲投资有限公司</w:t>
            </w:r>
          </w:p>
        </w:tc>
        <w:tc>
          <w:tcPr>
            <w:tcW w:w="2447" w:type="dxa"/>
            <w:tcBorders>
              <w:bottom w:val="single" w:sz="4" w:space="0" w:color="000000"/>
            </w:tcBorders>
            <w:vAlign w:val="top"/>
          </w:tcPr>
          <w:p>
            <w:pPr>
              <w:pStyle w:val="TableText"/>
              <w:spacing w:before="117" w:line="184" w:lineRule="auto"/>
              <w:ind w:left="804"/>
              <w:rPr>
                <w:sz w:val="19"/>
                <w:szCs w:val="19"/>
              </w:rPr>
            </w:pPr>
            <w:r>
              <w:rPr>
                <w:spacing w:val="-2"/>
                <w:sz w:val="19"/>
                <w:szCs w:val="19"/>
              </w:rPr>
              <w:t>150,000,000.00</w:t>
            </w:r>
          </w:p>
        </w:tc>
        <w:tc>
          <w:tcPr>
            <w:tcW w:w="1957" w:type="dxa"/>
            <w:tcBorders>
              <w:bottom w:val="single" w:sz="4" w:space="0" w:color="000000"/>
            </w:tcBorders>
            <w:vAlign w:val="top"/>
          </w:tcPr>
          <w:p>
            <w:pPr>
              <w:pStyle w:val="TableText"/>
              <w:spacing w:before="117" w:line="184" w:lineRule="auto"/>
              <w:ind w:left="327"/>
              <w:rPr>
                <w:sz w:val="19"/>
                <w:szCs w:val="19"/>
              </w:rPr>
            </w:pPr>
            <w:r>
              <w:rPr>
                <w:spacing w:val="-2"/>
                <w:sz w:val="19"/>
                <w:szCs w:val="19"/>
              </w:rPr>
              <w:t>141,434,974.00</w:t>
            </w:r>
          </w:p>
        </w:tc>
        <w:tc>
          <w:tcPr>
            <w:tcW w:w="1470" w:type="dxa"/>
            <w:tcBorders>
              <w:bottom w:val="single" w:sz="4" w:space="0" w:color="000000"/>
            </w:tcBorders>
            <w:vAlign w:val="top"/>
          </w:tcPr>
          <w:p>
            <w:pPr>
              <w:pStyle w:val="TableText"/>
              <w:spacing w:before="100" w:line="219" w:lineRule="auto"/>
              <w:ind w:left="450"/>
              <w:rPr>
                <w:sz w:val="19"/>
                <w:szCs w:val="19"/>
              </w:rPr>
            </w:pPr>
            <w:r>
              <w:rPr>
                <w:spacing w:val="1"/>
                <w:sz w:val="19"/>
                <w:szCs w:val="19"/>
              </w:rPr>
              <w:t>货币、实物</w:t>
            </w:r>
          </w:p>
        </w:tc>
      </w:tr>
    </w:tbl>
    <w:p>
      <w:pPr>
        <w:spacing w:before="162" w:line="222" w:lineRule="auto"/>
        <w:ind w:left="419"/>
        <w:rPr>
          <w:rFonts w:ascii="仿宋" w:eastAsia="仿宋" w:hAnsi="仿宋" w:cs="仿宋"/>
          <w:sz w:val="22"/>
          <w:szCs w:val="22"/>
        </w:rPr>
      </w:pPr>
      <w:r>
        <w:rPr>
          <w:rFonts w:ascii="仿宋" w:eastAsia="仿宋" w:hAnsi="仿宋" w:cs="仿宋"/>
          <w:sz w:val="22"/>
          <w:szCs w:val="22"/>
        </w:rPr>
        <w:t>2007年10月26日，经公司股东会决议，同意注册资本增加人民币5,000</w:t>
      </w:r>
      <w:r>
        <w:rPr>
          <w:rFonts w:ascii="仿宋" w:eastAsia="仿宋" w:hAnsi="仿宋" w:cs="仿宋"/>
          <w:spacing w:val="-42"/>
          <w:sz w:val="22"/>
          <w:szCs w:val="22"/>
        </w:rPr>
        <w:t xml:space="preserve"> </w:t>
      </w:r>
      <w:r>
        <w:rPr>
          <w:rFonts w:ascii="仿宋" w:eastAsia="仿宋" w:hAnsi="仿宋" w:cs="仿宋"/>
          <w:sz w:val="22"/>
          <w:szCs w:val="22"/>
        </w:rPr>
        <w:t>万元，公司注册资</w:t>
      </w:r>
    </w:p>
    <w:p>
      <w:pPr>
        <w:spacing w:before="11" w:line="282" w:lineRule="auto"/>
        <w:ind w:left="419" w:right="1134"/>
        <w:rPr>
          <w:rFonts w:ascii="仿宋" w:eastAsia="仿宋" w:hAnsi="仿宋" w:cs="仿宋"/>
          <w:sz w:val="19"/>
          <w:szCs w:val="19"/>
        </w:rPr>
      </w:pPr>
      <w:r>
        <w:rPr>
          <w:rFonts w:ascii="仿宋" w:eastAsia="仿宋" w:hAnsi="仿宋" w:cs="仿宋"/>
          <w:spacing w:val="22"/>
          <w:sz w:val="19"/>
          <w:szCs w:val="19"/>
        </w:rPr>
        <w:t>本变更为人民币20,000万元。认缴增资额以等值于人民币5,000万元的外汇投入，并于营业</w:t>
      </w:r>
      <w:r>
        <w:rPr>
          <w:rFonts w:ascii="仿宋" w:eastAsia="仿宋" w:hAnsi="仿宋" w:cs="仿宋"/>
          <w:spacing w:val="6"/>
          <w:sz w:val="19"/>
          <w:szCs w:val="19"/>
        </w:rPr>
        <w:t xml:space="preserve"> </w:t>
      </w:r>
      <w:r>
        <w:rPr>
          <w:rFonts w:ascii="仿宋" w:eastAsia="仿宋" w:hAnsi="仿宋" w:cs="仿宋"/>
          <w:spacing w:val="19"/>
          <w:sz w:val="19"/>
          <w:szCs w:val="19"/>
        </w:rPr>
        <w:t>执照变更之日起二年内缴足。同日公司修改了《惠东美新塑</w:t>
      </w:r>
      <w:r>
        <w:rPr>
          <w:rFonts w:ascii="仿宋" w:eastAsia="仿宋" w:hAnsi="仿宋" w:cs="仿宋"/>
          <w:spacing w:val="18"/>
          <w:sz w:val="19"/>
          <w:szCs w:val="19"/>
        </w:rPr>
        <w:t>木型材制品有限公司补充章程》。</w:t>
      </w:r>
    </w:p>
    <w:p>
      <w:pPr>
        <w:pStyle w:val="BodyText"/>
        <w:spacing w:line="291" w:lineRule="auto"/>
      </w:pPr>
    </w:p>
    <w:p>
      <w:pPr>
        <w:pStyle w:val="BodyText"/>
        <w:spacing w:line="291" w:lineRule="auto"/>
      </w:pPr>
    </w:p>
    <w:p>
      <w:pPr>
        <w:pStyle w:val="BodyText"/>
        <w:spacing w:line="291" w:lineRule="auto"/>
      </w:pPr>
    </w:p>
    <w:p>
      <w:pPr>
        <w:pStyle w:val="BodyText"/>
        <w:spacing w:line="292" w:lineRule="auto"/>
      </w:pPr>
    </w:p>
    <w:p>
      <w:pPr>
        <w:spacing w:before="62" w:line="182" w:lineRule="auto"/>
        <w:ind w:left="4680"/>
        <w:rPr>
          <w:rFonts w:ascii="宋体" w:eastAsia="宋体" w:hAnsi="宋体" w:cs="宋体"/>
          <w:sz w:val="19"/>
          <w:szCs w:val="19"/>
        </w:rPr>
      </w:pPr>
      <w:r>
        <w:rPr>
          <w:rFonts w:ascii="宋体" w:eastAsia="宋体" w:hAnsi="宋体" w:cs="宋体"/>
          <w:sz w:val="19"/>
          <w:szCs w:val="19"/>
        </w:rPr>
        <w:t>5</w:t>
      </w:r>
    </w:p>
    <w:p>
      <w:pPr>
        <w:pStyle w:val="BodyText"/>
        <w:spacing w:line="322" w:lineRule="auto"/>
      </w:pPr>
    </w:p>
    <w:p>
      <w:pPr>
        <w:pStyle w:val="BodyText"/>
        <w:spacing w:line="323" w:lineRule="auto"/>
      </w:pPr>
    </w:p>
    <w:p>
      <w:pPr>
        <w:spacing w:before="63" w:line="183" w:lineRule="auto"/>
        <w:ind w:left="4289"/>
        <w:rPr>
          <w:rFonts w:ascii="宋体" w:eastAsia="宋体" w:hAnsi="宋体" w:cs="宋体"/>
          <w:sz w:val="19"/>
          <w:szCs w:val="19"/>
        </w:rPr>
      </w:pPr>
      <w:r>
        <w:rPr>
          <w:rFonts w:ascii="宋体" w:eastAsia="宋体" w:hAnsi="宋体" w:cs="宋体"/>
          <w:spacing w:val="-6"/>
          <w:sz w:val="19"/>
          <w:szCs w:val="19"/>
        </w:rPr>
        <w:t>3-2-3-7</w:t>
      </w:r>
    </w:p>
    <w:p>
      <w:pPr>
        <w:spacing w:line="183" w:lineRule="auto"/>
        <w:rPr>
          <w:rFonts w:ascii="宋体" w:eastAsia="宋体" w:hAnsi="宋体" w:cs="宋体"/>
          <w:sz w:val="19"/>
          <w:szCs w:val="19"/>
        </w:rPr>
        <w:sectPr>
          <w:headerReference w:type="default" r:id="rId8"/>
          <w:pgSz w:w="12060" w:h="16930"/>
          <w:pgMar w:top="400" w:right="420" w:bottom="0" w:left="1530" w:header="0" w:footer="0" w:gutter="0"/>
          <w:pgNumType w:start="9"/>
          <w:cols w:num="1" w:space="720"/>
        </w:sectPr>
      </w:pPr>
    </w:p>
    <w:p>
      <w:pPr>
        <w:pStyle w:val="BodyText"/>
        <w:spacing w:line="298" w:lineRule="auto"/>
      </w:pPr>
    </w:p>
    <w:p>
      <w:pPr>
        <w:pStyle w:val="BodyText"/>
        <w:spacing w:line="299" w:lineRule="auto"/>
      </w:pPr>
    </w:p>
    <w:p>
      <w:pPr>
        <w:pStyle w:val="BodyText"/>
        <w:spacing w:line="299" w:lineRule="auto"/>
      </w:pPr>
    </w:p>
    <w:p>
      <w:pPr>
        <w:spacing w:before="65" w:line="222" w:lineRule="auto"/>
        <w:ind w:left="29"/>
        <w:rPr>
          <w:rFonts w:ascii="仿宋" w:eastAsia="仿宋" w:hAnsi="仿宋" w:cs="仿宋"/>
          <w:sz w:val="20"/>
          <w:szCs w:val="20"/>
        </w:rPr>
      </w:pPr>
      <w:r>
        <w:rPr>
          <w:rFonts w:ascii="仿宋" w:eastAsia="仿宋" w:hAnsi="仿宋" w:cs="仿宋"/>
          <w:spacing w:val="21"/>
          <w:sz w:val="20"/>
          <w:szCs w:val="20"/>
        </w:rPr>
        <w:t>美新科技股份有限公司</w:t>
      </w:r>
    </w:p>
    <w:p>
      <w:pPr>
        <w:spacing w:before="46" w:line="220" w:lineRule="auto"/>
        <w:ind w:left="29"/>
        <w:rPr>
          <w:rFonts w:ascii="仿宋" w:eastAsia="仿宋" w:hAnsi="仿宋" w:cs="仿宋"/>
          <w:sz w:val="20"/>
          <w:szCs w:val="20"/>
        </w:rPr>
      </w:pPr>
      <w:r>
        <w:rPr>
          <w:rFonts w:ascii="仿宋" w:eastAsia="仿宋" w:hAnsi="仿宋" w:cs="仿宋"/>
          <w:spacing w:val="23"/>
          <w:sz w:val="20"/>
          <w:szCs w:val="20"/>
        </w:rPr>
        <w:t>盈利预测的编制基础、假设和编制说明</w:t>
      </w:r>
    </w:p>
    <w:p>
      <w:pPr>
        <w:spacing w:before="42" w:line="221" w:lineRule="auto"/>
        <w:ind w:left="29"/>
        <w:rPr>
          <w:rFonts w:ascii="仿宋" w:eastAsia="仿宋" w:hAnsi="仿宋" w:cs="仿宋"/>
          <w:sz w:val="23"/>
          <w:szCs w:val="23"/>
        </w:rPr>
      </w:pPr>
      <w:r>
        <w:rPr>
          <w:rFonts w:ascii="Times New Roman" w:eastAsia="Times New Roman" w:hAnsi="Times New Roman" w:cs="Times New Roman"/>
          <w:spacing w:val="2"/>
          <w:sz w:val="23"/>
          <w:szCs w:val="23"/>
        </w:rPr>
        <w:t>202</w:t>
      </w:r>
      <w:r>
        <w:rPr>
          <w:rFonts w:ascii="仿宋" w:eastAsia="仿宋" w:hAnsi="仿宋" w:cs="仿宋"/>
          <w:spacing w:val="2"/>
          <w:sz w:val="23"/>
          <w:szCs w:val="23"/>
        </w:rPr>
        <w:t>3年度(除特别注明外，金额单位为人民币万元)</w:t>
      </w:r>
    </w:p>
    <w:p>
      <w:pPr>
        <w:spacing w:before="39" w:line="20" w:lineRule="exact"/>
      </w:pPr>
    </w:p>
    <w:p>
      <w:pPr>
        <w:spacing w:before="267" w:line="235" w:lineRule="auto"/>
        <w:ind w:left="369" w:right="1099"/>
        <w:jc w:val="both"/>
        <w:rPr>
          <w:rFonts w:ascii="仿宋" w:eastAsia="仿宋" w:hAnsi="仿宋" w:cs="仿宋"/>
          <w:sz w:val="20"/>
          <w:szCs w:val="20"/>
        </w:rPr>
      </w:pPr>
      <w:r>
        <w:rPr>
          <w:rFonts w:ascii="宋体" w:eastAsia="宋体" w:hAnsi="宋体" w:cs="宋体"/>
          <w:spacing w:val="2"/>
          <w:sz w:val="23"/>
          <w:szCs w:val="23"/>
        </w:rPr>
        <w:t>截至2008年5月30日止，公司收到新兴亚洲投资</w:t>
      </w:r>
      <w:r>
        <w:rPr>
          <w:rFonts w:ascii="宋体" w:eastAsia="宋体" w:hAnsi="宋体" w:cs="宋体"/>
          <w:spacing w:val="1"/>
          <w:sz w:val="23"/>
          <w:szCs w:val="23"/>
        </w:rPr>
        <w:t>有限公司第七次缴纳注册资本合计人</w:t>
      </w:r>
      <w:r>
        <w:rPr>
          <w:rFonts w:ascii="宋体" w:eastAsia="宋体" w:hAnsi="宋体" w:cs="宋体"/>
          <w:sz w:val="23"/>
          <w:szCs w:val="23"/>
        </w:rPr>
        <w:t xml:space="preserve"> </w:t>
      </w:r>
      <w:r>
        <w:rPr>
          <w:rFonts w:ascii="仿宋" w:eastAsia="仿宋" w:hAnsi="仿宋" w:cs="仿宋"/>
          <w:spacing w:val="-12"/>
          <w:sz w:val="23"/>
          <w:szCs w:val="23"/>
        </w:rPr>
        <w:t>民币2,179.79万元，其中港币出资2,29</w:t>
      </w:r>
      <w:r>
        <w:rPr>
          <w:rFonts w:ascii="仿宋" w:eastAsia="仿宋" w:hAnsi="仿宋" w:cs="仿宋"/>
          <w:spacing w:val="-13"/>
          <w:sz w:val="23"/>
          <w:szCs w:val="23"/>
        </w:rPr>
        <w:t>1.60万元，折合人民币2,120.51万元，实物出资(机</w:t>
      </w:r>
      <w:r>
        <w:rPr>
          <w:rFonts w:ascii="仿宋" w:eastAsia="仿宋" w:hAnsi="仿宋" w:cs="仿宋"/>
          <w:sz w:val="23"/>
          <w:szCs w:val="23"/>
        </w:rPr>
        <w:t xml:space="preserve"> </w:t>
      </w:r>
      <w:r>
        <w:rPr>
          <w:rFonts w:ascii="仿宋" w:eastAsia="仿宋" w:hAnsi="仿宋" w:cs="仿宋"/>
          <w:spacing w:val="-3"/>
          <w:sz w:val="23"/>
          <w:szCs w:val="23"/>
        </w:rPr>
        <w:t>器设备)8.48 万美元，折合人民币59.28万元。此次</w:t>
      </w:r>
      <w:r>
        <w:rPr>
          <w:rFonts w:ascii="仿宋" w:eastAsia="仿宋" w:hAnsi="仿宋" w:cs="仿宋"/>
          <w:spacing w:val="-4"/>
          <w:sz w:val="23"/>
          <w:szCs w:val="23"/>
        </w:rPr>
        <w:t>出资由惠州市立诚会计师事务所出</w:t>
      </w:r>
      <w:r>
        <w:rPr>
          <w:rFonts w:ascii="仿宋" w:eastAsia="仿宋" w:hAnsi="仿宋" w:cs="仿宋"/>
          <w:sz w:val="23"/>
          <w:szCs w:val="23"/>
        </w:rPr>
        <w:t xml:space="preserve"> </w:t>
      </w:r>
      <w:r>
        <w:rPr>
          <w:rFonts w:ascii="仿宋" w:eastAsia="仿宋" w:hAnsi="仿宋" w:cs="仿宋"/>
          <w:spacing w:val="-7"/>
          <w:sz w:val="23"/>
          <w:szCs w:val="23"/>
        </w:rPr>
        <w:t>具惠立会验字【2008】102 号《验资报告》予以验证，实物出资部分已由中联国际评估</w:t>
      </w:r>
      <w:r>
        <w:rPr>
          <w:rFonts w:ascii="仿宋" w:eastAsia="仿宋" w:hAnsi="仿宋" w:cs="仿宋"/>
          <w:spacing w:val="18"/>
          <w:sz w:val="23"/>
          <w:szCs w:val="23"/>
        </w:rPr>
        <w:t xml:space="preserve"> </w:t>
      </w:r>
      <w:r>
        <w:rPr>
          <w:rFonts w:ascii="仿宋" w:eastAsia="仿宋" w:hAnsi="仿宋" w:cs="仿宋"/>
          <w:spacing w:val="24"/>
          <w:sz w:val="20"/>
          <w:szCs w:val="20"/>
        </w:rPr>
        <w:t>咨询有限公司进行评估，并出具了中联国际评字(2021)第</w:t>
      </w:r>
      <w:r>
        <w:rPr>
          <w:rFonts w:ascii="宋体" w:eastAsia="宋体" w:hAnsi="宋体" w:cs="宋体"/>
          <w:sz w:val="20"/>
          <w:szCs w:val="20"/>
        </w:rPr>
        <w:t>JNMPD</w:t>
      </w:r>
      <w:r>
        <w:rPr>
          <w:rFonts w:ascii="宋体" w:eastAsia="宋体" w:hAnsi="宋体" w:cs="宋体"/>
          <w:spacing w:val="24"/>
          <w:sz w:val="20"/>
          <w:szCs w:val="20"/>
        </w:rPr>
        <w:t xml:space="preserve">0146  </w:t>
      </w:r>
      <w:r>
        <w:rPr>
          <w:rFonts w:ascii="仿宋" w:eastAsia="仿宋" w:hAnsi="仿宋" w:cs="仿宋"/>
          <w:spacing w:val="24"/>
          <w:sz w:val="20"/>
          <w:szCs w:val="20"/>
        </w:rPr>
        <w:t>号的评估报告。</w:t>
      </w:r>
    </w:p>
    <w:p>
      <w:pPr>
        <w:spacing w:before="235" w:line="222" w:lineRule="auto"/>
        <w:ind w:left="369"/>
        <w:rPr>
          <w:rFonts w:ascii="仿宋" w:eastAsia="仿宋" w:hAnsi="仿宋" w:cs="仿宋"/>
          <w:sz w:val="23"/>
          <w:szCs w:val="23"/>
        </w:rPr>
      </w:pPr>
      <w:r>
        <w:rPr>
          <w:rFonts w:ascii="仿宋" w:eastAsia="仿宋" w:hAnsi="仿宋" w:cs="仿宋"/>
          <w:spacing w:val="-10"/>
          <w:sz w:val="23"/>
          <w:szCs w:val="23"/>
        </w:rPr>
        <w:t>本次出资变更完成后，股东及出资情况如下：</w:t>
      </w:r>
    </w:p>
    <w:p>
      <w:pPr>
        <w:spacing w:line="196" w:lineRule="exact"/>
      </w:pPr>
    </w:p>
    <w:tbl>
      <w:tblPr>
        <w:tblStyle w:val="TableNormal03"/>
        <w:tblW w:w="8679" w:type="dxa"/>
        <w:tblInd w:w="270" w:type="dxa"/>
        <w:tblBorders>
          <w:top w:val="nil"/>
          <w:left w:val="nil"/>
          <w:bottom w:val="nil"/>
          <w:right w:val="nil"/>
          <w:insideH w:val="nil"/>
          <w:insideV w:val="nil"/>
        </w:tblBorders>
        <w:tblLayout w:type="fixed"/>
        <w:tblCellMar>
          <w:top w:w="0" w:type="dxa"/>
          <w:left w:w="0" w:type="dxa"/>
          <w:bottom w:w="0" w:type="dxa"/>
          <w:right w:w="0" w:type="dxa"/>
        </w:tblCellMar>
      </w:tblPr>
      <w:tblGrid>
        <w:gridCol w:w="2825"/>
        <w:gridCol w:w="2449"/>
        <w:gridCol w:w="1990"/>
        <w:gridCol w:w="1415"/>
      </w:tblGrid>
      <w:tr>
        <w:tblPrEx>
          <w:tblW w:w="8679" w:type="dxa"/>
          <w:tblInd w:w="270" w:type="dxa"/>
          <w:tblBorders>
            <w:top w:val="nil"/>
            <w:left w:val="nil"/>
            <w:bottom w:val="nil"/>
            <w:right w:val="nil"/>
            <w:insideH w:val="nil"/>
            <w:insideV w:val="nil"/>
          </w:tblBorders>
          <w:tblLayout w:type="fixed"/>
          <w:tblCellMar>
            <w:top w:w="0" w:type="dxa"/>
            <w:left w:w="0" w:type="dxa"/>
            <w:bottom w:w="0" w:type="dxa"/>
            <w:right w:w="0" w:type="dxa"/>
          </w:tblCellMar>
        </w:tblPrEx>
        <w:trPr>
          <w:trHeight w:val="320"/>
        </w:trPr>
        <w:tc>
          <w:tcPr>
            <w:tcW w:w="2825" w:type="dxa"/>
            <w:tcBorders>
              <w:top w:val="single" w:sz="6" w:space="0" w:color="000000"/>
              <w:bottom w:val="single" w:sz="2" w:space="0" w:color="000000"/>
            </w:tcBorders>
            <w:vAlign w:val="top"/>
          </w:tcPr>
          <w:p>
            <w:pPr>
              <w:spacing w:before="16" w:line="221" w:lineRule="auto"/>
              <w:ind w:left="102"/>
              <w:rPr>
                <w:rFonts w:ascii="仿宋" w:eastAsia="仿宋" w:hAnsi="仿宋" w:cs="仿宋"/>
                <w:sz w:val="20"/>
                <w:szCs w:val="20"/>
              </w:rPr>
            </w:pPr>
            <w:r>
              <w:rPr>
                <w:rFonts w:ascii="仿宋" w:eastAsia="仿宋" w:hAnsi="仿宋" w:cs="仿宋"/>
                <w:b/>
                <w:bCs/>
                <w:spacing w:val="-5"/>
                <w:sz w:val="20"/>
                <w:szCs w:val="20"/>
              </w:rPr>
              <w:t>股东名称</w:t>
            </w:r>
          </w:p>
        </w:tc>
        <w:tc>
          <w:tcPr>
            <w:tcW w:w="2449" w:type="dxa"/>
            <w:tcBorders>
              <w:top w:val="single" w:sz="6" w:space="0" w:color="000000"/>
              <w:bottom w:val="single" w:sz="2" w:space="0" w:color="000000"/>
            </w:tcBorders>
            <w:vAlign w:val="top"/>
          </w:tcPr>
          <w:p>
            <w:pPr>
              <w:spacing w:before="59" w:line="223" w:lineRule="auto"/>
              <w:ind w:left="1167"/>
              <w:rPr>
                <w:rFonts w:ascii="仿宋" w:eastAsia="仿宋" w:hAnsi="仿宋" w:cs="仿宋"/>
                <w:sz w:val="20"/>
                <w:szCs w:val="20"/>
              </w:rPr>
            </w:pPr>
            <w:r>
              <w:rPr>
                <w:rFonts w:ascii="仿宋" w:eastAsia="仿宋" w:hAnsi="仿宋" w:cs="仿宋"/>
                <w:b/>
                <w:bCs/>
                <w:spacing w:val="-9"/>
                <w:sz w:val="20"/>
                <w:szCs w:val="20"/>
              </w:rPr>
              <w:t>认缴出资额</w:t>
            </w:r>
          </w:p>
        </w:tc>
        <w:tc>
          <w:tcPr>
            <w:tcW w:w="1990" w:type="dxa"/>
            <w:tcBorders>
              <w:top w:val="single" w:sz="6" w:space="0" w:color="000000"/>
              <w:bottom w:val="single" w:sz="2" w:space="0" w:color="000000"/>
            </w:tcBorders>
            <w:vAlign w:val="top"/>
          </w:tcPr>
          <w:p>
            <w:pPr>
              <w:spacing w:before="81" w:line="211" w:lineRule="auto"/>
              <w:ind w:left="556"/>
              <w:rPr>
                <w:rFonts w:ascii="仿宋" w:eastAsia="仿宋" w:hAnsi="仿宋" w:cs="仿宋"/>
                <w:sz w:val="20"/>
                <w:szCs w:val="20"/>
              </w:rPr>
            </w:pPr>
            <w:r>
              <w:rPr>
                <w:rFonts w:ascii="仿宋" w:eastAsia="仿宋" w:hAnsi="仿宋" w:cs="仿宋"/>
                <w:spacing w:val="-3"/>
                <w:sz w:val="20"/>
                <w:szCs w:val="20"/>
              </w:rPr>
              <w:t>实际出资额</w:t>
            </w:r>
          </w:p>
        </w:tc>
        <w:tc>
          <w:tcPr>
            <w:tcW w:w="1415" w:type="dxa"/>
            <w:tcBorders>
              <w:top w:val="single" w:sz="6" w:space="0" w:color="000000"/>
              <w:bottom w:val="single" w:sz="2" w:space="0" w:color="000000"/>
            </w:tcBorders>
            <w:vAlign w:val="top"/>
          </w:tcPr>
          <w:p>
            <w:pPr>
              <w:spacing w:before="92" w:line="201" w:lineRule="auto"/>
              <w:ind w:left="595"/>
              <w:rPr>
                <w:rFonts w:ascii="仿宋" w:eastAsia="仿宋" w:hAnsi="仿宋" w:cs="仿宋"/>
                <w:sz w:val="20"/>
                <w:szCs w:val="20"/>
              </w:rPr>
            </w:pPr>
            <w:r>
              <w:rPr>
                <w:rFonts w:ascii="仿宋" w:eastAsia="仿宋" w:hAnsi="仿宋" w:cs="仿宋"/>
                <w:spacing w:val="-7"/>
                <w:sz w:val="20"/>
                <w:szCs w:val="20"/>
              </w:rPr>
              <w:t>出资方式</w:t>
            </w:r>
          </w:p>
        </w:tc>
      </w:tr>
      <w:tr>
        <w:tblPrEx>
          <w:tblW w:w="8679" w:type="dxa"/>
          <w:tblInd w:w="270" w:type="dxa"/>
          <w:tblLayout w:type="fixed"/>
          <w:tblCellMar>
            <w:top w:w="0" w:type="dxa"/>
            <w:left w:w="0" w:type="dxa"/>
            <w:bottom w:w="0" w:type="dxa"/>
            <w:right w:w="0" w:type="dxa"/>
          </w:tblCellMar>
        </w:tblPrEx>
        <w:trPr>
          <w:trHeight w:val="340"/>
        </w:trPr>
        <w:tc>
          <w:tcPr>
            <w:tcW w:w="2825" w:type="dxa"/>
            <w:tcBorders>
              <w:top w:val="single" w:sz="2" w:space="0" w:color="000000"/>
              <w:bottom w:val="single" w:sz="8" w:space="0" w:color="000000"/>
            </w:tcBorders>
            <w:vAlign w:val="top"/>
          </w:tcPr>
          <w:p>
            <w:pPr>
              <w:spacing w:before="56" w:line="222" w:lineRule="auto"/>
              <w:ind w:left="99"/>
              <w:rPr>
                <w:rFonts w:ascii="仿宋" w:eastAsia="仿宋" w:hAnsi="仿宋" w:cs="仿宋"/>
                <w:sz w:val="20"/>
                <w:szCs w:val="20"/>
              </w:rPr>
            </w:pPr>
            <w:r>
              <w:rPr>
                <w:rFonts w:ascii="仿宋" w:eastAsia="仿宋" w:hAnsi="仿宋" w:cs="仿宋"/>
                <w:spacing w:val="-6"/>
                <w:sz w:val="20"/>
                <w:szCs w:val="20"/>
              </w:rPr>
              <w:t>新兴亚洲投资有限公司</w:t>
            </w:r>
          </w:p>
        </w:tc>
        <w:tc>
          <w:tcPr>
            <w:tcW w:w="2449" w:type="dxa"/>
            <w:tcBorders>
              <w:top w:val="single" w:sz="2" w:space="0" w:color="000000"/>
              <w:bottom w:val="single" w:sz="8" w:space="0" w:color="000000"/>
            </w:tcBorders>
            <w:vAlign w:val="top"/>
          </w:tcPr>
          <w:p>
            <w:pPr>
              <w:pStyle w:val="TableText"/>
              <w:spacing w:before="96" w:line="183" w:lineRule="auto"/>
              <w:ind w:left="1005"/>
              <w:rPr>
                <w:sz w:val="20"/>
                <w:szCs w:val="20"/>
              </w:rPr>
            </w:pPr>
            <w:r>
              <w:rPr>
                <w:spacing w:val="-19"/>
                <w:sz w:val="20"/>
                <w:szCs w:val="20"/>
              </w:rPr>
              <w:t>200,000,000.00</w:t>
            </w:r>
          </w:p>
        </w:tc>
        <w:tc>
          <w:tcPr>
            <w:tcW w:w="1990" w:type="dxa"/>
            <w:tcBorders>
              <w:top w:val="single" w:sz="2" w:space="0" w:color="000000"/>
              <w:bottom w:val="single" w:sz="8" w:space="0" w:color="000000"/>
            </w:tcBorders>
            <w:vAlign w:val="top"/>
          </w:tcPr>
          <w:p>
            <w:pPr>
              <w:pStyle w:val="TableText"/>
              <w:spacing w:before="105" w:line="184" w:lineRule="auto"/>
              <w:ind w:left="415"/>
              <w:rPr>
                <w:sz w:val="20"/>
                <w:szCs w:val="20"/>
              </w:rPr>
            </w:pPr>
            <w:r>
              <w:rPr>
                <w:spacing w:val="-21"/>
                <w:sz w:val="20"/>
                <w:szCs w:val="20"/>
              </w:rPr>
              <w:t>163,232,869.00</w:t>
            </w:r>
          </w:p>
        </w:tc>
        <w:tc>
          <w:tcPr>
            <w:tcW w:w="1415" w:type="dxa"/>
            <w:tcBorders>
              <w:top w:val="single" w:sz="2" w:space="0" w:color="000000"/>
              <w:bottom w:val="single" w:sz="8" w:space="0" w:color="000000"/>
            </w:tcBorders>
            <w:vAlign w:val="top"/>
          </w:tcPr>
          <w:p>
            <w:pPr>
              <w:spacing w:before="94" w:line="217" w:lineRule="auto"/>
              <w:ind w:left="366"/>
              <w:rPr>
                <w:rFonts w:ascii="仿宋" w:eastAsia="仿宋" w:hAnsi="仿宋" w:cs="仿宋"/>
                <w:sz w:val="20"/>
                <w:szCs w:val="20"/>
              </w:rPr>
            </w:pPr>
            <w:r>
              <w:rPr>
                <w:rFonts w:ascii="仿宋" w:eastAsia="仿宋" w:hAnsi="仿宋" w:cs="仿宋"/>
                <w:spacing w:val="-11"/>
                <w:sz w:val="20"/>
                <w:szCs w:val="20"/>
              </w:rPr>
              <w:t>货币、实物</w:t>
            </w:r>
          </w:p>
        </w:tc>
      </w:tr>
      <w:tr>
        <w:tblPrEx>
          <w:tblW w:w="8679" w:type="dxa"/>
          <w:tblInd w:w="270" w:type="dxa"/>
          <w:tblLayout w:type="fixed"/>
          <w:tblCellMar>
            <w:top w:w="0" w:type="dxa"/>
            <w:left w:w="0" w:type="dxa"/>
            <w:bottom w:w="0" w:type="dxa"/>
            <w:right w:w="0" w:type="dxa"/>
          </w:tblCellMar>
        </w:tblPrEx>
        <w:trPr>
          <w:trHeight w:val="1628"/>
        </w:trPr>
        <w:tc>
          <w:tcPr>
            <w:tcW w:w="8679" w:type="dxa"/>
            <w:gridSpan w:val="4"/>
            <w:tcBorders>
              <w:top w:val="single" w:sz="8" w:space="0" w:color="000000"/>
              <w:bottom w:val="single" w:sz="4" w:space="0" w:color="000000"/>
            </w:tcBorders>
            <w:vAlign w:val="top"/>
          </w:tcPr>
          <w:p>
            <w:pPr>
              <w:pStyle w:val="TableText"/>
              <w:spacing w:before="137" w:line="237" w:lineRule="auto"/>
              <w:ind w:left="99" w:right="43"/>
              <w:jc w:val="both"/>
              <w:rPr>
                <w:rFonts w:ascii="仿宋" w:eastAsia="仿宋" w:hAnsi="仿宋" w:cs="仿宋"/>
                <w:sz w:val="23"/>
                <w:szCs w:val="23"/>
              </w:rPr>
            </w:pPr>
            <w:r>
              <w:rPr>
                <w:spacing w:val="29"/>
                <w:sz w:val="20"/>
                <w:szCs w:val="20"/>
              </w:rPr>
              <w:t>截至2008年9月8日止，公司收到新兴亚洲投资有限公司第八次缴纳注册资本500万港</w:t>
            </w:r>
            <w:r>
              <w:rPr>
                <w:spacing w:val="7"/>
                <w:sz w:val="20"/>
                <w:szCs w:val="20"/>
              </w:rPr>
              <w:t xml:space="preserve"> </w:t>
            </w:r>
            <w:r>
              <w:rPr>
                <w:rFonts w:ascii="仿宋" w:eastAsia="仿宋" w:hAnsi="仿宋" w:cs="仿宋"/>
                <w:spacing w:val="-12"/>
                <w:sz w:val="23"/>
                <w:szCs w:val="23"/>
              </w:rPr>
              <w:t>币，折合人民币438.31万元，此次出资由惠州市立诚会计师事务所出具</w:t>
            </w:r>
            <w:r>
              <w:rPr>
                <w:rFonts w:ascii="仿宋" w:eastAsia="仿宋" w:hAnsi="仿宋" w:cs="仿宋"/>
                <w:spacing w:val="-13"/>
                <w:sz w:val="23"/>
                <w:szCs w:val="23"/>
              </w:rPr>
              <w:t>惠立会验字[2008】</w:t>
            </w:r>
            <w:r>
              <w:rPr>
                <w:rFonts w:ascii="仿宋" w:eastAsia="仿宋" w:hAnsi="仿宋" w:cs="仿宋"/>
                <w:sz w:val="23"/>
                <w:szCs w:val="23"/>
              </w:rPr>
              <w:t xml:space="preserve"> </w:t>
            </w:r>
            <w:r>
              <w:rPr>
                <w:rFonts w:ascii="仿宋" w:eastAsia="仿宋" w:hAnsi="仿宋" w:cs="仿宋"/>
                <w:spacing w:val="-7"/>
                <w:sz w:val="23"/>
                <w:szCs w:val="23"/>
              </w:rPr>
              <w:t>134号《验资报告》予以验证。</w:t>
            </w:r>
          </w:p>
          <w:p>
            <w:pPr>
              <w:spacing w:before="203" w:line="222" w:lineRule="auto"/>
              <w:ind w:left="99"/>
              <w:rPr>
                <w:rFonts w:ascii="仿宋" w:eastAsia="仿宋" w:hAnsi="仿宋" w:cs="仿宋"/>
                <w:sz w:val="23"/>
                <w:szCs w:val="23"/>
              </w:rPr>
            </w:pPr>
            <w:r>
              <w:rPr>
                <w:rFonts w:ascii="仿宋" w:eastAsia="仿宋" w:hAnsi="仿宋" w:cs="仿宋"/>
                <w:spacing w:val="-9"/>
                <w:sz w:val="23"/>
                <w:szCs w:val="23"/>
              </w:rPr>
              <w:t>本次出资完成后，股东及出资情况如下：</w:t>
            </w:r>
          </w:p>
        </w:tc>
      </w:tr>
      <w:tr>
        <w:tblPrEx>
          <w:tblW w:w="8679" w:type="dxa"/>
          <w:tblInd w:w="270" w:type="dxa"/>
          <w:tblLayout w:type="fixed"/>
          <w:tblCellMar>
            <w:top w:w="0" w:type="dxa"/>
            <w:left w:w="0" w:type="dxa"/>
            <w:bottom w:w="0" w:type="dxa"/>
            <w:right w:w="0" w:type="dxa"/>
          </w:tblCellMar>
        </w:tblPrEx>
        <w:trPr>
          <w:trHeight w:val="369"/>
        </w:trPr>
        <w:tc>
          <w:tcPr>
            <w:tcW w:w="2825" w:type="dxa"/>
            <w:tcBorders>
              <w:top w:val="single" w:sz="4" w:space="0" w:color="000000"/>
            </w:tcBorders>
            <w:vAlign w:val="top"/>
          </w:tcPr>
          <w:p>
            <w:pPr>
              <w:pStyle w:val="TableText"/>
              <w:spacing w:before="127" w:line="219" w:lineRule="auto"/>
              <w:ind w:left="142"/>
              <w:rPr>
                <w:sz w:val="19"/>
                <w:szCs w:val="19"/>
              </w:rPr>
            </w:pPr>
            <w:r>
              <w:rPr>
                <w:b/>
                <w:bCs/>
                <w:spacing w:val="-4"/>
                <w:sz w:val="19"/>
                <w:szCs w:val="19"/>
              </w:rPr>
              <w:t>股东名称</w:t>
            </w:r>
          </w:p>
        </w:tc>
        <w:tc>
          <w:tcPr>
            <w:tcW w:w="2449" w:type="dxa"/>
            <w:tcBorders>
              <w:top w:val="single" w:sz="4" w:space="0" w:color="000000"/>
            </w:tcBorders>
            <w:vAlign w:val="top"/>
          </w:tcPr>
          <w:p>
            <w:pPr>
              <w:pStyle w:val="TableText"/>
              <w:spacing w:before="117" w:line="219" w:lineRule="auto"/>
              <w:ind w:left="1197"/>
              <w:rPr>
                <w:sz w:val="19"/>
                <w:szCs w:val="19"/>
              </w:rPr>
            </w:pPr>
            <w:r>
              <w:rPr>
                <w:b/>
                <w:bCs/>
                <w:spacing w:val="-4"/>
                <w:sz w:val="19"/>
                <w:szCs w:val="19"/>
              </w:rPr>
              <w:t>认缴出资额</w:t>
            </w:r>
          </w:p>
        </w:tc>
        <w:tc>
          <w:tcPr>
            <w:tcW w:w="1990" w:type="dxa"/>
            <w:tcBorders>
              <w:top w:val="single" w:sz="4" w:space="0" w:color="000000"/>
            </w:tcBorders>
            <w:vAlign w:val="top"/>
          </w:tcPr>
          <w:p>
            <w:pPr>
              <w:pStyle w:val="TableText"/>
              <w:spacing w:before="127" w:line="219" w:lineRule="auto"/>
              <w:ind w:left="518"/>
              <w:rPr>
                <w:sz w:val="19"/>
                <w:szCs w:val="19"/>
              </w:rPr>
            </w:pPr>
            <w:r>
              <w:rPr>
                <w:b/>
                <w:bCs/>
                <w:spacing w:val="-4"/>
                <w:sz w:val="19"/>
                <w:szCs w:val="19"/>
              </w:rPr>
              <w:t>实际出资额</w:t>
            </w:r>
          </w:p>
        </w:tc>
        <w:tc>
          <w:tcPr>
            <w:tcW w:w="1415" w:type="dxa"/>
            <w:tcBorders>
              <w:top w:val="single" w:sz="4" w:space="0" w:color="000000"/>
            </w:tcBorders>
            <w:vAlign w:val="top"/>
          </w:tcPr>
          <w:p>
            <w:pPr>
              <w:pStyle w:val="TableText"/>
              <w:spacing w:before="128" w:line="221" w:lineRule="auto"/>
              <w:ind w:left="618"/>
              <w:rPr>
                <w:sz w:val="19"/>
                <w:szCs w:val="19"/>
              </w:rPr>
            </w:pPr>
            <w:r>
              <w:rPr>
                <w:b/>
                <w:bCs/>
                <w:spacing w:val="-2"/>
                <w:sz w:val="19"/>
                <w:szCs w:val="19"/>
              </w:rPr>
              <w:t>出资方式</w:t>
            </w:r>
          </w:p>
        </w:tc>
      </w:tr>
      <w:tr>
        <w:tblPrEx>
          <w:tblW w:w="8679" w:type="dxa"/>
          <w:tblInd w:w="270" w:type="dxa"/>
          <w:tblLayout w:type="fixed"/>
          <w:tblCellMar>
            <w:top w:w="0" w:type="dxa"/>
            <w:left w:w="0" w:type="dxa"/>
            <w:bottom w:w="0" w:type="dxa"/>
            <w:right w:w="0" w:type="dxa"/>
          </w:tblCellMar>
        </w:tblPrEx>
        <w:trPr>
          <w:trHeight w:val="340"/>
        </w:trPr>
        <w:tc>
          <w:tcPr>
            <w:tcW w:w="2825" w:type="dxa"/>
            <w:tcBorders>
              <w:bottom w:val="single" w:sz="4" w:space="0" w:color="000000"/>
            </w:tcBorders>
            <w:vAlign w:val="top"/>
          </w:tcPr>
          <w:p>
            <w:pPr>
              <w:pStyle w:val="TableText"/>
              <w:spacing w:before="101" w:line="220" w:lineRule="auto"/>
              <w:ind w:left="139"/>
              <w:rPr>
                <w:sz w:val="19"/>
                <w:szCs w:val="19"/>
              </w:rPr>
            </w:pPr>
            <w:r>
              <w:rPr>
                <w:spacing w:val="2"/>
                <w:sz w:val="19"/>
                <w:szCs w:val="19"/>
              </w:rPr>
              <w:t>新兴亚洲投资有限公司</w:t>
            </w:r>
          </w:p>
        </w:tc>
        <w:tc>
          <w:tcPr>
            <w:tcW w:w="2449" w:type="dxa"/>
            <w:tcBorders>
              <w:bottom w:val="single" w:sz="4" w:space="0" w:color="000000"/>
            </w:tcBorders>
            <w:vAlign w:val="top"/>
          </w:tcPr>
          <w:p>
            <w:pPr>
              <w:pStyle w:val="TableText"/>
              <w:spacing w:before="137" w:line="183" w:lineRule="auto"/>
              <w:ind w:left="814"/>
              <w:rPr>
                <w:sz w:val="19"/>
                <w:szCs w:val="19"/>
              </w:rPr>
            </w:pPr>
            <w:r>
              <w:rPr>
                <w:spacing w:val="-1"/>
                <w:sz w:val="19"/>
                <w:szCs w:val="19"/>
              </w:rPr>
              <w:t>200,000,000.00</w:t>
            </w:r>
          </w:p>
        </w:tc>
        <w:tc>
          <w:tcPr>
            <w:tcW w:w="1990" w:type="dxa"/>
            <w:tcBorders>
              <w:bottom w:val="single" w:sz="4" w:space="0" w:color="000000"/>
            </w:tcBorders>
            <w:vAlign w:val="top"/>
          </w:tcPr>
          <w:p>
            <w:pPr>
              <w:pStyle w:val="TableText"/>
              <w:spacing w:before="126" w:line="184" w:lineRule="auto"/>
              <w:ind w:left="326"/>
              <w:rPr>
                <w:sz w:val="19"/>
                <w:szCs w:val="19"/>
              </w:rPr>
            </w:pPr>
            <w:r>
              <w:rPr>
                <w:spacing w:val="-2"/>
                <w:sz w:val="19"/>
                <w:szCs w:val="19"/>
              </w:rPr>
              <w:t>167,615,964.00</w:t>
            </w:r>
          </w:p>
        </w:tc>
        <w:tc>
          <w:tcPr>
            <w:tcW w:w="1415" w:type="dxa"/>
            <w:tcBorders>
              <w:bottom w:val="single" w:sz="4" w:space="0" w:color="000000"/>
            </w:tcBorders>
            <w:vAlign w:val="top"/>
          </w:tcPr>
          <w:p>
            <w:pPr>
              <w:pStyle w:val="TableText"/>
              <w:spacing w:before="59" w:line="219" w:lineRule="auto"/>
              <w:ind w:right="29"/>
              <w:jc w:val="right"/>
              <w:rPr>
                <w:sz w:val="19"/>
                <w:szCs w:val="19"/>
              </w:rPr>
            </w:pPr>
            <w:r>
              <w:rPr>
                <w:spacing w:val="1"/>
                <w:sz w:val="19"/>
                <w:szCs w:val="19"/>
              </w:rPr>
              <w:t>货币、实物</w:t>
            </w:r>
          </w:p>
        </w:tc>
      </w:tr>
      <w:tr>
        <w:tblPrEx>
          <w:tblW w:w="8679" w:type="dxa"/>
          <w:tblInd w:w="270" w:type="dxa"/>
          <w:tblLayout w:type="fixed"/>
          <w:tblCellMar>
            <w:top w:w="0" w:type="dxa"/>
            <w:left w:w="0" w:type="dxa"/>
            <w:bottom w:w="0" w:type="dxa"/>
            <w:right w:w="0" w:type="dxa"/>
          </w:tblCellMar>
        </w:tblPrEx>
        <w:trPr>
          <w:trHeight w:val="1658"/>
        </w:trPr>
        <w:tc>
          <w:tcPr>
            <w:tcW w:w="8679" w:type="dxa"/>
            <w:gridSpan w:val="4"/>
            <w:tcBorders>
              <w:top w:val="single" w:sz="4" w:space="0" w:color="000000"/>
              <w:bottom w:val="single" w:sz="4" w:space="0" w:color="000000"/>
            </w:tcBorders>
            <w:vAlign w:val="top"/>
          </w:tcPr>
          <w:p>
            <w:pPr>
              <w:pStyle w:val="TableText"/>
              <w:spacing w:before="150" w:line="234" w:lineRule="auto"/>
              <w:ind w:left="75" w:right="107" w:firstLine="24"/>
              <w:jc w:val="both"/>
              <w:rPr>
                <w:rFonts w:ascii="仿宋" w:eastAsia="仿宋" w:hAnsi="仿宋" w:cs="仿宋"/>
                <w:sz w:val="23"/>
                <w:szCs w:val="23"/>
              </w:rPr>
            </w:pPr>
            <w:r>
              <w:rPr>
                <w:spacing w:val="4"/>
                <w:sz w:val="23"/>
                <w:szCs w:val="23"/>
              </w:rPr>
              <w:t>截至2008年11月6日止，公司收到新兴亚洲投资有限公司第九次缴纳注册资本120万</w:t>
            </w:r>
            <w:r>
              <w:rPr>
                <w:spacing w:val="18"/>
                <w:sz w:val="23"/>
                <w:szCs w:val="23"/>
              </w:rPr>
              <w:t xml:space="preserve"> </w:t>
            </w:r>
            <w:r>
              <w:rPr>
                <w:rFonts w:ascii="仿宋" w:eastAsia="仿宋" w:hAnsi="仿宋" w:cs="仿宋"/>
                <w:spacing w:val="24"/>
                <w:sz w:val="20"/>
                <w:szCs w:val="20"/>
              </w:rPr>
              <w:t>港币，折合人民币105.67 万元，此次出资由惠州市立诚会计师事务所出具惠立会验字</w:t>
            </w:r>
            <w:r>
              <w:rPr>
                <w:rFonts w:ascii="仿宋" w:eastAsia="仿宋" w:hAnsi="仿宋" w:cs="仿宋"/>
                <w:spacing w:val="11"/>
                <w:sz w:val="20"/>
                <w:szCs w:val="20"/>
              </w:rPr>
              <w:t xml:space="preserve"> </w:t>
            </w:r>
            <w:r>
              <w:rPr>
                <w:rFonts w:ascii="仿宋" w:eastAsia="仿宋" w:hAnsi="仿宋" w:cs="仿宋"/>
                <w:spacing w:val="-7"/>
                <w:sz w:val="23"/>
                <w:szCs w:val="23"/>
              </w:rPr>
              <w:t>【2008】159号《验资报告》予以验证。</w:t>
            </w:r>
          </w:p>
          <w:p>
            <w:pPr>
              <w:spacing w:before="233" w:line="222" w:lineRule="auto"/>
              <w:ind w:left="99"/>
              <w:rPr>
                <w:rFonts w:ascii="仿宋" w:eastAsia="仿宋" w:hAnsi="仿宋" w:cs="仿宋"/>
                <w:sz w:val="23"/>
                <w:szCs w:val="23"/>
              </w:rPr>
            </w:pPr>
            <w:r>
              <w:rPr>
                <w:rFonts w:ascii="仿宋" w:eastAsia="仿宋" w:hAnsi="仿宋" w:cs="仿宋"/>
                <w:spacing w:val="-9"/>
                <w:sz w:val="23"/>
                <w:szCs w:val="23"/>
              </w:rPr>
              <w:t>本次出资完成后，股东及出资情况如下：</w:t>
            </w:r>
          </w:p>
        </w:tc>
      </w:tr>
      <w:tr>
        <w:tblPrEx>
          <w:tblW w:w="8679" w:type="dxa"/>
          <w:tblInd w:w="270" w:type="dxa"/>
          <w:tblLayout w:type="fixed"/>
          <w:tblCellMar>
            <w:top w:w="0" w:type="dxa"/>
            <w:left w:w="0" w:type="dxa"/>
            <w:bottom w:w="0" w:type="dxa"/>
            <w:right w:w="0" w:type="dxa"/>
          </w:tblCellMar>
        </w:tblPrEx>
        <w:trPr>
          <w:trHeight w:val="350"/>
        </w:trPr>
        <w:tc>
          <w:tcPr>
            <w:tcW w:w="2825" w:type="dxa"/>
            <w:tcBorders>
              <w:top w:val="single" w:sz="4" w:space="0" w:color="000000"/>
              <w:bottom w:val="single" w:sz="4" w:space="0" w:color="000000"/>
            </w:tcBorders>
            <w:vAlign w:val="top"/>
          </w:tcPr>
          <w:p>
            <w:pPr>
              <w:pStyle w:val="TableText"/>
              <w:spacing w:before="130" w:line="204" w:lineRule="auto"/>
              <w:ind w:left="142"/>
              <w:rPr>
                <w:sz w:val="19"/>
                <w:szCs w:val="19"/>
              </w:rPr>
            </w:pPr>
            <w:r>
              <w:rPr>
                <w:b/>
                <w:bCs/>
                <w:spacing w:val="-4"/>
                <w:sz w:val="19"/>
                <w:szCs w:val="19"/>
              </w:rPr>
              <w:t>股东名称</w:t>
            </w:r>
          </w:p>
        </w:tc>
        <w:tc>
          <w:tcPr>
            <w:tcW w:w="2449" w:type="dxa"/>
            <w:tcBorders>
              <w:top w:val="single" w:sz="4" w:space="0" w:color="000000"/>
              <w:bottom w:val="single" w:sz="4" w:space="0" w:color="000000"/>
            </w:tcBorders>
            <w:vAlign w:val="top"/>
          </w:tcPr>
          <w:p>
            <w:pPr>
              <w:pStyle w:val="TableText"/>
              <w:spacing w:before="80" w:line="219" w:lineRule="auto"/>
              <w:ind w:left="1207"/>
              <w:rPr>
                <w:sz w:val="19"/>
                <w:szCs w:val="19"/>
              </w:rPr>
            </w:pPr>
            <w:r>
              <w:rPr>
                <w:b/>
                <w:bCs/>
                <w:spacing w:val="-4"/>
                <w:sz w:val="19"/>
                <w:szCs w:val="19"/>
              </w:rPr>
              <w:t>认缴出资额</w:t>
            </w:r>
          </w:p>
        </w:tc>
        <w:tc>
          <w:tcPr>
            <w:tcW w:w="1990" w:type="dxa"/>
            <w:tcBorders>
              <w:top w:val="single" w:sz="4" w:space="0" w:color="000000"/>
              <w:bottom w:val="single" w:sz="4" w:space="0" w:color="000000"/>
            </w:tcBorders>
            <w:vAlign w:val="top"/>
          </w:tcPr>
          <w:p>
            <w:pPr>
              <w:pStyle w:val="TableText"/>
              <w:spacing w:before="130" w:line="204" w:lineRule="auto"/>
              <w:ind w:left="508"/>
              <w:rPr>
                <w:sz w:val="19"/>
                <w:szCs w:val="19"/>
              </w:rPr>
            </w:pPr>
            <w:r>
              <w:rPr>
                <w:b/>
                <w:bCs/>
                <w:spacing w:val="-4"/>
                <w:sz w:val="19"/>
                <w:szCs w:val="19"/>
              </w:rPr>
              <w:t>实际出资额</w:t>
            </w:r>
          </w:p>
        </w:tc>
        <w:tc>
          <w:tcPr>
            <w:tcW w:w="1415" w:type="dxa"/>
            <w:tcBorders>
              <w:top w:val="single" w:sz="4" w:space="0" w:color="000000"/>
              <w:bottom w:val="single" w:sz="4" w:space="0" w:color="000000"/>
            </w:tcBorders>
            <w:vAlign w:val="top"/>
          </w:tcPr>
          <w:p>
            <w:pPr>
              <w:pStyle w:val="TableText"/>
              <w:spacing w:before="120" w:line="213" w:lineRule="auto"/>
              <w:ind w:left="588"/>
              <w:rPr>
                <w:sz w:val="19"/>
                <w:szCs w:val="19"/>
              </w:rPr>
            </w:pPr>
            <w:r>
              <w:rPr>
                <w:b/>
                <w:bCs/>
                <w:spacing w:val="-2"/>
                <w:sz w:val="19"/>
                <w:szCs w:val="19"/>
              </w:rPr>
              <w:t>出资方式</w:t>
            </w:r>
          </w:p>
        </w:tc>
      </w:tr>
      <w:tr>
        <w:tblPrEx>
          <w:tblW w:w="8679" w:type="dxa"/>
          <w:tblInd w:w="270" w:type="dxa"/>
          <w:tblLayout w:type="fixed"/>
          <w:tblCellMar>
            <w:top w:w="0" w:type="dxa"/>
            <w:left w:w="0" w:type="dxa"/>
            <w:bottom w:w="0" w:type="dxa"/>
            <w:right w:w="0" w:type="dxa"/>
          </w:tblCellMar>
        </w:tblPrEx>
        <w:trPr>
          <w:trHeight w:val="330"/>
        </w:trPr>
        <w:tc>
          <w:tcPr>
            <w:tcW w:w="2825" w:type="dxa"/>
            <w:tcBorders>
              <w:top w:val="single" w:sz="4" w:space="0" w:color="000000"/>
              <w:bottom w:val="single" w:sz="4" w:space="0" w:color="000000"/>
            </w:tcBorders>
            <w:vAlign w:val="top"/>
          </w:tcPr>
          <w:p>
            <w:pPr>
              <w:pStyle w:val="TableText"/>
              <w:spacing w:before="110" w:line="204" w:lineRule="auto"/>
              <w:ind w:left="142"/>
              <w:rPr>
                <w:sz w:val="19"/>
                <w:szCs w:val="19"/>
              </w:rPr>
            </w:pPr>
            <w:r>
              <w:rPr>
                <w:b/>
                <w:bCs/>
                <w:sz w:val="19"/>
                <w:szCs w:val="19"/>
              </w:rPr>
              <w:t>新兴亚洲投资有限公司</w:t>
            </w:r>
          </w:p>
        </w:tc>
        <w:tc>
          <w:tcPr>
            <w:tcW w:w="2449" w:type="dxa"/>
            <w:tcBorders>
              <w:top w:val="single" w:sz="4" w:space="0" w:color="000000"/>
              <w:bottom w:val="single" w:sz="4" w:space="0" w:color="000000"/>
            </w:tcBorders>
            <w:vAlign w:val="top"/>
          </w:tcPr>
          <w:p>
            <w:pPr>
              <w:pStyle w:val="TableText"/>
              <w:spacing w:before="136" w:line="178" w:lineRule="auto"/>
              <w:ind w:left="827"/>
              <w:rPr>
                <w:sz w:val="19"/>
                <w:szCs w:val="19"/>
              </w:rPr>
            </w:pPr>
            <w:r>
              <w:rPr>
                <w:b/>
                <w:bCs/>
                <w:spacing w:val="-3"/>
                <w:sz w:val="19"/>
                <w:szCs w:val="19"/>
              </w:rPr>
              <w:t>200,000,000.00</w:t>
            </w:r>
          </w:p>
        </w:tc>
        <w:tc>
          <w:tcPr>
            <w:tcW w:w="1990" w:type="dxa"/>
            <w:tcBorders>
              <w:top w:val="single" w:sz="4" w:space="0" w:color="000000"/>
              <w:bottom w:val="single" w:sz="4" w:space="0" w:color="000000"/>
            </w:tcBorders>
            <w:vAlign w:val="top"/>
          </w:tcPr>
          <w:p>
            <w:pPr>
              <w:pStyle w:val="TableText"/>
              <w:spacing w:before="135" w:line="179" w:lineRule="auto"/>
              <w:ind w:left="318"/>
              <w:rPr>
                <w:sz w:val="19"/>
                <w:szCs w:val="19"/>
              </w:rPr>
            </w:pPr>
            <w:r>
              <w:rPr>
                <w:b/>
                <w:bCs/>
                <w:spacing w:val="-4"/>
                <w:sz w:val="19"/>
                <w:szCs w:val="19"/>
              </w:rPr>
              <w:t>168,672,696.00</w:t>
            </w:r>
          </w:p>
        </w:tc>
        <w:tc>
          <w:tcPr>
            <w:tcW w:w="1415" w:type="dxa"/>
            <w:tcBorders>
              <w:top w:val="single" w:sz="4" w:space="0" w:color="000000"/>
              <w:bottom w:val="single" w:sz="4" w:space="0" w:color="000000"/>
            </w:tcBorders>
            <w:vAlign w:val="top"/>
          </w:tcPr>
          <w:p>
            <w:pPr>
              <w:pStyle w:val="TableText"/>
              <w:spacing w:before="68" w:line="219" w:lineRule="auto"/>
              <w:ind w:left="398"/>
              <w:rPr>
                <w:sz w:val="19"/>
                <w:szCs w:val="19"/>
              </w:rPr>
            </w:pPr>
            <w:r>
              <w:rPr>
                <w:b/>
                <w:bCs/>
                <w:spacing w:val="-4"/>
                <w:sz w:val="19"/>
                <w:szCs w:val="19"/>
              </w:rPr>
              <w:t>货币、实物</w:t>
            </w:r>
          </w:p>
        </w:tc>
      </w:tr>
      <w:tr>
        <w:tblPrEx>
          <w:tblW w:w="8679" w:type="dxa"/>
          <w:tblInd w:w="270" w:type="dxa"/>
          <w:tblLayout w:type="fixed"/>
          <w:tblCellMar>
            <w:top w:w="0" w:type="dxa"/>
            <w:left w:w="0" w:type="dxa"/>
            <w:bottom w:w="0" w:type="dxa"/>
            <w:right w:w="0" w:type="dxa"/>
          </w:tblCellMar>
        </w:tblPrEx>
        <w:trPr>
          <w:trHeight w:val="1668"/>
        </w:trPr>
        <w:tc>
          <w:tcPr>
            <w:tcW w:w="8679" w:type="dxa"/>
            <w:gridSpan w:val="4"/>
            <w:tcBorders>
              <w:top w:val="single" w:sz="4" w:space="0" w:color="000000"/>
              <w:bottom w:val="single" w:sz="4" w:space="0" w:color="000000"/>
            </w:tcBorders>
            <w:vAlign w:val="top"/>
          </w:tcPr>
          <w:p>
            <w:pPr>
              <w:spacing w:before="153" w:line="229" w:lineRule="auto"/>
              <w:ind w:left="75" w:right="73" w:firstLine="24"/>
              <w:jc w:val="both"/>
              <w:rPr>
                <w:rFonts w:ascii="仿宋" w:eastAsia="仿宋" w:hAnsi="仿宋" w:cs="仿宋"/>
                <w:sz w:val="23"/>
                <w:szCs w:val="23"/>
              </w:rPr>
            </w:pPr>
            <w:r>
              <w:rPr>
                <w:rFonts w:ascii="仿宋" w:eastAsia="仿宋" w:hAnsi="仿宋" w:cs="仿宋"/>
                <w:spacing w:val="5"/>
                <w:sz w:val="23"/>
                <w:szCs w:val="23"/>
              </w:rPr>
              <w:t>截至2015年6月5日止，公司收到新兴亚洲投资有限公司第十次缴纳注册资本387.25</w:t>
            </w:r>
            <w:r>
              <w:rPr>
                <w:rFonts w:ascii="仿宋" w:eastAsia="仿宋" w:hAnsi="仿宋" w:cs="仿宋"/>
                <w:spacing w:val="14"/>
                <w:sz w:val="23"/>
                <w:szCs w:val="23"/>
              </w:rPr>
              <w:t xml:space="preserve"> </w:t>
            </w:r>
            <w:r>
              <w:rPr>
                <w:rFonts w:ascii="仿宋" w:eastAsia="仿宋" w:hAnsi="仿宋" w:cs="仿宋"/>
                <w:spacing w:val="-6"/>
                <w:sz w:val="23"/>
                <w:szCs w:val="23"/>
              </w:rPr>
              <w:t>万港币，折合人民币305.63万元，此次出资由惠州荣德会计师事务所出具惠荣会外验字</w:t>
            </w:r>
            <w:r>
              <w:rPr>
                <w:rFonts w:ascii="仿宋" w:eastAsia="仿宋" w:hAnsi="仿宋" w:cs="仿宋"/>
                <w:spacing w:val="3"/>
                <w:sz w:val="23"/>
                <w:szCs w:val="23"/>
              </w:rPr>
              <w:t xml:space="preserve"> </w:t>
            </w:r>
            <w:r>
              <w:rPr>
                <w:rFonts w:ascii="仿宋" w:eastAsia="仿宋" w:hAnsi="仿宋" w:cs="仿宋"/>
                <w:spacing w:val="-7"/>
                <w:sz w:val="23"/>
                <w:szCs w:val="23"/>
              </w:rPr>
              <w:t>【2015】026号《验资报告》予以验证。</w:t>
            </w:r>
          </w:p>
          <w:p>
            <w:pPr>
              <w:spacing w:before="233" w:line="222" w:lineRule="auto"/>
              <w:ind w:left="99"/>
              <w:rPr>
                <w:rFonts w:ascii="仿宋" w:eastAsia="仿宋" w:hAnsi="仿宋" w:cs="仿宋"/>
                <w:sz w:val="23"/>
                <w:szCs w:val="23"/>
              </w:rPr>
            </w:pPr>
            <w:r>
              <w:rPr>
                <w:rFonts w:ascii="仿宋" w:eastAsia="仿宋" w:hAnsi="仿宋" w:cs="仿宋"/>
                <w:spacing w:val="-9"/>
                <w:sz w:val="23"/>
                <w:szCs w:val="23"/>
              </w:rPr>
              <w:t>本次出资完成后，股东及出资情况如下：</w:t>
            </w:r>
          </w:p>
        </w:tc>
      </w:tr>
      <w:tr>
        <w:tblPrEx>
          <w:tblW w:w="8679" w:type="dxa"/>
          <w:tblInd w:w="270" w:type="dxa"/>
          <w:tblLayout w:type="fixed"/>
          <w:tblCellMar>
            <w:top w:w="0" w:type="dxa"/>
            <w:left w:w="0" w:type="dxa"/>
            <w:bottom w:w="0" w:type="dxa"/>
            <w:right w:w="0" w:type="dxa"/>
          </w:tblCellMar>
        </w:tblPrEx>
        <w:trPr>
          <w:trHeight w:val="394"/>
        </w:trPr>
        <w:tc>
          <w:tcPr>
            <w:tcW w:w="2825" w:type="dxa"/>
            <w:tcBorders>
              <w:top w:val="single" w:sz="4" w:space="0" w:color="000000"/>
            </w:tcBorders>
            <w:vAlign w:val="top"/>
          </w:tcPr>
          <w:p>
            <w:pPr>
              <w:pStyle w:val="TableText"/>
              <w:spacing w:before="132" w:line="219" w:lineRule="auto"/>
              <w:ind w:left="112"/>
              <w:rPr>
                <w:sz w:val="19"/>
                <w:szCs w:val="19"/>
              </w:rPr>
            </w:pPr>
            <w:r>
              <w:rPr>
                <w:b/>
                <w:bCs/>
                <w:spacing w:val="-4"/>
                <w:sz w:val="19"/>
                <w:szCs w:val="19"/>
              </w:rPr>
              <w:t>股东名称</w:t>
            </w:r>
          </w:p>
        </w:tc>
        <w:tc>
          <w:tcPr>
            <w:tcW w:w="2449" w:type="dxa"/>
            <w:tcBorders>
              <w:top w:val="single" w:sz="4" w:space="0" w:color="000000"/>
            </w:tcBorders>
            <w:vAlign w:val="top"/>
          </w:tcPr>
          <w:p>
            <w:pPr>
              <w:pStyle w:val="TableText"/>
              <w:spacing w:before="152" w:line="219" w:lineRule="auto"/>
              <w:ind w:left="1177"/>
              <w:rPr>
                <w:sz w:val="19"/>
                <w:szCs w:val="19"/>
              </w:rPr>
            </w:pPr>
            <w:r>
              <w:rPr>
                <w:b/>
                <w:bCs/>
                <w:spacing w:val="-4"/>
                <w:sz w:val="19"/>
                <w:szCs w:val="19"/>
              </w:rPr>
              <w:t>认缴出资额</w:t>
            </w:r>
          </w:p>
        </w:tc>
        <w:tc>
          <w:tcPr>
            <w:tcW w:w="1990" w:type="dxa"/>
            <w:tcBorders>
              <w:top w:val="single" w:sz="4" w:space="0" w:color="000000"/>
            </w:tcBorders>
            <w:vAlign w:val="top"/>
          </w:tcPr>
          <w:p>
            <w:pPr>
              <w:pStyle w:val="TableText"/>
              <w:spacing w:before="144" w:line="219" w:lineRule="auto"/>
              <w:ind w:left="505"/>
              <w:rPr>
                <w:sz w:val="19"/>
                <w:szCs w:val="19"/>
              </w:rPr>
            </w:pPr>
            <w:r>
              <w:rPr>
                <w:spacing w:val="-2"/>
                <w:sz w:val="19"/>
                <w:szCs w:val="19"/>
              </w:rPr>
              <w:t>实际出资额</w:t>
            </w:r>
          </w:p>
        </w:tc>
        <w:tc>
          <w:tcPr>
            <w:tcW w:w="1415" w:type="dxa"/>
            <w:tcBorders>
              <w:top w:val="single" w:sz="4" w:space="0" w:color="000000"/>
            </w:tcBorders>
            <w:vAlign w:val="top"/>
          </w:tcPr>
          <w:p>
            <w:pPr>
              <w:pStyle w:val="TableText"/>
              <w:spacing w:before="145" w:line="221" w:lineRule="auto"/>
              <w:ind w:left="595"/>
              <w:rPr>
                <w:sz w:val="19"/>
                <w:szCs w:val="19"/>
              </w:rPr>
            </w:pPr>
            <w:r>
              <w:rPr>
                <w:spacing w:val="1"/>
                <w:sz w:val="19"/>
                <w:szCs w:val="19"/>
              </w:rPr>
              <w:t>出资方式</w:t>
            </w:r>
          </w:p>
        </w:tc>
      </w:tr>
      <w:tr>
        <w:tblPrEx>
          <w:tblW w:w="8679" w:type="dxa"/>
          <w:tblInd w:w="270" w:type="dxa"/>
          <w:tblLayout w:type="fixed"/>
          <w:tblCellMar>
            <w:top w:w="0" w:type="dxa"/>
            <w:left w:w="0" w:type="dxa"/>
            <w:bottom w:w="0" w:type="dxa"/>
            <w:right w:w="0" w:type="dxa"/>
          </w:tblCellMar>
        </w:tblPrEx>
        <w:trPr>
          <w:trHeight w:val="315"/>
        </w:trPr>
        <w:tc>
          <w:tcPr>
            <w:tcW w:w="2825" w:type="dxa"/>
            <w:tcBorders>
              <w:bottom w:val="single" w:sz="4" w:space="0" w:color="000000"/>
            </w:tcBorders>
            <w:vAlign w:val="top"/>
          </w:tcPr>
          <w:p>
            <w:pPr>
              <w:pStyle w:val="TableText"/>
              <w:spacing w:before="81" w:line="217" w:lineRule="auto"/>
              <w:ind w:left="109"/>
              <w:rPr>
                <w:sz w:val="19"/>
                <w:szCs w:val="19"/>
              </w:rPr>
            </w:pPr>
            <w:r>
              <w:rPr>
                <w:spacing w:val="2"/>
                <w:sz w:val="19"/>
                <w:szCs w:val="19"/>
              </w:rPr>
              <w:t>新兴亚洲投资有限公司</w:t>
            </w:r>
          </w:p>
        </w:tc>
        <w:tc>
          <w:tcPr>
            <w:tcW w:w="2449" w:type="dxa"/>
            <w:tcBorders>
              <w:bottom w:val="single" w:sz="4" w:space="0" w:color="000000"/>
            </w:tcBorders>
            <w:vAlign w:val="top"/>
          </w:tcPr>
          <w:p>
            <w:pPr>
              <w:pStyle w:val="TableText"/>
              <w:spacing w:before="117" w:line="182" w:lineRule="auto"/>
              <w:ind w:left="794"/>
              <w:rPr>
                <w:sz w:val="19"/>
                <w:szCs w:val="19"/>
              </w:rPr>
            </w:pPr>
            <w:r>
              <w:rPr>
                <w:spacing w:val="-1"/>
                <w:sz w:val="19"/>
                <w:szCs w:val="19"/>
              </w:rPr>
              <w:t>200,000,000.00</w:t>
            </w:r>
          </w:p>
        </w:tc>
        <w:tc>
          <w:tcPr>
            <w:tcW w:w="1990" w:type="dxa"/>
            <w:tcBorders>
              <w:bottom w:val="single" w:sz="4" w:space="0" w:color="000000"/>
            </w:tcBorders>
            <w:vAlign w:val="top"/>
          </w:tcPr>
          <w:p>
            <w:pPr>
              <w:pStyle w:val="TableText"/>
              <w:spacing w:before="116" w:line="183" w:lineRule="auto"/>
              <w:ind w:left="316"/>
              <w:rPr>
                <w:sz w:val="19"/>
                <w:szCs w:val="19"/>
              </w:rPr>
            </w:pPr>
            <w:r>
              <w:rPr>
                <w:spacing w:val="-2"/>
                <w:sz w:val="19"/>
                <w:szCs w:val="19"/>
              </w:rPr>
              <w:t>171,729,027.90</w:t>
            </w:r>
          </w:p>
        </w:tc>
        <w:tc>
          <w:tcPr>
            <w:tcW w:w="1415" w:type="dxa"/>
            <w:tcBorders>
              <w:bottom w:val="single" w:sz="4" w:space="0" w:color="000000"/>
            </w:tcBorders>
            <w:vAlign w:val="top"/>
          </w:tcPr>
          <w:p>
            <w:pPr>
              <w:pStyle w:val="TableText"/>
              <w:spacing w:before="69" w:line="219" w:lineRule="auto"/>
              <w:ind w:left="406"/>
              <w:rPr>
                <w:sz w:val="19"/>
                <w:szCs w:val="19"/>
              </w:rPr>
            </w:pPr>
            <w:r>
              <w:rPr>
                <w:spacing w:val="1"/>
                <w:sz w:val="19"/>
                <w:szCs w:val="19"/>
              </w:rPr>
              <w:t>货币、实物</w:t>
            </w:r>
          </w:p>
        </w:tc>
      </w:tr>
      <w:tr>
        <w:tblPrEx>
          <w:tblW w:w="8679" w:type="dxa"/>
          <w:tblInd w:w="270" w:type="dxa"/>
          <w:tblLayout w:type="fixed"/>
          <w:tblCellMar>
            <w:top w:w="0" w:type="dxa"/>
            <w:left w:w="0" w:type="dxa"/>
            <w:bottom w:w="0" w:type="dxa"/>
            <w:right w:w="0" w:type="dxa"/>
          </w:tblCellMar>
        </w:tblPrEx>
        <w:trPr>
          <w:trHeight w:val="1658"/>
        </w:trPr>
        <w:tc>
          <w:tcPr>
            <w:tcW w:w="8679" w:type="dxa"/>
            <w:gridSpan w:val="4"/>
            <w:tcBorders>
              <w:top w:val="single" w:sz="4" w:space="0" w:color="000000"/>
              <w:bottom w:val="single" w:sz="4" w:space="0" w:color="000000"/>
            </w:tcBorders>
            <w:vAlign w:val="top"/>
          </w:tcPr>
          <w:p>
            <w:pPr>
              <w:spacing w:before="144" w:line="238" w:lineRule="auto"/>
              <w:ind w:left="90" w:right="76" w:firstLine="9"/>
              <w:jc w:val="both"/>
              <w:rPr>
                <w:rFonts w:ascii="仿宋" w:eastAsia="仿宋" w:hAnsi="仿宋" w:cs="仿宋"/>
                <w:sz w:val="20"/>
                <w:szCs w:val="20"/>
              </w:rPr>
            </w:pPr>
            <w:r>
              <w:rPr>
                <w:rFonts w:ascii="仿宋" w:eastAsia="仿宋" w:hAnsi="仿宋" w:cs="仿宋"/>
                <w:spacing w:val="5"/>
                <w:sz w:val="23"/>
                <w:szCs w:val="23"/>
              </w:rPr>
              <w:t>截至2015年6月17日止，公司收到新兴亚洲投资有限公司第十一次缴纳注册资本750</w:t>
            </w:r>
            <w:r>
              <w:rPr>
                <w:rFonts w:ascii="仿宋" w:eastAsia="仿宋" w:hAnsi="仿宋" w:cs="仿宋"/>
                <w:spacing w:val="16"/>
                <w:sz w:val="23"/>
                <w:szCs w:val="23"/>
              </w:rPr>
              <w:t xml:space="preserve"> </w:t>
            </w:r>
            <w:r>
              <w:rPr>
                <w:rFonts w:ascii="仿宋" w:eastAsia="仿宋" w:hAnsi="仿宋" w:cs="仿宋"/>
                <w:spacing w:val="-6"/>
                <w:sz w:val="23"/>
                <w:szCs w:val="23"/>
              </w:rPr>
              <w:t>万港币，折合人民币591.68万元，此次出资由惠州荣德会计师事务所出具惠荣会外验字</w:t>
            </w:r>
            <w:r>
              <w:rPr>
                <w:rFonts w:ascii="仿宋" w:eastAsia="仿宋" w:hAnsi="仿宋" w:cs="仿宋"/>
                <w:spacing w:val="8"/>
                <w:sz w:val="23"/>
                <w:szCs w:val="23"/>
              </w:rPr>
              <w:t xml:space="preserve"> </w:t>
            </w:r>
            <w:r>
              <w:rPr>
                <w:rFonts w:ascii="仿宋" w:eastAsia="仿宋" w:hAnsi="仿宋" w:cs="仿宋"/>
                <w:spacing w:val="18"/>
                <w:sz w:val="20"/>
                <w:szCs w:val="20"/>
              </w:rPr>
              <w:t>【2015】029号《验资报告》予以验证。</w:t>
            </w:r>
          </w:p>
          <w:p>
            <w:pPr>
              <w:spacing w:before="269" w:line="222" w:lineRule="auto"/>
              <w:ind w:left="99"/>
              <w:rPr>
                <w:rFonts w:ascii="仿宋" w:eastAsia="仿宋" w:hAnsi="仿宋" w:cs="仿宋"/>
                <w:sz w:val="20"/>
                <w:szCs w:val="20"/>
              </w:rPr>
            </w:pPr>
            <w:r>
              <w:rPr>
                <w:rFonts w:ascii="仿宋" w:eastAsia="仿宋" w:hAnsi="仿宋" w:cs="仿宋"/>
                <w:spacing w:val="20"/>
                <w:sz w:val="20"/>
                <w:szCs w:val="20"/>
              </w:rPr>
              <w:t>本次出资完成后，股东及出资情况如下：</w:t>
            </w:r>
          </w:p>
        </w:tc>
      </w:tr>
      <w:tr>
        <w:tblPrEx>
          <w:tblW w:w="8679" w:type="dxa"/>
          <w:tblInd w:w="270" w:type="dxa"/>
          <w:tblLayout w:type="fixed"/>
          <w:tblCellMar>
            <w:top w:w="0" w:type="dxa"/>
            <w:left w:w="0" w:type="dxa"/>
            <w:bottom w:w="0" w:type="dxa"/>
            <w:right w:w="0" w:type="dxa"/>
          </w:tblCellMar>
        </w:tblPrEx>
        <w:trPr>
          <w:trHeight w:val="391"/>
        </w:trPr>
        <w:tc>
          <w:tcPr>
            <w:tcW w:w="2825" w:type="dxa"/>
            <w:tcBorders>
              <w:top w:val="single" w:sz="4" w:space="0" w:color="000000"/>
            </w:tcBorders>
            <w:vAlign w:val="top"/>
          </w:tcPr>
          <w:p>
            <w:pPr>
              <w:pStyle w:val="TableText"/>
              <w:spacing w:before="125" w:line="219" w:lineRule="auto"/>
              <w:ind w:left="112"/>
              <w:rPr>
                <w:sz w:val="19"/>
                <w:szCs w:val="19"/>
              </w:rPr>
            </w:pPr>
            <w:r>
              <w:rPr>
                <w:b/>
                <w:bCs/>
                <w:spacing w:val="-4"/>
                <w:sz w:val="19"/>
                <w:szCs w:val="19"/>
              </w:rPr>
              <w:t>股东名称</w:t>
            </w:r>
          </w:p>
        </w:tc>
        <w:tc>
          <w:tcPr>
            <w:tcW w:w="2449" w:type="dxa"/>
            <w:tcBorders>
              <w:top w:val="single" w:sz="4" w:space="0" w:color="000000"/>
            </w:tcBorders>
            <w:vAlign w:val="top"/>
          </w:tcPr>
          <w:p>
            <w:pPr>
              <w:pStyle w:val="TableText"/>
              <w:spacing w:before="145" w:line="219" w:lineRule="auto"/>
              <w:ind w:left="1167"/>
              <w:rPr>
                <w:sz w:val="19"/>
                <w:szCs w:val="19"/>
              </w:rPr>
            </w:pPr>
            <w:r>
              <w:rPr>
                <w:b/>
                <w:bCs/>
                <w:spacing w:val="-4"/>
                <w:sz w:val="19"/>
                <w:szCs w:val="19"/>
              </w:rPr>
              <w:t>认缴出资额</w:t>
            </w:r>
          </w:p>
        </w:tc>
        <w:tc>
          <w:tcPr>
            <w:tcW w:w="1990" w:type="dxa"/>
            <w:tcBorders>
              <w:top w:val="single" w:sz="4" w:space="0" w:color="000000"/>
            </w:tcBorders>
            <w:vAlign w:val="top"/>
          </w:tcPr>
          <w:p>
            <w:pPr>
              <w:pStyle w:val="TableText"/>
              <w:spacing w:before="137" w:line="219" w:lineRule="auto"/>
              <w:ind w:left="495"/>
              <w:rPr>
                <w:sz w:val="19"/>
                <w:szCs w:val="19"/>
              </w:rPr>
            </w:pPr>
            <w:r>
              <w:rPr>
                <w:spacing w:val="-2"/>
                <w:sz w:val="19"/>
                <w:szCs w:val="19"/>
              </w:rPr>
              <w:t>实际出资额</w:t>
            </w:r>
          </w:p>
        </w:tc>
        <w:tc>
          <w:tcPr>
            <w:tcW w:w="1415" w:type="dxa"/>
            <w:tcBorders>
              <w:top w:val="single" w:sz="4" w:space="0" w:color="000000"/>
            </w:tcBorders>
            <w:vAlign w:val="top"/>
          </w:tcPr>
          <w:p>
            <w:pPr>
              <w:pStyle w:val="TableText"/>
              <w:spacing w:before="158" w:line="216" w:lineRule="auto"/>
              <w:ind w:left="585"/>
              <w:rPr>
                <w:sz w:val="19"/>
                <w:szCs w:val="19"/>
              </w:rPr>
            </w:pPr>
            <w:r>
              <w:rPr>
                <w:spacing w:val="1"/>
                <w:sz w:val="19"/>
                <w:szCs w:val="19"/>
              </w:rPr>
              <w:t>出资方式</w:t>
            </w:r>
          </w:p>
        </w:tc>
      </w:tr>
      <w:tr>
        <w:tblPrEx>
          <w:tblW w:w="8679" w:type="dxa"/>
          <w:tblInd w:w="270" w:type="dxa"/>
          <w:tblLayout w:type="fixed"/>
          <w:tblCellMar>
            <w:top w:w="0" w:type="dxa"/>
            <w:left w:w="0" w:type="dxa"/>
            <w:bottom w:w="0" w:type="dxa"/>
            <w:right w:w="0" w:type="dxa"/>
          </w:tblCellMar>
        </w:tblPrEx>
        <w:trPr>
          <w:trHeight w:val="313"/>
        </w:trPr>
        <w:tc>
          <w:tcPr>
            <w:tcW w:w="2825" w:type="dxa"/>
            <w:tcBorders>
              <w:bottom w:val="single" w:sz="4" w:space="0" w:color="000000"/>
            </w:tcBorders>
            <w:vAlign w:val="top"/>
          </w:tcPr>
          <w:p>
            <w:pPr>
              <w:pStyle w:val="TableText"/>
              <w:spacing w:before="67" w:line="220" w:lineRule="auto"/>
              <w:ind w:left="109"/>
              <w:rPr>
                <w:sz w:val="19"/>
                <w:szCs w:val="19"/>
              </w:rPr>
            </w:pPr>
            <w:r>
              <w:rPr>
                <w:spacing w:val="2"/>
                <w:sz w:val="19"/>
                <w:szCs w:val="19"/>
              </w:rPr>
              <w:t>新兴亚洲投资有限公司</w:t>
            </w:r>
          </w:p>
        </w:tc>
        <w:tc>
          <w:tcPr>
            <w:tcW w:w="2449" w:type="dxa"/>
            <w:tcBorders>
              <w:bottom w:val="single" w:sz="4" w:space="0" w:color="000000"/>
            </w:tcBorders>
            <w:vAlign w:val="top"/>
          </w:tcPr>
          <w:p>
            <w:pPr>
              <w:pStyle w:val="TableText"/>
              <w:spacing w:before="113" w:line="183" w:lineRule="auto"/>
              <w:ind w:left="784"/>
              <w:rPr>
                <w:sz w:val="19"/>
                <w:szCs w:val="19"/>
              </w:rPr>
            </w:pPr>
            <w:r>
              <w:rPr>
                <w:spacing w:val="-1"/>
                <w:sz w:val="19"/>
                <w:szCs w:val="19"/>
              </w:rPr>
              <w:t>200,000,000.00</w:t>
            </w:r>
          </w:p>
        </w:tc>
        <w:tc>
          <w:tcPr>
            <w:tcW w:w="1990" w:type="dxa"/>
            <w:tcBorders>
              <w:bottom w:val="single" w:sz="4" w:space="0" w:color="000000"/>
            </w:tcBorders>
            <w:vAlign w:val="top"/>
          </w:tcPr>
          <w:p>
            <w:pPr>
              <w:pStyle w:val="TableText"/>
              <w:spacing w:before="122" w:line="175" w:lineRule="auto"/>
              <w:ind w:left="306"/>
              <w:rPr>
                <w:sz w:val="19"/>
                <w:szCs w:val="19"/>
              </w:rPr>
            </w:pPr>
            <w:r>
              <w:rPr>
                <w:spacing w:val="-2"/>
                <w:sz w:val="19"/>
                <w:szCs w:val="19"/>
              </w:rPr>
              <w:t>177,645,777.90</w:t>
            </w:r>
          </w:p>
        </w:tc>
        <w:tc>
          <w:tcPr>
            <w:tcW w:w="1415" w:type="dxa"/>
            <w:tcBorders>
              <w:bottom w:val="single" w:sz="4" w:space="0" w:color="000000"/>
            </w:tcBorders>
            <w:vAlign w:val="top"/>
          </w:tcPr>
          <w:p>
            <w:pPr>
              <w:pStyle w:val="TableText"/>
              <w:spacing w:before="85" w:line="211" w:lineRule="auto"/>
              <w:ind w:left="396"/>
              <w:rPr>
                <w:sz w:val="19"/>
                <w:szCs w:val="19"/>
              </w:rPr>
            </w:pPr>
            <w:r>
              <w:rPr>
                <w:spacing w:val="1"/>
                <w:sz w:val="19"/>
                <w:szCs w:val="19"/>
              </w:rPr>
              <w:t>货币、实物</w:t>
            </w:r>
          </w:p>
        </w:tc>
      </w:tr>
    </w:tbl>
    <w:p>
      <w:pPr>
        <w:pStyle w:val="BodyText"/>
        <w:spacing w:line="269" w:lineRule="auto"/>
      </w:pPr>
    </w:p>
    <w:p>
      <w:pPr>
        <w:pStyle w:val="BodyText"/>
        <w:spacing w:line="269" w:lineRule="auto"/>
      </w:pPr>
    </w:p>
    <w:p>
      <w:pPr>
        <w:spacing w:before="45" w:line="183" w:lineRule="auto"/>
        <w:ind w:left="4559"/>
        <w:rPr>
          <w:rFonts w:ascii="宋体" w:eastAsia="宋体" w:hAnsi="宋体" w:cs="宋体"/>
          <w:sz w:val="14"/>
          <w:szCs w:val="14"/>
        </w:rPr>
      </w:pPr>
      <w:r>
        <w:rPr>
          <w:rFonts w:ascii="宋体" w:eastAsia="宋体" w:hAnsi="宋体" w:cs="宋体"/>
          <w:sz w:val="14"/>
          <w:szCs w:val="14"/>
        </w:rPr>
        <w:t>6</w:t>
      </w:r>
    </w:p>
    <w:p>
      <w:pPr>
        <w:pStyle w:val="BodyText"/>
        <w:spacing w:line="300" w:lineRule="auto"/>
      </w:pPr>
    </w:p>
    <w:p>
      <w:pPr>
        <w:pStyle w:val="BodyText"/>
        <w:spacing w:line="300" w:lineRule="auto"/>
      </w:pPr>
    </w:p>
    <w:p>
      <w:pPr>
        <w:spacing w:before="66" w:line="183" w:lineRule="auto"/>
        <w:ind w:left="4169"/>
        <w:rPr>
          <w:rFonts w:ascii="宋体" w:eastAsia="宋体" w:hAnsi="宋体" w:cs="宋体"/>
          <w:sz w:val="20"/>
          <w:szCs w:val="20"/>
        </w:rPr>
      </w:pPr>
      <w:r>
        <w:rPr>
          <w:rFonts w:ascii="宋体" w:eastAsia="宋体" w:hAnsi="宋体" w:cs="宋体"/>
          <w:color w:val="A75300"/>
          <w:spacing w:val="-13"/>
          <w:sz w:val="20"/>
          <w:szCs w:val="20"/>
        </w:rPr>
        <w:t>3</w:t>
      </w:r>
      <w:r>
        <w:rPr>
          <w:rFonts w:ascii="宋体" w:eastAsia="宋体" w:hAnsi="宋体" w:cs="宋体"/>
          <w:spacing w:val="-13"/>
          <w:sz w:val="20"/>
          <w:szCs w:val="20"/>
        </w:rPr>
        <w:t>-2-</w:t>
      </w:r>
      <w:r>
        <w:rPr>
          <w:rFonts w:ascii="宋体" w:eastAsia="宋体" w:hAnsi="宋体" w:cs="宋体"/>
          <w:color w:val="A75300"/>
          <w:spacing w:val="-13"/>
          <w:sz w:val="20"/>
          <w:szCs w:val="20"/>
        </w:rPr>
        <w:t>3</w:t>
      </w:r>
      <w:r>
        <w:rPr>
          <w:rFonts w:ascii="宋体" w:eastAsia="宋体" w:hAnsi="宋体" w:cs="宋体"/>
          <w:spacing w:val="-13"/>
          <w:sz w:val="20"/>
          <w:szCs w:val="20"/>
        </w:rPr>
        <w:t>-</w:t>
      </w:r>
      <w:r>
        <w:rPr>
          <w:rFonts w:ascii="宋体" w:eastAsia="宋体" w:hAnsi="宋体" w:cs="宋体"/>
          <w:color w:val="A75300"/>
          <w:spacing w:val="-13"/>
          <w:sz w:val="20"/>
          <w:szCs w:val="20"/>
        </w:rPr>
        <w:t>8</w:t>
      </w:r>
    </w:p>
    <w:p>
      <w:pPr>
        <w:spacing w:line="183" w:lineRule="auto"/>
        <w:rPr>
          <w:rFonts w:ascii="宋体" w:eastAsia="宋体" w:hAnsi="宋体" w:cs="宋体"/>
          <w:sz w:val="20"/>
          <w:szCs w:val="20"/>
        </w:rPr>
        <w:sectPr>
          <w:headerReference w:type="default" r:id="rId9"/>
          <w:pgSz w:w="11900" w:h="16820"/>
          <w:pgMar w:top="400" w:right="409" w:bottom="0" w:left="1519" w:header="0" w:footer="0" w:gutter="0"/>
          <w:pgNumType w:start="10"/>
          <w:cols w:num="1" w:space="720"/>
        </w:sectPr>
      </w:pPr>
    </w:p>
    <w:p>
      <w:pPr>
        <w:pStyle w:val="BodyText"/>
        <w:spacing w:line="318" w:lineRule="auto"/>
      </w:pPr>
    </w:p>
    <w:p>
      <w:pPr>
        <w:pStyle w:val="BodyText"/>
        <w:spacing w:line="319" w:lineRule="auto"/>
      </w:pPr>
    </w:p>
    <w:p>
      <w:pPr>
        <w:pStyle w:val="BodyText"/>
        <w:spacing w:line="319" w:lineRule="auto"/>
      </w:pPr>
    </w:p>
    <w:p>
      <w:pPr>
        <w:spacing w:before="65" w:line="222" w:lineRule="auto"/>
        <w:ind w:left="10"/>
        <w:rPr>
          <w:rFonts w:ascii="仿宋" w:eastAsia="仿宋" w:hAnsi="仿宋" w:cs="仿宋"/>
          <w:sz w:val="20"/>
          <w:szCs w:val="20"/>
        </w:rPr>
      </w:pPr>
      <w:r>
        <w:rPr>
          <w:rFonts w:ascii="仿宋" w:eastAsia="仿宋" w:hAnsi="仿宋" w:cs="仿宋"/>
          <w:spacing w:val="22"/>
          <w:sz w:val="20"/>
          <w:szCs w:val="20"/>
        </w:rPr>
        <w:t>美新科技股份有限公司</w:t>
      </w:r>
    </w:p>
    <w:p>
      <w:pPr>
        <w:spacing w:before="66" w:line="220" w:lineRule="auto"/>
        <w:ind w:left="10"/>
        <w:rPr>
          <w:rFonts w:ascii="仿宋" w:eastAsia="仿宋" w:hAnsi="仿宋" w:cs="仿宋"/>
          <w:sz w:val="20"/>
          <w:szCs w:val="20"/>
        </w:rPr>
      </w:pPr>
      <w:r>
        <w:rPr>
          <w:rFonts w:ascii="仿宋" w:eastAsia="仿宋" w:hAnsi="仿宋" w:cs="仿宋"/>
          <w:spacing w:val="22"/>
          <w:sz w:val="20"/>
          <w:szCs w:val="20"/>
        </w:rPr>
        <w:t>盈利预测的编制基础、假设和编制说明</w:t>
      </w:r>
    </w:p>
    <w:p>
      <w:pPr>
        <w:spacing w:before="42" w:line="221" w:lineRule="auto"/>
        <w:ind w:left="10"/>
        <w:rPr>
          <w:rFonts w:ascii="仿宋" w:eastAsia="仿宋" w:hAnsi="仿宋" w:cs="仿宋"/>
          <w:sz w:val="20"/>
          <w:szCs w:val="20"/>
        </w:rPr>
      </w:pPr>
      <w:r>
        <w:rPr>
          <w:rFonts w:ascii="仿宋" w:eastAsia="仿宋" w:hAnsi="仿宋" w:cs="仿宋"/>
          <w:spacing w:val="29"/>
          <w:sz w:val="20"/>
          <w:szCs w:val="20"/>
        </w:rPr>
        <w:t>2023年度(除特别注明外，金额单位为人民币万</w:t>
      </w:r>
      <w:r>
        <w:rPr>
          <w:rFonts w:ascii="仿宋" w:eastAsia="仿宋" w:hAnsi="仿宋" w:cs="仿宋"/>
          <w:spacing w:val="28"/>
          <w:sz w:val="20"/>
          <w:szCs w:val="20"/>
        </w:rPr>
        <w:t>元)</w:t>
      </w:r>
    </w:p>
    <w:p>
      <w:pPr>
        <w:spacing w:line="35" w:lineRule="exact"/>
      </w:pPr>
    </w:p>
    <w:tbl>
      <w:tblPr>
        <w:tblStyle w:val="TableNormal04"/>
        <w:tblW w:w="9020" w:type="dxa"/>
        <w:tblInd w:w="0" w:type="dxa"/>
        <w:tblBorders>
          <w:top w:val="nil"/>
          <w:left w:val="nil"/>
          <w:bottom w:val="nil"/>
          <w:right w:val="nil"/>
          <w:insideH w:val="nil"/>
          <w:insideV w:val="nil"/>
        </w:tblBorders>
        <w:tblLayout w:type="fixed"/>
        <w:tblCellMar>
          <w:top w:w="0" w:type="dxa"/>
          <w:left w:w="0" w:type="dxa"/>
          <w:bottom w:w="0" w:type="dxa"/>
          <w:right w:w="0" w:type="dxa"/>
        </w:tblCellMar>
      </w:tblPr>
      <w:tblGrid>
        <w:gridCol w:w="9020"/>
      </w:tblGrid>
      <w:tr>
        <w:tblPrEx>
          <w:tblW w:w="9020" w:type="dxa"/>
          <w:tblInd w:w="0" w:type="dxa"/>
          <w:tblBorders>
            <w:top w:val="nil"/>
            <w:left w:val="nil"/>
            <w:bottom w:val="nil"/>
            <w:right w:val="nil"/>
            <w:insideH w:val="nil"/>
            <w:insideV w:val="nil"/>
          </w:tblBorders>
          <w:tblLayout w:type="fixed"/>
          <w:tblCellMar>
            <w:top w:w="0" w:type="dxa"/>
            <w:left w:w="0" w:type="dxa"/>
            <w:bottom w:w="0" w:type="dxa"/>
            <w:right w:w="0" w:type="dxa"/>
          </w:tblCellMar>
        </w:tblPrEx>
        <w:trPr>
          <w:trHeight w:val="7497"/>
        </w:trPr>
        <w:tc>
          <w:tcPr>
            <w:tcW w:w="9020" w:type="dxa"/>
            <w:tcBorders>
              <w:top w:val="single" w:sz="6" w:space="0" w:color="000000"/>
            </w:tcBorders>
            <w:vAlign w:val="top"/>
          </w:tcPr>
          <w:p>
            <w:pPr>
              <w:spacing w:before="283" w:line="229" w:lineRule="auto"/>
              <w:ind w:left="420" w:right="116"/>
              <w:jc w:val="both"/>
              <w:rPr>
                <w:rFonts w:ascii="仿宋" w:eastAsia="仿宋" w:hAnsi="仿宋" w:cs="仿宋"/>
                <w:sz w:val="23"/>
                <w:szCs w:val="23"/>
              </w:rPr>
            </w:pPr>
            <w:r>
              <w:rPr>
                <w:rFonts w:ascii="仿宋" w:eastAsia="仿宋" w:hAnsi="仿宋" w:cs="仿宋"/>
                <w:spacing w:val="-8"/>
                <w:sz w:val="23"/>
                <w:szCs w:val="23"/>
              </w:rPr>
              <w:t>截至2015年8月19日止，公司收到新兴亚洲投资有限公司第十二次缴纳注册资本1,8</w:t>
            </w:r>
            <w:r>
              <w:rPr>
                <w:rFonts w:ascii="仿宋" w:eastAsia="仿宋" w:hAnsi="仿宋" w:cs="仿宋"/>
                <w:spacing w:val="-9"/>
                <w:sz w:val="23"/>
                <w:szCs w:val="23"/>
              </w:rPr>
              <w:t>89.41</w:t>
            </w:r>
            <w:r>
              <w:rPr>
                <w:rFonts w:ascii="仿宋" w:eastAsia="仿宋" w:hAnsi="仿宋" w:cs="仿宋"/>
                <w:sz w:val="23"/>
                <w:szCs w:val="23"/>
              </w:rPr>
              <w:t xml:space="preserve"> </w:t>
            </w:r>
            <w:r>
              <w:rPr>
                <w:rFonts w:ascii="仿宋" w:eastAsia="仿宋" w:hAnsi="仿宋" w:cs="仿宋"/>
                <w:spacing w:val="-7"/>
                <w:sz w:val="23"/>
                <w:szCs w:val="23"/>
              </w:rPr>
              <w:t>万港币，折合人民币1,522.86万元，此次出资由惠州荣德会计师事务所出具惠荣会外验</w:t>
            </w:r>
            <w:r>
              <w:rPr>
                <w:rFonts w:ascii="仿宋" w:eastAsia="仿宋" w:hAnsi="仿宋" w:cs="仿宋"/>
                <w:spacing w:val="6"/>
                <w:sz w:val="23"/>
                <w:szCs w:val="23"/>
              </w:rPr>
              <w:t xml:space="preserve"> </w:t>
            </w:r>
            <w:r>
              <w:rPr>
                <w:rFonts w:ascii="仿宋" w:eastAsia="仿宋" w:hAnsi="仿宋" w:cs="仿宋"/>
                <w:spacing w:val="-7"/>
                <w:sz w:val="23"/>
                <w:szCs w:val="23"/>
              </w:rPr>
              <w:t>字【2015】043号《验资报告》予以验证。</w:t>
            </w:r>
          </w:p>
          <w:p>
            <w:pPr>
              <w:spacing w:before="242" w:line="222" w:lineRule="auto"/>
              <w:ind w:left="420"/>
              <w:rPr>
                <w:rFonts w:ascii="仿宋" w:eastAsia="仿宋" w:hAnsi="仿宋" w:cs="仿宋"/>
                <w:sz w:val="20"/>
                <w:szCs w:val="20"/>
              </w:rPr>
            </w:pPr>
            <w:r>
              <w:rPr>
                <w:rFonts w:ascii="仿宋" w:eastAsia="仿宋" w:hAnsi="仿宋" w:cs="仿宋"/>
                <w:spacing w:val="18"/>
                <w:sz w:val="20"/>
                <w:szCs w:val="20"/>
              </w:rPr>
              <w:t>本次出资完成后，股东及出资情况如下：</w:t>
            </w:r>
          </w:p>
          <w:p>
            <w:pPr>
              <w:spacing w:line="192" w:lineRule="exact"/>
            </w:pPr>
          </w:p>
          <w:tbl>
            <w:tblPr>
              <w:tblStyle w:val="TableNormal04"/>
              <w:tblW w:w="8679" w:type="dxa"/>
              <w:tblInd w:w="340" w:type="dxa"/>
              <w:tblBorders>
                <w:top w:val="nil"/>
                <w:left w:val="nil"/>
                <w:bottom w:val="nil"/>
                <w:right w:val="nil"/>
                <w:insideH w:val="nil"/>
                <w:insideV w:val="nil"/>
              </w:tblBorders>
              <w:tblLayout w:type="fixed"/>
              <w:tblCellMar>
                <w:top w:w="0" w:type="dxa"/>
                <w:left w:w="0" w:type="dxa"/>
                <w:bottom w:w="0" w:type="dxa"/>
                <w:right w:w="0" w:type="dxa"/>
              </w:tblCellMar>
            </w:tblPr>
            <w:tblGrid>
              <w:gridCol w:w="2751"/>
              <w:gridCol w:w="2404"/>
              <w:gridCol w:w="1965"/>
              <w:gridCol w:w="1559"/>
            </w:tblGrid>
            <w:tr>
              <w:tblPrEx>
                <w:tblW w:w="8679" w:type="dxa"/>
                <w:tblInd w:w="340" w:type="dxa"/>
                <w:tblBorders>
                  <w:top w:val="nil"/>
                  <w:left w:val="nil"/>
                  <w:bottom w:val="nil"/>
                  <w:right w:val="nil"/>
                  <w:insideH w:val="nil"/>
                  <w:insideV w:val="nil"/>
                </w:tblBorders>
                <w:tblLayout w:type="fixed"/>
                <w:tblCellMar>
                  <w:top w:w="0" w:type="dxa"/>
                  <w:left w:w="0" w:type="dxa"/>
                  <w:bottom w:w="0" w:type="dxa"/>
                  <w:right w:w="0" w:type="dxa"/>
                </w:tblCellMar>
              </w:tblPrEx>
              <w:trPr>
                <w:trHeight w:val="240"/>
              </w:trPr>
              <w:tc>
                <w:tcPr>
                  <w:tcW w:w="2751" w:type="dxa"/>
                  <w:tcBorders>
                    <w:top w:val="single" w:sz="8" w:space="0" w:color="000000"/>
                    <w:bottom w:val="single" w:sz="4" w:space="0" w:color="000000"/>
                  </w:tcBorders>
                  <w:vAlign w:val="top"/>
                </w:tcPr>
                <w:p>
                  <w:pPr>
                    <w:spacing w:before="42" w:line="173" w:lineRule="auto"/>
                    <w:ind w:left="82"/>
                    <w:rPr>
                      <w:rFonts w:ascii="仿宋" w:eastAsia="仿宋" w:hAnsi="仿宋" w:cs="仿宋"/>
                      <w:sz w:val="20"/>
                      <w:szCs w:val="20"/>
                    </w:rPr>
                  </w:pPr>
                  <w:r>
                    <w:rPr>
                      <w:rFonts w:ascii="仿宋" w:eastAsia="仿宋" w:hAnsi="仿宋" w:cs="仿宋"/>
                      <w:b/>
                      <w:bCs/>
                      <w:spacing w:val="-5"/>
                      <w:sz w:val="20"/>
                      <w:szCs w:val="20"/>
                    </w:rPr>
                    <w:t>股东名称</w:t>
                  </w:r>
                </w:p>
              </w:tc>
              <w:tc>
                <w:tcPr>
                  <w:tcW w:w="2404" w:type="dxa"/>
                  <w:tcBorders>
                    <w:top w:val="single" w:sz="8" w:space="0" w:color="000000"/>
                    <w:bottom w:val="single" w:sz="4" w:space="0" w:color="000000"/>
                  </w:tcBorders>
                  <w:vAlign w:val="top"/>
                </w:tcPr>
                <w:p>
                  <w:pPr>
                    <w:spacing w:before="44" w:line="171" w:lineRule="auto"/>
                    <w:ind w:left="741"/>
                    <w:rPr>
                      <w:rFonts w:ascii="仿宋" w:eastAsia="仿宋" w:hAnsi="仿宋" w:cs="仿宋"/>
                      <w:sz w:val="20"/>
                      <w:szCs w:val="20"/>
                    </w:rPr>
                  </w:pPr>
                  <w:r>
                    <w:rPr>
                      <w:rFonts w:ascii="仿宋" w:eastAsia="仿宋" w:hAnsi="仿宋" w:cs="仿宋"/>
                      <w:b/>
                      <w:bCs/>
                      <w:spacing w:val="-20"/>
                      <w:sz w:val="20"/>
                      <w:szCs w:val="20"/>
                    </w:rPr>
                    <w:t>认</w:t>
                  </w:r>
                  <w:r>
                    <w:rPr>
                      <w:rFonts w:ascii="仿宋" w:eastAsia="仿宋" w:hAnsi="仿宋" w:cs="仿宋"/>
                      <w:spacing w:val="18"/>
                      <w:sz w:val="20"/>
                      <w:szCs w:val="20"/>
                    </w:rPr>
                    <w:t xml:space="preserve"> </w:t>
                  </w:r>
                  <w:r>
                    <w:rPr>
                      <w:rFonts w:ascii="仿宋" w:eastAsia="仿宋" w:hAnsi="仿宋" w:cs="仿宋"/>
                      <w:b/>
                      <w:bCs/>
                      <w:spacing w:val="-20"/>
                      <w:sz w:val="20"/>
                      <w:szCs w:val="20"/>
                    </w:rPr>
                    <w:t>缴</w:t>
                  </w:r>
                  <w:r>
                    <w:rPr>
                      <w:rFonts w:ascii="仿宋" w:eastAsia="仿宋" w:hAnsi="仿宋" w:cs="仿宋"/>
                      <w:spacing w:val="34"/>
                      <w:sz w:val="20"/>
                      <w:szCs w:val="20"/>
                    </w:rPr>
                    <w:t xml:space="preserve"> </w:t>
                  </w:r>
                  <w:r>
                    <w:rPr>
                      <w:rFonts w:ascii="仿宋" w:eastAsia="仿宋" w:hAnsi="仿宋" w:cs="仿宋"/>
                      <w:b/>
                      <w:bCs/>
                      <w:spacing w:val="-20"/>
                      <w:sz w:val="20"/>
                      <w:szCs w:val="20"/>
                    </w:rPr>
                    <w:t>出</w:t>
                  </w:r>
                  <w:r>
                    <w:rPr>
                      <w:rFonts w:ascii="仿宋" w:eastAsia="仿宋" w:hAnsi="仿宋" w:cs="仿宋"/>
                      <w:spacing w:val="24"/>
                      <w:sz w:val="20"/>
                      <w:szCs w:val="20"/>
                    </w:rPr>
                    <w:t xml:space="preserve"> </w:t>
                  </w:r>
                  <w:r>
                    <w:rPr>
                      <w:rFonts w:ascii="仿宋" w:eastAsia="仿宋" w:hAnsi="仿宋" w:cs="仿宋"/>
                      <w:b/>
                      <w:bCs/>
                      <w:spacing w:val="-20"/>
                      <w:sz w:val="20"/>
                      <w:szCs w:val="20"/>
                    </w:rPr>
                    <w:t>资</w:t>
                  </w:r>
                  <w:r>
                    <w:rPr>
                      <w:rFonts w:ascii="仿宋" w:eastAsia="仿宋" w:hAnsi="仿宋" w:cs="仿宋"/>
                      <w:spacing w:val="13"/>
                      <w:sz w:val="20"/>
                      <w:szCs w:val="20"/>
                    </w:rPr>
                    <w:t xml:space="preserve"> </w:t>
                  </w:r>
                  <w:r>
                    <w:rPr>
                      <w:rFonts w:ascii="仿宋" w:eastAsia="仿宋" w:hAnsi="仿宋" w:cs="仿宋"/>
                      <w:b/>
                      <w:bCs/>
                      <w:spacing w:val="-20"/>
                      <w:sz w:val="20"/>
                      <w:szCs w:val="20"/>
                    </w:rPr>
                    <w:t>额</w:t>
                  </w:r>
                </w:p>
              </w:tc>
              <w:tc>
                <w:tcPr>
                  <w:tcW w:w="1965" w:type="dxa"/>
                  <w:tcBorders>
                    <w:top w:val="single" w:sz="8" w:space="0" w:color="000000"/>
                    <w:bottom w:val="single" w:sz="4" w:space="0" w:color="000000"/>
                  </w:tcBorders>
                  <w:vAlign w:val="top"/>
                </w:tcPr>
                <w:p>
                  <w:pPr>
                    <w:spacing w:before="34" w:line="172" w:lineRule="auto"/>
                    <w:ind w:left="266"/>
                    <w:rPr>
                      <w:rFonts w:ascii="仿宋" w:eastAsia="仿宋" w:hAnsi="仿宋" w:cs="仿宋"/>
                    </w:rPr>
                  </w:pPr>
                  <w:r>
                    <w:rPr>
                      <w:rFonts w:ascii="仿宋" w:eastAsia="仿宋" w:hAnsi="仿宋" w:cs="仿宋"/>
                      <w:b/>
                      <w:bCs/>
                      <w:spacing w:val="-18"/>
                      <w:sz w:val="21"/>
                      <w:szCs w:val="21"/>
                    </w:rPr>
                    <w:t>实</w:t>
                  </w:r>
                  <w:r>
                    <w:rPr>
                      <w:rFonts w:ascii="仿宋" w:eastAsia="仿宋" w:hAnsi="仿宋" w:cs="仿宋"/>
                      <w:spacing w:val="-18"/>
                      <w:sz w:val="21"/>
                      <w:szCs w:val="21"/>
                    </w:rPr>
                    <w:t xml:space="preserve"> </w:t>
                  </w:r>
                  <w:r>
                    <w:rPr>
                      <w:rFonts w:ascii="仿宋" w:eastAsia="仿宋" w:hAnsi="仿宋" w:cs="仿宋"/>
                      <w:b/>
                      <w:bCs/>
                      <w:spacing w:val="-18"/>
                      <w:sz w:val="21"/>
                      <w:szCs w:val="21"/>
                    </w:rPr>
                    <w:t>际</w:t>
                  </w:r>
                  <w:r>
                    <w:rPr>
                      <w:rFonts w:ascii="仿宋" w:eastAsia="仿宋" w:hAnsi="仿宋" w:cs="仿宋"/>
                      <w:spacing w:val="-18"/>
                      <w:sz w:val="21"/>
                      <w:szCs w:val="21"/>
                    </w:rPr>
                    <w:t xml:space="preserve"> </w:t>
                  </w:r>
                  <w:r>
                    <w:rPr>
                      <w:rFonts w:ascii="仿宋" w:eastAsia="仿宋" w:hAnsi="仿宋" w:cs="仿宋"/>
                      <w:b/>
                      <w:bCs/>
                      <w:spacing w:val="-18"/>
                      <w:sz w:val="21"/>
                      <w:szCs w:val="21"/>
                    </w:rPr>
                    <w:t>出</w:t>
                  </w:r>
                  <w:r>
                    <w:rPr>
                      <w:rFonts w:ascii="仿宋" w:eastAsia="仿宋" w:hAnsi="仿宋" w:cs="仿宋"/>
                      <w:spacing w:val="-18"/>
                      <w:sz w:val="21"/>
                      <w:szCs w:val="21"/>
                    </w:rPr>
                    <w:t xml:space="preserve"> </w:t>
                  </w:r>
                  <w:r>
                    <w:rPr>
                      <w:rFonts w:ascii="仿宋" w:eastAsia="仿宋" w:hAnsi="仿宋" w:cs="仿宋"/>
                      <w:b/>
                      <w:bCs/>
                      <w:spacing w:val="-18"/>
                      <w:sz w:val="21"/>
                      <w:szCs w:val="21"/>
                    </w:rPr>
                    <w:t>资</w:t>
                  </w:r>
                  <w:r>
                    <w:rPr>
                      <w:rFonts w:ascii="仿宋" w:eastAsia="仿宋" w:hAnsi="仿宋" w:cs="仿宋"/>
                      <w:spacing w:val="-18"/>
                      <w:sz w:val="21"/>
                      <w:szCs w:val="21"/>
                    </w:rPr>
                    <w:t xml:space="preserve"> </w:t>
                  </w:r>
                  <w:r>
                    <w:rPr>
                      <w:rFonts w:ascii="仿宋" w:eastAsia="仿宋" w:hAnsi="仿宋" w:cs="仿宋"/>
                      <w:b/>
                      <w:bCs/>
                      <w:spacing w:val="-18"/>
                      <w:sz w:val="21"/>
                      <w:szCs w:val="21"/>
                    </w:rPr>
                    <w:t>额</w:t>
                  </w:r>
                </w:p>
              </w:tc>
              <w:tc>
                <w:tcPr>
                  <w:tcW w:w="1559" w:type="dxa"/>
                  <w:tcBorders>
                    <w:top w:val="single" w:sz="8" w:space="0" w:color="000000"/>
                    <w:bottom w:val="single" w:sz="4" w:space="0" w:color="000000"/>
                  </w:tcBorders>
                  <w:vAlign w:val="top"/>
                </w:tcPr>
                <w:p>
                  <w:pPr>
                    <w:spacing w:before="54" w:line="162" w:lineRule="auto"/>
                    <w:ind w:left="402"/>
                    <w:rPr>
                      <w:rFonts w:ascii="仿宋" w:eastAsia="仿宋" w:hAnsi="仿宋" w:cs="仿宋"/>
                      <w:sz w:val="20"/>
                      <w:szCs w:val="20"/>
                    </w:rPr>
                  </w:pPr>
                  <w:r>
                    <w:rPr>
                      <w:rFonts w:ascii="仿宋" w:eastAsia="仿宋" w:hAnsi="仿宋" w:cs="仿宋"/>
                      <w:b/>
                      <w:bCs/>
                      <w:spacing w:val="-21"/>
                      <w:sz w:val="20"/>
                      <w:szCs w:val="20"/>
                    </w:rPr>
                    <w:t>出</w:t>
                  </w:r>
                  <w:r>
                    <w:rPr>
                      <w:rFonts w:ascii="仿宋" w:eastAsia="仿宋" w:hAnsi="仿宋" w:cs="仿宋"/>
                      <w:spacing w:val="13"/>
                      <w:sz w:val="20"/>
                      <w:szCs w:val="20"/>
                    </w:rPr>
                    <w:t xml:space="preserve"> </w:t>
                  </w:r>
                  <w:r>
                    <w:rPr>
                      <w:rFonts w:ascii="仿宋" w:eastAsia="仿宋" w:hAnsi="仿宋" w:cs="仿宋"/>
                      <w:b/>
                      <w:bCs/>
                      <w:spacing w:val="-21"/>
                      <w:sz w:val="20"/>
                      <w:szCs w:val="20"/>
                    </w:rPr>
                    <w:t>资</w:t>
                  </w:r>
                  <w:r>
                    <w:rPr>
                      <w:rFonts w:ascii="仿宋" w:eastAsia="仿宋" w:hAnsi="仿宋" w:cs="仿宋"/>
                      <w:spacing w:val="7"/>
                      <w:sz w:val="20"/>
                      <w:szCs w:val="20"/>
                    </w:rPr>
                    <w:t xml:space="preserve"> </w:t>
                  </w:r>
                  <w:r>
                    <w:rPr>
                      <w:rFonts w:ascii="仿宋" w:eastAsia="仿宋" w:hAnsi="仿宋" w:cs="仿宋"/>
                      <w:b/>
                      <w:bCs/>
                      <w:spacing w:val="-21"/>
                      <w:sz w:val="20"/>
                      <w:szCs w:val="20"/>
                    </w:rPr>
                    <w:t>方</w:t>
                  </w:r>
                  <w:r>
                    <w:rPr>
                      <w:rFonts w:ascii="仿宋" w:eastAsia="仿宋" w:hAnsi="仿宋" w:cs="仿宋"/>
                      <w:spacing w:val="7"/>
                      <w:sz w:val="20"/>
                      <w:szCs w:val="20"/>
                    </w:rPr>
                    <w:t xml:space="preserve"> </w:t>
                  </w:r>
                  <w:r>
                    <w:rPr>
                      <w:rFonts w:ascii="仿宋" w:eastAsia="仿宋" w:hAnsi="仿宋" w:cs="仿宋"/>
                      <w:b/>
                      <w:bCs/>
                      <w:spacing w:val="-21"/>
                      <w:sz w:val="20"/>
                      <w:szCs w:val="20"/>
                    </w:rPr>
                    <w:t>式</w:t>
                  </w:r>
                </w:p>
              </w:tc>
            </w:tr>
            <w:tr>
              <w:tblPrEx>
                <w:tblW w:w="8679" w:type="dxa"/>
                <w:tblInd w:w="340" w:type="dxa"/>
                <w:tblLayout w:type="fixed"/>
                <w:tblCellMar>
                  <w:top w:w="0" w:type="dxa"/>
                  <w:left w:w="0" w:type="dxa"/>
                  <w:bottom w:w="0" w:type="dxa"/>
                  <w:right w:w="0" w:type="dxa"/>
                </w:tblCellMar>
              </w:tblPrEx>
              <w:trPr>
                <w:trHeight w:val="400"/>
              </w:trPr>
              <w:tc>
                <w:tcPr>
                  <w:tcW w:w="2751" w:type="dxa"/>
                  <w:tcBorders>
                    <w:top w:val="single" w:sz="4" w:space="0" w:color="000000"/>
                    <w:bottom w:val="single" w:sz="2" w:space="0" w:color="000000"/>
                  </w:tcBorders>
                  <w:vAlign w:val="top"/>
                </w:tcPr>
                <w:p>
                  <w:pPr>
                    <w:spacing w:before="147" w:line="222" w:lineRule="auto"/>
                    <w:ind w:left="79"/>
                    <w:rPr>
                      <w:rFonts w:ascii="仿宋" w:eastAsia="仿宋" w:hAnsi="仿宋" w:cs="仿宋"/>
                      <w:sz w:val="20"/>
                      <w:szCs w:val="20"/>
                    </w:rPr>
                  </w:pPr>
                  <w:r>
                    <w:rPr>
                      <w:rFonts w:ascii="仿宋" w:eastAsia="仿宋" w:hAnsi="仿宋" w:cs="仿宋"/>
                      <w:spacing w:val="-4"/>
                      <w:sz w:val="20"/>
                      <w:szCs w:val="20"/>
                    </w:rPr>
                    <w:t>新兴亚洲投资有限公司</w:t>
                  </w:r>
                </w:p>
              </w:tc>
              <w:tc>
                <w:tcPr>
                  <w:tcW w:w="2404" w:type="dxa"/>
                  <w:tcBorders>
                    <w:top w:val="single" w:sz="4" w:space="0" w:color="000000"/>
                    <w:bottom w:val="single" w:sz="2" w:space="0" w:color="000000"/>
                  </w:tcBorders>
                  <w:vAlign w:val="top"/>
                </w:tcPr>
                <w:p>
                  <w:pPr>
                    <w:pStyle w:val="TableText"/>
                    <w:spacing w:before="156" w:line="183" w:lineRule="auto"/>
                    <w:ind w:left="1028"/>
                    <w:rPr>
                      <w:sz w:val="20"/>
                      <w:szCs w:val="20"/>
                    </w:rPr>
                  </w:pPr>
                  <w:r>
                    <w:rPr>
                      <w:spacing w:val="-19"/>
                      <w:sz w:val="20"/>
                      <w:szCs w:val="20"/>
                    </w:rPr>
                    <w:t>200,000,000.00</w:t>
                  </w:r>
                </w:p>
              </w:tc>
              <w:tc>
                <w:tcPr>
                  <w:tcW w:w="1965" w:type="dxa"/>
                  <w:tcBorders>
                    <w:top w:val="single" w:sz="4" w:space="0" w:color="000000"/>
                    <w:bottom w:val="single" w:sz="2" w:space="0" w:color="000000"/>
                  </w:tcBorders>
                  <w:vAlign w:val="top"/>
                </w:tcPr>
                <w:p>
                  <w:pPr>
                    <w:pStyle w:val="TableText"/>
                    <w:spacing w:before="145" w:line="184" w:lineRule="auto"/>
                    <w:ind w:left="454"/>
                    <w:rPr>
                      <w:sz w:val="20"/>
                      <w:szCs w:val="20"/>
                    </w:rPr>
                  </w:pPr>
                  <w:r>
                    <w:rPr>
                      <w:spacing w:val="-19"/>
                      <w:sz w:val="20"/>
                      <w:szCs w:val="20"/>
                    </w:rPr>
                    <w:t>192,874,368.94</w:t>
                  </w:r>
                </w:p>
              </w:tc>
              <w:tc>
                <w:tcPr>
                  <w:tcW w:w="1559" w:type="dxa"/>
                  <w:tcBorders>
                    <w:top w:val="single" w:sz="4" w:space="0" w:color="000000"/>
                    <w:bottom w:val="single" w:sz="2" w:space="0" w:color="000000"/>
                  </w:tcBorders>
                  <w:vAlign w:val="top"/>
                </w:tcPr>
                <w:p>
                  <w:pPr>
                    <w:spacing w:before="135" w:line="221" w:lineRule="auto"/>
                    <w:ind w:left="439"/>
                    <w:rPr>
                      <w:rFonts w:ascii="仿宋" w:eastAsia="仿宋" w:hAnsi="仿宋" w:cs="仿宋"/>
                      <w:sz w:val="20"/>
                      <w:szCs w:val="20"/>
                    </w:rPr>
                  </w:pPr>
                  <w:r>
                    <w:rPr>
                      <w:rFonts w:ascii="仿宋" w:eastAsia="仿宋" w:hAnsi="仿宋" w:cs="仿宋"/>
                      <w:spacing w:val="-3"/>
                      <w:sz w:val="20"/>
                      <w:szCs w:val="20"/>
                    </w:rPr>
                    <w:t>货币、实物</w:t>
                  </w:r>
                </w:p>
              </w:tc>
            </w:tr>
            <w:tr>
              <w:tblPrEx>
                <w:tblW w:w="8679" w:type="dxa"/>
                <w:tblInd w:w="340" w:type="dxa"/>
                <w:tblLayout w:type="fixed"/>
                <w:tblCellMar>
                  <w:top w:w="0" w:type="dxa"/>
                  <w:left w:w="0" w:type="dxa"/>
                  <w:bottom w:w="0" w:type="dxa"/>
                  <w:right w:w="0" w:type="dxa"/>
                </w:tblCellMar>
              </w:tblPrEx>
              <w:trPr>
                <w:trHeight w:val="1693"/>
              </w:trPr>
              <w:tc>
                <w:tcPr>
                  <w:tcW w:w="8679" w:type="dxa"/>
                  <w:gridSpan w:val="4"/>
                  <w:tcBorders>
                    <w:top w:val="single" w:sz="2" w:space="0" w:color="000000"/>
                    <w:bottom w:val="single" w:sz="2" w:space="0" w:color="000000"/>
                  </w:tcBorders>
                  <w:vAlign w:val="top"/>
                </w:tcPr>
                <w:p>
                  <w:pPr>
                    <w:spacing w:before="162" w:line="224" w:lineRule="auto"/>
                    <w:ind w:left="64" w:right="126" w:firstLine="15"/>
                    <w:jc w:val="both"/>
                    <w:rPr>
                      <w:rFonts w:ascii="仿宋" w:eastAsia="仿宋" w:hAnsi="仿宋" w:cs="仿宋"/>
                      <w:sz w:val="23"/>
                      <w:szCs w:val="23"/>
                    </w:rPr>
                  </w:pPr>
                  <w:r>
                    <w:rPr>
                      <w:rFonts w:ascii="仿宋" w:eastAsia="仿宋" w:hAnsi="仿宋" w:cs="仿宋"/>
                      <w:spacing w:val="5"/>
                      <w:sz w:val="23"/>
                      <w:szCs w:val="23"/>
                    </w:rPr>
                    <w:t>截至2015年8月27日止，公司收到新兴亚洲投资有限公</w:t>
                  </w:r>
                  <w:r>
                    <w:rPr>
                      <w:rFonts w:ascii="仿宋" w:eastAsia="仿宋" w:hAnsi="仿宋" w:cs="仿宋"/>
                      <w:spacing w:val="4"/>
                      <w:sz w:val="23"/>
                      <w:szCs w:val="23"/>
                    </w:rPr>
                    <w:t>司第十三次缴纳注册资本240</w:t>
                  </w:r>
                  <w:r>
                    <w:rPr>
                      <w:rFonts w:ascii="仿宋" w:eastAsia="仿宋" w:hAnsi="仿宋" w:cs="仿宋"/>
                      <w:sz w:val="23"/>
                      <w:szCs w:val="23"/>
                    </w:rPr>
                    <w:t xml:space="preserve"> </w:t>
                  </w:r>
                  <w:r>
                    <w:rPr>
                      <w:rFonts w:ascii="仿宋" w:eastAsia="仿宋" w:hAnsi="仿宋" w:cs="仿宋"/>
                      <w:spacing w:val="-6"/>
                      <w:sz w:val="23"/>
                      <w:szCs w:val="23"/>
                    </w:rPr>
                    <w:t>万港币，折合人民币198.43万元，此次出资由惠</w:t>
                  </w:r>
                  <w:r>
                    <w:rPr>
                      <w:rFonts w:ascii="仿宋" w:eastAsia="仿宋" w:hAnsi="仿宋" w:cs="仿宋"/>
                      <w:spacing w:val="-7"/>
                      <w:sz w:val="23"/>
                      <w:szCs w:val="23"/>
                    </w:rPr>
                    <w:t>州荣德会计师事务所出具惠荣会外验字</w:t>
                  </w:r>
                  <w:r>
                    <w:rPr>
                      <w:rFonts w:ascii="仿宋" w:eastAsia="仿宋" w:hAnsi="仿宋" w:cs="仿宋"/>
                      <w:sz w:val="23"/>
                      <w:szCs w:val="23"/>
                    </w:rPr>
                    <w:t xml:space="preserve"> </w:t>
                  </w:r>
                  <w:r>
                    <w:rPr>
                      <w:rFonts w:ascii="仿宋" w:eastAsia="仿宋" w:hAnsi="仿宋" w:cs="仿宋"/>
                      <w:spacing w:val="-7"/>
                      <w:sz w:val="23"/>
                      <w:szCs w:val="23"/>
                    </w:rPr>
                    <w:t>【2015】043号《验资报告》予以验证。</w:t>
                  </w:r>
                </w:p>
                <w:p>
                  <w:pPr>
                    <w:spacing w:before="282" w:line="222" w:lineRule="auto"/>
                    <w:ind w:left="79"/>
                    <w:rPr>
                      <w:rFonts w:ascii="仿宋" w:eastAsia="仿宋" w:hAnsi="仿宋" w:cs="仿宋"/>
                      <w:sz w:val="20"/>
                      <w:szCs w:val="20"/>
                    </w:rPr>
                  </w:pPr>
                  <w:r>
                    <w:rPr>
                      <w:rFonts w:ascii="仿宋" w:eastAsia="仿宋" w:hAnsi="仿宋" w:cs="仿宋"/>
                      <w:spacing w:val="18"/>
                      <w:sz w:val="20"/>
                      <w:szCs w:val="20"/>
                    </w:rPr>
                    <w:t>本次出资完成后，股东及出资情况如下：</w:t>
                  </w:r>
                </w:p>
              </w:tc>
            </w:tr>
            <w:tr>
              <w:tblPrEx>
                <w:tblW w:w="8679" w:type="dxa"/>
                <w:tblInd w:w="340" w:type="dxa"/>
                <w:tblLayout w:type="fixed"/>
                <w:tblCellMar>
                  <w:top w:w="0" w:type="dxa"/>
                  <w:left w:w="0" w:type="dxa"/>
                  <w:bottom w:w="0" w:type="dxa"/>
                  <w:right w:w="0" w:type="dxa"/>
                </w:tblCellMar>
              </w:tblPrEx>
              <w:trPr>
                <w:trHeight w:val="345"/>
              </w:trPr>
              <w:tc>
                <w:tcPr>
                  <w:tcW w:w="2751" w:type="dxa"/>
                  <w:tcBorders>
                    <w:top w:val="single" w:sz="2" w:space="0" w:color="000000"/>
                    <w:bottom w:val="single" w:sz="2" w:space="0" w:color="000000"/>
                  </w:tcBorders>
                  <w:vAlign w:val="top"/>
                </w:tcPr>
                <w:p>
                  <w:pPr>
                    <w:spacing w:before="69" w:line="221" w:lineRule="auto"/>
                    <w:ind w:left="82"/>
                    <w:rPr>
                      <w:rFonts w:ascii="仿宋" w:eastAsia="仿宋" w:hAnsi="仿宋" w:cs="仿宋"/>
                      <w:sz w:val="20"/>
                      <w:szCs w:val="20"/>
                    </w:rPr>
                  </w:pPr>
                  <w:r>
                    <w:rPr>
                      <w:rFonts w:ascii="仿宋" w:eastAsia="仿宋" w:hAnsi="仿宋" w:cs="仿宋"/>
                      <w:b/>
                      <w:bCs/>
                      <w:spacing w:val="-5"/>
                      <w:sz w:val="20"/>
                      <w:szCs w:val="20"/>
                    </w:rPr>
                    <w:t>股东名称</w:t>
                  </w:r>
                </w:p>
              </w:tc>
              <w:tc>
                <w:tcPr>
                  <w:tcW w:w="2404" w:type="dxa"/>
                  <w:tcBorders>
                    <w:top w:val="single" w:sz="2" w:space="0" w:color="000000"/>
                    <w:bottom w:val="single" w:sz="2" w:space="0" w:color="000000"/>
                  </w:tcBorders>
                  <w:vAlign w:val="top"/>
                </w:tcPr>
                <w:p>
                  <w:pPr>
                    <w:spacing w:before="94" w:line="222" w:lineRule="auto"/>
                    <w:ind w:left="1138"/>
                    <w:rPr>
                      <w:rFonts w:ascii="仿宋" w:eastAsia="仿宋" w:hAnsi="仿宋" w:cs="仿宋"/>
                      <w:sz w:val="20"/>
                      <w:szCs w:val="20"/>
                    </w:rPr>
                  </w:pPr>
                  <w:r>
                    <w:rPr>
                      <w:rFonts w:ascii="仿宋" w:eastAsia="仿宋" w:hAnsi="仿宋" w:cs="仿宋"/>
                      <w:spacing w:val="-3"/>
                      <w:sz w:val="20"/>
                      <w:szCs w:val="20"/>
                    </w:rPr>
                    <w:t>认缴出资额</w:t>
                  </w:r>
                </w:p>
              </w:tc>
              <w:tc>
                <w:tcPr>
                  <w:tcW w:w="1965" w:type="dxa"/>
                  <w:tcBorders>
                    <w:top w:val="single" w:sz="2" w:space="0" w:color="000000"/>
                    <w:bottom w:val="single" w:sz="2" w:space="0" w:color="000000"/>
                  </w:tcBorders>
                  <w:vAlign w:val="top"/>
                </w:tcPr>
                <w:p>
                  <w:pPr>
                    <w:spacing w:before="64" w:line="222" w:lineRule="auto"/>
                    <w:ind w:left="614"/>
                    <w:rPr>
                      <w:rFonts w:ascii="仿宋" w:eastAsia="仿宋" w:hAnsi="仿宋" w:cs="仿宋"/>
                      <w:sz w:val="20"/>
                      <w:szCs w:val="20"/>
                    </w:rPr>
                  </w:pPr>
                  <w:r>
                    <w:rPr>
                      <w:rFonts w:ascii="仿宋" w:eastAsia="仿宋" w:hAnsi="仿宋" w:cs="仿宋"/>
                      <w:spacing w:val="-3"/>
                      <w:sz w:val="20"/>
                      <w:szCs w:val="20"/>
                    </w:rPr>
                    <w:t>实际出资额</w:t>
                  </w:r>
                </w:p>
              </w:tc>
              <w:tc>
                <w:tcPr>
                  <w:tcW w:w="1559" w:type="dxa"/>
                  <w:tcBorders>
                    <w:top w:val="single" w:sz="2" w:space="0" w:color="000000"/>
                    <w:bottom w:val="single" w:sz="2" w:space="0" w:color="000000"/>
                  </w:tcBorders>
                  <w:vAlign w:val="top"/>
                </w:tcPr>
                <w:p>
                  <w:pPr>
                    <w:spacing w:before="91" w:line="223" w:lineRule="auto"/>
                    <w:ind w:left="672"/>
                    <w:rPr>
                      <w:rFonts w:ascii="仿宋" w:eastAsia="仿宋" w:hAnsi="仿宋" w:cs="仿宋"/>
                      <w:sz w:val="20"/>
                      <w:szCs w:val="20"/>
                    </w:rPr>
                  </w:pPr>
                  <w:r>
                    <w:rPr>
                      <w:rFonts w:ascii="仿宋" w:eastAsia="仿宋" w:hAnsi="仿宋" w:cs="仿宋"/>
                      <w:b/>
                      <w:bCs/>
                      <w:spacing w:val="-9"/>
                      <w:sz w:val="20"/>
                      <w:szCs w:val="20"/>
                    </w:rPr>
                    <w:t>出资方式</w:t>
                  </w:r>
                </w:p>
              </w:tc>
            </w:tr>
            <w:tr>
              <w:tblPrEx>
                <w:tblW w:w="8679" w:type="dxa"/>
                <w:tblInd w:w="340" w:type="dxa"/>
                <w:tblLayout w:type="fixed"/>
                <w:tblCellMar>
                  <w:top w:w="0" w:type="dxa"/>
                  <w:left w:w="0" w:type="dxa"/>
                  <w:bottom w:w="0" w:type="dxa"/>
                  <w:right w:w="0" w:type="dxa"/>
                </w:tblCellMar>
              </w:tblPrEx>
              <w:trPr>
                <w:trHeight w:val="325"/>
              </w:trPr>
              <w:tc>
                <w:tcPr>
                  <w:tcW w:w="2751" w:type="dxa"/>
                  <w:tcBorders>
                    <w:top w:val="single" w:sz="2" w:space="0" w:color="000000"/>
                    <w:bottom w:val="single" w:sz="2" w:space="0" w:color="000000"/>
                  </w:tcBorders>
                  <w:vAlign w:val="top"/>
                </w:tcPr>
                <w:p>
                  <w:pPr>
                    <w:spacing w:before="63" w:line="222" w:lineRule="auto"/>
                    <w:ind w:left="79"/>
                    <w:rPr>
                      <w:rFonts w:ascii="仿宋" w:eastAsia="仿宋" w:hAnsi="仿宋" w:cs="仿宋"/>
                      <w:sz w:val="20"/>
                      <w:szCs w:val="20"/>
                    </w:rPr>
                  </w:pPr>
                  <w:r>
                    <w:rPr>
                      <w:rFonts w:ascii="仿宋" w:eastAsia="仿宋" w:hAnsi="仿宋" w:cs="仿宋"/>
                      <w:spacing w:val="-4"/>
                      <w:sz w:val="20"/>
                      <w:szCs w:val="20"/>
                    </w:rPr>
                    <w:t>新兴亚洲投资有限公司</w:t>
                  </w:r>
                </w:p>
              </w:tc>
              <w:tc>
                <w:tcPr>
                  <w:tcW w:w="2404" w:type="dxa"/>
                  <w:tcBorders>
                    <w:top w:val="single" w:sz="2" w:space="0" w:color="000000"/>
                    <w:bottom w:val="single" w:sz="2" w:space="0" w:color="000000"/>
                  </w:tcBorders>
                  <w:vAlign w:val="top"/>
                </w:tcPr>
                <w:p>
                  <w:pPr>
                    <w:pStyle w:val="TableText"/>
                    <w:spacing w:before="93" w:line="183" w:lineRule="auto"/>
                    <w:ind w:left="1028"/>
                    <w:rPr>
                      <w:sz w:val="20"/>
                      <w:szCs w:val="20"/>
                    </w:rPr>
                  </w:pPr>
                  <w:r>
                    <w:rPr>
                      <w:spacing w:val="-19"/>
                      <w:sz w:val="20"/>
                      <w:szCs w:val="20"/>
                    </w:rPr>
                    <w:t>200,000,000.00</w:t>
                  </w:r>
                </w:p>
              </w:tc>
              <w:tc>
                <w:tcPr>
                  <w:tcW w:w="1965" w:type="dxa"/>
                  <w:tcBorders>
                    <w:top w:val="single" w:sz="2" w:space="0" w:color="000000"/>
                    <w:bottom w:val="single" w:sz="2" w:space="0" w:color="000000"/>
                  </w:tcBorders>
                  <w:vAlign w:val="top"/>
                </w:tcPr>
                <w:p>
                  <w:pPr>
                    <w:pStyle w:val="TableText"/>
                    <w:spacing w:before="92" w:line="184" w:lineRule="auto"/>
                    <w:ind w:left="454"/>
                    <w:rPr>
                      <w:sz w:val="20"/>
                      <w:szCs w:val="20"/>
                    </w:rPr>
                  </w:pPr>
                  <w:r>
                    <w:rPr>
                      <w:spacing w:val="-19"/>
                      <w:sz w:val="20"/>
                      <w:szCs w:val="20"/>
                    </w:rPr>
                    <w:t>194,858,664.94</w:t>
                  </w:r>
                </w:p>
              </w:tc>
              <w:tc>
                <w:tcPr>
                  <w:tcW w:w="1559" w:type="dxa"/>
                  <w:tcBorders>
                    <w:top w:val="single" w:sz="2" w:space="0" w:color="000000"/>
                    <w:bottom w:val="single" w:sz="2" w:space="0" w:color="000000"/>
                  </w:tcBorders>
                  <w:vAlign w:val="top"/>
                </w:tcPr>
                <w:p>
                  <w:pPr>
                    <w:spacing w:before="82" w:line="215" w:lineRule="auto"/>
                    <w:ind w:left="449"/>
                    <w:rPr>
                      <w:rFonts w:ascii="仿宋" w:eastAsia="仿宋" w:hAnsi="仿宋" w:cs="仿宋"/>
                      <w:sz w:val="20"/>
                      <w:szCs w:val="20"/>
                    </w:rPr>
                  </w:pPr>
                  <w:r>
                    <w:rPr>
                      <w:rFonts w:ascii="仿宋" w:eastAsia="仿宋" w:hAnsi="仿宋" w:cs="仿宋"/>
                      <w:spacing w:val="-3"/>
                      <w:sz w:val="20"/>
                      <w:szCs w:val="20"/>
                    </w:rPr>
                    <w:t>货币、实物</w:t>
                  </w:r>
                </w:p>
              </w:tc>
            </w:tr>
            <w:tr>
              <w:tblPrEx>
                <w:tblW w:w="8679" w:type="dxa"/>
                <w:tblInd w:w="340" w:type="dxa"/>
                <w:tblLayout w:type="fixed"/>
                <w:tblCellMar>
                  <w:top w:w="0" w:type="dxa"/>
                  <w:left w:w="0" w:type="dxa"/>
                  <w:bottom w:w="0" w:type="dxa"/>
                  <w:right w:w="0" w:type="dxa"/>
                </w:tblCellMar>
              </w:tblPrEx>
              <w:trPr>
                <w:trHeight w:val="2252"/>
              </w:trPr>
              <w:tc>
                <w:tcPr>
                  <w:tcW w:w="8679" w:type="dxa"/>
                  <w:gridSpan w:val="4"/>
                  <w:tcBorders>
                    <w:top w:val="single" w:sz="2" w:space="0" w:color="000000"/>
                    <w:bottom w:val="single" w:sz="4" w:space="0" w:color="000000"/>
                  </w:tcBorders>
                  <w:vAlign w:val="top"/>
                </w:tcPr>
                <w:p>
                  <w:pPr>
                    <w:spacing w:before="183" w:line="266" w:lineRule="auto"/>
                    <w:ind w:left="79" w:right="125"/>
                    <w:jc w:val="both"/>
                    <w:rPr>
                      <w:rFonts w:ascii="仿宋" w:eastAsia="仿宋" w:hAnsi="仿宋" w:cs="仿宋"/>
                      <w:sz w:val="20"/>
                      <w:szCs w:val="20"/>
                    </w:rPr>
                  </w:pPr>
                  <w:r>
                    <w:rPr>
                      <w:rFonts w:ascii="仿宋" w:eastAsia="仿宋" w:hAnsi="仿宋" w:cs="仿宋"/>
                      <w:spacing w:val="22"/>
                      <w:sz w:val="20"/>
                      <w:szCs w:val="20"/>
                    </w:rPr>
                    <w:t>截至2015年11月3日止，公司收到新兴亚洲投资有限公司第十四次缴纳注册资本625.54</w:t>
                  </w:r>
                  <w:r>
                    <w:rPr>
                      <w:rFonts w:ascii="仿宋" w:eastAsia="仿宋" w:hAnsi="仿宋" w:cs="仿宋"/>
                      <w:sz w:val="20"/>
                      <w:szCs w:val="20"/>
                    </w:rPr>
                    <w:t xml:space="preserve"> </w:t>
                  </w:r>
                  <w:r>
                    <w:rPr>
                      <w:rFonts w:ascii="仿宋" w:eastAsia="仿宋" w:hAnsi="仿宋" w:cs="仿宋"/>
                      <w:spacing w:val="21"/>
                      <w:sz w:val="20"/>
                      <w:szCs w:val="20"/>
                    </w:rPr>
                    <w:t>万港币，折合人民币512.28万元，以货币出资，此次出资将国家外汇管理局应用服务平</w:t>
                  </w:r>
                  <w:r>
                    <w:rPr>
                      <w:rFonts w:ascii="仿宋" w:eastAsia="仿宋" w:hAnsi="仿宋" w:cs="仿宋"/>
                      <w:spacing w:val="11"/>
                      <w:sz w:val="20"/>
                      <w:szCs w:val="20"/>
                    </w:rPr>
                    <w:t xml:space="preserve"> </w:t>
                  </w:r>
                  <w:r>
                    <w:rPr>
                      <w:rFonts w:ascii="仿宋" w:eastAsia="仿宋" w:hAnsi="仿宋" w:cs="仿宋"/>
                      <w:spacing w:val="21"/>
                      <w:sz w:val="20"/>
                      <w:szCs w:val="20"/>
                    </w:rPr>
                    <w:t>台中“存量权益登记表”显示的外方实缴注册资本累计差额1.8743</w:t>
                  </w:r>
                  <w:r>
                    <w:rPr>
                      <w:rFonts w:ascii="仿宋" w:eastAsia="仿宋" w:hAnsi="仿宋" w:cs="仿宋"/>
                      <w:spacing w:val="20"/>
                      <w:sz w:val="20"/>
                      <w:szCs w:val="20"/>
                    </w:rPr>
                    <w:t>万元由惠州荣德会计</w:t>
                  </w:r>
                  <w:r>
                    <w:rPr>
                      <w:rFonts w:ascii="仿宋" w:eastAsia="仿宋" w:hAnsi="仿宋" w:cs="仿宋"/>
                      <w:sz w:val="20"/>
                      <w:szCs w:val="20"/>
                    </w:rPr>
                    <w:t xml:space="preserve"> </w:t>
                  </w:r>
                  <w:r>
                    <w:rPr>
                      <w:rFonts w:ascii="仿宋" w:eastAsia="仿宋" w:hAnsi="仿宋" w:cs="仿宋"/>
                      <w:spacing w:val="9"/>
                      <w:sz w:val="20"/>
                      <w:szCs w:val="20"/>
                    </w:rPr>
                    <w:t>师事务所出具惠荣会外验字【2015】058号《验资报告》</w:t>
                  </w:r>
                  <w:r>
                    <w:rPr>
                      <w:rFonts w:ascii="仿宋" w:eastAsia="仿宋" w:hAnsi="仿宋" w:cs="仿宋"/>
                      <w:spacing w:val="56"/>
                      <w:sz w:val="20"/>
                      <w:szCs w:val="20"/>
                    </w:rPr>
                    <w:t xml:space="preserve"> </w:t>
                  </w:r>
                  <w:r>
                    <w:rPr>
                      <w:rFonts w:ascii="仿宋" w:eastAsia="仿宋" w:hAnsi="仿宋" w:cs="仿宋"/>
                      <w:spacing w:val="9"/>
                      <w:sz w:val="20"/>
                      <w:szCs w:val="20"/>
                    </w:rPr>
                    <w:t>一起予以验证，差额人民币245.06</w:t>
                  </w:r>
                  <w:r>
                    <w:rPr>
                      <w:rFonts w:ascii="仿宋" w:eastAsia="仿宋" w:hAnsi="仿宋" w:cs="仿宋"/>
                      <w:sz w:val="20"/>
                      <w:szCs w:val="20"/>
                    </w:rPr>
                    <w:t xml:space="preserve"> </w:t>
                  </w:r>
                  <w:r>
                    <w:rPr>
                      <w:rFonts w:ascii="仿宋" w:eastAsia="仿宋" w:hAnsi="仿宋" w:cs="仿宋"/>
                      <w:spacing w:val="11"/>
                      <w:sz w:val="20"/>
                      <w:szCs w:val="20"/>
                    </w:rPr>
                    <w:t>元计入资本公积。</w:t>
                  </w:r>
                </w:p>
                <w:p>
                  <w:pPr>
                    <w:spacing w:before="249" w:line="222" w:lineRule="auto"/>
                    <w:ind w:left="79"/>
                    <w:rPr>
                      <w:rFonts w:ascii="仿宋" w:eastAsia="仿宋" w:hAnsi="仿宋" w:cs="仿宋"/>
                      <w:sz w:val="20"/>
                      <w:szCs w:val="20"/>
                    </w:rPr>
                  </w:pPr>
                  <w:r>
                    <w:rPr>
                      <w:rFonts w:ascii="仿宋" w:eastAsia="仿宋" w:hAnsi="仿宋" w:cs="仿宋"/>
                      <w:spacing w:val="18"/>
                      <w:sz w:val="20"/>
                      <w:szCs w:val="20"/>
                    </w:rPr>
                    <w:t>本次出资完成后，股东及出资情况如下：</w:t>
                  </w:r>
                </w:p>
              </w:tc>
            </w:tr>
          </w:tbl>
          <w:p>
            <w:pPr>
              <w:pStyle w:val="TableText"/>
              <w:spacing w:before="109" w:line="229" w:lineRule="auto"/>
              <w:ind w:left="462"/>
              <w:rPr>
                <w:sz w:val="19"/>
                <w:szCs w:val="19"/>
              </w:rPr>
            </w:pPr>
            <w:r>
              <w:rPr>
                <w:b/>
                <w:bCs/>
                <w:spacing w:val="-2"/>
                <w:sz w:val="19"/>
                <w:szCs w:val="19"/>
              </w:rPr>
              <w:t>股东名称</w:t>
            </w:r>
            <w:r>
              <w:rPr>
                <w:spacing w:val="2"/>
                <w:sz w:val="19"/>
                <w:szCs w:val="19"/>
              </w:rPr>
              <w:t xml:space="preserve">                                </w:t>
            </w:r>
            <w:r>
              <w:rPr>
                <w:b/>
                <w:bCs/>
                <w:spacing w:val="-2"/>
                <w:sz w:val="19"/>
                <w:szCs w:val="19"/>
              </w:rPr>
              <w:t>认缴出资额</w:t>
            </w:r>
            <w:r>
              <w:rPr>
                <w:spacing w:val="8"/>
                <w:sz w:val="19"/>
                <w:szCs w:val="19"/>
              </w:rPr>
              <w:t xml:space="preserve">        </w:t>
            </w:r>
            <w:r>
              <w:rPr>
                <w:b/>
                <w:bCs/>
                <w:spacing w:val="-2"/>
                <w:sz w:val="19"/>
                <w:szCs w:val="19"/>
              </w:rPr>
              <w:t>实际出资额</w:t>
            </w:r>
            <w:r>
              <w:rPr>
                <w:spacing w:val="-2"/>
                <w:sz w:val="19"/>
                <w:szCs w:val="19"/>
              </w:rPr>
              <w:t xml:space="preserve">            </w:t>
            </w:r>
            <w:r>
              <w:rPr>
                <w:b/>
                <w:bCs/>
                <w:spacing w:val="-2"/>
                <w:sz w:val="19"/>
                <w:szCs w:val="19"/>
              </w:rPr>
              <w:t>出资方式</w:t>
            </w:r>
          </w:p>
        </w:tc>
      </w:tr>
      <w:tr>
        <w:tblPrEx>
          <w:tblW w:w="9020" w:type="dxa"/>
          <w:tblInd w:w="0" w:type="dxa"/>
          <w:tblLayout w:type="fixed"/>
          <w:tblCellMar>
            <w:top w:w="0" w:type="dxa"/>
            <w:left w:w="0" w:type="dxa"/>
            <w:bottom w:w="0" w:type="dxa"/>
            <w:right w:w="0" w:type="dxa"/>
          </w:tblCellMar>
        </w:tblPrEx>
        <w:trPr>
          <w:trHeight w:val="2723"/>
        </w:trPr>
        <w:tc>
          <w:tcPr>
            <w:tcW w:w="9020" w:type="dxa"/>
            <w:tcBorders>
              <w:bottom w:val="single" w:sz="4" w:space="0" w:color="000000"/>
            </w:tcBorders>
            <w:vAlign w:val="top"/>
          </w:tcPr>
          <w:p>
            <w:pPr>
              <w:pStyle w:val="TableText"/>
              <w:spacing w:before="75" w:line="219" w:lineRule="auto"/>
              <w:ind w:left="460"/>
              <w:rPr>
                <w:sz w:val="19"/>
                <w:szCs w:val="19"/>
              </w:rPr>
            </w:pPr>
            <w:r>
              <w:rPr>
                <w:spacing w:val="1"/>
                <w:sz w:val="19"/>
                <w:szCs w:val="19"/>
              </w:rPr>
              <w:t>新兴亚洲投资有限公司                200,000,000.00</w:t>
            </w:r>
            <w:r>
              <w:rPr>
                <w:spacing w:val="9"/>
                <w:sz w:val="19"/>
                <w:szCs w:val="19"/>
              </w:rPr>
              <w:t xml:space="preserve">      </w:t>
            </w:r>
            <w:r>
              <w:rPr>
                <w:spacing w:val="1"/>
                <w:sz w:val="19"/>
                <w:szCs w:val="19"/>
              </w:rPr>
              <w:t xml:space="preserve">200,000,000.00     </w:t>
            </w:r>
            <w:r>
              <w:rPr>
                <w:sz w:val="19"/>
                <w:szCs w:val="19"/>
              </w:rPr>
              <w:t xml:space="preserve">   </w:t>
            </w:r>
            <w:r>
              <w:rPr>
                <w:position w:val="1"/>
                <w:sz w:val="19"/>
                <w:szCs w:val="19"/>
              </w:rPr>
              <w:t>货币、实物</w:t>
            </w:r>
          </w:p>
          <w:p>
            <w:pPr>
              <w:spacing w:line="32" w:lineRule="exact"/>
            </w:pPr>
          </w:p>
          <w:tbl>
            <w:tblPr>
              <w:tblStyle w:val="TableNormal04"/>
              <w:tblW w:w="8679" w:type="dxa"/>
              <w:tblInd w:w="340" w:type="dxa"/>
              <w:tblBorders>
                <w:top w:val="nil"/>
                <w:left w:val="nil"/>
                <w:bottom w:val="nil"/>
                <w:right w:val="nil"/>
                <w:insideH w:val="nil"/>
                <w:insideV w:val="nil"/>
              </w:tblBorders>
              <w:tblLayout w:type="fixed"/>
              <w:tblCellMar>
                <w:top w:w="0" w:type="dxa"/>
                <w:left w:w="0" w:type="dxa"/>
                <w:bottom w:w="0" w:type="dxa"/>
                <w:right w:w="0" w:type="dxa"/>
              </w:tblCellMar>
            </w:tblPr>
            <w:tblGrid>
              <w:gridCol w:w="2429"/>
              <w:gridCol w:w="2926"/>
              <w:gridCol w:w="1907"/>
              <w:gridCol w:w="1417"/>
            </w:tblGrid>
            <w:tr>
              <w:tblPrEx>
                <w:tblW w:w="8679" w:type="dxa"/>
                <w:tblInd w:w="340" w:type="dxa"/>
                <w:tblBorders>
                  <w:top w:val="nil"/>
                  <w:left w:val="nil"/>
                  <w:bottom w:val="nil"/>
                  <w:right w:val="nil"/>
                  <w:insideH w:val="nil"/>
                  <w:insideV w:val="nil"/>
                </w:tblBorders>
                <w:tblLayout w:type="fixed"/>
                <w:tblCellMar>
                  <w:top w:w="0" w:type="dxa"/>
                  <w:left w:w="0" w:type="dxa"/>
                  <w:bottom w:w="0" w:type="dxa"/>
                  <w:right w:w="0" w:type="dxa"/>
                </w:tblCellMar>
              </w:tblPrEx>
              <w:trPr>
                <w:trHeight w:val="1636"/>
              </w:trPr>
              <w:tc>
                <w:tcPr>
                  <w:tcW w:w="8679" w:type="dxa"/>
                  <w:gridSpan w:val="4"/>
                  <w:tcBorders>
                    <w:top w:val="single" w:sz="4" w:space="0" w:color="000000"/>
                    <w:bottom w:val="single" w:sz="4" w:space="0" w:color="000000"/>
                  </w:tcBorders>
                  <w:vAlign w:val="top"/>
                </w:tcPr>
                <w:p>
                  <w:pPr>
                    <w:spacing w:before="161" w:line="247" w:lineRule="auto"/>
                    <w:ind w:left="79" w:right="101"/>
                    <w:jc w:val="both"/>
                    <w:rPr>
                      <w:rFonts w:ascii="仿宋" w:eastAsia="仿宋" w:hAnsi="仿宋" w:cs="仿宋"/>
                      <w:sz w:val="20"/>
                      <w:szCs w:val="20"/>
                    </w:rPr>
                  </w:pPr>
                  <w:r>
                    <w:rPr>
                      <w:rFonts w:ascii="仿宋" w:eastAsia="仿宋" w:hAnsi="仿宋" w:cs="仿宋"/>
                      <w:spacing w:val="-8"/>
                      <w:sz w:val="23"/>
                      <w:szCs w:val="23"/>
                    </w:rPr>
                    <w:t>2016年1月21日，经股东会决议，同意公司注册资本减少12,000万元人民币，实收资本减</w:t>
                  </w:r>
                  <w:r>
                    <w:rPr>
                      <w:rFonts w:ascii="仿宋" w:eastAsia="仿宋" w:hAnsi="仿宋" w:cs="仿宋"/>
                      <w:spacing w:val="1"/>
                      <w:sz w:val="23"/>
                      <w:szCs w:val="23"/>
                    </w:rPr>
                    <w:t xml:space="preserve"> </w:t>
                  </w:r>
                  <w:r>
                    <w:rPr>
                      <w:rFonts w:ascii="仿宋" w:eastAsia="仿宋" w:hAnsi="仿宋" w:cs="仿宋"/>
                      <w:spacing w:val="11"/>
                      <w:sz w:val="20"/>
                      <w:szCs w:val="20"/>
                    </w:rPr>
                    <w:t>少12,000万人民币，注册资本由原来20,000万元人民币减至8,000</w:t>
                  </w:r>
                  <w:r>
                    <w:rPr>
                      <w:rFonts w:ascii="仿宋" w:eastAsia="仿宋" w:hAnsi="仿宋" w:cs="仿宋"/>
                      <w:spacing w:val="-39"/>
                      <w:sz w:val="20"/>
                      <w:szCs w:val="20"/>
                    </w:rPr>
                    <w:t xml:space="preserve"> </w:t>
                  </w:r>
                  <w:r>
                    <w:rPr>
                      <w:rFonts w:ascii="仿宋" w:eastAsia="仿宋" w:hAnsi="仿宋" w:cs="仿宋"/>
                      <w:spacing w:val="11"/>
                      <w:sz w:val="20"/>
                      <w:szCs w:val="20"/>
                    </w:rPr>
                    <w:t>万元人民币，实收资本由</w:t>
                  </w:r>
                  <w:r>
                    <w:rPr>
                      <w:rFonts w:ascii="仿宋" w:eastAsia="仿宋" w:hAnsi="仿宋" w:cs="仿宋"/>
                      <w:sz w:val="20"/>
                      <w:szCs w:val="20"/>
                    </w:rPr>
                    <w:t xml:space="preserve"> </w:t>
                  </w:r>
                  <w:r>
                    <w:rPr>
                      <w:rFonts w:ascii="仿宋" w:eastAsia="仿宋" w:hAnsi="仿宋" w:cs="仿宋"/>
                      <w:spacing w:val="14"/>
                      <w:sz w:val="20"/>
                      <w:szCs w:val="20"/>
                    </w:rPr>
                    <w:t>原来20,000万元人民币减至8,000万元人民币(12,000万元人民币转为资本公积)。</w:t>
                  </w:r>
                </w:p>
                <w:p>
                  <w:pPr>
                    <w:spacing w:before="267" w:line="222" w:lineRule="auto"/>
                    <w:ind w:left="79"/>
                    <w:rPr>
                      <w:rFonts w:ascii="仿宋" w:eastAsia="仿宋" w:hAnsi="仿宋" w:cs="仿宋"/>
                      <w:sz w:val="20"/>
                      <w:szCs w:val="20"/>
                    </w:rPr>
                  </w:pPr>
                  <w:r>
                    <w:rPr>
                      <w:rFonts w:ascii="仿宋" w:eastAsia="仿宋" w:hAnsi="仿宋" w:cs="仿宋"/>
                      <w:spacing w:val="19"/>
                      <w:sz w:val="20"/>
                      <w:szCs w:val="20"/>
                    </w:rPr>
                    <w:t>本次减资完成后，股东及出资情况如下：</w:t>
                  </w:r>
                </w:p>
              </w:tc>
            </w:tr>
            <w:tr>
              <w:tblPrEx>
                <w:tblW w:w="8679" w:type="dxa"/>
                <w:tblInd w:w="340" w:type="dxa"/>
                <w:tblLayout w:type="fixed"/>
                <w:tblCellMar>
                  <w:top w:w="0" w:type="dxa"/>
                  <w:left w:w="0" w:type="dxa"/>
                  <w:bottom w:w="0" w:type="dxa"/>
                  <w:right w:w="0" w:type="dxa"/>
                </w:tblCellMar>
              </w:tblPrEx>
              <w:trPr>
                <w:trHeight w:val="373"/>
              </w:trPr>
              <w:tc>
                <w:tcPr>
                  <w:tcW w:w="2429" w:type="dxa"/>
                  <w:tcBorders>
                    <w:top w:val="single" w:sz="4" w:space="0" w:color="000000"/>
                    <w:bottom w:val="single" w:sz="4" w:space="0" w:color="000000"/>
                  </w:tcBorders>
                  <w:vAlign w:val="top"/>
                </w:tcPr>
                <w:p>
                  <w:pPr>
                    <w:pStyle w:val="TableText"/>
                    <w:spacing w:before="94" w:line="219" w:lineRule="auto"/>
                    <w:ind w:left="132"/>
                    <w:rPr>
                      <w:sz w:val="19"/>
                      <w:szCs w:val="19"/>
                    </w:rPr>
                  </w:pPr>
                  <w:r>
                    <w:rPr>
                      <w:b/>
                      <w:bCs/>
                      <w:spacing w:val="-4"/>
                      <w:sz w:val="19"/>
                      <w:szCs w:val="19"/>
                    </w:rPr>
                    <w:t>股东名称</w:t>
                  </w:r>
                </w:p>
              </w:tc>
              <w:tc>
                <w:tcPr>
                  <w:tcW w:w="2926" w:type="dxa"/>
                  <w:tcBorders>
                    <w:top w:val="single" w:sz="4" w:space="0" w:color="000000"/>
                    <w:bottom w:val="single" w:sz="4" w:space="0" w:color="000000"/>
                  </w:tcBorders>
                  <w:vAlign w:val="top"/>
                </w:tcPr>
                <w:p>
                  <w:pPr>
                    <w:pStyle w:val="TableText"/>
                    <w:spacing w:before="94" w:line="219" w:lineRule="auto"/>
                    <w:ind w:left="1553"/>
                    <w:rPr>
                      <w:sz w:val="19"/>
                      <w:szCs w:val="19"/>
                    </w:rPr>
                  </w:pPr>
                  <w:r>
                    <w:rPr>
                      <w:b/>
                      <w:bCs/>
                      <w:spacing w:val="-4"/>
                      <w:sz w:val="19"/>
                      <w:szCs w:val="19"/>
                    </w:rPr>
                    <w:t>认缴出资额</w:t>
                  </w:r>
                </w:p>
              </w:tc>
              <w:tc>
                <w:tcPr>
                  <w:tcW w:w="1907" w:type="dxa"/>
                  <w:tcBorders>
                    <w:top w:val="single" w:sz="4" w:space="0" w:color="000000"/>
                    <w:bottom w:val="single" w:sz="4" w:space="0" w:color="000000"/>
                  </w:tcBorders>
                  <w:vAlign w:val="top"/>
                </w:tcPr>
                <w:p>
                  <w:pPr>
                    <w:pStyle w:val="TableText"/>
                    <w:spacing w:before="94" w:line="219" w:lineRule="auto"/>
                    <w:ind w:left="437"/>
                    <w:rPr>
                      <w:sz w:val="19"/>
                      <w:szCs w:val="19"/>
                    </w:rPr>
                  </w:pPr>
                  <w:r>
                    <w:rPr>
                      <w:b/>
                      <w:bCs/>
                      <w:spacing w:val="-4"/>
                      <w:sz w:val="19"/>
                      <w:szCs w:val="19"/>
                    </w:rPr>
                    <w:t>实际出资额</w:t>
                  </w:r>
                </w:p>
              </w:tc>
              <w:tc>
                <w:tcPr>
                  <w:tcW w:w="1417" w:type="dxa"/>
                  <w:tcBorders>
                    <w:top w:val="single" w:sz="4" w:space="0" w:color="000000"/>
                    <w:bottom w:val="single" w:sz="4" w:space="0" w:color="000000"/>
                  </w:tcBorders>
                  <w:vAlign w:val="top"/>
                </w:tcPr>
                <w:p>
                  <w:pPr>
                    <w:pStyle w:val="TableText"/>
                    <w:spacing w:before="95" w:line="221" w:lineRule="auto"/>
                    <w:ind w:left="560"/>
                    <w:rPr>
                      <w:sz w:val="19"/>
                      <w:szCs w:val="19"/>
                    </w:rPr>
                  </w:pPr>
                  <w:r>
                    <w:rPr>
                      <w:b/>
                      <w:bCs/>
                      <w:spacing w:val="-2"/>
                      <w:sz w:val="19"/>
                      <w:szCs w:val="19"/>
                    </w:rPr>
                    <w:t>出资方式</w:t>
                  </w:r>
                </w:p>
              </w:tc>
            </w:tr>
          </w:tbl>
          <w:p>
            <w:pPr>
              <w:pStyle w:val="TableText"/>
              <w:spacing w:before="79" w:line="218" w:lineRule="auto"/>
              <w:ind w:left="472"/>
              <w:rPr>
                <w:sz w:val="19"/>
                <w:szCs w:val="19"/>
              </w:rPr>
            </w:pPr>
            <w:r>
              <w:rPr>
                <w:b/>
                <w:bCs/>
                <w:spacing w:val="-1"/>
                <w:sz w:val="19"/>
                <w:szCs w:val="19"/>
              </w:rPr>
              <w:t>新兴亚洲投资有限公司</w:t>
            </w:r>
            <w:r>
              <w:rPr>
                <w:spacing w:val="-1"/>
                <w:sz w:val="19"/>
                <w:szCs w:val="19"/>
              </w:rPr>
              <w:t xml:space="preserve">                 </w:t>
            </w:r>
            <w:r>
              <w:rPr>
                <w:b/>
                <w:bCs/>
                <w:spacing w:val="-1"/>
                <w:sz w:val="19"/>
                <w:szCs w:val="19"/>
              </w:rPr>
              <w:t>80.000,000.00</w:t>
            </w:r>
            <w:r>
              <w:rPr>
                <w:spacing w:val="9"/>
                <w:sz w:val="19"/>
                <w:szCs w:val="19"/>
              </w:rPr>
              <w:t xml:space="preserve">       </w:t>
            </w:r>
            <w:r>
              <w:rPr>
                <w:b/>
                <w:bCs/>
                <w:spacing w:val="-1"/>
                <w:sz w:val="19"/>
                <w:szCs w:val="19"/>
              </w:rPr>
              <w:t>80,000,000.00</w:t>
            </w:r>
            <w:r>
              <w:rPr>
                <w:spacing w:val="-1"/>
                <w:sz w:val="19"/>
                <w:szCs w:val="19"/>
              </w:rPr>
              <w:t xml:space="preserve">        </w:t>
            </w:r>
            <w:r>
              <w:rPr>
                <w:b/>
                <w:bCs/>
                <w:spacing w:val="-1"/>
                <w:sz w:val="19"/>
                <w:szCs w:val="19"/>
              </w:rPr>
              <w:t>货币、实物</w:t>
            </w:r>
          </w:p>
        </w:tc>
      </w:tr>
    </w:tbl>
    <w:p>
      <w:pPr>
        <w:spacing w:before="162" w:line="224" w:lineRule="auto"/>
        <w:ind w:left="420" w:right="1153"/>
        <w:rPr>
          <w:rFonts w:ascii="仿宋" w:eastAsia="仿宋" w:hAnsi="仿宋" w:cs="仿宋"/>
          <w:sz w:val="23"/>
          <w:szCs w:val="23"/>
        </w:rPr>
      </w:pPr>
      <w:r>
        <w:rPr>
          <w:rFonts w:ascii="仿宋" w:eastAsia="仿宋" w:hAnsi="仿宋" w:cs="仿宋"/>
          <w:spacing w:val="-2"/>
          <w:sz w:val="23"/>
          <w:szCs w:val="23"/>
        </w:rPr>
        <w:t>2016年8月9日，经公司股东会决议同意，新</w:t>
      </w:r>
      <w:r>
        <w:rPr>
          <w:rFonts w:ascii="仿宋" w:eastAsia="仿宋" w:hAnsi="仿宋" w:cs="仿宋"/>
          <w:spacing w:val="-3"/>
          <w:sz w:val="23"/>
          <w:szCs w:val="23"/>
        </w:rPr>
        <w:t>兴亚洲投资有限公司将其持有公司0.0625%</w:t>
      </w:r>
      <w:r>
        <w:rPr>
          <w:rFonts w:ascii="仿宋" w:eastAsia="仿宋" w:hAnsi="仿宋" w:cs="仿宋"/>
          <w:sz w:val="23"/>
          <w:szCs w:val="23"/>
        </w:rPr>
        <w:t xml:space="preserve"> </w:t>
      </w:r>
      <w:r>
        <w:rPr>
          <w:rFonts w:ascii="仿宋" w:eastAsia="仿宋" w:hAnsi="仿宋" w:cs="仿宋"/>
          <w:spacing w:val="-4"/>
          <w:sz w:val="23"/>
          <w:szCs w:val="23"/>
        </w:rPr>
        <w:t>的股权计6.25万元转让给林楚琛；持有公司0</w:t>
      </w:r>
      <w:r>
        <w:rPr>
          <w:rFonts w:ascii="仿宋" w:eastAsia="仿宋" w:hAnsi="仿宋" w:cs="仿宋"/>
          <w:spacing w:val="-5"/>
          <w:sz w:val="23"/>
          <w:szCs w:val="23"/>
        </w:rPr>
        <w:t>.0625%的股权计6.25万元转让给鲍泽民；</w:t>
      </w:r>
    </w:p>
    <w:p>
      <w:pPr>
        <w:spacing w:before="48" w:line="258" w:lineRule="auto"/>
        <w:ind w:left="420" w:right="1174"/>
        <w:rPr>
          <w:rFonts w:ascii="仿宋" w:eastAsia="仿宋" w:hAnsi="仿宋" w:cs="仿宋"/>
          <w:sz w:val="20"/>
          <w:szCs w:val="20"/>
        </w:rPr>
      </w:pPr>
      <w:r>
        <w:rPr>
          <w:rFonts w:ascii="仿宋" w:eastAsia="仿宋" w:hAnsi="仿宋" w:cs="仿宋"/>
          <w:spacing w:val="21"/>
          <w:sz w:val="20"/>
          <w:szCs w:val="20"/>
        </w:rPr>
        <w:t>持有公司3.00%的股权计300万元转让给郑小明；持有公司0.0625%的股权计6.25万元转</w:t>
      </w:r>
      <w:r>
        <w:rPr>
          <w:rFonts w:ascii="仿宋" w:eastAsia="仿宋" w:hAnsi="仿宋" w:cs="仿宋"/>
          <w:spacing w:val="7"/>
          <w:sz w:val="20"/>
          <w:szCs w:val="20"/>
        </w:rPr>
        <w:t xml:space="preserve"> </w:t>
      </w:r>
      <w:r>
        <w:rPr>
          <w:rFonts w:ascii="仿宋" w:eastAsia="仿宋" w:hAnsi="仿宋" w:cs="仿宋"/>
          <w:spacing w:val="24"/>
          <w:sz w:val="20"/>
          <w:szCs w:val="20"/>
        </w:rPr>
        <w:t>让给惠州市鑫意诚投资管理合伙企业(有限合伙);持有公司0</w:t>
      </w:r>
      <w:r>
        <w:rPr>
          <w:rFonts w:ascii="仿宋" w:eastAsia="仿宋" w:hAnsi="仿宋" w:cs="仿宋"/>
          <w:spacing w:val="-59"/>
          <w:sz w:val="20"/>
          <w:szCs w:val="20"/>
        </w:rPr>
        <w:t xml:space="preserve"> </w:t>
      </w:r>
      <w:r>
        <w:rPr>
          <w:rFonts w:ascii="仿宋" w:eastAsia="仿宋" w:hAnsi="仿宋" w:cs="仿宋"/>
          <w:spacing w:val="24"/>
          <w:sz w:val="20"/>
          <w:szCs w:val="20"/>
        </w:rPr>
        <w:t>.</w:t>
      </w:r>
      <w:r>
        <w:rPr>
          <w:rFonts w:ascii="仿宋" w:eastAsia="仿宋" w:hAnsi="仿宋" w:cs="仿宋"/>
          <w:spacing w:val="-51"/>
          <w:sz w:val="20"/>
          <w:szCs w:val="20"/>
        </w:rPr>
        <w:t xml:space="preserve"> </w:t>
      </w:r>
      <w:r>
        <w:rPr>
          <w:rFonts w:ascii="仿宋" w:eastAsia="仿宋" w:hAnsi="仿宋" w:cs="仿宋"/>
          <w:spacing w:val="24"/>
          <w:sz w:val="20"/>
          <w:szCs w:val="20"/>
        </w:rPr>
        <w:t>1</w:t>
      </w:r>
      <w:r>
        <w:rPr>
          <w:rFonts w:ascii="仿宋" w:eastAsia="仿宋" w:hAnsi="仿宋" w:cs="仿宋"/>
          <w:spacing w:val="23"/>
          <w:sz w:val="20"/>
          <w:szCs w:val="20"/>
        </w:rPr>
        <w:t>875%的股权计18</w:t>
      </w:r>
      <w:r>
        <w:rPr>
          <w:rFonts w:ascii="仿宋" w:eastAsia="仿宋" w:hAnsi="仿宋" w:cs="仿宋"/>
          <w:spacing w:val="-59"/>
          <w:sz w:val="20"/>
          <w:szCs w:val="20"/>
        </w:rPr>
        <w:t xml:space="preserve"> </w:t>
      </w:r>
      <w:r>
        <w:rPr>
          <w:rFonts w:ascii="仿宋" w:eastAsia="仿宋" w:hAnsi="仿宋" w:cs="仿宋"/>
          <w:spacing w:val="23"/>
          <w:sz w:val="20"/>
          <w:szCs w:val="20"/>
        </w:rPr>
        <w:t>.75万</w:t>
      </w:r>
      <w:r>
        <w:rPr>
          <w:rFonts w:ascii="仿宋" w:eastAsia="仿宋" w:hAnsi="仿宋" w:cs="仿宋"/>
          <w:sz w:val="20"/>
          <w:szCs w:val="20"/>
        </w:rPr>
        <w:t xml:space="preserve"> </w:t>
      </w:r>
      <w:r>
        <w:rPr>
          <w:rFonts w:ascii="仿宋" w:eastAsia="仿宋" w:hAnsi="仿宋" w:cs="仿宋"/>
          <w:spacing w:val="31"/>
          <w:sz w:val="20"/>
          <w:szCs w:val="20"/>
        </w:rPr>
        <w:t>元转让给惠州市信天达投资管理合伙企业(有限合伙),2016年9月14日公司完成工商</w:t>
      </w:r>
      <w:r>
        <w:rPr>
          <w:rFonts w:ascii="仿宋" w:eastAsia="仿宋" w:hAnsi="仿宋" w:cs="仿宋"/>
          <w:spacing w:val="3"/>
          <w:sz w:val="20"/>
          <w:szCs w:val="20"/>
        </w:rPr>
        <w:t xml:space="preserve"> </w:t>
      </w:r>
      <w:r>
        <w:rPr>
          <w:rFonts w:ascii="仿宋" w:eastAsia="仿宋" w:hAnsi="仿宋" w:cs="仿宋"/>
          <w:spacing w:val="5"/>
          <w:sz w:val="20"/>
          <w:szCs w:val="20"/>
        </w:rPr>
        <w:t>变更登记。</w:t>
      </w: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spacing w:before="43" w:line="182" w:lineRule="auto"/>
        <w:ind w:left="4669"/>
        <w:rPr>
          <w:rFonts w:ascii="宋体" w:eastAsia="宋体" w:hAnsi="宋体" w:cs="宋体"/>
          <w:sz w:val="13"/>
          <w:szCs w:val="13"/>
        </w:rPr>
      </w:pPr>
      <w:r>
        <w:rPr>
          <w:rFonts w:ascii="宋体" w:eastAsia="宋体" w:hAnsi="宋体" w:cs="宋体"/>
          <w:sz w:val="13"/>
          <w:szCs w:val="13"/>
        </w:rPr>
        <w:t>7</w:t>
      </w:r>
    </w:p>
    <w:p>
      <w:pPr>
        <w:pStyle w:val="BodyText"/>
        <w:spacing w:line="326" w:lineRule="auto"/>
      </w:pPr>
    </w:p>
    <w:p>
      <w:pPr>
        <w:pStyle w:val="BodyText"/>
        <w:spacing w:line="327" w:lineRule="auto"/>
      </w:pPr>
    </w:p>
    <w:p>
      <w:pPr>
        <w:spacing w:before="65" w:line="183" w:lineRule="auto"/>
        <w:ind w:left="4280"/>
        <w:rPr>
          <w:rFonts w:ascii="宋体" w:eastAsia="宋体" w:hAnsi="宋体" w:cs="宋体"/>
          <w:sz w:val="20"/>
          <w:szCs w:val="20"/>
        </w:rPr>
      </w:pPr>
      <w:r>
        <w:rPr>
          <w:rFonts w:ascii="宋体" w:eastAsia="宋体" w:hAnsi="宋体" w:cs="宋体"/>
          <w:color w:val="BE702D"/>
          <w:spacing w:val="-14"/>
          <w:sz w:val="20"/>
          <w:szCs w:val="20"/>
        </w:rPr>
        <w:t>3</w:t>
      </w:r>
      <w:r>
        <w:rPr>
          <w:rFonts w:ascii="宋体" w:eastAsia="宋体" w:hAnsi="宋体" w:cs="宋体"/>
          <w:spacing w:val="-14"/>
          <w:sz w:val="20"/>
          <w:szCs w:val="20"/>
        </w:rPr>
        <w:t>-2</w:t>
      </w:r>
      <w:r>
        <w:rPr>
          <w:rFonts w:ascii="宋体" w:eastAsia="宋体" w:hAnsi="宋体" w:cs="宋体"/>
          <w:color w:val="BE702D"/>
          <w:spacing w:val="-14"/>
          <w:sz w:val="20"/>
          <w:szCs w:val="20"/>
        </w:rPr>
        <w:t>-3</w:t>
      </w:r>
      <w:r>
        <w:rPr>
          <w:rFonts w:ascii="宋体" w:eastAsia="宋体" w:hAnsi="宋体" w:cs="宋体"/>
          <w:spacing w:val="-14"/>
          <w:sz w:val="20"/>
          <w:szCs w:val="20"/>
        </w:rPr>
        <w:t>-</w:t>
      </w:r>
      <w:r>
        <w:rPr>
          <w:rFonts w:ascii="宋体" w:eastAsia="宋体" w:hAnsi="宋体" w:cs="宋体"/>
          <w:color w:val="BE702D"/>
          <w:spacing w:val="-14"/>
          <w:sz w:val="20"/>
          <w:szCs w:val="20"/>
        </w:rPr>
        <w:t>9</w:t>
      </w:r>
    </w:p>
    <w:p>
      <w:pPr>
        <w:spacing w:line="183" w:lineRule="auto"/>
        <w:rPr>
          <w:rFonts w:ascii="宋体" w:eastAsia="宋体" w:hAnsi="宋体" w:cs="宋体"/>
          <w:sz w:val="20"/>
          <w:szCs w:val="20"/>
        </w:rPr>
        <w:sectPr>
          <w:headerReference w:type="default" r:id="rId10"/>
          <w:pgSz w:w="12060" w:h="16930"/>
          <w:pgMar w:top="400" w:right="410" w:bottom="0" w:left="1559" w:header="0" w:footer="0" w:gutter="0"/>
          <w:pgNumType w:start="11"/>
          <w:cols w:num="1" w:space="720"/>
        </w:sectPr>
      </w:pPr>
    </w:p>
    <w:p>
      <w:pPr>
        <w:pStyle w:val="BodyText"/>
        <w:spacing w:line="289" w:lineRule="auto"/>
      </w:pPr>
    </w:p>
    <w:p>
      <w:pPr>
        <w:pStyle w:val="BodyText"/>
        <w:spacing w:line="289" w:lineRule="auto"/>
      </w:pPr>
    </w:p>
    <w:p>
      <w:pPr>
        <w:pStyle w:val="BodyText"/>
        <w:spacing w:line="289" w:lineRule="auto"/>
      </w:pPr>
    </w:p>
    <w:p>
      <w:pPr>
        <w:spacing w:before="75" w:line="222" w:lineRule="auto"/>
        <w:ind w:left="29"/>
        <w:rPr>
          <w:rFonts w:ascii="仿宋" w:eastAsia="仿宋" w:hAnsi="仿宋" w:cs="仿宋"/>
          <w:sz w:val="23"/>
          <w:szCs w:val="23"/>
        </w:rPr>
      </w:pPr>
      <w:r>
        <w:rPr>
          <w:rFonts w:ascii="仿宋" w:eastAsia="仿宋" w:hAnsi="仿宋" w:cs="仿宋"/>
          <w:spacing w:val="-8"/>
          <w:sz w:val="23"/>
          <w:szCs w:val="23"/>
        </w:rPr>
        <w:t>美新科技股份有限公司</w:t>
      </w:r>
    </w:p>
    <w:p>
      <w:pPr>
        <w:spacing w:before="20" w:line="220" w:lineRule="auto"/>
        <w:ind w:left="29"/>
        <w:rPr>
          <w:rFonts w:ascii="仿宋" w:eastAsia="仿宋" w:hAnsi="仿宋" w:cs="仿宋"/>
          <w:sz w:val="23"/>
          <w:szCs w:val="23"/>
        </w:rPr>
      </w:pPr>
      <w:r>
        <w:rPr>
          <w:rFonts w:ascii="仿宋" w:eastAsia="仿宋" w:hAnsi="仿宋" w:cs="仿宋"/>
          <w:spacing w:val="-7"/>
          <w:sz w:val="23"/>
          <w:szCs w:val="23"/>
        </w:rPr>
        <w:t>盈利预测的编制基础、假设和编制说明</w:t>
      </w:r>
    </w:p>
    <w:p>
      <w:pPr>
        <w:spacing w:before="16" w:line="221" w:lineRule="auto"/>
        <w:ind w:left="29"/>
        <w:rPr>
          <w:rFonts w:ascii="仿宋" w:eastAsia="仿宋" w:hAnsi="仿宋" w:cs="仿宋"/>
          <w:sz w:val="23"/>
          <w:szCs w:val="23"/>
        </w:rPr>
      </w:pPr>
      <w:r>
        <w:rPr>
          <w:rFonts w:ascii="仿宋" w:eastAsia="仿宋" w:hAnsi="仿宋" w:cs="仿宋"/>
          <w:spacing w:val="2"/>
          <w:sz w:val="23"/>
          <w:szCs w:val="23"/>
        </w:rPr>
        <w:t>2023年度(除特别注明外，金额单位为人民币万元)</w:t>
      </w:r>
    </w:p>
    <w:p>
      <w:pPr>
        <w:spacing w:line="39" w:lineRule="exact"/>
      </w:pPr>
    </w:p>
    <w:tbl>
      <w:tblPr>
        <w:tblStyle w:val="TableNormal05"/>
        <w:tblW w:w="8949" w:type="dxa"/>
        <w:tblInd w:w="0" w:type="dxa"/>
        <w:tblBorders>
          <w:top w:val="nil"/>
          <w:left w:val="nil"/>
          <w:bottom w:val="nil"/>
          <w:right w:val="nil"/>
          <w:insideH w:val="nil"/>
          <w:insideV w:val="nil"/>
        </w:tblBorders>
        <w:tblLayout w:type="fixed"/>
        <w:tblCellMar>
          <w:top w:w="0" w:type="dxa"/>
          <w:left w:w="0" w:type="dxa"/>
          <w:bottom w:w="0" w:type="dxa"/>
          <w:right w:w="0" w:type="dxa"/>
        </w:tblCellMar>
      </w:tblPr>
      <w:tblGrid>
        <w:gridCol w:w="4385"/>
        <w:gridCol w:w="3459"/>
        <w:gridCol w:w="1105"/>
      </w:tblGrid>
      <w:tr>
        <w:tblPrEx>
          <w:tblW w:w="8949" w:type="dxa"/>
          <w:tblInd w:w="0" w:type="dxa"/>
          <w:tblBorders>
            <w:top w:val="nil"/>
            <w:left w:val="nil"/>
            <w:bottom w:val="nil"/>
            <w:right w:val="nil"/>
            <w:insideH w:val="nil"/>
            <w:insideV w:val="nil"/>
          </w:tblBorders>
          <w:tblLayout w:type="fixed"/>
          <w:tblCellMar>
            <w:top w:w="0" w:type="dxa"/>
            <w:left w:w="0" w:type="dxa"/>
            <w:bottom w:w="0" w:type="dxa"/>
            <w:right w:w="0" w:type="dxa"/>
          </w:tblCellMar>
        </w:tblPrEx>
        <w:trPr>
          <w:trHeight w:val="1395"/>
        </w:trPr>
        <w:tc>
          <w:tcPr>
            <w:tcW w:w="8949" w:type="dxa"/>
            <w:gridSpan w:val="3"/>
            <w:tcBorders>
              <w:top w:val="single" w:sz="8" w:space="0" w:color="000000"/>
            </w:tcBorders>
            <w:vAlign w:val="top"/>
          </w:tcPr>
          <w:p>
            <w:pPr>
              <w:spacing w:before="242" w:line="219" w:lineRule="auto"/>
              <w:ind w:left="389"/>
              <w:rPr>
                <w:rFonts w:ascii="仿宋" w:eastAsia="仿宋" w:hAnsi="仿宋" w:cs="仿宋"/>
                <w:sz w:val="23"/>
                <w:szCs w:val="23"/>
              </w:rPr>
            </w:pPr>
            <w:r>
              <w:pict>
                <v:shape id="_x0000_s1032" o:spid="_x0000_s1031" style="width:431.5pt;height:0.5pt;margin-top:35.75pt;margin-left:16pt;mso-height-relative:page;mso-position-horizontal-relative:page;mso-position-vertical-relative:page;mso-width-relative:page;position:absolute;z-index:251664384" coordsize="8630,10" path="m,5l4450,5m4450,5l6140,5m6140,5l7469,5m7469,5l8629,5e" filled="f" stroked="t" strokecolor="black">
                  <v:stroke joinstyle="miter"/>
                </v:shape>
              </w:pict>
            </w:r>
            <w:r>
              <w:pict>
                <v:shape id="_x0000_s1033" o:spid="_x0000_s1032" style="width:431.5pt;height:0.5pt;margin-top:53.2pt;margin-left:16pt;mso-height-relative:page;mso-position-horizontal-relative:page;mso-position-vertical-relative:page;mso-width-relative:page;position:absolute;z-index:251665408" coordsize="8630,10" path="m,5l4450,5m4450,5l6140,5m6140,5l7469,5m7469,5l8629,5e" filled="f" stroked="t" strokecolor="black">
                  <v:stroke joinstyle="miter"/>
                </v:shape>
              </w:pict>
            </w:r>
            <w:r>
              <w:rPr>
                <w:rFonts w:ascii="仿宋" w:eastAsia="仿宋" w:hAnsi="仿宋" w:cs="仿宋"/>
                <w:spacing w:val="-9"/>
                <w:sz w:val="23"/>
                <w:szCs w:val="23"/>
              </w:rPr>
              <w:t>本次股权转让之后，各股东出资情况如下：</w:t>
            </w:r>
          </w:p>
          <w:p>
            <w:pPr>
              <w:pStyle w:val="TableText"/>
              <w:spacing w:before="269" w:line="223" w:lineRule="auto"/>
              <w:ind w:left="432"/>
              <w:rPr>
                <w:sz w:val="18"/>
                <w:szCs w:val="18"/>
              </w:rPr>
            </w:pPr>
            <w:r>
              <w:rPr>
                <w:b/>
                <w:bCs/>
                <w:sz w:val="18"/>
                <w:szCs w:val="18"/>
              </w:rPr>
              <w:t>股东名称</w:t>
            </w:r>
            <w:r>
              <w:rPr>
                <w:sz w:val="18"/>
                <w:szCs w:val="18"/>
              </w:rPr>
              <w:t xml:space="preserve">                                                认缴出资额    </w:t>
            </w:r>
            <w:r>
              <w:rPr>
                <w:spacing w:val="-1"/>
                <w:sz w:val="18"/>
                <w:szCs w:val="18"/>
              </w:rPr>
              <w:t>实际出资额      出资方式</w:t>
            </w:r>
          </w:p>
          <w:p>
            <w:pPr>
              <w:pStyle w:val="TableText"/>
              <w:spacing w:before="134" w:line="228" w:lineRule="auto"/>
              <w:ind w:left="430"/>
              <w:rPr>
                <w:sz w:val="18"/>
                <w:szCs w:val="18"/>
              </w:rPr>
            </w:pPr>
            <w:r>
              <w:rPr>
                <w:spacing w:val="1"/>
                <w:sz w:val="18"/>
                <w:szCs w:val="18"/>
              </w:rPr>
              <w:t xml:space="preserve">新兴亚洲投资有限公司                                77,300,000.00   </w:t>
            </w:r>
            <w:r>
              <w:rPr>
                <w:sz w:val="18"/>
                <w:szCs w:val="18"/>
              </w:rPr>
              <w:t>77,300,000.00</w:t>
            </w:r>
            <w:r>
              <w:rPr>
                <w:spacing w:val="31"/>
                <w:w w:val="101"/>
                <w:sz w:val="18"/>
                <w:szCs w:val="18"/>
              </w:rPr>
              <w:t xml:space="preserve"> </w:t>
            </w:r>
            <w:r>
              <w:rPr>
                <w:position w:val="1"/>
                <w:sz w:val="18"/>
                <w:szCs w:val="18"/>
              </w:rPr>
              <w:t>货币、实牧</w:t>
            </w:r>
          </w:p>
        </w:tc>
      </w:tr>
      <w:tr>
        <w:tblPrEx>
          <w:tblW w:w="8949" w:type="dxa"/>
          <w:tblInd w:w="0" w:type="dxa"/>
          <w:tblLayout w:type="fixed"/>
          <w:tblCellMar>
            <w:top w:w="0" w:type="dxa"/>
            <w:left w:w="0" w:type="dxa"/>
            <w:bottom w:w="0" w:type="dxa"/>
            <w:right w:w="0" w:type="dxa"/>
          </w:tblCellMar>
        </w:tblPrEx>
        <w:trPr>
          <w:trHeight w:val="329"/>
        </w:trPr>
        <w:tc>
          <w:tcPr>
            <w:tcW w:w="4385" w:type="dxa"/>
            <w:vAlign w:val="top"/>
          </w:tcPr>
          <w:p>
            <w:pPr>
              <w:pStyle w:val="TableText"/>
              <w:spacing w:before="72" w:line="219" w:lineRule="auto"/>
              <w:ind w:left="430"/>
              <w:rPr>
                <w:sz w:val="18"/>
                <w:szCs w:val="18"/>
              </w:rPr>
            </w:pPr>
            <w:r>
              <w:rPr>
                <w:spacing w:val="6"/>
                <w:sz w:val="18"/>
                <w:szCs w:val="18"/>
              </w:rPr>
              <w:t>郑小明</w:t>
            </w:r>
          </w:p>
        </w:tc>
        <w:tc>
          <w:tcPr>
            <w:tcW w:w="3459" w:type="dxa"/>
            <w:vAlign w:val="top"/>
          </w:tcPr>
          <w:p>
            <w:pPr>
              <w:pStyle w:val="TableText"/>
              <w:spacing w:before="107" w:line="183" w:lineRule="auto"/>
              <w:ind w:left="885"/>
              <w:rPr>
                <w:sz w:val="18"/>
                <w:szCs w:val="18"/>
              </w:rPr>
            </w:pPr>
            <w:r>
              <w:rPr>
                <w:spacing w:val="-1"/>
                <w:sz w:val="18"/>
                <w:szCs w:val="18"/>
              </w:rPr>
              <w:t>2,400,000.00</w:t>
            </w:r>
            <w:r>
              <w:rPr>
                <w:spacing w:val="31"/>
                <w:sz w:val="18"/>
                <w:szCs w:val="18"/>
              </w:rPr>
              <w:t xml:space="preserve">  </w:t>
            </w:r>
            <w:r>
              <w:rPr>
                <w:spacing w:val="-1"/>
                <w:sz w:val="18"/>
                <w:szCs w:val="18"/>
              </w:rPr>
              <w:t>2,400,000.00</w:t>
            </w:r>
          </w:p>
        </w:tc>
        <w:tc>
          <w:tcPr>
            <w:tcW w:w="1105" w:type="dxa"/>
            <w:vAlign w:val="top"/>
          </w:tcPr>
          <w:p>
            <w:pPr>
              <w:pStyle w:val="TableText"/>
              <w:spacing w:before="61" w:line="219" w:lineRule="auto"/>
              <w:ind w:left="676"/>
              <w:rPr>
                <w:sz w:val="18"/>
                <w:szCs w:val="18"/>
              </w:rPr>
            </w:pPr>
            <w:r>
              <w:rPr>
                <w:spacing w:val="10"/>
                <w:sz w:val="18"/>
                <w:szCs w:val="18"/>
              </w:rPr>
              <w:t>货币</w:t>
            </w:r>
          </w:p>
        </w:tc>
      </w:tr>
      <w:tr>
        <w:tblPrEx>
          <w:tblW w:w="8949" w:type="dxa"/>
          <w:tblInd w:w="0" w:type="dxa"/>
          <w:tblLayout w:type="fixed"/>
          <w:tblCellMar>
            <w:top w:w="0" w:type="dxa"/>
            <w:left w:w="0" w:type="dxa"/>
            <w:bottom w:w="0" w:type="dxa"/>
            <w:right w:w="0" w:type="dxa"/>
          </w:tblCellMar>
        </w:tblPrEx>
        <w:trPr>
          <w:trHeight w:val="304"/>
        </w:trPr>
        <w:tc>
          <w:tcPr>
            <w:tcW w:w="4385" w:type="dxa"/>
            <w:vAlign w:val="top"/>
          </w:tcPr>
          <w:p>
            <w:pPr>
              <w:pStyle w:val="TableText"/>
              <w:spacing w:before="72" w:line="219" w:lineRule="auto"/>
              <w:ind w:left="430"/>
              <w:rPr>
                <w:sz w:val="18"/>
                <w:szCs w:val="18"/>
              </w:rPr>
            </w:pPr>
            <w:r>
              <w:rPr>
                <w:spacing w:val="1"/>
                <w:sz w:val="18"/>
                <w:szCs w:val="18"/>
              </w:rPr>
              <w:t>惠州市信天达投资管理合伙企业(有限合伙)</w:t>
            </w:r>
          </w:p>
        </w:tc>
        <w:tc>
          <w:tcPr>
            <w:tcW w:w="3459" w:type="dxa"/>
            <w:vAlign w:val="top"/>
          </w:tcPr>
          <w:p>
            <w:pPr>
              <w:pStyle w:val="TableText"/>
              <w:spacing w:before="88" w:line="194" w:lineRule="auto"/>
              <w:ind w:left="1064"/>
              <w:rPr>
                <w:sz w:val="18"/>
                <w:szCs w:val="18"/>
              </w:rPr>
            </w:pPr>
            <w:r>
              <w:rPr>
                <w:spacing w:val="-3"/>
                <w:sz w:val="18"/>
                <w:szCs w:val="18"/>
              </w:rPr>
              <w:t>150,000.00</w:t>
            </w:r>
            <w:r>
              <w:rPr>
                <w:spacing w:val="22"/>
                <w:sz w:val="18"/>
                <w:szCs w:val="18"/>
              </w:rPr>
              <w:t xml:space="preserve">    </w:t>
            </w:r>
            <w:r>
              <w:rPr>
                <w:spacing w:val="-3"/>
                <w:sz w:val="18"/>
                <w:szCs w:val="18"/>
              </w:rPr>
              <w:t>150,000.00</w:t>
            </w:r>
          </w:p>
        </w:tc>
        <w:tc>
          <w:tcPr>
            <w:tcW w:w="1105" w:type="dxa"/>
            <w:vAlign w:val="top"/>
          </w:tcPr>
          <w:p>
            <w:pPr>
              <w:pStyle w:val="TableText"/>
              <w:spacing w:before="72" w:line="219" w:lineRule="auto"/>
              <w:ind w:left="676"/>
              <w:rPr>
                <w:sz w:val="18"/>
                <w:szCs w:val="18"/>
              </w:rPr>
            </w:pPr>
            <w:r>
              <w:rPr>
                <w:spacing w:val="10"/>
                <w:sz w:val="18"/>
                <w:szCs w:val="18"/>
              </w:rPr>
              <w:t>货币</w:t>
            </w:r>
          </w:p>
        </w:tc>
      </w:tr>
      <w:tr>
        <w:tblPrEx>
          <w:tblW w:w="8949" w:type="dxa"/>
          <w:tblInd w:w="0" w:type="dxa"/>
          <w:tblLayout w:type="fixed"/>
          <w:tblCellMar>
            <w:top w:w="0" w:type="dxa"/>
            <w:left w:w="0" w:type="dxa"/>
            <w:bottom w:w="0" w:type="dxa"/>
            <w:right w:w="0" w:type="dxa"/>
          </w:tblCellMar>
        </w:tblPrEx>
        <w:trPr>
          <w:trHeight w:val="321"/>
        </w:trPr>
        <w:tc>
          <w:tcPr>
            <w:tcW w:w="4385" w:type="dxa"/>
            <w:vAlign w:val="top"/>
          </w:tcPr>
          <w:p>
            <w:pPr>
              <w:pStyle w:val="TableText"/>
              <w:spacing w:before="58" w:line="219" w:lineRule="auto"/>
              <w:ind w:left="430"/>
              <w:rPr>
                <w:sz w:val="18"/>
                <w:szCs w:val="18"/>
              </w:rPr>
            </w:pPr>
            <w:r>
              <w:rPr>
                <w:spacing w:val="1"/>
                <w:sz w:val="18"/>
                <w:szCs w:val="18"/>
              </w:rPr>
              <w:t>惠州市鑫意诚投资管理合伙企业(有限合伙)</w:t>
            </w:r>
          </w:p>
        </w:tc>
        <w:tc>
          <w:tcPr>
            <w:tcW w:w="3459" w:type="dxa"/>
            <w:vAlign w:val="top"/>
          </w:tcPr>
          <w:p>
            <w:pPr>
              <w:pStyle w:val="TableText"/>
              <w:spacing w:before="104" w:line="183" w:lineRule="auto"/>
              <w:ind w:left="1155"/>
              <w:rPr>
                <w:sz w:val="18"/>
                <w:szCs w:val="18"/>
              </w:rPr>
            </w:pPr>
            <w:r>
              <w:rPr>
                <w:spacing w:val="-2"/>
                <w:sz w:val="18"/>
                <w:szCs w:val="18"/>
              </w:rPr>
              <w:t>50,000.00</w:t>
            </w:r>
            <w:r>
              <w:rPr>
                <w:spacing w:val="14"/>
                <w:sz w:val="18"/>
                <w:szCs w:val="18"/>
              </w:rPr>
              <w:t xml:space="preserve">     </w:t>
            </w:r>
            <w:r>
              <w:rPr>
                <w:spacing w:val="-2"/>
                <w:sz w:val="18"/>
                <w:szCs w:val="18"/>
              </w:rPr>
              <w:t>50,000.00</w:t>
            </w:r>
          </w:p>
        </w:tc>
        <w:tc>
          <w:tcPr>
            <w:tcW w:w="1105" w:type="dxa"/>
            <w:vAlign w:val="top"/>
          </w:tcPr>
          <w:p>
            <w:pPr>
              <w:pStyle w:val="TableText"/>
              <w:spacing w:before="78" w:line="219" w:lineRule="auto"/>
              <w:ind w:left="676"/>
              <w:rPr>
                <w:sz w:val="18"/>
                <w:szCs w:val="18"/>
              </w:rPr>
            </w:pPr>
            <w:r>
              <w:rPr>
                <w:spacing w:val="10"/>
                <w:sz w:val="18"/>
                <w:szCs w:val="18"/>
              </w:rPr>
              <w:t>货币</w:t>
            </w:r>
          </w:p>
        </w:tc>
      </w:tr>
      <w:tr>
        <w:tblPrEx>
          <w:tblW w:w="8949" w:type="dxa"/>
          <w:tblInd w:w="0" w:type="dxa"/>
          <w:tblLayout w:type="fixed"/>
          <w:tblCellMar>
            <w:top w:w="0" w:type="dxa"/>
            <w:left w:w="0" w:type="dxa"/>
            <w:bottom w:w="0" w:type="dxa"/>
            <w:right w:w="0" w:type="dxa"/>
          </w:tblCellMar>
        </w:tblPrEx>
        <w:trPr>
          <w:trHeight w:val="320"/>
        </w:trPr>
        <w:tc>
          <w:tcPr>
            <w:tcW w:w="4385" w:type="dxa"/>
            <w:vAlign w:val="top"/>
          </w:tcPr>
          <w:p>
            <w:pPr>
              <w:pStyle w:val="TableText"/>
              <w:spacing w:before="88" w:line="219" w:lineRule="auto"/>
              <w:ind w:left="430"/>
              <w:rPr>
                <w:sz w:val="18"/>
                <w:szCs w:val="18"/>
              </w:rPr>
            </w:pPr>
            <w:r>
              <w:rPr>
                <w:spacing w:val="-2"/>
                <w:sz w:val="18"/>
                <w:szCs w:val="18"/>
              </w:rPr>
              <w:t>林楚琛</w:t>
            </w:r>
          </w:p>
        </w:tc>
        <w:tc>
          <w:tcPr>
            <w:tcW w:w="3459" w:type="dxa"/>
            <w:vAlign w:val="top"/>
          </w:tcPr>
          <w:p>
            <w:pPr>
              <w:pStyle w:val="TableText"/>
              <w:spacing w:before="103" w:line="183" w:lineRule="auto"/>
              <w:ind w:left="1155"/>
              <w:rPr>
                <w:sz w:val="18"/>
                <w:szCs w:val="18"/>
              </w:rPr>
            </w:pPr>
            <w:r>
              <w:rPr>
                <w:spacing w:val="-2"/>
                <w:sz w:val="18"/>
                <w:szCs w:val="18"/>
              </w:rPr>
              <w:t>50,000.00</w:t>
            </w:r>
            <w:r>
              <w:rPr>
                <w:spacing w:val="14"/>
                <w:sz w:val="18"/>
                <w:szCs w:val="18"/>
              </w:rPr>
              <w:t xml:space="preserve">     </w:t>
            </w:r>
            <w:r>
              <w:rPr>
                <w:spacing w:val="-2"/>
                <w:sz w:val="18"/>
                <w:szCs w:val="18"/>
              </w:rPr>
              <w:t>50,000.00</w:t>
            </w:r>
          </w:p>
        </w:tc>
        <w:tc>
          <w:tcPr>
            <w:tcW w:w="1105" w:type="dxa"/>
            <w:vAlign w:val="top"/>
          </w:tcPr>
          <w:p>
            <w:pPr>
              <w:pStyle w:val="TableText"/>
              <w:spacing w:before="67" w:line="219" w:lineRule="auto"/>
              <w:ind w:left="676"/>
              <w:rPr>
                <w:sz w:val="18"/>
                <w:szCs w:val="18"/>
              </w:rPr>
            </w:pPr>
            <w:r>
              <w:rPr>
                <w:spacing w:val="10"/>
                <w:sz w:val="18"/>
                <w:szCs w:val="18"/>
              </w:rPr>
              <w:t>货币</w:t>
            </w:r>
          </w:p>
        </w:tc>
      </w:tr>
      <w:tr>
        <w:tblPrEx>
          <w:tblW w:w="8949" w:type="dxa"/>
          <w:tblInd w:w="0" w:type="dxa"/>
          <w:tblLayout w:type="fixed"/>
          <w:tblCellMar>
            <w:top w:w="0" w:type="dxa"/>
            <w:left w:w="0" w:type="dxa"/>
            <w:bottom w:w="0" w:type="dxa"/>
            <w:right w:w="0" w:type="dxa"/>
          </w:tblCellMar>
        </w:tblPrEx>
        <w:trPr>
          <w:trHeight w:val="341"/>
        </w:trPr>
        <w:tc>
          <w:tcPr>
            <w:tcW w:w="4385" w:type="dxa"/>
            <w:vAlign w:val="top"/>
          </w:tcPr>
          <w:p>
            <w:pPr>
              <w:pStyle w:val="TableText"/>
              <w:spacing w:before="89" w:line="220" w:lineRule="auto"/>
              <w:ind w:left="430"/>
              <w:rPr>
                <w:sz w:val="18"/>
                <w:szCs w:val="18"/>
              </w:rPr>
            </w:pPr>
            <w:r>
              <w:rPr>
                <w:spacing w:val="-2"/>
                <w:sz w:val="18"/>
                <w:szCs w:val="18"/>
              </w:rPr>
              <w:t>鲍泽民</w:t>
            </w:r>
          </w:p>
        </w:tc>
        <w:tc>
          <w:tcPr>
            <w:tcW w:w="3459" w:type="dxa"/>
            <w:vAlign w:val="top"/>
          </w:tcPr>
          <w:p>
            <w:pPr>
              <w:pStyle w:val="TableText"/>
              <w:spacing w:before="103" w:line="183" w:lineRule="auto"/>
              <w:ind w:left="1155"/>
              <w:rPr>
                <w:sz w:val="18"/>
                <w:szCs w:val="18"/>
              </w:rPr>
            </w:pPr>
            <w:r>
              <w:rPr>
                <w:spacing w:val="-2"/>
                <w:sz w:val="18"/>
                <w:szCs w:val="18"/>
              </w:rPr>
              <w:t>50,000.00</w:t>
            </w:r>
            <w:r>
              <w:rPr>
                <w:spacing w:val="14"/>
                <w:sz w:val="18"/>
                <w:szCs w:val="18"/>
              </w:rPr>
              <w:t xml:space="preserve">     </w:t>
            </w:r>
            <w:r>
              <w:rPr>
                <w:spacing w:val="-2"/>
                <w:sz w:val="18"/>
                <w:szCs w:val="18"/>
              </w:rPr>
              <w:t>50,000.00</w:t>
            </w:r>
          </w:p>
        </w:tc>
        <w:tc>
          <w:tcPr>
            <w:tcW w:w="1105" w:type="dxa"/>
            <w:vAlign w:val="top"/>
          </w:tcPr>
          <w:p>
            <w:pPr>
              <w:pStyle w:val="TableText"/>
              <w:spacing w:before="57" w:line="219" w:lineRule="auto"/>
              <w:ind w:left="676"/>
              <w:rPr>
                <w:sz w:val="18"/>
                <w:szCs w:val="18"/>
              </w:rPr>
            </w:pPr>
            <w:r>
              <w:rPr>
                <w:spacing w:val="10"/>
                <w:sz w:val="18"/>
                <w:szCs w:val="18"/>
              </w:rPr>
              <w:t>货币</w:t>
            </w:r>
          </w:p>
        </w:tc>
      </w:tr>
      <w:tr>
        <w:tblPrEx>
          <w:tblW w:w="8949" w:type="dxa"/>
          <w:tblInd w:w="0" w:type="dxa"/>
          <w:tblLayout w:type="fixed"/>
          <w:tblCellMar>
            <w:top w:w="0" w:type="dxa"/>
            <w:left w:w="0" w:type="dxa"/>
            <w:bottom w:w="0" w:type="dxa"/>
            <w:right w:w="0" w:type="dxa"/>
          </w:tblCellMar>
        </w:tblPrEx>
        <w:trPr>
          <w:trHeight w:val="6503"/>
        </w:trPr>
        <w:tc>
          <w:tcPr>
            <w:tcW w:w="8949" w:type="dxa"/>
            <w:gridSpan w:val="3"/>
            <w:vAlign w:val="top"/>
          </w:tcPr>
          <w:p>
            <w:pPr>
              <w:pStyle w:val="TableText"/>
              <w:spacing w:before="78" w:line="211" w:lineRule="auto"/>
              <w:ind w:left="430"/>
              <w:rPr>
                <w:sz w:val="18"/>
                <w:szCs w:val="18"/>
              </w:rPr>
            </w:pPr>
            <w:r>
              <w:pict>
                <v:shape id="_x0000_s1034" o:spid="_x0000_s1033" style="width:431.5pt;height:0.5pt;margin-top:15.75pt;margin-left:16pt;mso-height-relative:page;mso-position-horizontal-relative:page;mso-position-vertical-relative:page;mso-width-relative:page;position:absolute;z-index:251666432" coordsize="8630,10" path="m,5l4450,5m4450,5l6140,5m6140,5l7469,5m7469,5l8629,5e" filled="f" stroked="t" strokecolor="black">
                  <v:stroke joinstyle="miter"/>
                </v:shape>
              </w:pict>
            </w:r>
            <w:r>
              <w:rPr>
                <w:spacing w:val="-1"/>
                <w:position w:val="-1"/>
                <w:sz w:val="18"/>
                <w:szCs w:val="18"/>
              </w:rPr>
              <w:t xml:space="preserve">合 计                               </w:t>
            </w:r>
            <w:r>
              <w:rPr>
                <w:spacing w:val="-2"/>
                <w:position w:val="-1"/>
                <w:sz w:val="18"/>
                <w:szCs w:val="18"/>
              </w:rPr>
              <w:t xml:space="preserve">                 </w:t>
            </w:r>
            <w:r>
              <w:rPr>
                <w:b/>
                <w:bCs/>
                <w:spacing w:val="-2"/>
                <w:sz w:val="18"/>
                <w:szCs w:val="18"/>
              </w:rPr>
              <w:t>80,000,000.00</w:t>
            </w:r>
            <w:r>
              <w:rPr>
                <w:spacing w:val="-2"/>
                <w:sz w:val="18"/>
                <w:szCs w:val="18"/>
              </w:rPr>
              <w:t xml:space="preserve">   </w:t>
            </w:r>
            <w:r>
              <w:rPr>
                <w:b/>
                <w:bCs/>
                <w:spacing w:val="-2"/>
                <w:sz w:val="18"/>
                <w:szCs w:val="18"/>
              </w:rPr>
              <w:t>80,000,000.00</w:t>
            </w:r>
          </w:p>
          <w:p>
            <w:pPr>
              <w:spacing w:before="184" w:line="234" w:lineRule="auto"/>
              <w:ind w:left="389" w:right="56"/>
              <w:rPr>
                <w:rFonts w:ascii="仿宋" w:eastAsia="仿宋" w:hAnsi="仿宋" w:cs="仿宋"/>
                <w:sz w:val="23"/>
                <w:szCs w:val="23"/>
              </w:rPr>
            </w:pPr>
            <w:r>
              <w:rPr>
                <w:rFonts w:ascii="仿宋" w:eastAsia="仿宋" w:hAnsi="仿宋" w:cs="仿宋"/>
                <w:spacing w:val="-6"/>
                <w:sz w:val="23"/>
                <w:szCs w:val="23"/>
              </w:rPr>
              <w:t>2016年9月18日，经公司股东会决议同意，新兴亚洲投资有限</w:t>
            </w:r>
            <w:r>
              <w:rPr>
                <w:rFonts w:ascii="仿宋" w:eastAsia="仿宋" w:hAnsi="仿宋" w:cs="仿宋"/>
                <w:spacing w:val="-7"/>
                <w:sz w:val="23"/>
                <w:szCs w:val="23"/>
              </w:rPr>
              <w:t>公司将其持有公司0.6250%</w:t>
            </w:r>
            <w:r>
              <w:rPr>
                <w:rFonts w:ascii="仿宋" w:eastAsia="仿宋" w:hAnsi="仿宋" w:cs="仿宋"/>
                <w:sz w:val="23"/>
                <w:szCs w:val="23"/>
              </w:rPr>
              <w:t xml:space="preserve"> </w:t>
            </w:r>
            <w:r>
              <w:rPr>
                <w:rFonts w:ascii="仿宋" w:eastAsia="仿宋" w:hAnsi="仿宋" w:cs="仿宋"/>
                <w:spacing w:val="-4"/>
                <w:sz w:val="23"/>
                <w:szCs w:val="23"/>
              </w:rPr>
              <w:t>的股权计300万元转让给黄俊鸿；将其持有公司1.2500%的股权计600万元转让给广东瑞</w:t>
            </w:r>
            <w:r>
              <w:rPr>
                <w:rFonts w:ascii="仿宋" w:eastAsia="仿宋" w:hAnsi="仿宋" w:cs="仿宋"/>
                <w:spacing w:val="14"/>
                <w:sz w:val="23"/>
                <w:szCs w:val="23"/>
              </w:rPr>
              <w:t xml:space="preserve"> </w:t>
            </w:r>
            <w:r>
              <w:rPr>
                <w:rFonts w:ascii="仿宋" w:eastAsia="仿宋" w:hAnsi="仿宋" w:cs="仿宋"/>
                <w:spacing w:val="-1"/>
                <w:sz w:val="23"/>
                <w:szCs w:val="23"/>
              </w:rPr>
              <w:t>尼企业管理服务有限公司；将其持有0.8</w:t>
            </w:r>
            <w:r>
              <w:rPr>
                <w:rFonts w:ascii="仿宋" w:eastAsia="仿宋" w:hAnsi="仿宋" w:cs="仿宋"/>
                <w:spacing w:val="-2"/>
                <w:sz w:val="23"/>
                <w:szCs w:val="23"/>
              </w:rPr>
              <w:t>000%的股权计384万元转让给广州市东岸美景</w:t>
            </w:r>
            <w:r>
              <w:rPr>
                <w:rFonts w:ascii="仿宋" w:eastAsia="仿宋" w:hAnsi="仿宋" w:cs="仿宋"/>
                <w:sz w:val="23"/>
                <w:szCs w:val="23"/>
              </w:rPr>
              <w:t xml:space="preserve"> </w:t>
            </w:r>
            <w:r>
              <w:rPr>
                <w:rFonts w:ascii="仿宋" w:eastAsia="仿宋" w:hAnsi="仿宋" w:cs="仿宋"/>
                <w:spacing w:val="-1"/>
                <w:sz w:val="23"/>
                <w:szCs w:val="23"/>
              </w:rPr>
              <w:t>投资有限公司；将其持有1.0625%的股权计510万元转让给惠州市恒信通</w:t>
            </w:r>
            <w:r>
              <w:rPr>
                <w:rFonts w:ascii="仿宋" w:eastAsia="仿宋" w:hAnsi="仿宋" w:cs="仿宋"/>
                <w:spacing w:val="-2"/>
                <w:sz w:val="23"/>
                <w:szCs w:val="23"/>
              </w:rPr>
              <w:t>投资管理合伙</w:t>
            </w:r>
            <w:r>
              <w:rPr>
                <w:rFonts w:ascii="仿宋" w:eastAsia="仿宋" w:hAnsi="仿宋" w:cs="仿宋"/>
                <w:sz w:val="23"/>
                <w:szCs w:val="23"/>
              </w:rPr>
              <w:t xml:space="preserve"> </w:t>
            </w:r>
            <w:r>
              <w:rPr>
                <w:rFonts w:ascii="仿宋" w:eastAsia="仿宋" w:hAnsi="仿宋" w:cs="仿宋"/>
                <w:spacing w:val="5"/>
                <w:sz w:val="23"/>
                <w:szCs w:val="23"/>
              </w:rPr>
              <w:t>企业(有限合伙);将其持有0.375%的股权计180万元转让给惠州市吉源达投资管理合</w:t>
            </w:r>
            <w:r>
              <w:rPr>
                <w:rFonts w:ascii="仿宋" w:eastAsia="仿宋" w:hAnsi="仿宋" w:cs="仿宋"/>
                <w:spacing w:val="11"/>
                <w:sz w:val="23"/>
                <w:szCs w:val="23"/>
              </w:rPr>
              <w:t xml:space="preserve"> </w:t>
            </w:r>
            <w:r>
              <w:rPr>
                <w:rFonts w:ascii="仿宋" w:eastAsia="仿宋" w:hAnsi="仿宋" w:cs="仿宋"/>
                <w:spacing w:val="-6"/>
                <w:sz w:val="23"/>
                <w:szCs w:val="23"/>
              </w:rPr>
              <w:t>伙企业(有限合伙);将其持有0.19375%的股权计65.1万元转让给林楚琛；将其持有0.30%</w:t>
            </w:r>
            <w:r>
              <w:rPr>
                <w:rFonts w:ascii="仿宋" w:eastAsia="仿宋" w:hAnsi="仿宋" w:cs="仿宋"/>
                <w:spacing w:val="3"/>
                <w:sz w:val="23"/>
                <w:szCs w:val="23"/>
              </w:rPr>
              <w:t xml:space="preserve"> </w:t>
            </w:r>
            <w:r>
              <w:rPr>
                <w:rFonts w:ascii="仿宋" w:eastAsia="仿宋" w:hAnsi="仿宋" w:cs="仿宋"/>
                <w:spacing w:val="-5"/>
                <w:sz w:val="23"/>
                <w:szCs w:val="23"/>
              </w:rPr>
              <w:t>的股权计100.8</w:t>
            </w:r>
            <w:r>
              <w:rPr>
                <w:rFonts w:ascii="仿宋" w:eastAsia="仿宋" w:hAnsi="仿宋" w:cs="仿宋"/>
                <w:spacing w:val="-21"/>
                <w:sz w:val="23"/>
                <w:szCs w:val="23"/>
              </w:rPr>
              <w:t xml:space="preserve"> </w:t>
            </w:r>
            <w:r>
              <w:rPr>
                <w:rFonts w:ascii="仿宋" w:eastAsia="仿宋" w:hAnsi="仿宋" w:cs="仿宋"/>
                <w:spacing w:val="-5"/>
                <w:sz w:val="23"/>
                <w:szCs w:val="23"/>
              </w:rPr>
              <w:t>万元转让给鲍泽民；将其持有1.3125%的股权计630万元转让给陈祖扬；</w:t>
            </w:r>
            <w:r>
              <w:rPr>
                <w:rFonts w:ascii="仿宋" w:eastAsia="仿宋" w:hAnsi="仿宋" w:cs="仿宋"/>
                <w:sz w:val="23"/>
                <w:szCs w:val="23"/>
              </w:rPr>
              <w:t xml:space="preserve"> </w:t>
            </w:r>
            <w:r>
              <w:rPr>
                <w:rFonts w:ascii="仿宋" w:eastAsia="仿宋" w:hAnsi="仿宋" w:cs="仿宋"/>
                <w:spacing w:val="2"/>
                <w:sz w:val="23"/>
                <w:szCs w:val="23"/>
              </w:rPr>
              <w:t>将其持有0.75%的股权计360万元转让给梁卫山；将</w:t>
            </w:r>
            <w:r>
              <w:rPr>
                <w:rFonts w:ascii="仿宋" w:eastAsia="仿宋" w:hAnsi="仿宋" w:cs="仿宋"/>
                <w:spacing w:val="1"/>
                <w:sz w:val="23"/>
                <w:szCs w:val="23"/>
              </w:rPr>
              <w:t>其持有0.625%的股权计300万元转</w:t>
            </w:r>
            <w:r>
              <w:rPr>
                <w:rFonts w:ascii="仿宋" w:eastAsia="仿宋" w:hAnsi="仿宋" w:cs="仿宋"/>
                <w:sz w:val="23"/>
                <w:szCs w:val="23"/>
              </w:rPr>
              <w:t xml:space="preserve"> </w:t>
            </w:r>
            <w:r>
              <w:rPr>
                <w:rFonts w:ascii="仿宋" w:eastAsia="仿宋" w:hAnsi="仿宋" w:cs="仿宋"/>
                <w:spacing w:val="-1"/>
                <w:sz w:val="23"/>
                <w:szCs w:val="23"/>
              </w:rPr>
              <w:t>让给陈惠珍；将其持有0.25%的股权计120万元转让给杨玉华；将其持有0.125%的</w:t>
            </w:r>
            <w:r>
              <w:rPr>
                <w:rFonts w:ascii="仿宋" w:eastAsia="仿宋" w:hAnsi="仿宋" w:cs="仿宋"/>
                <w:spacing w:val="-2"/>
                <w:sz w:val="23"/>
                <w:szCs w:val="23"/>
              </w:rPr>
              <w:t>股权</w:t>
            </w:r>
            <w:r>
              <w:rPr>
                <w:rFonts w:ascii="仿宋" w:eastAsia="仿宋" w:hAnsi="仿宋" w:cs="仿宋"/>
                <w:sz w:val="23"/>
                <w:szCs w:val="23"/>
              </w:rPr>
              <w:t xml:space="preserve"> </w:t>
            </w:r>
            <w:r>
              <w:rPr>
                <w:rFonts w:ascii="仿宋" w:eastAsia="仿宋" w:hAnsi="仿宋" w:cs="仿宋"/>
                <w:spacing w:val="-3"/>
                <w:sz w:val="23"/>
                <w:szCs w:val="23"/>
              </w:rPr>
              <w:t>计60万元转让给江兆昌；将其持有1.325%的股</w:t>
            </w:r>
            <w:r>
              <w:rPr>
                <w:rFonts w:ascii="仿宋" w:eastAsia="仿宋" w:hAnsi="仿宋" w:cs="仿宋"/>
                <w:spacing w:val="-4"/>
                <w:sz w:val="23"/>
                <w:szCs w:val="23"/>
              </w:rPr>
              <w:t>权计445.2万元转让给惠州市天达投资管</w:t>
            </w:r>
            <w:r>
              <w:rPr>
                <w:rFonts w:ascii="仿宋" w:eastAsia="仿宋" w:hAnsi="仿宋" w:cs="仿宋"/>
                <w:sz w:val="23"/>
                <w:szCs w:val="23"/>
              </w:rPr>
              <w:t xml:space="preserve"> </w:t>
            </w:r>
            <w:r>
              <w:rPr>
                <w:rFonts w:ascii="仿宋" w:eastAsia="仿宋" w:hAnsi="仿宋" w:cs="仿宋"/>
                <w:spacing w:val="2"/>
                <w:sz w:val="23"/>
                <w:szCs w:val="23"/>
              </w:rPr>
              <w:t>理合伙企业(有限合伙);将其持有1.00%的股权计3</w:t>
            </w:r>
            <w:r>
              <w:rPr>
                <w:rFonts w:ascii="仿宋" w:eastAsia="仿宋" w:hAnsi="仿宋" w:cs="仿宋"/>
                <w:spacing w:val="1"/>
                <w:sz w:val="23"/>
                <w:szCs w:val="23"/>
              </w:rPr>
              <w:t>36万元转让给惠州市天演投资管理</w:t>
            </w:r>
            <w:r>
              <w:rPr>
                <w:rFonts w:ascii="仿宋" w:eastAsia="仿宋" w:hAnsi="仿宋" w:cs="仿宋"/>
                <w:sz w:val="23"/>
                <w:szCs w:val="23"/>
              </w:rPr>
              <w:t xml:space="preserve"> </w:t>
            </w:r>
            <w:r>
              <w:rPr>
                <w:rFonts w:ascii="仿宋" w:eastAsia="仿宋" w:hAnsi="仿宋" w:cs="仿宋"/>
                <w:spacing w:val="2"/>
                <w:sz w:val="23"/>
                <w:szCs w:val="23"/>
              </w:rPr>
              <w:t>合伙企业(有限合伙);将其持有0.9250%的股权计310.8万元</w:t>
            </w:r>
            <w:r>
              <w:rPr>
                <w:rFonts w:ascii="仿宋" w:eastAsia="仿宋" w:hAnsi="仿宋" w:cs="仿宋"/>
                <w:spacing w:val="1"/>
                <w:sz w:val="23"/>
                <w:szCs w:val="23"/>
              </w:rPr>
              <w:t>转让给东莞市浩烨贸易有</w:t>
            </w:r>
            <w:r>
              <w:rPr>
                <w:rFonts w:ascii="仿宋" w:eastAsia="仿宋" w:hAnsi="仿宋" w:cs="仿宋"/>
                <w:sz w:val="23"/>
                <w:szCs w:val="23"/>
              </w:rPr>
              <w:t xml:space="preserve"> </w:t>
            </w:r>
            <w:r>
              <w:rPr>
                <w:rFonts w:ascii="仿宋" w:eastAsia="仿宋" w:hAnsi="仿宋" w:cs="仿宋"/>
                <w:spacing w:val="-5"/>
                <w:sz w:val="23"/>
                <w:szCs w:val="23"/>
              </w:rPr>
              <w:t>限公司；将其持有1.10%的股权计369.6</w:t>
            </w:r>
            <w:r>
              <w:rPr>
                <w:rFonts w:ascii="仿宋" w:eastAsia="仿宋" w:hAnsi="仿宋" w:cs="仿宋"/>
                <w:spacing w:val="-28"/>
                <w:sz w:val="23"/>
                <w:szCs w:val="23"/>
              </w:rPr>
              <w:t xml:space="preserve"> </w:t>
            </w:r>
            <w:r>
              <w:rPr>
                <w:rFonts w:ascii="仿宋" w:eastAsia="仿宋" w:hAnsi="仿宋" w:cs="仿宋"/>
                <w:spacing w:val="-5"/>
                <w:sz w:val="23"/>
                <w:szCs w:val="23"/>
              </w:rPr>
              <w:t>万元转让给吴</w:t>
            </w:r>
            <w:r>
              <w:rPr>
                <w:rFonts w:ascii="仿宋" w:eastAsia="仿宋" w:hAnsi="仿宋" w:cs="仿宋"/>
                <w:spacing w:val="-6"/>
                <w:sz w:val="23"/>
                <w:szCs w:val="23"/>
              </w:rPr>
              <w:t>启明；将其持有0.1250%的股权计</w:t>
            </w:r>
            <w:r>
              <w:rPr>
                <w:rFonts w:ascii="仿宋" w:eastAsia="仿宋" w:hAnsi="仿宋" w:cs="仿宋"/>
                <w:sz w:val="23"/>
                <w:szCs w:val="23"/>
              </w:rPr>
              <w:t xml:space="preserve"> </w:t>
            </w:r>
            <w:r>
              <w:rPr>
                <w:rFonts w:ascii="仿宋" w:eastAsia="仿宋" w:hAnsi="仿宋" w:cs="仿宋"/>
                <w:spacing w:val="-6"/>
                <w:sz w:val="23"/>
                <w:szCs w:val="23"/>
              </w:rPr>
              <w:t>42.00万元转让给林翠君；持有公司0.0625%的股权计21万元转让给惠</w:t>
            </w:r>
            <w:r>
              <w:rPr>
                <w:rFonts w:ascii="仿宋" w:eastAsia="仿宋" w:hAnsi="仿宋" w:cs="仿宋"/>
                <w:spacing w:val="-7"/>
                <w:sz w:val="23"/>
                <w:szCs w:val="23"/>
              </w:rPr>
              <w:t>州市牧天投资管理</w:t>
            </w:r>
            <w:r>
              <w:rPr>
                <w:rFonts w:ascii="仿宋" w:eastAsia="仿宋" w:hAnsi="仿宋" w:cs="仿宋"/>
                <w:sz w:val="23"/>
                <w:szCs w:val="23"/>
              </w:rPr>
              <w:t xml:space="preserve"> </w:t>
            </w:r>
            <w:r>
              <w:rPr>
                <w:rFonts w:ascii="仿宋" w:eastAsia="仿宋" w:hAnsi="仿宋" w:cs="仿宋"/>
                <w:spacing w:val="3"/>
                <w:sz w:val="23"/>
                <w:szCs w:val="23"/>
              </w:rPr>
              <w:t>合伙企业(有限合伙);持有公司0.0625%的</w:t>
            </w:r>
            <w:r>
              <w:rPr>
                <w:rFonts w:ascii="仿宋" w:eastAsia="仿宋" w:hAnsi="仿宋" w:cs="仿宋"/>
                <w:spacing w:val="2"/>
                <w:sz w:val="23"/>
                <w:szCs w:val="23"/>
              </w:rPr>
              <w:t>股权计21</w:t>
            </w:r>
            <w:r>
              <w:rPr>
                <w:rFonts w:ascii="仿宋" w:eastAsia="仿宋" w:hAnsi="仿宋" w:cs="仿宋"/>
                <w:spacing w:val="-40"/>
                <w:sz w:val="23"/>
                <w:szCs w:val="23"/>
              </w:rPr>
              <w:t xml:space="preserve"> </w:t>
            </w:r>
            <w:r>
              <w:rPr>
                <w:rFonts w:ascii="仿宋" w:eastAsia="仿宋" w:hAnsi="仿宋" w:cs="仿宋"/>
                <w:spacing w:val="2"/>
                <w:sz w:val="23"/>
                <w:szCs w:val="23"/>
              </w:rPr>
              <w:t>万元转让给惠州市本盛投资管理</w:t>
            </w:r>
            <w:r>
              <w:rPr>
                <w:rFonts w:ascii="仿宋" w:eastAsia="仿宋" w:hAnsi="仿宋" w:cs="仿宋"/>
                <w:sz w:val="23"/>
                <w:szCs w:val="23"/>
              </w:rPr>
              <w:t xml:space="preserve"> </w:t>
            </w:r>
            <w:r>
              <w:rPr>
                <w:rFonts w:ascii="仿宋" w:eastAsia="仿宋" w:hAnsi="仿宋" w:cs="仿宋"/>
                <w:spacing w:val="3"/>
                <w:sz w:val="23"/>
                <w:szCs w:val="23"/>
              </w:rPr>
              <w:t>合伙企业(有限合伙);持有公司0.0625%的</w:t>
            </w:r>
            <w:r>
              <w:rPr>
                <w:rFonts w:ascii="仿宋" w:eastAsia="仿宋" w:hAnsi="仿宋" w:cs="仿宋"/>
                <w:spacing w:val="2"/>
                <w:sz w:val="23"/>
                <w:szCs w:val="23"/>
              </w:rPr>
              <w:t>股权计21</w:t>
            </w:r>
            <w:r>
              <w:rPr>
                <w:rFonts w:ascii="仿宋" w:eastAsia="仿宋" w:hAnsi="仿宋" w:cs="仿宋"/>
                <w:spacing w:val="-40"/>
                <w:sz w:val="23"/>
                <w:szCs w:val="23"/>
              </w:rPr>
              <w:t xml:space="preserve"> </w:t>
            </w:r>
            <w:r>
              <w:rPr>
                <w:rFonts w:ascii="仿宋" w:eastAsia="仿宋" w:hAnsi="仿宋" w:cs="仿宋"/>
                <w:spacing w:val="2"/>
                <w:sz w:val="23"/>
                <w:szCs w:val="23"/>
              </w:rPr>
              <w:t>万元转让给惠州市优源投资管理</w:t>
            </w:r>
            <w:r>
              <w:rPr>
                <w:rFonts w:ascii="仿宋" w:eastAsia="仿宋" w:hAnsi="仿宋" w:cs="仿宋"/>
                <w:sz w:val="23"/>
                <w:szCs w:val="23"/>
              </w:rPr>
              <w:t xml:space="preserve"> </w:t>
            </w:r>
            <w:r>
              <w:rPr>
                <w:rFonts w:ascii="仿宋" w:eastAsia="仿宋" w:hAnsi="仿宋" w:cs="仿宋"/>
                <w:spacing w:val="7"/>
                <w:sz w:val="23"/>
                <w:szCs w:val="23"/>
              </w:rPr>
              <w:t>合伙企业(有限合伙),2016年10月3</w:t>
            </w:r>
            <w:r>
              <w:rPr>
                <w:rFonts w:ascii="仿宋" w:eastAsia="仿宋" w:hAnsi="仿宋" w:cs="仿宋"/>
                <w:spacing w:val="6"/>
                <w:sz w:val="23"/>
                <w:szCs w:val="23"/>
              </w:rPr>
              <w:t>1日公司完成工商变更登记。</w:t>
            </w:r>
          </w:p>
          <w:p>
            <w:pPr>
              <w:spacing w:before="228" w:line="219" w:lineRule="auto"/>
              <w:ind w:left="389"/>
              <w:rPr>
                <w:rFonts w:ascii="仿宋" w:eastAsia="仿宋" w:hAnsi="仿宋" w:cs="仿宋"/>
                <w:sz w:val="23"/>
                <w:szCs w:val="23"/>
              </w:rPr>
            </w:pPr>
            <w:r>
              <w:rPr>
                <w:rFonts w:ascii="仿宋" w:eastAsia="仿宋" w:hAnsi="仿宋" w:cs="仿宋"/>
                <w:spacing w:val="-9"/>
                <w:sz w:val="23"/>
                <w:szCs w:val="23"/>
              </w:rPr>
              <w:t>本次股权转让后，各股东出资情况如下：</w:t>
            </w:r>
          </w:p>
          <w:p>
            <w:pPr>
              <w:spacing w:before="169" w:line="10" w:lineRule="exact"/>
              <w:ind w:left="280"/>
            </w:pPr>
          </w:p>
          <w:p>
            <w:pPr>
              <w:pStyle w:val="TableText"/>
              <w:spacing w:before="129" w:line="232" w:lineRule="auto"/>
              <w:ind w:left="402"/>
              <w:rPr>
                <w:sz w:val="19"/>
                <w:szCs w:val="19"/>
              </w:rPr>
            </w:pPr>
            <w:r>
              <w:rPr>
                <w:b/>
                <w:bCs/>
                <w:spacing w:val="-2"/>
                <w:sz w:val="19"/>
                <w:szCs w:val="19"/>
              </w:rPr>
              <w:t>股东名称</w:t>
            </w:r>
            <w:r>
              <w:rPr>
                <w:spacing w:val="2"/>
                <w:sz w:val="19"/>
                <w:szCs w:val="19"/>
              </w:rPr>
              <w:t xml:space="preserve">                                    </w:t>
            </w:r>
            <w:r>
              <w:rPr>
                <w:spacing w:val="1"/>
                <w:sz w:val="19"/>
                <w:szCs w:val="19"/>
              </w:rPr>
              <w:t xml:space="preserve">  </w:t>
            </w:r>
            <w:r>
              <w:rPr>
                <w:b/>
                <w:bCs/>
                <w:spacing w:val="-2"/>
                <w:sz w:val="19"/>
                <w:szCs w:val="19"/>
              </w:rPr>
              <w:t>认缴出资额</w:t>
            </w:r>
            <w:r>
              <w:rPr>
                <w:spacing w:val="-2"/>
                <w:sz w:val="19"/>
                <w:szCs w:val="19"/>
              </w:rPr>
              <w:t xml:space="preserve">       实际出资额</w:t>
            </w:r>
            <w:r>
              <w:rPr>
                <w:spacing w:val="7"/>
                <w:sz w:val="19"/>
                <w:szCs w:val="19"/>
              </w:rPr>
              <w:t xml:space="preserve">       </w:t>
            </w:r>
            <w:r>
              <w:rPr>
                <w:b/>
                <w:bCs/>
                <w:spacing w:val="-2"/>
                <w:sz w:val="19"/>
                <w:szCs w:val="19"/>
              </w:rPr>
              <w:t>出资方式</w:t>
            </w:r>
          </w:p>
        </w:tc>
      </w:tr>
      <w:tr>
        <w:tblPrEx>
          <w:tblW w:w="8949" w:type="dxa"/>
          <w:tblInd w:w="0" w:type="dxa"/>
          <w:tblLayout w:type="fixed"/>
          <w:tblCellMar>
            <w:top w:w="0" w:type="dxa"/>
            <w:left w:w="0" w:type="dxa"/>
            <w:bottom w:w="0" w:type="dxa"/>
            <w:right w:w="0" w:type="dxa"/>
          </w:tblCellMar>
        </w:tblPrEx>
        <w:trPr>
          <w:trHeight w:val="315"/>
        </w:trPr>
        <w:tc>
          <w:tcPr>
            <w:tcW w:w="4385" w:type="dxa"/>
            <w:vAlign w:val="top"/>
          </w:tcPr>
          <w:p>
            <w:pPr>
              <w:pStyle w:val="TableText"/>
              <w:spacing w:before="75" w:line="220" w:lineRule="auto"/>
              <w:ind w:left="399"/>
              <w:rPr>
                <w:sz w:val="19"/>
                <w:szCs w:val="19"/>
              </w:rPr>
            </w:pPr>
            <w:r>
              <w:rPr>
                <w:spacing w:val="2"/>
                <w:sz w:val="19"/>
                <w:szCs w:val="19"/>
              </w:rPr>
              <w:t>新兴亚洲投资有限公司</w:t>
            </w:r>
          </w:p>
        </w:tc>
        <w:tc>
          <w:tcPr>
            <w:tcW w:w="3459" w:type="dxa"/>
            <w:vAlign w:val="top"/>
          </w:tcPr>
          <w:p>
            <w:pPr>
              <w:pStyle w:val="TableText"/>
              <w:spacing w:before="111" w:line="183" w:lineRule="auto"/>
              <w:ind w:left="285"/>
              <w:rPr>
                <w:sz w:val="19"/>
                <w:szCs w:val="19"/>
              </w:rPr>
            </w:pPr>
            <w:r>
              <w:rPr>
                <w:spacing w:val="-1"/>
                <w:sz w:val="19"/>
                <w:szCs w:val="19"/>
              </w:rPr>
              <w:t>67,435,000.00</w:t>
            </w:r>
            <w:r>
              <w:rPr>
                <w:spacing w:val="7"/>
                <w:sz w:val="19"/>
                <w:szCs w:val="19"/>
              </w:rPr>
              <w:t xml:space="preserve">     </w:t>
            </w:r>
            <w:r>
              <w:rPr>
                <w:spacing w:val="-1"/>
                <w:sz w:val="19"/>
                <w:szCs w:val="19"/>
              </w:rPr>
              <w:t>67,435,000.00</w:t>
            </w:r>
          </w:p>
        </w:tc>
        <w:tc>
          <w:tcPr>
            <w:tcW w:w="1105" w:type="dxa"/>
            <w:vAlign w:val="top"/>
          </w:tcPr>
          <w:p>
            <w:pPr>
              <w:pStyle w:val="TableText"/>
              <w:spacing w:before="73" w:line="219" w:lineRule="auto"/>
              <w:ind w:left="66"/>
              <w:rPr>
                <w:sz w:val="19"/>
                <w:szCs w:val="19"/>
              </w:rPr>
            </w:pPr>
            <w:r>
              <w:rPr>
                <w:spacing w:val="1"/>
                <w:sz w:val="19"/>
                <w:szCs w:val="19"/>
              </w:rPr>
              <w:t>货币、实物</w:t>
            </w:r>
          </w:p>
        </w:tc>
      </w:tr>
      <w:tr>
        <w:tblPrEx>
          <w:tblW w:w="8949" w:type="dxa"/>
          <w:tblInd w:w="0" w:type="dxa"/>
          <w:tblLayout w:type="fixed"/>
          <w:tblCellMar>
            <w:top w:w="0" w:type="dxa"/>
            <w:left w:w="0" w:type="dxa"/>
            <w:bottom w:w="0" w:type="dxa"/>
            <w:right w:w="0" w:type="dxa"/>
          </w:tblCellMar>
        </w:tblPrEx>
        <w:trPr>
          <w:trHeight w:val="315"/>
        </w:trPr>
        <w:tc>
          <w:tcPr>
            <w:tcW w:w="4385" w:type="dxa"/>
            <w:vAlign w:val="top"/>
          </w:tcPr>
          <w:p>
            <w:pPr>
              <w:pStyle w:val="TableText"/>
              <w:spacing w:before="79" w:line="219" w:lineRule="auto"/>
              <w:ind w:left="399"/>
              <w:rPr>
                <w:sz w:val="19"/>
                <w:szCs w:val="19"/>
              </w:rPr>
            </w:pPr>
            <w:r>
              <w:rPr>
                <w:spacing w:val="6"/>
                <w:sz w:val="19"/>
                <w:szCs w:val="19"/>
              </w:rPr>
              <w:t>郑小明</w:t>
            </w:r>
          </w:p>
        </w:tc>
        <w:tc>
          <w:tcPr>
            <w:tcW w:w="3459" w:type="dxa"/>
            <w:vAlign w:val="top"/>
          </w:tcPr>
          <w:p>
            <w:pPr>
              <w:pStyle w:val="TableText"/>
              <w:spacing w:before="116" w:line="183" w:lineRule="auto"/>
              <w:ind w:left="474"/>
              <w:rPr>
                <w:sz w:val="19"/>
                <w:szCs w:val="19"/>
              </w:rPr>
            </w:pPr>
            <w:r>
              <w:rPr>
                <w:sz w:val="19"/>
                <w:szCs w:val="19"/>
              </w:rPr>
              <w:t>2,400,000.00     2,400,</w:t>
            </w:r>
            <w:r>
              <w:rPr>
                <w:spacing w:val="-1"/>
                <w:sz w:val="19"/>
                <w:szCs w:val="19"/>
              </w:rPr>
              <w:t>000.00</w:t>
            </w:r>
          </w:p>
        </w:tc>
        <w:tc>
          <w:tcPr>
            <w:tcW w:w="1105" w:type="dxa"/>
            <w:vAlign w:val="top"/>
          </w:tcPr>
          <w:p>
            <w:pPr>
              <w:pStyle w:val="TableText"/>
              <w:spacing w:before="58" w:line="219" w:lineRule="auto"/>
              <w:ind w:left="636"/>
              <w:rPr>
                <w:sz w:val="19"/>
                <w:szCs w:val="19"/>
              </w:rPr>
            </w:pPr>
            <w:r>
              <w:rPr>
                <w:spacing w:val="11"/>
                <w:sz w:val="19"/>
                <w:szCs w:val="19"/>
              </w:rPr>
              <w:t>货币</w:t>
            </w:r>
          </w:p>
        </w:tc>
      </w:tr>
      <w:tr>
        <w:tblPrEx>
          <w:tblW w:w="8949" w:type="dxa"/>
          <w:tblInd w:w="0" w:type="dxa"/>
          <w:tblLayout w:type="fixed"/>
          <w:tblCellMar>
            <w:top w:w="0" w:type="dxa"/>
            <w:left w:w="0" w:type="dxa"/>
            <w:bottom w:w="0" w:type="dxa"/>
            <w:right w:w="0" w:type="dxa"/>
          </w:tblCellMar>
        </w:tblPrEx>
        <w:trPr>
          <w:trHeight w:val="330"/>
        </w:trPr>
        <w:tc>
          <w:tcPr>
            <w:tcW w:w="4385" w:type="dxa"/>
            <w:vAlign w:val="top"/>
          </w:tcPr>
          <w:p>
            <w:pPr>
              <w:pStyle w:val="TableText"/>
              <w:spacing w:before="63" w:line="219" w:lineRule="auto"/>
              <w:ind w:left="399"/>
              <w:rPr>
                <w:sz w:val="19"/>
                <w:szCs w:val="19"/>
              </w:rPr>
            </w:pPr>
            <w:r>
              <w:rPr>
                <w:spacing w:val="2"/>
                <w:sz w:val="19"/>
                <w:szCs w:val="19"/>
              </w:rPr>
              <w:t>惠州市天达投资管理合伙企业(有限合伙)</w:t>
            </w:r>
          </w:p>
        </w:tc>
        <w:tc>
          <w:tcPr>
            <w:tcW w:w="3459" w:type="dxa"/>
            <w:vAlign w:val="top"/>
          </w:tcPr>
          <w:p>
            <w:pPr>
              <w:pStyle w:val="TableText"/>
              <w:spacing w:before="121" w:line="193" w:lineRule="auto"/>
              <w:ind w:left="484"/>
              <w:rPr>
                <w:sz w:val="19"/>
                <w:szCs w:val="19"/>
              </w:rPr>
            </w:pPr>
            <w:r>
              <w:rPr>
                <w:spacing w:val="-2"/>
                <w:sz w:val="19"/>
                <w:szCs w:val="19"/>
              </w:rPr>
              <w:t>1,060,000.00</w:t>
            </w:r>
            <w:r>
              <w:rPr>
                <w:spacing w:val="8"/>
                <w:sz w:val="19"/>
                <w:szCs w:val="19"/>
              </w:rPr>
              <w:t xml:space="preserve">     </w:t>
            </w:r>
            <w:r>
              <w:rPr>
                <w:spacing w:val="-2"/>
                <w:sz w:val="19"/>
                <w:szCs w:val="19"/>
              </w:rPr>
              <w:t>1,060,000.00</w:t>
            </w:r>
          </w:p>
        </w:tc>
        <w:tc>
          <w:tcPr>
            <w:tcW w:w="1105" w:type="dxa"/>
            <w:vAlign w:val="top"/>
          </w:tcPr>
          <w:p>
            <w:pPr>
              <w:pStyle w:val="TableText"/>
              <w:spacing w:before="53" w:line="219" w:lineRule="auto"/>
              <w:ind w:left="636"/>
              <w:rPr>
                <w:sz w:val="19"/>
                <w:szCs w:val="19"/>
              </w:rPr>
            </w:pPr>
            <w:r>
              <w:rPr>
                <w:spacing w:val="11"/>
                <w:sz w:val="19"/>
                <w:szCs w:val="19"/>
              </w:rPr>
              <w:t>货币</w:t>
            </w:r>
          </w:p>
        </w:tc>
      </w:tr>
      <w:tr>
        <w:tblPrEx>
          <w:tblW w:w="8949" w:type="dxa"/>
          <w:tblInd w:w="0" w:type="dxa"/>
          <w:tblLayout w:type="fixed"/>
          <w:tblCellMar>
            <w:top w:w="0" w:type="dxa"/>
            <w:left w:w="0" w:type="dxa"/>
            <w:bottom w:w="0" w:type="dxa"/>
            <w:right w:w="0" w:type="dxa"/>
          </w:tblCellMar>
        </w:tblPrEx>
        <w:trPr>
          <w:trHeight w:val="319"/>
        </w:trPr>
        <w:tc>
          <w:tcPr>
            <w:tcW w:w="4385" w:type="dxa"/>
            <w:vAlign w:val="top"/>
          </w:tcPr>
          <w:p>
            <w:pPr>
              <w:pStyle w:val="TableText"/>
              <w:spacing w:before="73" w:line="219" w:lineRule="auto"/>
              <w:ind w:left="399"/>
              <w:rPr>
                <w:sz w:val="19"/>
                <w:szCs w:val="19"/>
              </w:rPr>
            </w:pPr>
            <w:r>
              <w:rPr>
                <w:spacing w:val="3"/>
                <w:sz w:val="19"/>
                <w:szCs w:val="19"/>
              </w:rPr>
              <w:t>陈祖扬</w:t>
            </w:r>
          </w:p>
        </w:tc>
        <w:tc>
          <w:tcPr>
            <w:tcW w:w="3459" w:type="dxa"/>
            <w:vAlign w:val="top"/>
          </w:tcPr>
          <w:p>
            <w:pPr>
              <w:pStyle w:val="TableText"/>
              <w:spacing w:before="111" w:line="192" w:lineRule="auto"/>
              <w:ind w:left="484"/>
              <w:rPr>
                <w:sz w:val="19"/>
                <w:szCs w:val="19"/>
              </w:rPr>
            </w:pPr>
            <w:r>
              <w:rPr>
                <w:spacing w:val="-2"/>
                <w:sz w:val="19"/>
                <w:szCs w:val="19"/>
              </w:rPr>
              <w:t>1,050,000.00</w:t>
            </w:r>
            <w:r>
              <w:rPr>
                <w:spacing w:val="6"/>
                <w:sz w:val="19"/>
                <w:szCs w:val="19"/>
              </w:rPr>
              <w:t xml:space="preserve">     </w:t>
            </w:r>
            <w:r>
              <w:rPr>
                <w:spacing w:val="-2"/>
                <w:sz w:val="19"/>
                <w:szCs w:val="19"/>
              </w:rPr>
              <w:t>1,050,000.00</w:t>
            </w:r>
          </w:p>
        </w:tc>
        <w:tc>
          <w:tcPr>
            <w:tcW w:w="1105" w:type="dxa"/>
            <w:vAlign w:val="top"/>
          </w:tcPr>
          <w:p>
            <w:pPr>
              <w:pStyle w:val="TableText"/>
              <w:spacing w:before="53" w:line="219" w:lineRule="auto"/>
              <w:ind w:left="636"/>
              <w:rPr>
                <w:sz w:val="19"/>
                <w:szCs w:val="19"/>
              </w:rPr>
            </w:pPr>
            <w:r>
              <w:rPr>
                <w:spacing w:val="11"/>
                <w:sz w:val="19"/>
                <w:szCs w:val="19"/>
              </w:rPr>
              <w:t>货币</w:t>
            </w:r>
          </w:p>
        </w:tc>
      </w:tr>
      <w:tr>
        <w:tblPrEx>
          <w:tblW w:w="8949" w:type="dxa"/>
          <w:tblInd w:w="0" w:type="dxa"/>
          <w:tblLayout w:type="fixed"/>
          <w:tblCellMar>
            <w:top w:w="0" w:type="dxa"/>
            <w:left w:w="0" w:type="dxa"/>
            <w:bottom w:w="0" w:type="dxa"/>
            <w:right w:w="0" w:type="dxa"/>
          </w:tblCellMar>
        </w:tblPrEx>
        <w:trPr>
          <w:trHeight w:val="310"/>
        </w:trPr>
        <w:tc>
          <w:tcPr>
            <w:tcW w:w="4385" w:type="dxa"/>
            <w:vAlign w:val="top"/>
          </w:tcPr>
          <w:p>
            <w:pPr>
              <w:pStyle w:val="TableText"/>
              <w:spacing w:before="56" w:line="219" w:lineRule="auto"/>
              <w:ind w:left="399"/>
              <w:rPr>
                <w:sz w:val="19"/>
                <w:szCs w:val="19"/>
              </w:rPr>
            </w:pPr>
            <w:r>
              <w:rPr>
                <w:spacing w:val="1"/>
                <w:sz w:val="19"/>
                <w:szCs w:val="19"/>
              </w:rPr>
              <w:t>广东瑞尼企业管理服务有限公司</w:t>
            </w:r>
          </w:p>
        </w:tc>
        <w:tc>
          <w:tcPr>
            <w:tcW w:w="3459" w:type="dxa"/>
            <w:vAlign w:val="top"/>
          </w:tcPr>
          <w:p>
            <w:pPr>
              <w:pStyle w:val="TableText"/>
              <w:spacing w:before="111" w:line="183" w:lineRule="auto"/>
              <w:ind w:left="495"/>
              <w:rPr>
                <w:sz w:val="19"/>
                <w:szCs w:val="19"/>
              </w:rPr>
            </w:pPr>
            <w:r>
              <w:rPr>
                <w:spacing w:val="-2"/>
                <w:sz w:val="19"/>
                <w:szCs w:val="19"/>
              </w:rPr>
              <w:t>1,000,000.00</w:t>
            </w:r>
            <w:r>
              <w:rPr>
                <w:spacing w:val="4"/>
                <w:sz w:val="19"/>
                <w:szCs w:val="19"/>
              </w:rPr>
              <w:t xml:space="preserve">     </w:t>
            </w:r>
            <w:r>
              <w:rPr>
                <w:spacing w:val="-2"/>
                <w:sz w:val="19"/>
                <w:szCs w:val="19"/>
              </w:rPr>
              <w:t>1,000,000.00</w:t>
            </w:r>
          </w:p>
        </w:tc>
        <w:tc>
          <w:tcPr>
            <w:tcW w:w="1105" w:type="dxa"/>
            <w:vAlign w:val="top"/>
          </w:tcPr>
          <w:p>
            <w:pPr>
              <w:pStyle w:val="TableText"/>
              <w:spacing w:before="54" w:line="219" w:lineRule="auto"/>
              <w:ind w:left="636"/>
              <w:rPr>
                <w:sz w:val="19"/>
                <w:szCs w:val="19"/>
              </w:rPr>
            </w:pPr>
            <w:r>
              <w:rPr>
                <w:spacing w:val="11"/>
                <w:sz w:val="19"/>
                <w:szCs w:val="19"/>
              </w:rPr>
              <w:t>货币</w:t>
            </w:r>
          </w:p>
        </w:tc>
      </w:tr>
      <w:tr>
        <w:tblPrEx>
          <w:tblW w:w="8949" w:type="dxa"/>
          <w:tblInd w:w="0" w:type="dxa"/>
          <w:tblLayout w:type="fixed"/>
          <w:tblCellMar>
            <w:top w:w="0" w:type="dxa"/>
            <w:left w:w="0" w:type="dxa"/>
            <w:bottom w:w="0" w:type="dxa"/>
            <w:right w:w="0" w:type="dxa"/>
          </w:tblCellMar>
        </w:tblPrEx>
        <w:trPr>
          <w:trHeight w:val="302"/>
        </w:trPr>
        <w:tc>
          <w:tcPr>
            <w:tcW w:w="4385" w:type="dxa"/>
            <w:vAlign w:val="top"/>
          </w:tcPr>
          <w:p>
            <w:pPr>
              <w:pStyle w:val="TableText"/>
              <w:spacing w:before="75" w:line="210" w:lineRule="auto"/>
              <w:ind w:left="399"/>
              <w:rPr>
                <w:sz w:val="19"/>
                <w:szCs w:val="19"/>
              </w:rPr>
            </w:pPr>
            <w:r>
              <w:rPr>
                <w:spacing w:val="6"/>
                <w:sz w:val="19"/>
                <w:szCs w:val="19"/>
              </w:rPr>
              <w:t>吴启明</w:t>
            </w:r>
          </w:p>
        </w:tc>
        <w:tc>
          <w:tcPr>
            <w:tcW w:w="3459" w:type="dxa"/>
            <w:vAlign w:val="top"/>
          </w:tcPr>
          <w:p>
            <w:pPr>
              <w:pStyle w:val="TableText"/>
              <w:spacing w:before="122" w:line="165" w:lineRule="auto"/>
              <w:ind w:left="595"/>
              <w:rPr>
                <w:sz w:val="19"/>
                <w:szCs w:val="19"/>
              </w:rPr>
            </w:pPr>
            <w:r>
              <w:rPr>
                <w:spacing w:val="-1"/>
                <w:sz w:val="19"/>
                <w:szCs w:val="19"/>
              </w:rPr>
              <w:t>880,000.00       880,000.00</w:t>
            </w:r>
          </w:p>
        </w:tc>
        <w:tc>
          <w:tcPr>
            <w:tcW w:w="1105" w:type="dxa"/>
            <w:vAlign w:val="top"/>
          </w:tcPr>
          <w:p>
            <w:pPr>
              <w:pStyle w:val="TableText"/>
              <w:spacing w:before="44" w:line="219" w:lineRule="auto"/>
              <w:ind w:left="636"/>
              <w:rPr>
                <w:sz w:val="19"/>
                <w:szCs w:val="19"/>
              </w:rPr>
            </w:pPr>
            <w:r>
              <w:rPr>
                <w:spacing w:val="11"/>
                <w:sz w:val="19"/>
                <w:szCs w:val="19"/>
              </w:rPr>
              <w:t>货币</w:t>
            </w:r>
          </w:p>
        </w:tc>
      </w:tr>
      <w:tr>
        <w:tblPrEx>
          <w:tblW w:w="8949" w:type="dxa"/>
          <w:tblInd w:w="0" w:type="dxa"/>
          <w:tblLayout w:type="fixed"/>
          <w:tblCellMar>
            <w:top w:w="0" w:type="dxa"/>
            <w:left w:w="0" w:type="dxa"/>
            <w:bottom w:w="0" w:type="dxa"/>
            <w:right w:w="0" w:type="dxa"/>
          </w:tblCellMar>
        </w:tblPrEx>
        <w:trPr>
          <w:trHeight w:val="397"/>
        </w:trPr>
        <w:tc>
          <w:tcPr>
            <w:tcW w:w="4385" w:type="dxa"/>
            <w:vAlign w:val="top"/>
          </w:tcPr>
          <w:p>
            <w:pPr>
              <w:pStyle w:val="TableText"/>
              <w:spacing w:before="92" w:line="219" w:lineRule="auto"/>
              <w:ind w:left="399"/>
              <w:rPr>
                <w:sz w:val="19"/>
                <w:szCs w:val="19"/>
              </w:rPr>
            </w:pPr>
            <w:r>
              <w:rPr>
                <w:spacing w:val="4"/>
                <w:sz w:val="19"/>
                <w:szCs w:val="19"/>
              </w:rPr>
              <w:t>惠州市恒信通投资管理合伙企业(有限合伙；</w:t>
            </w:r>
          </w:p>
        </w:tc>
        <w:tc>
          <w:tcPr>
            <w:tcW w:w="3459" w:type="dxa"/>
            <w:vAlign w:val="top"/>
          </w:tcPr>
          <w:p>
            <w:pPr>
              <w:pStyle w:val="TableText"/>
              <w:spacing w:before="141" w:line="192" w:lineRule="auto"/>
              <w:ind w:left="595"/>
              <w:rPr>
                <w:sz w:val="19"/>
                <w:szCs w:val="19"/>
              </w:rPr>
            </w:pPr>
            <w:r>
              <w:rPr>
                <w:spacing w:val="-1"/>
                <w:sz w:val="19"/>
                <w:szCs w:val="19"/>
              </w:rPr>
              <w:t>850,000.00</w:t>
            </w:r>
            <w:r>
              <w:rPr>
                <w:spacing w:val="3"/>
                <w:sz w:val="19"/>
                <w:szCs w:val="19"/>
              </w:rPr>
              <w:t xml:space="preserve">       </w:t>
            </w:r>
            <w:r>
              <w:rPr>
                <w:spacing w:val="-1"/>
                <w:sz w:val="19"/>
                <w:szCs w:val="19"/>
              </w:rPr>
              <w:t>850,000.00</w:t>
            </w:r>
          </w:p>
        </w:tc>
        <w:tc>
          <w:tcPr>
            <w:tcW w:w="1105" w:type="dxa"/>
            <w:vAlign w:val="top"/>
          </w:tcPr>
          <w:p>
            <w:pPr>
              <w:pStyle w:val="TableText"/>
              <w:spacing w:before="34" w:line="181" w:lineRule="auto"/>
              <w:ind w:left="656"/>
              <w:rPr>
                <w:sz w:val="36"/>
                <w:szCs w:val="36"/>
              </w:rPr>
            </w:pPr>
            <w:r>
              <w:rPr>
                <w:sz w:val="36"/>
                <w:szCs w:val="36"/>
              </w:rPr>
              <w:t>资</w:t>
            </w:r>
          </w:p>
        </w:tc>
      </w:tr>
      <w:tr>
        <w:tblPrEx>
          <w:tblW w:w="8949" w:type="dxa"/>
          <w:tblInd w:w="0" w:type="dxa"/>
          <w:tblLayout w:type="fixed"/>
          <w:tblCellMar>
            <w:top w:w="0" w:type="dxa"/>
            <w:left w:w="0" w:type="dxa"/>
            <w:bottom w:w="0" w:type="dxa"/>
            <w:right w:w="0" w:type="dxa"/>
          </w:tblCellMar>
        </w:tblPrEx>
        <w:trPr>
          <w:trHeight w:val="260"/>
        </w:trPr>
        <w:tc>
          <w:tcPr>
            <w:tcW w:w="4385" w:type="dxa"/>
            <w:vAlign w:val="top"/>
          </w:tcPr>
          <w:p>
            <w:pPr>
              <w:pStyle w:val="TableText"/>
              <w:spacing w:before="35" w:line="208" w:lineRule="auto"/>
              <w:ind w:left="399"/>
              <w:rPr>
                <w:sz w:val="19"/>
                <w:szCs w:val="19"/>
              </w:rPr>
            </w:pPr>
            <w:r>
              <w:rPr>
                <w:spacing w:val="2"/>
                <w:sz w:val="19"/>
                <w:szCs w:val="19"/>
              </w:rPr>
              <w:t>惠州市天演投资管理合伙企业(有限合伙)</w:t>
            </w:r>
          </w:p>
        </w:tc>
        <w:tc>
          <w:tcPr>
            <w:tcW w:w="3459" w:type="dxa"/>
            <w:vAlign w:val="top"/>
          </w:tcPr>
          <w:p>
            <w:pPr>
              <w:pStyle w:val="TableText"/>
              <w:spacing w:before="63" w:line="181" w:lineRule="auto"/>
              <w:ind w:left="595"/>
              <w:rPr>
                <w:sz w:val="19"/>
                <w:szCs w:val="19"/>
              </w:rPr>
            </w:pPr>
            <w:r>
              <w:rPr>
                <w:spacing w:val="-1"/>
                <w:sz w:val="19"/>
                <w:szCs w:val="19"/>
              </w:rPr>
              <w:t>800,000.00       800,000.00</w:t>
            </w:r>
          </w:p>
        </w:tc>
        <w:tc>
          <w:tcPr>
            <w:tcW w:w="1105" w:type="dxa"/>
            <w:vAlign w:val="top"/>
          </w:tcPr>
          <w:p/>
        </w:tc>
      </w:tr>
      <w:tr>
        <w:tblPrEx>
          <w:tblW w:w="8949" w:type="dxa"/>
          <w:tblInd w:w="0" w:type="dxa"/>
          <w:tblLayout w:type="fixed"/>
          <w:tblCellMar>
            <w:top w:w="0" w:type="dxa"/>
            <w:left w:w="0" w:type="dxa"/>
            <w:bottom w:w="0" w:type="dxa"/>
            <w:right w:w="0" w:type="dxa"/>
          </w:tblCellMar>
        </w:tblPrEx>
        <w:trPr>
          <w:trHeight w:val="323"/>
        </w:trPr>
        <w:tc>
          <w:tcPr>
            <w:tcW w:w="4385" w:type="dxa"/>
            <w:tcBorders>
              <w:bottom w:val="single" w:sz="4" w:space="0" w:color="000000"/>
            </w:tcBorders>
            <w:vAlign w:val="top"/>
          </w:tcPr>
          <w:p>
            <w:pPr>
              <w:pStyle w:val="TableText"/>
              <w:spacing w:before="96" w:line="210" w:lineRule="auto"/>
              <w:ind w:left="399"/>
              <w:rPr>
                <w:sz w:val="19"/>
                <w:szCs w:val="19"/>
              </w:rPr>
            </w:pPr>
            <w:r>
              <w:rPr>
                <w:spacing w:val="2"/>
                <w:sz w:val="19"/>
                <w:szCs w:val="19"/>
              </w:rPr>
              <w:t>东莞市浩烨贸易有限公司</w:t>
            </w:r>
          </w:p>
        </w:tc>
        <w:tc>
          <w:tcPr>
            <w:tcW w:w="3459" w:type="dxa"/>
            <w:tcBorders>
              <w:bottom w:val="single" w:sz="4" w:space="0" w:color="000000"/>
            </w:tcBorders>
            <w:vAlign w:val="top"/>
          </w:tcPr>
          <w:p>
            <w:pPr>
              <w:pStyle w:val="TableText"/>
              <w:spacing w:before="123" w:line="183" w:lineRule="auto"/>
              <w:ind w:left="595"/>
              <w:rPr>
                <w:sz w:val="19"/>
                <w:szCs w:val="19"/>
              </w:rPr>
            </w:pPr>
            <w:r>
              <w:rPr>
                <w:spacing w:val="-1"/>
                <w:sz w:val="19"/>
                <w:szCs w:val="19"/>
              </w:rPr>
              <w:t>740,000.00       740,000.00</w:t>
            </w:r>
          </w:p>
        </w:tc>
        <w:tc>
          <w:tcPr>
            <w:tcW w:w="1105" w:type="dxa"/>
            <w:tcBorders>
              <w:bottom w:val="single" w:sz="4" w:space="0" w:color="000000"/>
            </w:tcBorders>
            <w:vAlign w:val="top"/>
          </w:tcPr>
          <w:p>
            <w:pPr>
              <w:pStyle w:val="TableText"/>
              <w:spacing w:before="45" w:line="219" w:lineRule="auto"/>
              <w:ind w:left="636"/>
              <w:rPr>
                <w:sz w:val="19"/>
                <w:szCs w:val="19"/>
              </w:rPr>
            </w:pPr>
            <w:r>
              <w:rPr>
                <w:spacing w:val="11"/>
                <w:sz w:val="19"/>
                <w:szCs w:val="19"/>
              </w:rPr>
              <w:t>货币</w:t>
            </w:r>
          </w:p>
        </w:tc>
      </w:tr>
    </w:tbl>
    <w:p>
      <w:pPr>
        <w:pStyle w:val="BodyText"/>
        <w:spacing w:line="255" w:lineRule="auto"/>
      </w:pPr>
    </w:p>
    <w:p>
      <w:pPr>
        <w:pStyle w:val="BodyText"/>
        <w:spacing w:line="255" w:lineRule="auto"/>
      </w:pPr>
    </w:p>
    <w:p>
      <w:pPr>
        <w:pStyle w:val="BodyText"/>
        <w:spacing w:line="256" w:lineRule="auto"/>
      </w:pPr>
    </w:p>
    <w:p>
      <w:pPr>
        <w:spacing w:before="46" w:line="183" w:lineRule="auto"/>
        <w:ind w:left="4549"/>
        <w:rPr>
          <w:rFonts w:ascii="宋体" w:eastAsia="宋体" w:hAnsi="宋体" w:cs="宋体"/>
          <w:sz w:val="14"/>
          <w:szCs w:val="14"/>
        </w:rPr>
      </w:pPr>
      <w:r>
        <w:rPr>
          <w:rFonts w:ascii="宋体" w:eastAsia="宋体" w:hAnsi="宋体" w:cs="宋体"/>
          <w:sz w:val="14"/>
          <w:szCs w:val="14"/>
        </w:rPr>
        <w:t>8</w:t>
      </w:r>
    </w:p>
    <w:p>
      <w:pPr>
        <w:pStyle w:val="BodyText"/>
        <w:spacing w:line="274" w:lineRule="auto"/>
      </w:pPr>
    </w:p>
    <w:p>
      <w:pPr>
        <w:pStyle w:val="BodyText"/>
        <w:spacing w:line="274" w:lineRule="auto"/>
      </w:pPr>
    </w:p>
    <w:p>
      <w:pPr>
        <w:spacing w:before="75" w:line="184" w:lineRule="auto"/>
        <w:ind w:left="4120"/>
        <w:rPr>
          <w:rFonts w:ascii="宋体" w:eastAsia="宋体" w:hAnsi="宋体" w:cs="宋体"/>
          <w:sz w:val="23"/>
          <w:szCs w:val="23"/>
        </w:rPr>
      </w:pPr>
      <w:r>
        <w:rPr>
          <w:rFonts w:ascii="宋体" w:eastAsia="宋体" w:hAnsi="宋体" w:cs="宋体"/>
          <w:spacing w:val="-23"/>
          <w:sz w:val="23"/>
          <w:szCs w:val="23"/>
        </w:rPr>
        <w:t>3-2-3-10</w:t>
      </w:r>
    </w:p>
    <w:p>
      <w:pPr>
        <w:spacing w:line="184" w:lineRule="auto"/>
        <w:rPr>
          <w:rFonts w:ascii="宋体" w:eastAsia="宋体" w:hAnsi="宋体" w:cs="宋体"/>
          <w:sz w:val="23"/>
          <w:szCs w:val="23"/>
        </w:rPr>
        <w:sectPr>
          <w:headerReference w:type="default" r:id="rId11"/>
          <w:pgSz w:w="11900" w:h="16820"/>
          <w:pgMar w:top="400" w:right="429" w:bottom="0" w:left="1519" w:header="0" w:footer="0" w:gutter="0"/>
          <w:pgNumType w:start="12"/>
          <w:cols w:num="1" w:space="720"/>
        </w:sectPr>
      </w:pPr>
    </w:p>
    <w:p>
      <w:pPr>
        <w:pStyle w:val="BodyText"/>
        <w:spacing w:line="242" w:lineRule="auto"/>
      </w:pPr>
      <w:r>
        <w:pict>
          <v:rect id="_x0000_s1035" o:spid="_x0000_s1034" style="width:447.5pt;height:1pt;margin-top:116.5pt;margin-left:76.5pt;mso-height-relative:page;mso-position-horizontal-relative:page;mso-position-vertical-relative:page;mso-width-relative:page;position:absolute;z-index:251667456" coordsize="21600,21600" o:allowincell="f" filled="t" fillcolor="black" stroked="f"/>
        </w:pict>
      </w:r>
    </w:p>
    <w:p>
      <w:pPr>
        <w:pStyle w:val="BodyText"/>
        <w:spacing w:line="242" w:lineRule="auto"/>
      </w:pPr>
    </w:p>
    <w:p>
      <w:pPr>
        <w:pStyle w:val="BodyText"/>
        <w:spacing w:line="243" w:lineRule="auto"/>
      </w:pPr>
    </w:p>
    <w:p>
      <w:pPr>
        <w:pStyle w:val="BodyText"/>
        <w:spacing w:line="243" w:lineRule="auto"/>
      </w:pPr>
    </w:p>
    <w:p>
      <w:pPr>
        <w:spacing w:before="71" w:line="222" w:lineRule="auto"/>
        <w:ind w:left="29"/>
        <w:rPr>
          <w:rFonts w:ascii="仿宋" w:eastAsia="仿宋" w:hAnsi="仿宋" w:cs="仿宋"/>
          <w:sz w:val="22"/>
          <w:szCs w:val="22"/>
        </w:rPr>
      </w:pPr>
      <w:r>
        <w:rPr>
          <w:rFonts w:ascii="仿宋" w:eastAsia="仿宋" w:hAnsi="仿宋" w:cs="仿宋"/>
          <w:spacing w:val="2"/>
          <w:sz w:val="22"/>
          <w:szCs w:val="22"/>
        </w:rPr>
        <w:t>美新科技股份有限公司</w:t>
      </w:r>
    </w:p>
    <w:p>
      <w:pPr>
        <w:spacing w:before="22" w:line="220" w:lineRule="auto"/>
        <w:ind w:left="29"/>
        <w:rPr>
          <w:rFonts w:ascii="仿宋" w:eastAsia="仿宋" w:hAnsi="仿宋" w:cs="仿宋"/>
          <w:sz w:val="22"/>
          <w:szCs w:val="22"/>
        </w:rPr>
      </w:pPr>
      <w:r>
        <w:rPr>
          <w:rFonts w:ascii="仿宋" w:eastAsia="仿宋" w:hAnsi="仿宋" w:cs="仿宋"/>
          <w:spacing w:val="4"/>
          <w:sz w:val="22"/>
          <w:szCs w:val="22"/>
        </w:rPr>
        <w:t>盈利预测的编制基础、假设和编制说明</w:t>
      </w:r>
    </w:p>
    <w:p>
      <w:pPr>
        <w:spacing w:before="38" w:line="221" w:lineRule="auto"/>
        <w:ind w:left="29"/>
        <w:rPr>
          <w:rFonts w:ascii="仿宋" w:eastAsia="仿宋" w:hAnsi="仿宋" w:cs="仿宋"/>
          <w:sz w:val="22"/>
          <w:szCs w:val="22"/>
        </w:rPr>
      </w:pPr>
      <w:r>
        <w:rPr>
          <w:rFonts w:ascii="仿宋" w:eastAsia="仿宋" w:hAnsi="仿宋" w:cs="仿宋"/>
          <w:spacing w:val="12"/>
          <w:sz w:val="22"/>
          <w:szCs w:val="22"/>
        </w:rPr>
        <w:t>2023年度(除特别注明外，金额单位为人民币万</w:t>
      </w:r>
      <w:r>
        <w:rPr>
          <w:rFonts w:ascii="仿宋" w:eastAsia="仿宋" w:hAnsi="仿宋" w:cs="仿宋"/>
          <w:spacing w:val="11"/>
          <w:sz w:val="22"/>
          <w:szCs w:val="22"/>
        </w:rPr>
        <w:t>元)</w:t>
      </w:r>
    </w:p>
    <w:p>
      <w:pPr>
        <w:spacing w:before="4"/>
      </w:pPr>
    </w:p>
    <w:tbl>
      <w:tblPr>
        <w:tblStyle w:val="TableNormal06"/>
        <w:tblW w:w="8669" w:type="dxa"/>
        <w:tblInd w:w="359" w:type="dxa"/>
        <w:tblBorders>
          <w:top w:val="nil"/>
          <w:left w:val="nil"/>
          <w:bottom w:val="nil"/>
          <w:right w:val="nil"/>
          <w:insideH w:val="nil"/>
          <w:insideV w:val="nil"/>
        </w:tblBorders>
        <w:tblLayout w:type="fixed"/>
        <w:tblCellMar>
          <w:top w:w="0" w:type="dxa"/>
          <w:left w:w="0" w:type="dxa"/>
          <w:bottom w:w="0" w:type="dxa"/>
          <w:right w:w="0" w:type="dxa"/>
        </w:tblCellMar>
      </w:tblPr>
      <w:tblGrid>
        <w:gridCol w:w="4096"/>
        <w:gridCol w:w="1800"/>
        <w:gridCol w:w="1655"/>
        <w:gridCol w:w="1118"/>
      </w:tblGrid>
      <w:tr>
        <w:tblPrEx>
          <w:tblW w:w="8669" w:type="dxa"/>
          <w:tblInd w:w="359" w:type="dxa"/>
          <w:tblBorders>
            <w:top w:val="nil"/>
            <w:left w:val="nil"/>
            <w:bottom w:val="nil"/>
            <w:right w:val="nil"/>
            <w:insideH w:val="nil"/>
            <w:insideV w:val="nil"/>
          </w:tblBorders>
          <w:tblLayout w:type="fixed"/>
          <w:tblCellMar>
            <w:top w:w="0" w:type="dxa"/>
            <w:left w:w="0" w:type="dxa"/>
            <w:bottom w:w="0" w:type="dxa"/>
            <w:right w:w="0" w:type="dxa"/>
          </w:tblCellMar>
        </w:tblPrEx>
        <w:trPr>
          <w:trHeight w:val="344"/>
        </w:trPr>
        <w:tc>
          <w:tcPr>
            <w:tcW w:w="4096" w:type="dxa"/>
            <w:tcBorders>
              <w:top w:val="single" w:sz="4" w:space="0" w:color="000000"/>
              <w:bottom w:val="single" w:sz="4" w:space="0" w:color="000000"/>
            </w:tcBorders>
            <w:vAlign w:val="top"/>
          </w:tcPr>
          <w:p>
            <w:pPr>
              <w:pStyle w:val="TableText"/>
              <w:spacing w:before="80" w:line="219" w:lineRule="auto"/>
              <w:ind w:left="102"/>
              <w:rPr>
                <w:sz w:val="19"/>
                <w:szCs w:val="19"/>
              </w:rPr>
            </w:pPr>
            <w:r>
              <w:rPr>
                <w:b/>
                <w:bCs/>
                <w:spacing w:val="-4"/>
                <w:sz w:val="19"/>
                <w:szCs w:val="19"/>
              </w:rPr>
              <w:t>股东名称</w:t>
            </w:r>
          </w:p>
        </w:tc>
        <w:tc>
          <w:tcPr>
            <w:tcW w:w="1800" w:type="dxa"/>
            <w:tcBorders>
              <w:top w:val="single" w:sz="4" w:space="0" w:color="000000"/>
              <w:bottom w:val="single" w:sz="4" w:space="0" w:color="000000"/>
            </w:tcBorders>
            <w:vAlign w:val="top"/>
          </w:tcPr>
          <w:p>
            <w:pPr>
              <w:pStyle w:val="TableText"/>
              <w:spacing w:before="80" w:line="219" w:lineRule="auto"/>
              <w:ind w:left="476"/>
              <w:rPr>
                <w:sz w:val="19"/>
                <w:szCs w:val="19"/>
              </w:rPr>
            </w:pPr>
            <w:r>
              <w:rPr>
                <w:b/>
                <w:bCs/>
                <w:spacing w:val="-4"/>
                <w:sz w:val="19"/>
                <w:szCs w:val="19"/>
              </w:rPr>
              <w:t>认缴出资额</w:t>
            </w:r>
          </w:p>
        </w:tc>
        <w:tc>
          <w:tcPr>
            <w:tcW w:w="1655" w:type="dxa"/>
            <w:tcBorders>
              <w:top w:val="single" w:sz="4" w:space="0" w:color="000000"/>
              <w:bottom w:val="single" w:sz="4" w:space="0" w:color="000000"/>
            </w:tcBorders>
            <w:vAlign w:val="top"/>
          </w:tcPr>
          <w:p>
            <w:pPr>
              <w:pStyle w:val="TableText"/>
              <w:spacing w:before="80" w:line="219" w:lineRule="auto"/>
              <w:ind w:left="276"/>
              <w:rPr>
                <w:sz w:val="19"/>
                <w:szCs w:val="19"/>
              </w:rPr>
            </w:pPr>
            <w:r>
              <w:rPr>
                <w:b/>
                <w:bCs/>
                <w:spacing w:val="-4"/>
                <w:sz w:val="19"/>
                <w:szCs w:val="19"/>
              </w:rPr>
              <w:t>实际出资额</w:t>
            </w:r>
          </w:p>
        </w:tc>
        <w:tc>
          <w:tcPr>
            <w:tcW w:w="1118" w:type="dxa"/>
            <w:tcBorders>
              <w:top w:val="single" w:sz="4" w:space="0" w:color="000000"/>
              <w:bottom w:val="single" w:sz="4" w:space="0" w:color="000000"/>
            </w:tcBorders>
            <w:vAlign w:val="top"/>
          </w:tcPr>
          <w:p>
            <w:pPr>
              <w:pStyle w:val="TableText"/>
              <w:spacing w:before="81" w:line="221" w:lineRule="auto"/>
              <w:ind w:left="241"/>
              <w:rPr>
                <w:sz w:val="19"/>
                <w:szCs w:val="19"/>
              </w:rPr>
            </w:pPr>
            <w:r>
              <w:rPr>
                <w:b/>
                <w:bCs/>
                <w:spacing w:val="-2"/>
                <w:sz w:val="19"/>
                <w:szCs w:val="19"/>
              </w:rPr>
              <w:t>出资方式</w:t>
            </w:r>
          </w:p>
        </w:tc>
      </w:tr>
      <w:tr>
        <w:tblPrEx>
          <w:tblW w:w="8669" w:type="dxa"/>
          <w:tblInd w:w="359" w:type="dxa"/>
          <w:tblLayout w:type="fixed"/>
          <w:tblCellMar>
            <w:top w:w="0" w:type="dxa"/>
            <w:left w:w="0" w:type="dxa"/>
            <w:bottom w:w="0" w:type="dxa"/>
            <w:right w:w="0" w:type="dxa"/>
          </w:tblCellMar>
        </w:tblPrEx>
        <w:trPr>
          <w:trHeight w:val="351"/>
        </w:trPr>
        <w:tc>
          <w:tcPr>
            <w:tcW w:w="4096" w:type="dxa"/>
            <w:tcBorders>
              <w:top w:val="single" w:sz="4" w:space="0" w:color="000000"/>
            </w:tcBorders>
            <w:vAlign w:val="top"/>
          </w:tcPr>
          <w:p>
            <w:pPr>
              <w:pStyle w:val="TableText"/>
              <w:spacing w:before="77" w:line="219" w:lineRule="auto"/>
              <w:ind w:left="99"/>
              <w:rPr>
                <w:sz w:val="19"/>
                <w:szCs w:val="19"/>
              </w:rPr>
            </w:pPr>
            <w:r>
              <w:rPr>
                <w:spacing w:val="1"/>
                <w:sz w:val="19"/>
                <w:szCs w:val="19"/>
              </w:rPr>
              <w:t>广州市东岸美景投资有限公司</w:t>
            </w:r>
          </w:p>
        </w:tc>
        <w:tc>
          <w:tcPr>
            <w:tcW w:w="1800" w:type="dxa"/>
            <w:tcBorders>
              <w:top w:val="single" w:sz="4" w:space="0" w:color="000000"/>
            </w:tcBorders>
            <w:vAlign w:val="top"/>
          </w:tcPr>
          <w:p>
            <w:pPr>
              <w:pStyle w:val="TableText"/>
              <w:spacing w:before="115" w:line="183" w:lineRule="auto"/>
              <w:ind w:left="474"/>
              <w:rPr>
                <w:sz w:val="19"/>
                <w:szCs w:val="19"/>
              </w:rPr>
            </w:pPr>
            <w:r>
              <w:rPr>
                <w:spacing w:val="-1"/>
                <w:sz w:val="19"/>
                <w:szCs w:val="19"/>
              </w:rPr>
              <w:t>640,000.00</w:t>
            </w:r>
          </w:p>
        </w:tc>
        <w:tc>
          <w:tcPr>
            <w:tcW w:w="1655" w:type="dxa"/>
            <w:tcBorders>
              <w:top w:val="single" w:sz="4" w:space="0" w:color="000000"/>
            </w:tcBorders>
            <w:vAlign w:val="top"/>
          </w:tcPr>
          <w:p>
            <w:pPr>
              <w:pStyle w:val="TableText"/>
              <w:spacing w:before="135" w:line="183" w:lineRule="auto"/>
              <w:ind w:left="274"/>
              <w:rPr>
                <w:sz w:val="19"/>
                <w:szCs w:val="19"/>
              </w:rPr>
            </w:pPr>
            <w:r>
              <w:rPr>
                <w:spacing w:val="-1"/>
                <w:sz w:val="19"/>
                <w:szCs w:val="19"/>
              </w:rPr>
              <w:t>640,000.00</w:t>
            </w:r>
          </w:p>
        </w:tc>
        <w:tc>
          <w:tcPr>
            <w:tcW w:w="1118" w:type="dxa"/>
            <w:tcBorders>
              <w:top w:val="single" w:sz="4" w:space="0" w:color="000000"/>
            </w:tcBorders>
            <w:vAlign w:val="top"/>
          </w:tcPr>
          <w:p>
            <w:pPr>
              <w:pStyle w:val="TableText"/>
              <w:spacing w:before="87" w:line="219" w:lineRule="auto"/>
              <w:ind w:left="618"/>
              <w:rPr>
                <w:sz w:val="19"/>
                <w:szCs w:val="19"/>
              </w:rPr>
            </w:pPr>
            <w:r>
              <w:rPr>
                <w:spacing w:val="11"/>
                <w:sz w:val="19"/>
                <w:szCs w:val="19"/>
              </w:rPr>
              <w:t>货币</w:t>
            </w:r>
          </w:p>
        </w:tc>
      </w:tr>
      <w:tr>
        <w:tblPrEx>
          <w:tblW w:w="8669" w:type="dxa"/>
          <w:tblInd w:w="359" w:type="dxa"/>
          <w:tblLayout w:type="fixed"/>
          <w:tblCellMar>
            <w:top w:w="0" w:type="dxa"/>
            <w:left w:w="0" w:type="dxa"/>
            <w:bottom w:w="0" w:type="dxa"/>
            <w:right w:w="0" w:type="dxa"/>
          </w:tblCellMar>
        </w:tblPrEx>
        <w:trPr>
          <w:trHeight w:val="310"/>
        </w:trPr>
        <w:tc>
          <w:tcPr>
            <w:tcW w:w="4096" w:type="dxa"/>
            <w:vAlign w:val="top"/>
          </w:tcPr>
          <w:p>
            <w:pPr>
              <w:pStyle w:val="TableText"/>
              <w:spacing w:before="57" w:line="219" w:lineRule="auto"/>
              <w:ind w:left="99"/>
              <w:rPr>
                <w:sz w:val="19"/>
                <w:szCs w:val="19"/>
              </w:rPr>
            </w:pPr>
            <w:r>
              <w:rPr>
                <w:spacing w:val="8"/>
                <w:sz w:val="19"/>
                <w:szCs w:val="19"/>
              </w:rPr>
              <w:t>梁卫山</w:t>
            </w:r>
          </w:p>
        </w:tc>
        <w:tc>
          <w:tcPr>
            <w:tcW w:w="1800" w:type="dxa"/>
            <w:vAlign w:val="top"/>
          </w:tcPr>
          <w:p>
            <w:pPr>
              <w:pStyle w:val="TableText"/>
              <w:spacing w:before="116" w:line="178" w:lineRule="auto"/>
              <w:ind w:left="573"/>
              <w:rPr>
                <w:sz w:val="19"/>
                <w:szCs w:val="19"/>
              </w:rPr>
            </w:pPr>
            <w:r>
              <w:rPr>
                <w:spacing w:val="-1"/>
                <w:sz w:val="19"/>
                <w:szCs w:val="19"/>
              </w:rPr>
              <w:t>600.000.0C</w:t>
            </w:r>
          </w:p>
        </w:tc>
        <w:tc>
          <w:tcPr>
            <w:tcW w:w="1655" w:type="dxa"/>
            <w:vAlign w:val="top"/>
          </w:tcPr>
          <w:p>
            <w:pPr>
              <w:pStyle w:val="TableText"/>
              <w:spacing w:before="104" w:line="183" w:lineRule="auto"/>
              <w:ind w:left="274"/>
              <w:rPr>
                <w:sz w:val="19"/>
                <w:szCs w:val="19"/>
              </w:rPr>
            </w:pPr>
            <w:r>
              <w:rPr>
                <w:spacing w:val="-1"/>
                <w:sz w:val="19"/>
                <w:szCs w:val="19"/>
              </w:rPr>
              <w:t>600,000.00</w:t>
            </w:r>
          </w:p>
        </w:tc>
        <w:tc>
          <w:tcPr>
            <w:tcW w:w="1118" w:type="dxa"/>
            <w:vAlign w:val="top"/>
          </w:tcPr>
          <w:p>
            <w:pPr>
              <w:pStyle w:val="TableText"/>
              <w:spacing w:before="56" w:line="219" w:lineRule="auto"/>
              <w:ind w:left="618"/>
              <w:rPr>
                <w:sz w:val="19"/>
                <w:szCs w:val="19"/>
              </w:rPr>
            </w:pPr>
            <w:r>
              <w:rPr>
                <w:spacing w:val="11"/>
                <w:sz w:val="19"/>
                <w:szCs w:val="19"/>
              </w:rPr>
              <w:t>货币</w:t>
            </w:r>
          </w:p>
        </w:tc>
      </w:tr>
      <w:tr>
        <w:tblPrEx>
          <w:tblW w:w="8669" w:type="dxa"/>
          <w:tblInd w:w="359" w:type="dxa"/>
          <w:tblLayout w:type="fixed"/>
          <w:tblCellMar>
            <w:top w:w="0" w:type="dxa"/>
            <w:left w:w="0" w:type="dxa"/>
            <w:bottom w:w="0" w:type="dxa"/>
            <w:right w:w="0" w:type="dxa"/>
          </w:tblCellMar>
        </w:tblPrEx>
        <w:trPr>
          <w:trHeight w:val="319"/>
        </w:trPr>
        <w:tc>
          <w:tcPr>
            <w:tcW w:w="4096" w:type="dxa"/>
            <w:vAlign w:val="top"/>
          </w:tcPr>
          <w:p>
            <w:pPr>
              <w:pStyle w:val="TableText"/>
              <w:spacing w:before="67" w:line="219" w:lineRule="auto"/>
              <w:ind w:left="99"/>
              <w:rPr>
                <w:sz w:val="19"/>
                <w:szCs w:val="19"/>
              </w:rPr>
            </w:pPr>
            <w:r>
              <w:rPr>
                <w:spacing w:val="-2"/>
                <w:sz w:val="19"/>
                <w:szCs w:val="19"/>
              </w:rPr>
              <w:t>黄俊鸿</w:t>
            </w:r>
          </w:p>
        </w:tc>
        <w:tc>
          <w:tcPr>
            <w:tcW w:w="1800" w:type="dxa"/>
            <w:vAlign w:val="top"/>
          </w:tcPr>
          <w:p>
            <w:pPr>
              <w:pStyle w:val="TableText"/>
              <w:spacing w:before="126" w:line="177" w:lineRule="auto"/>
              <w:ind w:left="474"/>
              <w:rPr>
                <w:sz w:val="19"/>
                <w:szCs w:val="19"/>
              </w:rPr>
            </w:pPr>
            <w:r>
              <w:rPr>
                <w:spacing w:val="-2"/>
                <w:sz w:val="19"/>
                <w:szCs w:val="19"/>
              </w:rPr>
              <w:t>500.000.0C</w:t>
            </w:r>
          </w:p>
        </w:tc>
        <w:tc>
          <w:tcPr>
            <w:tcW w:w="1655" w:type="dxa"/>
            <w:vAlign w:val="top"/>
          </w:tcPr>
          <w:p>
            <w:pPr>
              <w:pStyle w:val="TableText"/>
              <w:spacing w:before="84" w:line="183" w:lineRule="auto"/>
              <w:ind w:left="394"/>
              <w:rPr>
                <w:sz w:val="19"/>
                <w:szCs w:val="19"/>
              </w:rPr>
            </w:pPr>
            <w:r>
              <w:rPr>
                <w:spacing w:val="-2"/>
                <w:sz w:val="19"/>
                <w:szCs w:val="19"/>
              </w:rPr>
              <w:t>500,000.00</w:t>
            </w:r>
          </w:p>
        </w:tc>
        <w:tc>
          <w:tcPr>
            <w:tcW w:w="1118" w:type="dxa"/>
            <w:vAlign w:val="top"/>
          </w:tcPr>
          <w:p>
            <w:pPr>
              <w:pStyle w:val="TableText"/>
              <w:spacing w:before="46" w:line="219" w:lineRule="auto"/>
              <w:ind w:left="618"/>
              <w:rPr>
                <w:sz w:val="19"/>
                <w:szCs w:val="19"/>
              </w:rPr>
            </w:pPr>
            <w:r>
              <w:rPr>
                <w:spacing w:val="11"/>
                <w:sz w:val="19"/>
                <w:szCs w:val="19"/>
              </w:rPr>
              <w:t>货币</w:t>
            </w:r>
          </w:p>
        </w:tc>
      </w:tr>
      <w:tr>
        <w:tblPrEx>
          <w:tblW w:w="8669" w:type="dxa"/>
          <w:tblInd w:w="359" w:type="dxa"/>
          <w:tblLayout w:type="fixed"/>
          <w:tblCellMar>
            <w:top w:w="0" w:type="dxa"/>
            <w:left w:w="0" w:type="dxa"/>
            <w:bottom w:w="0" w:type="dxa"/>
            <w:right w:w="0" w:type="dxa"/>
          </w:tblCellMar>
        </w:tblPrEx>
        <w:trPr>
          <w:trHeight w:val="314"/>
        </w:trPr>
        <w:tc>
          <w:tcPr>
            <w:tcW w:w="4096" w:type="dxa"/>
            <w:vAlign w:val="top"/>
          </w:tcPr>
          <w:p>
            <w:pPr>
              <w:pStyle w:val="TableText"/>
              <w:spacing w:before="57" w:line="219" w:lineRule="auto"/>
              <w:ind w:left="99"/>
              <w:rPr>
                <w:sz w:val="19"/>
                <w:szCs w:val="19"/>
              </w:rPr>
            </w:pPr>
            <w:r>
              <w:rPr>
                <w:spacing w:val="2"/>
                <w:sz w:val="19"/>
                <w:szCs w:val="19"/>
              </w:rPr>
              <w:t>陈惠珍</w:t>
            </w:r>
          </w:p>
        </w:tc>
        <w:tc>
          <w:tcPr>
            <w:tcW w:w="1800" w:type="dxa"/>
            <w:vAlign w:val="top"/>
          </w:tcPr>
          <w:p>
            <w:pPr>
              <w:pStyle w:val="TableText"/>
              <w:spacing w:before="105" w:line="183" w:lineRule="auto"/>
              <w:ind w:left="474"/>
              <w:rPr>
                <w:sz w:val="19"/>
                <w:szCs w:val="19"/>
              </w:rPr>
            </w:pPr>
            <w:r>
              <w:rPr>
                <w:spacing w:val="-2"/>
                <w:sz w:val="19"/>
                <w:szCs w:val="19"/>
              </w:rPr>
              <w:t>500,000.00</w:t>
            </w:r>
          </w:p>
        </w:tc>
        <w:tc>
          <w:tcPr>
            <w:tcW w:w="1655" w:type="dxa"/>
            <w:vAlign w:val="top"/>
          </w:tcPr>
          <w:p>
            <w:pPr>
              <w:pStyle w:val="TableText"/>
              <w:spacing w:before="95" w:line="183" w:lineRule="auto"/>
              <w:ind w:left="274"/>
              <w:rPr>
                <w:sz w:val="19"/>
                <w:szCs w:val="19"/>
              </w:rPr>
            </w:pPr>
            <w:r>
              <w:rPr>
                <w:spacing w:val="-2"/>
                <w:sz w:val="19"/>
                <w:szCs w:val="19"/>
              </w:rPr>
              <w:t>500,000.00</w:t>
            </w:r>
          </w:p>
        </w:tc>
        <w:tc>
          <w:tcPr>
            <w:tcW w:w="1118" w:type="dxa"/>
            <w:vAlign w:val="top"/>
          </w:tcPr>
          <w:p>
            <w:pPr>
              <w:pStyle w:val="TableText"/>
              <w:spacing w:before="57" w:line="219" w:lineRule="auto"/>
              <w:ind w:left="618"/>
              <w:rPr>
                <w:sz w:val="19"/>
                <w:szCs w:val="19"/>
              </w:rPr>
            </w:pPr>
            <w:r>
              <w:rPr>
                <w:spacing w:val="11"/>
                <w:sz w:val="19"/>
                <w:szCs w:val="19"/>
              </w:rPr>
              <w:t>货币</w:t>
            </w:r>
          </w:p>
        </w:tc>
      </w:tr>
      <w:tr>
        <w:tblPrEx>
          <w:tblW w:w="8669" w:type="dxa"/>
          <w:tblInd w:w="359" w:type="dxa"/>
          <w:tblLayout w:type="fixed"/>
          <w:tblCellMar>
            <w:top w:w="0" w:type="dxa"/>
            <w:left w:w="0" w:type="dxa"/>
            <w:bottom w:w="0" w:type="dxa"/>
            <w:right w:w="0" w:type="dxa"/>
          </w:tblCellMar>
        </w:tblPrEx>
        <w:trPr>
          <w:trHeight w:val="300"/>
        </w:trPr>
        <w:tc>
          <w:tcPr>
            <w:tcW w:w="4096" w:type="dxa"/>
            <w:vAlign w:val="top"/>
          </w:tcPr>
          <w:p>
            <w:pPr>
              <w:pStyle w:val="TableText"/>
              <w:spacing w:before="53" w:line="219" w:lineRule="auto"/>
              <w:ind w:left="99"/>
              <w:rPr>
                <w:sz w:val="19"/>
                <w:szCs w:val="19"/>
              </w:rPr>
            </w:pPr>
            <w:r>
              <w:rPr>
                <w:spacing w:val="-1"/>
                <w:sz w:val="19"/>
                <w:szCs w:val="19"/>
              </w:rPr>
              <w:t>惠州市吉源达投资管理合伙企业(有限合伙</w:t>
            </w:r>
          </w:p>
        </w:tc>
        <w:tc>
          <w:tcPr>
            <w:tcW w:w="1800" w:type="dxa"/>
            <w:vAlign w:val="top"/>
          </w:tcPr>
          <w:p>
            <w:pPr>
              <w:pStyle w:val="TableText"/>
              <w:spacing w:before="81" w:line="183" w:lineRule="auto"/>
              <w:ind w:left="474"/>
              <w:rPr>
                <w:sz w:val="19"/>
                <w:szCs w:val="19"/>
              </w:rPr>
            </w:pPr>
            <w:r>
              <w:rPr>
                <w:spacing w:val="-2"/>
                <w:sz w:val="19"/>
                <w:szCs w:val="19"/>
              </w:rPr>
              <w:t>300,000.00</w:t>
            </w:r>
          </w:p>
        </w:tc>
        <w:tc>
          <w:tcPr>
            <w:tcW w:w="1655" w:type="dxa"/>
            <w:vAlign w:val="top"/>
          </w:tcPr>
          <w:p>
            <w:pPr>
              <w:pStyle w:val="TableText"/>
              <w:spacing w:before="81" w:line="183" w:lineRule="auto"/>
              <w:ind w:left="403"/>
              <w:rPr>
                <w:sz w:val="19"/>
                <w:szCs w:val="19"/>
              </w:rPr>
            </w:pPr>
            <w:r>
              <w:rPr>
                <w:spacing w:val="-2"/>
                <w:sz w:val="19"/>
                <w:szCs w:val="19"/>
              </w:rPr>
              <w:t>300,000.00</w:t>
            </w:r>
          </w:p>
        </w:tc>
        <w:tc>
          <w:tcPr>
            <w:tcW w:w="1118" w:type="dxa"/>
            <w:vAlign w:val="top"/>
          </w:tcPr>
          <w:p>
            <w:pPr>
              <w:pStyle w:val="TableText"/>
              <w:spacing w:before="53" w:line="219" w:lineRule="auto"/>
              <w:ind w:left="618"/>
              <w:rPr>
                <w:sz w:val="19"/>
                <w:szCs w:val="19"/>
              </w:rPr>
            </w:pPr>
            <w:r>
              <w:rPr>
                <w:spacing w:val="11"/>
                <w:sz w:val="19"/>
                <w:szCs w:val="19"/>
              </w:rPr>
              <w:t>货币</w:t>
            </w:r>
          </w:p>
        </w:tc>
      </w:tr>
      <w:tr>
        <w:tblPrEx>
          <w:tblW w:w="8669" w:type="dxa"/>
          <w:tblInd w:w="359" w:type="dxa"/>
          <w:tblLayout w:type="fixed"/>
          <w:tblCellMar>
            <w:top w:w="0" w:type="dxa"/>
            <w:left w:w="0" w:type="dxa"/>
            <w:bottom w:w="0" w:type="dxa"/>
            <w:right w:w="0" w:type="dxa"/>
          </w:tblCellMar>
        </w:tblPrEx>
        <w:trPr>
          <w:trHeight w:val="324"/>
        </w:trPr>
        <w:tc>
          <w:tcPr>
            <w:tcW w:w="4096" w:type="dxa"/>
            <w:vAlign w:val="top"/>
          </w:tcPr>
          <w:p>
            <w:pPr>
              <w:pStyle w:val="TableText"/>
              <w:spacing w:before="65" w:line="220" w:lineRule="auto"/>
              <w:ind w:left="99"/>
              <w:rPr>
                <w:sz w:val="19"/>
                <w:szCs w:val="19"/>
              </w:rPr>
            </w:pPr>
            <w:r>
              <w:rPr>
                <w:spacing w:val="-2"/>
                <w:sz w:val="19"/>
                <w:szCs w:val="19"/>
              </w:rPr>
              <w:t>鲍泽民</w:t>
            </w:r>
          </w:p>
        </w:tc>
        <w:tc>
          <w:tcPr>
            <w:tcW w:w="1800" w:type="dxa"/>
            <w:vAlign w:val="top"/>
          </w:tcPr>
          <w:p>
            <w:pPr>
              <w:pStyle w:val="TableText"/>
              <w:spacing w:before="91" w:line="183" w:lineRule="auto"/>
              <w:ind w:left="474"/>
              <w:rPr>
                <w:sz w:val="19"/>
                <w:szCs w:val="19"/>
              </w:rPr>
            </w:pPr>
            <w:r>
              <w:rPr>
                <w:spacing w:val="-1"/>
                <w:sz w:val="19"/>
                <w:szCs w:val="19"/>
              </w:rPr>
              <w:t>290,000.00</w:t>
            </w:r>
          </w:p>
        </w:tc>
        <w:tc>
          <w:tcPr>
            <w:tcW w:w="1655" w:type="dxa"/>
            <w:vAlign w:val="top"/>
          </w:tcPr>
          <w:p>
            <w:pPr>
              <w:pStyle w:val="TableText"/>
              <w:spacing w:before="91" w:line="183" w:lineRule="auto"/>
              <w:ind w:left="274"/>
              <w:rPr>
                <w:sz w:val="19"/>
                <w:szCs w:val="19"/>
              </w:rPr>
            </w:pPr>
            <w:r>
              <w:rPr>
                <w:spacing w:val="-1"/>
                <w:sz w:val="19"/>
                <w:szCs w:val="19"/>
              </w:rPr>
              <w:t>290,000.00</w:t>
            </w:r>
          </w:p>
        </w:tc>
        <w:tc>
          <w:tcPr>
            <w:tcW w:w="1118" w:type="dxa"/>
            <w:vAlign w:val="top"/>
          </w:tcPr>
          <w:p>
            <w:pPr>
              <w:pStyle w:val="TableText"/>
              <w:spacing w:before="63" w:line="219" w:lineRule="auto"/>
              <w:ind w:left="618"/>
              <w:rPr>
                <w:sz w:val="19"/>
                <w:szCs w:val="19"/>
              </w:rPr>
            </w:pPr>
            <w:r>
              <w:rPr>
                <w:spacing w:val="11"/>
                <w:sz w:val="19"/>
                <w:szCs w:val="19"/>
              </w:rPr>
              <w:t>货币</w:t>
            </w:r>
          </w:p>
        </w:tc>
      </w:tr>
      <w:tr>
        <w:tblPrEx>
          <w:tblW w:w="8669" w:type="dxa"/>
          <w:tblInd w:w="359" w:type="dxa"/>
          <w:tblLayout w:type="fixed"/>
          <w:tblCellMar>
            <w:top w:w="0" w:type="dxa"/>
            <w:left w:w="0" w:type="dxa"/>
            <w:bottom w:w="0" w:type="dxa"/>
            <w:right w:w="0" w:type="dxa"/>
          </w:tblCellMar>
        </w:tblPrEx>
        <w:trPr>
          <w:trHeight w:val="335"/>
        </w:trPr>
        <w:tc>
          <w:tcPr>
            <w:tcW w:w="4096" w:type="dxa"/>
            <w:vAlign w:val="top"/>
          </w:tcPr>
          <w:p>
            <w:pPr>
              <w:pStyle w:val="TableText"/>
              <w:spacing w:before="80" w:line="219" w:lineRule="auto"/>
              <w:ind w:left="99"/>
              <w:rPr>
                <w:sz w:val="19"/>
                <w:szCs w:val="19"/>
              </w:rPr>
            </w:pPr>
            <w:r>
              <w:rPr>
                <w:spacing w:val="-2"/>
                <w:sz w:val="19"/>
                <w:szCs w:val="19"/>
              </w:rPr>
              <w:t>林楚琛</w:t>
            </w:r>
          </w:p>
        </w:tc>
        <w:tc>
          <w:tcPr>
            <w:tcW w:w="1800" w:type="dxa"/>
            <w:vAlign w:val="top"/>
          </w:tcPr>
          <w:p>
            <w:pPr>
              <w:pStyle w:val="TableText"/>
              <w:spacing w:before="117" w:line="183" w:lineRule="auto"/>
              <w:ind w:left="474"/>
              <w:rPr>
                <w:sz w:val="19"/>
                <w:szCs w:val="19"/>
              </w:rPr>
            </w:pPr>
            <w:r>
              <w:rPr>
                <w:spacing w:val="-1"/>
                <w:sz w:val="19"/>
                <w:szCs w:val="19"/>
              </w:rPr>
              <w:t>205,000.00</w:t>
            </w:r>
          </w:p>
        </w:tc>
        <w:tc>
          <w:tcPr>
            <w:tcW w:w="1655" w:type="dxa"/>
            <w:vAlign w:val="top"/>
          </w:tcPr>
          <w:p>
            <w:pPr>
              <w:pStyle w:val="TableText"/>
              <w:spacing w:before="117" w:line="183" w:lineRule="auto"/>
              <w:ind w:left="274"/>
              <w:rPr>
                <w:sz w:val="19"/>
                <w:szCs w:val="19"/>
              </w:rPr>
            </w:pPr>
            <w:r>
              <w:rPr>
                <w:spacing w:val="-1"/>
                <w:sz w:val="19"/>
                <w:szCs w:val="19"/>
              </w:rPr>
              <w:t>205,000.00</w:t>
            </w:r>
          </w:p>
        </w:tc>
        <w:tc>
          <w:tcPr>
            <w:tcW w:w="1118" w:type="dxa"/>
            <w:vAlign w:val="top"/>
          </w:tcPr>
          <w:p>
            <w:pPr>
              <w:pStyle w:val="TableText"/>
              <w:spacing w:before="79" w:line="219" w:lineRule="auto"/>
              <w:ind w:left="618"/>
              <w:rPr>
                <w:sz w:val="19"/>
                <w:szCs w:val="19"/>
              </w:rPr>
            </w:pPr>
            <w:r>
              <w:rPr>
                <w:spacing w:val="11"/>
                <w:sz w:val="19"/>
                <w:szCs w:val="19"/>
              </w:rPr>
              <w:t>货币</w:t>
            </w:r>
          </w:p>
        </w:tc>
      </w:tr>
      <w:tr>
        <w:tblPrEx>
          <w:tblW w:w="8669" w:type="dxa"/>
          <w:tblInd w:w="359" w:type="dxa"/>
          <w:tblLayout w:type="fixed"/>
          <w:tblCellMar>
            <w:top w:w="0" w:type="dxa"/>
            <w:left w:w="0" w:type="dxa"/>
            <w:bottom w:w="0" w:type="dxa"/>
            <w:right w:w="0" w:type="dxa"/>
          </w:tblCellMar>
        </w:tblPrEx>
        <w:trPr>
          <w:trHeight w:val="319"/>
        </w:trPr>
        <w:tc>
          <w:tcPr>
            <w:tcW w:w="4096" w:type="dxa"/>
            <w:vAlign w:val="top"/>
          </w:tcPr>
          <w:p>
            <w:pPr>
              <w:pStyle w:val="TableText"/>
              <w:spacing w:before="65" w:line="219" w:lineRule="auto"/>
              <w:ind w:left="99"/>
              <w:rPr>
                <w:sz w:val="19"/>
                <w:szCs w:val="19"/>
              </w:rPr>
            </w:pPr>
            <w:r>
              <w:rPr>
                <w:spacing w:val="-2"/>
                <w:sz w:val="19"/>
                <w:szCs w:val="19"/>
              </w:rPr>
              <w:t>杨玉华</w:t>
            </w:r>
          </w:p>
        </w:tc>
        <w:tc>
          <w:tcPr>
            <w:tcW w:w="1800" w:type="dxa"/>
            <w:vAlign w:val="top"/>
          </w:tcPr>
          <w:p>
            <w:pPr>
              <w:pStyle w:val="TableText"/>
              <w:spacing w:before="104" w:line="183" w:lineRule="auto"/>
              <w:ind w:left="474"/>
              <w:rPr>
                <w:sz w:val="19"/>
                <w:szCs w:val="19"/>
              </w:rPr>
            </w:pPr>
            <w:r>
              <w:rPr>
                <w:spacing w:val="-1"/>
                <w:sz w:val="19"/>
                <w:szCs w:val="19"/>
              </w:rPr>
              <w:t>200.000.00</w:t>
            </w:r>
          </w:p>
        </w:tc>
        <w:tc>
          <w:tcPr>
            <w:tcW w:w="1655" w:type="dxa"/>
            <w:vAlign w:val="top"/>
          </w:tcPr>
          <w:p>
            <w:pPr>
              <w:pStyle w:val="TableText"/>
              <w:spacing w:before="102" w:line="183" w:lineRule="auto"/>
              <w:ind w:left="274"/>
              <w:rPr>
                <w:sz w:val="19"/>
                <w:szCs w:val="19"/>
              </w:rPr>
            </w:pPr>
            <w:r>
              <w:rPr>
                <w:spacing w:val="-1"/>
                <w:sz w:val="19"/>
                <w:szCs w:val="19"/>
              </w:rPr>
              <w:t>200,000.00</w:t>
            </w:r>
          </w:p>
        </w:tc>
        <w:tc>
          <w:tcPr>
            <w:tcW w:w="1118" w:type="dxa"/>
            <w:vAlign w:val="top"/>
          </w:tcPr>
          <w:p>
            <w:pPr>
              <w:pStyle w:val="TableText"/>
              <w:spacing w:before="64" w:line="219" w:lineRule="auto"/>
              <w:ind w:left="618"/>
              <w:rPr>
                <w:sz w:val="19"/>
                <w:szCs w:val="19"/>
              </w:rPr>
            </w:pPr>
            <w:r>
              <w:rPr>
                <w:spacing w:val="11"/>
                <w:sz w:val="19"/>
                <w:szCs w:val="19"/>
              </w:rPr>
              <w:t>货币</w:t>
            </w:r>
          </w:p>
        </w:tc>
      </w:tr>
      <w:tr>
        <w:tblPrEx>
          <w:tblW w:w="8669" w:type="dxa"/>
          <w:tblInd w:w="359" w:type="dxa"/>
          <w:tblLayout w:type="fixed"/>
          <w:tblCellMar>
            <w:top w:w="0" w:type="dxa"/>
            <w:left w:w="0" w:type="dxa"/>
            <w:bottom w:w="0" w:type="dxa"/>
            <w:right w:w="0" w:type="dxa"/>
          </w:tblCellMar>
        </w:tblPrEx>
        <w:trPr>
          <w:trHeight w:val="314"/>
        </w:trPr>
        <w:tc>
          <w:tcPr>
            <w:tcW w:w="4096" w:type="dxa"/>
            <w:vAlign w:val="top"/>
          </w:tcPr>
          <w:p>
            <w:pPr>
              <w:pStyle w:val="TableText"/>
              <w:spacing w:before="75" w:line="219" w:lineRule="auto"/>
              <w:ind w:left="99"/>
              <w:rPr>
                <w:sz w:val="19"/>
                <w:szCs w:val="19"/>
              </w:rPr>
            </w:pPr>
            <w:r>
              <w:rPr>
                <w:spacing w:val="2"/>
                <w:sz w:val="19"/>
                <w:szCs w:val="19"/>
              </w:rPr>
              <w:t>惠州市信天达投资管理合伙企业(有限合伙)</w:t>
            </w:r>
          </w:p>
        </w:tc>
        <w:tc>
          <w:tcPr>
            <w:tcW w:w="1800" w:type="dxa"/>
            <w:vAlign w:val="top"/>
          </w:tcPr>
          <w:p>
            <w:pPr>
              <w:pStyle w:val="TableText"/>
              <w:spacing w:before="104" w:line="184" w:lineRule="auto"/>
              <w:ind w:left="474"/>
              <w:rPr>
                <w:sz w:val="19"/>
                <w:szCs w:val="19"/>
              </w:rPr>
            </w:pPr>
            <w:r>
              <w:rPr>
                <w:spacing w:val="-2"/>
                <w:sz w:val="19"/>
                <w:szCs w:val="19"/>
              </w:rPr>
              <w:t>150.000.00</w:t>
            </w:r>
          </w:p>
        </w:tc>
        <w:tc>
          <w:tcPr>
            <w:tcW w:w="1655" w:type="dxa"/>
            <w:vAlign w:val="top"/>
          </w:tcPr>
          <w:p>
            <w:pPr>
              <w:pStyle w:val="TableText"/>
              <w:spacing w:before="102" w:line="184" w:lineRule="auto"/>
              <w:ind w:left="274"/>
              <w:rPr>
                <w:sz w:val="19"/>
                <w:szCs w:val="19"/>
              </w:rPr>
            </w:pPr>
            <w:r>
              <w:rPr>
                <w:spacing w:val="-3"/>
                <w:sz w:val="19"/>
                <w:szCs w:val="19"/>
              </w:rPr>
              <w:t>150,000.00</w:t>
            </w:r>
          </w:p>
        </w:tc>
        <w:tc>
          <w:tcPr>
            <w:tcW w:w="1118" w:type="dxa"/>
            <w:vAlign w:val="top"/>
          </w:tcPr>
          <w:p>
            <w:pPr>
              <w:pStyle w:val="TableText"/>
              <w:spacing w:before="65" w:line="219" w:lineRule="auto"/>
              <w:ind w:left="618"/>
              <w:rPr>
                <w:sz w:val="19"/>
                <w:szCs w:val="19"/>
              </w:rPr>
            </w:pPr>
            <w:r>
              <w:rPr>
                <w:spacing w:val="11"/>
                <w:sz w:val="19"/>
                <w:szCs w:val="19"/>
              </w:rPr>
              <w:t>货币</w:t>
            </w:r>
          </w:p>
        </w:tc>
      </w:tr>
      <w:tr>
        <w:tblPrEx>
          <w:tblW w:w="8669" w:type="dxa"/>
          <w:tblInd w:w="359" w:type="dxa"/>
          <w:tblLayout w:type="fixed"/>
          <w:tblCellMar>
            <w:top w:w="0" w:type="dxa"/>
            <w:left w:w="0" w:type="dxa"/>
            <w:bottom w:w="0" w:type="dxa"/>
            <w:right w:w="0" w:type="dxa"/>
          </w:tblCellMar>
        </w:tblPrEx>
        <w:trPr>
          <w:trHeight w:val="310"/>
        </w:trPr>
        <w:tc>
          <w:tcPr>
            <w:tcW w:w="4096" w:type="dxa"/>
            <w:vAlign w:val="top"/>
          </w:tcPr>
          <w:p>
            <w:pPr>
              <w:pStyle w:val="TableText"/>
              <w:spacing w:before="62" w:line="219" w:lineRule="auto"/>
              <w:ind w:left="99"/>
              <w:rPr>
                <w:sz w:val="19"/>
                <w:szCs w:val="19"/>
              </w:rPr>
            </w:pPr>
            <w:r>
              <w:rPr>
                <w:spacing w:val="-2"/>
                <w:sz w:val="19"/>
                <w:szCs w:val="19"/>
              </w:rPr>
              <w:t>林翠君</w:t>
            </w:r>
          </w:p>
        </w:tc>
        <w:tc>
          <w:tcPr>
            <w:tcW w:w="1800" w:type="dxa"/>
            <w:vAlign w:val="top"/>
          </w:tcPr>
          <w:p>
            <w:pPr>
              <w:pStyle w:val="TableText"/>
              <w:spacing w:before="88" w:line="184" w:lineRule="auto"/>
              <w:ind w:left="474"/>
              <w:rPr>
                <w:sz w:val="19"/>
                <w:szCs w:val="19"/>
              </w:rPr>
            </w:pPr>
            <w:r>
              <w:rPr>
                <w:spacing w:val="-3"/>
                <w:sz w:val="19"/>
                <w:szCs w:val="19"/>
              </w:rPr>
              <w:t>100,000.00</w:t>
            </w:r>
          </w:p>
        </w:tc>
        <w:tc>
          <w:tcPr>
            <w:tcW w:w="1655" w:type="dxa"/>
            <w:vAlign w:val="top"/>
          </w:tcPr>
          <w:p>
            <w:pPr>
              <w:pStyle w:val="TableText"/>
              <w:spacing w:before="88" w:line="184" w:lineRule="auto"/>
              <w:ind w:left="274"/>
              <w:rPr>
                <w:sz w:val="19"/>
                <w:szCs w:val="19"/>
              </w:rPr>
            </w:pPr>
            <w:r>
              <w:rPr>
                <w:spacing w:val="-3"/>
                <w:sz w:val="19"/>
                <w:szCs w:val="19"/>
              </w:rPr>
              <w:t>100,000.00</w:t>
            </w:r>
          </w:p>
        </w:tc>
        <w:tc>
          <w:tcPr>
            <w:tcW w:w="1118" w:type="dxa"/>
            <w:vAlign w:val="top"/>
          </w:tcPr>
          <w:p>
            <w:pPr>
              <w:pStyle w:val="TableText"/>
              <w:spacing w:before="61" w:line="219" w:lineRule="auto"/>
              <w:ind w:left="618"/>
              <w:rPr>
                <w:sz w:val="19"/>
                <w:szCs w:val="19"/>
              </w:rPr>
            </w:pPr>
            <w:r>
              <w:rPr>
                <w:spacing w:val="11"/>
                <w:sz w:val="19"/>
                <w:szCs w:val="19"/>
              </w:rPr>
              <w:t>货币</w:t>
            </w:r>
          </w:p>
        </w:tc>
      </w:tr>
      <w:tr>
        <w:tblPrEx>
          <w:tblW w:w="8669" w:type="dxa"/>
          <w:tblInd w:w="359" w:type="dxa"/>
          <w:tblLayout w:type="fixed"/>
          <w:tblCellMar>
            <w:top w:w="0" w:type="dxa"/>
            <w:left w:w="0" w:type="dxa"/>
            <w:bottom w:w="0" w:type="dxa"/>
            <w:right w:w="0" w:type="dxa"/>
          </w:tblCellMar>
        </w:tblPrEx>
        <w:trPr>
          <w:trHeight w:val="319"/>
        </w:trPr>
        <w:tc>
          <w:tcPr>
            <w:tcW w:w="4096" w:type="dxa"/>
            <w:vAlign w:val="top"/>
          </w:tcPr>
          <w:p>
            <w:pPr>
              <w:pStyle w:val="TableText"/>
              <w:spacing w:before="75" w:line="221" w:lineRule="auto"/>
              <w:ind w:left="99"/>
              <w:rPr>
                <w:sz w:val="19"/>
                <w:szCs w:val="19"/>
              </w:rPr>
            </w:pPr>
            <w:r>
              <w:rPr>
                <w:spacing w:val="8"/>
                <w:sz w:val="19"/>
                <w:szCs w:val="19"/>
              </w:rPr>
              <w:t>江兆昌</w:t>
            </w:r>
          </w:p>
        </w:tc>
        <w:tc>
          <w:tcPr>
            <w:tcW w:w="1800" w:type="dxa"/>
            <w:vAlign w:val="top"/>
          </w:tcPr>
          <w:p>
            <w:pPr>
              <w:pStyle w:val="TableText"/>
              <w:spacing w:before="98" w:line="184" w:lineRule="auto"/>
              <w:ind w:left="474"/>
              <w:rPr>
                <w:sz w:val="19"/>
                <w:szCs w:val="19"/>
              </w:rPr>
            </w:pPr>
            <w:r>
              <w:rPr>
                <w:spacing w:val="-3"/>
                <w:sz w:val="19"/>
                <w:szCs w:val="19"/>
              </w:rPr>
              <w:t>100,000.00</w:t>
            </w:r>
          </w:p>
        </w:tc>
        <w:tc>
          <w:tcPr>
            <w:tcW w:w="1655" w:type="dxa"/>
            <w:vAlign w:val="top"/>
          </w:tcPr>
          <w:p>
            <w:pPr>
              <w:pStyle w:val="TableText"/>
              <w:spacing w:before="98" w:line="184" w:lineRule="auto"/>
              <w:ind w:left="274"/>
              <w:rPr>
                <w:sz w:val="19"/>
                <w:szCs w:val="19"/>
              </w:rPr>
            </w:pPr>
            <w:r>
              <w:rPr>
                <w:spacing w:val="-3"/>
                <w:sz w:val="19"/>
                <w:szCs w:val="19"/>
              </w:rPr>
              <w:t>100,000.00</w:t>
            </w:r>
          </w:p>
        </w:tc>
        <w:tc>
          <w:tcPr>
            <w:tcW w:w="1118" w:type="dxa"/>
            <w:vAlign w:val="top"/>
          </w:tcPr>
          <w:p>
            <w:pPr>
              <w:pStyle w:val="TableText"/>
              <w:spacing w:before="71" w:line="219" w:lineRule="auto"/>
              <w:ind w:left="618"/>
              <w:rPr>
                <w:sz w:val="19"/>
                <w:szCs w:val="19"/>
              </w:rPr>
            </w:pPr>
            <w:r>
              <w:rPr>
                <w:spacing w:val="11"/>
                <w:sz w:val="19"/>
                <w:szCs w:val="19"/>
              </w:rPr>
              <w:t>货币</w:t>
            </w:r>
          </w:p>
        </w:tc>
      </w:tr>
      <w:tr>
        <w:tblPrEx>
          <w:tblW w:w="8669" w:type="dxa"/>
          <w:tblInd w:w="359" w:type="dxa"/>
          <w:tblLayout w:type="fixed"/>
          <w:tblCellMar>
            <w:top w:w="0" w:type="dxa"/>
            <w:left w:w="0" w:type="dxa"/>
            <w:bottom w:w="0" w:type="dxa"/>
            <w:right w:w="0" w:type="dxa"/>
          </w:tblCellMar>
        </w:tblPrEx>
        <w:trPr>
          <w:trHeight w:val="320"/>
        </w:trPr>
        <w:tc>
          <w:tcPr>
            <w:tcW w:w="4096" w:type="dxa"/>
            <w:vAlign w:val="top"/>
          </w:tcPr>
          <w:p>
            <w:pPr>
              <w:pStyle w:val="TableText"/>
              <w:spacing w:before="72" w:line="219" w:lineRule="auto"/>
              <w:ind w:left="99"/>
              <w:rPr>
                <w:sz w:val="19"/>
                <w:szCs w:val="19"/>
              </w:rPr>
            </w:pPr>
            <w:r>
              <w:rPr>
                <w:spacing w:val="2"/>
                <w:sz w:val="19"/>
                <w:szCs w:val="19"/>
              </w:rPr>
              <w:t>惠州市优源投资管理合伙企业(有限合伙)</w:t>
            </w:r>
          </w:p>
        </w:tc>
        <w:tc>
          <w:tcPr>
            <w:tcW w:w="1800" w:type="dxa"/>
            <w:vAlign w:val="top"/>
          </w:tcPr>
          <w:p>
            <w:pPr>
              <w:pStyle w:val="TableText"/>
              <w:spacing w:before="100" w:line="183" w:lineRule="auto"/>
              <w:ind w:left="563"/>
              <w:rPr>
                <w:sz w:val="19"/>
                <w:szCs w:val="19"/>
              </w:rPr>
            </w:pPr>
            <w:r>
              <w:rPr>
                <w:spacing w:val="-2"/>
                <w:sz w:val="19"/>
                <w:szCs w:val="19"/>
              </w:rPr>
              <w:t>50,000.00</w:t>
            </w:r>
          </w:p>
        </w:tc>
        <w:tc>
          <w:tcPr>
            <w:tcW w:w="1655" w:type="dxa"/>
            <w:vAlign w:val="top"/>
          </w:tcPr>
          <w:p>
            <w:pPr>
              <w:pStyle w:val="TableText"/>
              <w:spacing w:before="100" w:line="183" w:lineRule="auto"/>
              <w:ind w:left="363"/>
              <w:rPr>
                <w:sz w:val="19"/>
                <w:szCs w:val="19"/>
              </w:rPr>
            </w:pPr>
            <w:r>
              <w:rPr>
                <w:spacing w:val="-2"/>
                <w:sz w:val="19"/>
                <w:szCs w:val="19"/>
              </w:rPr>
              <w:t>50,000.00</w:t>
            </w:r>
          </w:p>
        </w:tc>
        <w:tc>
          <w:tcPr>
            <w:tcW w:w="1118" w:type="dxa"/>
            <w:vAlign w:val="top"/>
          </w:tcPr>
          <w:p>
            <w:pPr>
              <w:pStyle w:val="TableText"/>
              <w:spacing w:before="72" w:line="219" w:lineRule="auto"/>
              <w:ind w:left="618"/>
              <w:rPr>
                <w:sz w:val="19"/>
                <w:szCs w:val="19"/>
              </w:rPr>
            </w:pPr>
            <w:r>
              <w:rPr>
                <w:spacing w:val="11"/>
                <w:sz w:val="19"/>
                <w:szCs w:val="19"/>
              </w:rPr>
              <w:t>货币</w:t>
            </w:r>
          </w:p>
        </w:tc>
      </w:tr>
      <w:tr>
        <w:tblPrEx>
          <w:tblW w:w="8669" w:type="dxa"/>
          <w:tblInd w:w="359" w:type="dxa"/>
          <w:tblLayout w:type="fixed"/>
          <w:tblCellMar>
            <w:top w:w="0" w:type="dxa"/>
            <w:left w:w="0" w:type="dxa"/>
            <w:bottom w:w="0" w:type="dxa"/>
            <w:right w:w="0" w:type="dxa"/>
          </w:tblCellMar>
        </w:tblPrEx>
        <w:trPr>
          <w:trHeight w:val="314"/>
        </w:trPr>
        <w:tc>
          <w:tcPr>
            <w:tcW w:w="4096" w:type="dxa"/>
            <w:vAlign w:val="top"/>
          </w:tcPr>
          <w:p>
            <w:pPr>
              <w:pStyle w:val="TableText"/>
              <w:spacing w:before="72" w:line="219" w:lineRule="auto"/>
              <w:ind w:left="99"/>
              <w:rPr>
                <w:sz w:val="19"/>
                <w:szCs w:val="19"/>
              </w:rPr>
            </w:pPr>
            <w:r>
              <w:rPr>
                <w:spacing w:val="2"/>
                <w:sz w:val="19"/>
                <w:szCs w:val="19"/>
              </w:rPr>
              <w:t>惠州市牧天投资管理合伙企业(有限合伙)</w:t>
            </w:r>
          </w:p>
        </w:tc>
        <w:tc>
          <w:tcPr>
            <w:tcW w:w="1800" w:type="dxa"/>
            <w:vAlign w:val="top"/>
          </w:tcPr>
          <w:p>
            <w:pPr>
              <w:pStyle w:val="TableText"/>
              <w:spacing w:before="100" w:line="183" w:lineRule="auto"/>
              <w:ind w:left="563"/>
              <w:rPr>
                <w:sz w:val="19"/>
                <w:szCs w:val="19"/>
              </w:rPr>
            </w:pPr>
            <w:r>
              <w:rPr>
                <w:spacing w:val="-2"/>
                <w:sz w:val="19"/>
                <w:szCs w:val="19"/>
              </w:rPr>
              <w:t>50,000.00</w:t>
            </w:r>
          </w:p>
        </w:tc>
        <w:tc>
          <w:tcPr>
            <w:tcW w:w="1655" w:type="dxa"/>
            <w:vAlign w:val="top"/>
          </w:tcPr>
          <w:p>
            <w:pPr>
              <w:pStyle w:val="TableText"/>
              <w:spacing w:before="100" w:line="183" w:lineRule="auto"/>
              <w:ind w:left="363"/>
              <w:rPr>
                <w:sz w:val="19"/>
                <w:szCs w:val="19"/>
              </w:rPr>
            </w:pPr>
            <w:r>
              <w:rPr>
                <w:spacing w:val="-2"/>
                <w:sz w:val="19"/>
                <w:szCs w:val="19"/>
              </w:rPr>
              <w:t>50,000.00</w:t>
            </w:r>
          </w:p>
        </w:tc>
        <w:tc>
          <w:tcPr>
            <w:tcW w:w="1118" w:type="dxa"/>
            <w:vAlign w:val="top"/>
          </w:tcPr>
          <w:p>
            <w:pPr>
              <w:pStyle w:val="TableText"/>
              <w:spacing w:before="72" w:line="219" w:lineRule="auto"/>
              <w:ind w:left="618"/>
              <w:rPr>
                <w:sz w:val="19"/>
                <w:szCs w:val="19"/>
              </w:rPr>
            </w:pPr>
            <w:r>
              <w:rPr>
                <w:spacing w:val="11"/>
                <w:sz w:val="19"/>
                <w:szCs w:val="19"/>
              </w:rPr>
              <w:t>货币</w:t>
            </w:r>
          </w:p>
        </w:tc>
      </w:tr>
      <w:tr>
        <w:tblPrEx>
          <w:tblW w:w="8669" w:type="dxa"/>
          <w:tblInd w:w="359" w:type="dxa"/>
          <w:tblLayout w:type="fixed"/>
          <w:tblCellMar>
            <w:top w:w="0" w:type="dxa"/>
            <w:left w:w="0" w:type="dxa"/>
            <w:bottom w:w="0" w:type="dxa"/>
            <w:right w:w="0" w:type="dxa"/>
          </w:tblCellMar>
        </w:tblPrEx>
        <w:trPr>
          <w:trHeight w:val="320"/>
        </w:trPr>
        <w:tc>
          <w:tcPr>
            <w:tcW w:w="4096" w:type="dxa"/>
            <w:vAlign w:val="top"/>
          </w:tcPr>
          <w:p>
            <w:pPr>
              <w:pStyle w:val="TableText"/>
              <w:spacing w:before="68" w:line="219" w:lineRule="auto"/>
              <w:ind w:left="99"/>
              <w:rPr>
                <w:sz w:val="19"/>
                <w:szCs w:val="19"/>
              </w:rPr>
            </w:pPr>
            <w:r>
              <w:rPr>
                <w:spacing w:val="2"/>
                <w:sz w:val="19"/>
                <w:szCs w:val="19"/>
              </w:rPr>
              <w:t>惠州市本盛投资管理合伙企业(有限合伙)</w:t>
            </w:r>
          </w:p>
        </w:tc>
        <w:tc>
          <w:tcPr>
            <w:tcW w:w="1800" w:type="dxa"/>
            <w:vAlign w:val="top"/>
          </w:tcPr>
          <w:p>
            <w:pPr>
              <w:pStyle w:val="TableText"/>
              <w:spacing w:before="96" w:line="183" w:lineRule="auto"/>
              <w:ind w:left="563"/>
              <w:rPr>
                <w:sz w:val="19"/>
                <w:szCs w:val="19"/>
              </w:rPr>
            </w:pPr>
            <w:r>
              <w:rPr>
                <w:spacing w:val="-2"/>
                <w:sz w:val="19"/>
                <w:szCs w:val="19"/>
              </w:rPr>
              <w:t>50,000.00</w:t>
            </w:r>
          </w:p>
        </w:tc>
        <w:tc>
          <w:tcPr>
            <w:tcW w:w="1655" w:type="dxa"/>
            <w:vAlign w:val="top"/>
          </w:tcPr>
          <w:p>
            <w:pPr>
              <w:pStyle w:val="TableText"/>
              <w:spacing w:before="96" w:line="183" w:lineRule="auto"/>
              <w:ind w:left="363"/>
              <w:rPr>
                <w:sz w:val="19"/>
                <w:szCs w:val="19"/>
              </w:rPr>
            </w:pPr>
            <w:r>
              <w:rPr>
                <w:spacing w:val="-2"/>
                <w:sz w:val="19"/>
                <w:szCs w:val="19"/>
              </w:rPr>
              <w:t>50,000.00</w:t>
            </w:r>
          </w:p>
        </w:tc>
        <w:tc>
          <w:tcPr>
            <w:tcW w:w="1118" w:type="dxa"/>
            <w:vAlign w:val="top"/>
          </w:tcPr>
          <w:p>
            <w:pPr>
              <w:pStyle w:val="TableText"/>
              <w:spacing w:before="68" w:line="219" w:lineRule="auto"/>
              <w:ind w:left="618"/>
              <w:rPr>
                <w:sz w:val="19"/>
                <w:szCs w:val="19"/>
              </w:rPr>
            </w:pPr>
            <w:r>
              <w:rPr>
                <w:spacing w:val="11"/>
                <w:sz w:val="19"/>
                <w:szCs w:val="19"/>
              </w:rPr>
              <w:t>货币</w:t>
            </w:r>
          </w:p>
        </w:tc>
      </w:tr>
      <w:tr>
        <w:tblPrEx>
          <w:tblW w:w="8669" w:type="dxa"/>
          <w:tblInd w:w="359" w:type="dxa"/>
          <w:tblLayout w:type="fixed"/>
          <w:tblCellMar>
            <w:top w:w="0" w:type="dxa"/>
            <w:left w:w="0" w:type="dxa"/>
            <w:bottom w:w="0" w:type="dxa"/>
            <w:right w:w="0" w:type="dxa"/>
          </w:tblCellMar>
        </w:tblPrEx>
        <w:trPr>
          <w:trHeight w:val="355"/>
        </w:trPr>
        <w:tc>
          <w:tcPr>
            <w:tcW w:w="4096" w:type="dxa"/>
            <w:vAlign w:val="top"/>
          </w:tcPr>
          <w:p>
            <w:pPr>
              <w:pStyle w:val="TableText"/>
              <w:spacing w:before="88" w:line="219" w:lineRule="auto"/>
              <w:ind w:left="99"/>
              <w:rPr>
                <w:sz w:val="19"/>
                <w:szCs w:val="19"/>
              </w:rPr>
            </w:pPr>
            <w:r>
              <w:rPr>
                <w:spacing w:val="2"/>
                <w:sz w:val="19"/>
                <w:szCs w:val="19"/>
              </w:rPr>
              <w:t>惠州市鑫意诚投资管理合伙企业(有限合伙)</w:t>
            </w:r>
          </w:p>
        </w:tc>
        <w:tc>
          <w:tcPr>
            <w:tcW w:w="1800" w:type="dxa"/>
            <w:vAlign w:val="top"/>
          </w:tcPr>
          <w:p>
            <w:pPr>
              <w:pStyle w:val="TableText"/>
              <w:spacing w:before="146" w:line="183" w:lineRule="auto"/>
              <w:ind w:left="563"/>
              <w:rPr>
                <w:sz w:val="19"/>
                <w:szCs w:val="19"/>
              </w:rPr>
            </w:pPr>
            <w:r>
              <w:rPr>
                <w:spacing w:val="-2"/>
                <w:sz w:val="19"/>
                <w:szCs w:val="19"/>
              </w:rPr>
              <w:t>50,000.00</w:t>
            </w:r>
          </w:p>
        </w:tc>
        <w:tc>
          <w:tcPr>
            <w:tcW w:w="1655" w:type="dxa"/>
            <w:vAlign w:val="top"/>
          </w:tcPr>
          <w:p>
            <w:pPr>
              <w:pStyle w:val="TableText"/>
              <w:spacing w:before="136" w:line="183" w:lineRule="auto"/>
              <w:ind w:left="363"/>
              <w:rPr>
                <w:sz w:val="19"/>
                <w:szCs w:val="19"/>
              </w:rPr>
            </w:pPr>
            <w:r>
              <w:rPr>
                <w:spacing w:val="-2"/>
                <w:sz w:val="19"/>
                <w:szCs w:val="19"/>
              </w:rPr>
              <w:t>50,000.00</w:t>
            </w:r>
          </w:p>
        </w:tc>
        <w:tc>
          <w:tcPr>
            <w:tcW w:w="1118" w:type="dxa"/>
            <w:vAlign w:val="top"/>
          </w:tcPr>
          <w:p>
            <w:pPr>
              <w:pStyle w:val="TableText"/>
              <w:spacing w:before="78" w:line="219" w:lineRule="auto"/>
              <w:ind w:left="618"/>
              <w:rPr>
                <w:sz w:val="19"/>
                <w:szCs w:val="19"/>
              </w:rPr>
            </w:pPr>
            <w:r>
              <w:rPr>
                <w:spacing w:val="11"/>
                <w:sz w:val="19"/>
                <w:szCs w:val="19"/>
              </w:rPr>
              <w:t>货币</w:t>
            </w:r>
          </w:p>
        </w:tc>
      </w:tr>
      <w:tr>
        <w:tblPrEx>
          <w:tblW w:w="8669" w:type="dxa"/>
          <w:tblInd w:w="359" w:type="dxa"/>
          <w:tblLayout w:type="fixed"/>
          <w:tblCellMar>
            <w:top w:w="0" w:type="dxa"/>
            <w:left w:w="0" w:type="dxa"/>
            <w:bottom w:w="0" w:type="dxa"/>
            <w:right w:w="0" w:type="dxa"/>
          </w:tblCellMar>
        </w:tblPrEx>
        <w:trPr>
          <w:trHeight w:val="322"/>
        </w:trPr>
        <w:tc>
          <w:tcPr>
            <w:tcW w:w="4096" w:type="dxa"/>
            <w:tcBorders>
              <w:bottom w:val="single" w:sz="4" w:space="0" w:color="000000"/>
            </w:tcBorders>
            <w:vAlign w:val="top"/>
          </w:tcPr>
          <w:p>
            <w:pPr>
              <w:pStyle w:val="TableText"/>
              <w:spacing w:before="65" w:line="221" w:lineRule="auto"/>
              <w:ind w:left="99"/>
              <w:rPr>
                <w:sz w:val="19"/>
                <w:szCs w:val="19"/>
              </w:rPr>
            </w:pPr>
            <w:r>
              <w:rPr>
                <w:spacing w:val="-5"/>
                <w:sz w:val="19"/>
                <w:szCs w:val="19"/>
              </w:rPr>
              <w:t>合</w:t>
            </w:r>
            <w:r>
              <w:rPr>
                <w:spacing w:val="8"/>
                <w:sz w:val="19"/>
                <w:szCs w:val="19"/>
              </w:rPr>
              <w:t xml:space="preserve"> </w:t>
            </w:r>
            <w:r>
              <w:rPr>
                <w:spacing w:val="-5"/>
                <w:sz w:val="19"/>
                <w:szCs w:val="19"/>
              </w:rPr>
              <w:t>计</w:t>
            </w:r>
          </w:p>
        </w:tc>
        <w:tc>
          <w:tcPr>
            <w:tcW w:w="1800" w:type="dxa"/>
            <w:tcBorders>
              <w:bottom w:val="single" w:sz="4" w:space="0" w:color="000000"/>
            </w:tcBorders>
            <w:vAlign w:val="top"/>
          </w:tcPr>
          <w:p>
            <w:pPr>
              <w:pStyle w:val="TableText"/>
              <w:spacing w:before="118" w:line="183" w:lineRule="auto"/>
              <w:ind w:left="386"/>
              <w:rPr>
                <w:sz w:val="19"/>
                <w:szCs w:val="19"/>
              </w:rPr>
            </w:pPr>
            <w:r>
              <w:rPr>
                <w:b/>
                <w:bCs/>
                <w:spacing w:val="-3"/>
                <w:sz w:val="19"/>
                <w:szCs w:val="19"/>
              </w:rPr>
              <w:t>80,000,000.00</w:t>
            </w:r>
          </w:p>
        </w:tc>
        <w:tc>
          <w:tcPr>
            <w:tcW w:w="1655" w:type="dxa"/>
            <w:tcBorders>
              <w:bottom w:val="single" w:sz="4" w:space="0" w:color="000000"/>
            </w:tcBorders>
            <w:vAlign w:val="top"/>
          </w:tcPr>
          <w:p>
            <w:pPr>
              <w:pStyle w:val="TableText"/>
              <w:spacing w:before="108" w:line="183" w:lineRule="auto"/>
              <w:ind w:left="196"/>
              <w:rPr>
                <w:sz w:val="19"/>
                <w:szCs w:val="19"/>
              </w:rPr>
            </w:pPr>
            <w:r>
              <w:rPr>
                <w:b/>
                <w:bCs/>
                <w:spacing w:val="-3"/>
                <w:sz w:val="19"/>
                <w:szCs w:val="19"/>
              </w:rPr>
              <w:t>80,000,000.00</w:t>
            </w:r>
          </w:p>
        </w:tc>
        <w:tc>
          <w:tcPr>
            <w:tcW w:w="1118" w:type="dxa"/>
            <w:tcBorders>
              <w:bottom w:val="single" w:sz="4" w:space="0" w:color="000000"/>
            </w:tcBorders>
            <w:vAlign w:val="top"/>
          </w:tcPr>
          <w:p/>
        </w:tc>
      </w:tr>
    </w:tbl>
    <w:p>
      <w:pPr>
        <w:spacing w:before="183" w:line="245" w:lineRule="auto"/>
        <w:ind w:left="449" w:right="1155"/>
        <w:jc w:val="both"/>
        <w:rPr>
          <w:rFonts w:ascii="仿宋" w:eastAsia="仿宋" w:hAnsi="仿宋" w:cs="仿宋"/>
          <w:sz w:val="22"/>
          <w:szCs w:val="22"/>
        </w:rPr>
      </w:pPr>
      <w:r>
        <w:rPr>
          <w:rFonts w:ascii="仿宋" w:eastAsia="仿宋" w:hAnsi="仿宋" w:cs="仿宋"/>
          <w:spacing w:val="11"/>
          <w:sz w:val="22"/>
          <w:szCs w:val="22"/>
        </w:rPr>
        <w:t>2020年11月22日，经公司股东会决议，同意</w:t>
      </w:r>
      <w:r>
        <w:rPr>
          <w:rFonts w:ascii="仿宋" w:eastAsia="仿宋" w:hAnsi="仿宋" w:cs="仿宋"/>
          <w:spacing w:val="10"/>
          <w:sz w:val="22"/>
          <w:szCs w:val="22"/>
        </w:rPr>
        <w:t>陈祖扬将其持有公司1.313%的股权计105</w:t>
      </w:r>
      <w:r>
        <w:rPr>
          <w:rFonts w:ascii="仿宋" w:eastAsia="仿宋" w:hAnsi="仿宋" w:cs="仿宋"/>
          <w:sz w:val="22"/>
          <w:szCs w:val="22"/>
        </w:rPr>
        <w:t xml:space="preserve"> 万元出资额以7,961,523元人民币的价格转让给汪忠远；同意陈惠珍将其持有公司0.625%</w:t>
      </w:r>
      <w:r>
        <w:rPr>
          <w:rFonts w:ascii="仿宋" w:eastAsia="仿宋" w:hAnsi="仿宋" w:cs="仿宋"/>
          <w:spacing w:val="5"/>
          <w:sz w:val="22"/>
          <w:szCs w:val="22"/>
        </w:rPr>
        <w:t xml:space="preserve"> </w:t>
      </w:r>
      <w:r>
        <w:rPr>
          <w:rFonts w:ascii="仿宋" w:eastAsia="仿宋" w:hAnsi="仿宋" w:cs="仿宋"/>
          <w:spacing w:val="3"/>
          <w:sz w:val="22"/>
          <w:szCs w:val="22"/>
        </w:rPr>
        <w:t>的股权计50</w:t>
      </w:r>
      <w:r>
        <w:rPr>
          <w:rFonts w:ascii="仿宋" w:eastAsia="仿宋" w:hAnsi="仿宋" w:cs="仿宋"/>
          <w:spacing w:val="-6"/>
          <w:sz w:val="22"/>
          <w:szCs w:val="22"/>
        </w:rPr>
        <w:t xml:space="preserve"> </w:t>
      </w:r>
      <w:r>
        <w:rPr>
          <w:rFonts w:ascii="仿宋" w:eastAsia="仿宋" w:hAnsi="仿宋" w:cs="仿宋"/>
          <w:spacing w:val="3"/>
          <w:sz w:val="22"/>
          <w:szCs w:val="22"/>
        </w:rPr>
        <w:t>万元出资额以3,774,246元人民币的价格转让给汪忠远；同意广东瑞尼企业</w:t>
      </w:r>
      <w:r>
        <w:rPr>
          <w:rFonts w:ascii="仿宋" w:eastAsia="仿宋" w:hAnsi="仿宋" w:cs="仿宋"/>
          <w:sz w:val="22"/>
          <w:szCs w:val="22"/>
        </w:rPr>
        <w:t xml:space="preserve"> </w:t>
      </w:r>
      <w:r>
        <w:rPr>
          <w:rFonts w:ascii="仿宋" w:eastAsia="仿宋" w:hAnsi="仿宋" w:cs="仿宋"/>
          <w:spacing w:val="3"/>
          <w:sz w:val="22"/>
          <w:szCs w:val="22"/>
        </w:rPr>
        <w:t>管理服务有限公司将其持有公司1.250%的股权计100万元出资额以8,6</w:t>
      </w:r>
      <w:r>
        <w:rPr>
          <w:rFonts w:ascii="仿宋" w:eastAsia="仿宋" w:hAnsi="仿宋" w:cs="仿宋"/>
          <w:spacing w:val="2"/>
          <w:sz w:val="22"/>
          <w:szCs w:val="22"/>
        </w:rPr>
        <w:t>79,780元人民币的</w:t>
      </w:r>
      <w:r>
        <w:rPr>
          <w:rFonts w:ascii="仿宋" w:eastAsia="仿宋" w:hAnsi="仿宋" w:cs="仿宋"/>
          <w:sz w:val="22"/>
          <w:szCs w:val="22"/>
        </w:rPr>
        <w:t xml:space="preserve"> </w:t>
      </w:r>
      <w:r>
        <w:rPr>
          <w:rFonts w:ascii="仿宋" w:eastAsia="仿宋" w:hAnsi="仿宋" w:cs="仿宋"/>
          <w:spacing w:val="3"/>
          <w:sz w:val="22"/>
          <w:szCs w:val="22"/>
        </w:rPr>
        <w:t>价格转让给汪忠远；同意广州市东岸美景投资有限公司将其持有公司0.8</w:t>
      </w:r>
      <w:r>
        <w:rPr>
          <w:rFonts w:ascii="仿宋" w:eastAsia="仿宋" w:hAnsi="仿宋" w:cs="仿宋"/>
          <w:spacing w:val="2"/>
          <w:sz w:val="22"/>
          <w:szCs w:val="22"/>
        </w:rPr>
        <w:t>00%的股权计64</w:t>
      </w:r>
      <w:r>
        <w:rPr>
          <w:rFonts w:ascii="仿宋" w:eastAsia="仿宋" w:hAnsi="仿宋" w:cs="仿宋"/>
          <w:sz w:val="22"/>
          <w:szCs w:val="22"/>
        </w:rPr>
        <w:t xml:space="preserve"> 万元出资额以4,813,992元人民币的价格转让给</w:t>
      </w:r>
      <w:r>
        <w:rPr>
          <w:rFonts w:ascii="仿宋" w:eastAsia="仿宋" w:hAnsi="仿宋" w:cs="仿宋"/>
          <w:spacing w:val="-1"/>
          <w:sz w:val="22"/>
          <w:szCs w:val="22"/>
        </w:rPr>
        <w:t>汪忠远；同意新兴亚洲投资有限公司将其</w:t>
      </w:r>
      <w:r>
        <w:rPr>
          <w:rFonts w:ascii="仿宋" w:eastAsia="仿宋" w:hAnsi="仿宋" w:cs="仿宋"/>
          <w:sz w:val="22"/>
          <w:szCs w:val="22"/>
        </w:rPr>
        <w:t xml:space="preserve"> </w:t>
      </w:r>
      <w:r>
        <w:rPr>
          <w:rFonts w:ascii="仿宋" w:eastAsia="仿宋" w:hAnsi="仿宋" w:cs="仿宋"/>
          <w:spacing w:val="5"/>
          <w:sz w:val="22"/>
          <w:szCs w:val="22"/>
        </w:rPr>
        <w:t>持有公司0.6125%的股权计49万元出资额以428.75万元人民币的价格转让给林倩倩，将</w:t>
      </w:r>
      <w:r>
        <w:rPr>
          <w:rFonts w:ascii="仿宋" w:eastAsia="仿宋" w:hAnsi="仿宋" w:cs="仿宋"/>
          <w:spacing w:val="10"/>
          <w:sz w:val="22"/>
          <w:szCs w:val="22"/>
        </w:rPr>
        <w:t xml:space="preserve"> </w:t>
      </w:r>
      <w:r>
        <w:rPr>
          <w:rFonts w:ascii="仿宋" w:eastAsia="仿宋" w:hAnsi="仿宋" w:cs="仿宋"/>
          <w:spacing w:val="5"/>
          <w:sz w:val="22"/>
          <w:szCs w:val="22"/>
        </w:rPr>
        <w:t>其持有的公司8.0000%的股权计640万元出资额以5,600万元</w:t>
      </w:r>
      <w:r>
        <w:rPr>
          <w:rFonts w:ascii="仿宋" w:eastAsia="仿宋" w:hAnsi="仿宋" w:cs="仿宋"/>
          <w:spacing w:val="4"/>
          <w:sz w:val="22"/>
          <w:szCs w:val="22"/>
        </w:rPr>
        <w:t>人民币的价格转让给深圳市</w:t>
      </w:r>
      <w:r>
        <w:rPr>
          <w:rFonts w:ascii="仿宋" w:eastAsia="仿宋" w:hAnsi="仿宋" w:cs="仿宋"/>
          <w:sz w:val="22"/>
          <w:szCs w:val="22"/>
        </w:rPr>
        <w:t xml:space="preserve"> </w:t>
      </w:r>
      <w:r>
        <w:rPr>
          <w:rFonts w:ascii="仿宋" w:eastAsia="仿宋" w:hAnsi="仿宋" w:cs="仿宋"/>
          <w:spacing w:val="10"/>
          <w:sz w:val="22"/>
          <w:szCs w:val="22"/>
        </w:rPr>
        <w:t>西博肆号新技术创业投资合伙企业(有限合伙),将其持有公司1.4000%的股权计112万</w:t>
      </w:r>
      <w:r>
        <w:rPr>
          <w:rFonts w:ascii="仿宋" w:eastAsia="仿宋" w:hAnsi="仿宋" w:cs="仿宋"/>
          <w:spacing w:val="4"/>
          <w:sz w:val="22"/>
          <w:szCs w:val="22"/>
        </w:rPr>
        <w:t xml:space="preserve"> </w:t>
      </w:r>
      <w:r>
        <w:rPr>
          <w:rFonts w:ascii="仿宋" w:eastAsia="仿宋" w:hAnsi="仿宋" w:cs="仿宋"/>
          <w:spacing w:val="5"/>
          <w:sz w:val="22"/>
          <w:szCs w:val="22"/>
        </w:rPr>
        <w:t>元出资额以980万元人民币的价格转让给史伟，将其持有公司2.8125</w:t>
      </w:r>
      <w:r>
        <w:rPr>
          <w:rFonts w:ascii="仿宋" w:eastAsia="仿宋" w:hAnsi="仿宋" w:cs="仿宋"/>
          <w:spacing w:val="4"/>
          <w:sz w:val="22"/>
          <w:szCs w:val="22"/>
        </w:rPr>
        <w:t>%股权计225万元出</w:t>
      </w:r>
      <w:r>
        <w:rPr>
          <w:rFonts w:ascii="仿宋" w:eastAsia="仿宋" w:hAnsi="仿宋" w:cs="仿宋"/>
          <w:sz w:val="22"/>
          <w:szCs w:val="22"/>
        </w:rPr>
        <w:t xml:space="preserve"> </w:t>
      </w:r>
      <w:r>
        <w:rPr>
          <w:rFonts w:ascii="仿宋" w:eastAsia="仿宋" w:hAnsi="仿宋" w:cs="仿宋"/>
          <w:spacing w:val="5"/>
          <w:sz w:val="22"/>
          <w:szCs w:val="22"/>
        </w:rPr>
        <w:t>资额以1,968.75万元人民币的价格转让给谢蔚霖，将其持有的公司1.00%股权计80万元</w:t>
      </w:r>
      <w:r>
        <w:rPr>
          <w:rFonts w:ascii="仿宋" w:eastAsia="仿宋" w:hAnsi="仿宋" w:cs="仿宋"/>
          <w:spacing w:val="13"/>
          <w:sz w:val="22"/>
          <w:szCs w:val="22"/>
        </w:rPr>
        <w:t xml:space="preserve"> </w:t>
      </w:r>
      <w:r>
        <w:rPr>
          <w:rFonts w:ascii="仿宋" w:eastAsia="仿宋" w:hAnsi="仿宋" w:cs="仿宋"/>
          <w:spacing w:val="6"/>
          <w:sz w:val="22"/>
          <w:szCs w:val="22"/>
        </w:rPr>
        <w:t>出资额以700万元人民币的价格转让给惠州</w:t>
      </w:r>
      <w:r>
        <w:rPr>
          <w:rFonts w:ascii="仿宋" w:eastAsia="仿宋" w:hAnsi="仿宋" w:cs="仿宋"/>
          <w:spacing w:val="5"/>
          <w:sz w:val="22"/>
          <w:szCs w:val="22"/>
        </w:rPr>
        <w:t>市亨信生物科技有限公司，将其持有的公司</w:t>
      </w:r>
      <w:r>
        <w:rPr>
          <w:rFonts w:ascii="仿宋" w:eastAsia="仿宋" w:hAnsi="仿宋" w:cs="仿宋"/>
          <w:sz w:val="22"/>
          <w:szCs w:val="22"/>
        </w:rPr>
        <w:t xml:space="preserve"> </w:t>
      </w:r>
      <w:r>
        <w:rPr>
          <w:rFonts w:ascii="仿宋" w:eastAsia="仿宋" w:hAnsi="仿宋" w:cs="仿宋"/>
          <w:spacing w:val="5"/>
          <w:sz w:val="22"/>
          <w:szCs w:val="22"/>
        </w:rPr>
        <w:t xml:space="preserve">0.1875%股权计15万元出资额以131.25万元人民币的价格转让给惠州市本盛投资管理合 </w:t>
      </w:r>
      <w:r>
        <w:rPr>
          <w:rFonts w:ascii="仿宋" w:eastAsia="仿宋" w:hAnsi="仿宋" w:cs="仿宋"/>
          <w:spacing w:val="7"/>
          <w:sz w:val="22"/>
          <w:szCs w:val="22"/>
        </w:rPr>
        <w:t>伙企业(有限合伙),将其持有的公司0.4375%股权计35.00万元出资额以306.25</w:t>
      </w:r>
      <w:r>
        <w:rPr>
          <w:rFonts w:ascii="仿宋" w:eastAsia="仿宋" w:hAnsi="仿宋" w:cs="仿宋"/>
          <w:spacing w:val="-24"/>
          <w:sz w:val="22"/>
          <w:szCs w:val="22"/>
        </w:rPr>
        <w:t xml:space="preserve"> </w:t>
      </w:r>
      <w:r>
        <w:rPr>
          <w:rFonts w:ascii="仿宋" w:eastAsia="仿宋" w:hAnsi="仿宋" w:cs="仿宋"/>
          <w:spacing w:val="6"/>
          <w:sz w:val="22"/>
          <w:szCs w:val="22"/>
        </w:rPr>
        <w:t>万元人</w:t>
      </w:r>
      <w:r>
        <w:rPr>
          <w:rFonts w:ascii="仿宋" w:eastAsia="仿宋" w:hAnsi="仿宋" w:cs="仿宋"/>
          <w:sz w:val="22"/>
          <w:szCs w:val="22"/>
        </w:rPr>
        <w:t xml:space="preserve"> </w:t>
      </w:r>
      <w:r>
        <w:rPr>
          <w:rFonts w:ascii="仿宋" w:eastAsia="仿宋" w:hAnsi="仿宋" w:cs="仿宋"/>
          <w:spacing w:val="3"/>
          <w:sz w:val="22"/>
          <w:szCs w:val="22"/>
        </w:rPr>
        <w:t>民币的价格转让给惠州市恒信通投资管理合伙企业(有限合伙)</w:t>
      </w:r>
      <w:r>
        <w:rPr>
          <w:rFonts w:ascii="仿宋" w:eastAsia="仿宋" w:hAnsi="仿宋" w:cs="仿宋"/>
          <w:spacing w:val="2"/>
          <w:sz w:val="22"/>
          <w:szCs w:val="22"/>
        </w:rPr>
        <w:t>,将其持有的公司8.0000%</w:t>
      </w:r>
      <w:r>
        <w:rPr>
          <w:rFonts w:ascii="仿宋" w:eastAsia="仿宋" w:hAnsi="仿宋" w:cs="仿宋"/>
          <w:sz w:val="22"/>
          <w:szCs w:val="22"/>
        </w:rPr>
        <w:t xml:space="preserve"> </w:t>
      </w:r>
      <w:r>
        <w:rPr>
          <w:rFonts w:ascii="仿宋" w:eastAsia="仿宋" w:hAnsi="仿宋" w:cs="仿宋"/>
          <w:spacing w:val="8"/>
          <w:sz w:val="22"/>
          <w:szCs w:val="22"/>
        </w:rPr>
        <w:t>股权计640万元出资额以5,600万元人民币的价格转让给张家港保税区梵创产业发展有</w:t>
      </w:r>
      <w:r>
        <w:rPr>
          <w:rFonts w:ascii="仿宋" w:eastAsia="仿宋" w:hAnsi="仿宋" w:cs="仿宋"/>
          <w:spacing w:val="3"/>
          <w:sz w:val="22"/>
          <w:szCs w:val="22"/>
        </w:rPr>
        <w:t xml:space="preserve"> </w:t>
      </w:r>
      <w:r>
        <w:rPr>
          <w:rFonts w:ascii="仿宋" w:eastAsia="仿宋" w:hAnsi="仿宋" w:cs="仿宋"/>
          <w:spacing w:val="8"/>
          <w:sz w:val="22"/>
          <w:szCs w:val="22"/>
        </w:rPr>
        <w:t>限公司；同意惠州市吉源达投资管理合伙企业(有限合伙)将其持有公司0.375%的股权</w:t>
      </w:r>
      <w:r>
        <w:rPr>
          <w:rFonts w:ascii="仿宋" w:eastAsia="仿宋" w:hAnsi="仿宋" w:cs="仿宋"/>
          <w:spacing w:val="15"/>
          <w:sz w:val="22"/>
          <w:szCs w:val="22"/>
        </w:rPr>
        <w:t xml:space="preserve"> </w:t>
      </w:r>
      <w:r>
        <w:rPr>
          <w:rFonts w:ascii="仿宋" w:eastAsia="仿宋" w:hAnsi="仿宋" w:cs="仿宋"/>
          <w:spacing w:val="6"/>
          <w:sz w:val="22"/>
          <w:szCs w:val="22"/>
        </w:rPr>
        <w:t>计</w:t>
      </w:r>
      <w:r>
        <w:rPr>
          <w:rFonts w:ascii="仿宋" w:eastAsia="仿宋" w:hAnsi="仿宋" w:cs="仿宋"/>
          <w:spacing w:val="-45"/>
          <w:sz w:val="22"/>
          <w:szCs w:val="22"/>
        </w:rPr>
        <w:t xml:space="preserve"> </w:t>
      </w:r>
      <w:r>
        <w:rPr>
          <w:rFonts w:ascii="仿宋" w:eastAsia="仿宋" w:hAnsi="仿宋" w:cs="仿宋"/>
          <w:spacing w:val="6"/>
          <w:sz w:val="22"/>
          <w:szCs w:val="22"/>
        </w:rPr>
        <w:t>3</w:t>
      </w:r>
      <w:r>
        <w:rPr>
          <w:rFonts w:ascii="仿宋" w:eastAsia="仿宋" w:hAnsi="仿宋" w:cs="仿宋"/>
          <w:spacing w:val="-47"/>
          <w:sz w:val="22"/>
          <w:szCs w:val="22"/>
        </w:rPr>
        <w:t xml:space="preserve"> </w:t>
      </w:r>
      <w:r>
        <w:rPr>
          <w:rFonts w:ascii="仿宋" w:eastAsia="仿宋" w:hAnsi="仿宋" w:cs="仿宋"/>
          <w:spacing w:val="6"/>
          <w:sz w:val="22"/>
          <w:szCs w:val="22"/>
        </w:rPr>
        <w:t>0</w:t>
      </w:r>
      <w:r>
        <w:rPr>
          <w:rFonts w:ascii="仿宋" w:eastAsia="仿宋" w:hAnsi="仿宋" w:cs="仿宋"/>
          <w:spacing w:val="-22"/>
          <w:sz w:val="22"/>
          <w:szCs w:val="22"/>
        </w:rPr>
        <w:t xml:space="preserve"> </w:t>
      </w:r>
      <w:r>
        <w:rPr>
          <w:rFonts w:ascii="仿宋" w:eastAsia="仿宋" w:hAnsi="仿宋" w:cs="仿宋"/>
          <w:spacing w:val="6"/>
          <w:sz w:val="22"/>
          <w:szCs w:val="22"/>
        </w:rPr>
        <w:t>万元出资额以180 万元人民币的价格转让给惠州市本盛投资管理合伙企业(</w:t>
      </w:r>
      <w:r>
        <w:rPr>
          <w:rFonts w:ascii="仿宋" w:eastAsia="仿宋" w:hAnsi="仿宋" w:cs="仿宋"/>
          <w:spacing w:val="5"/>
          <w:sz w:val="22"/>
          <w:szCs w:val="22"/>
        </w:rPr>
        <w:t>有限</w:t>
      </w:r>
      <w:r>
        <w:rPr>
          <w:rFonts w:ascii="仿宋" w:eastAsia="仿宋" w:hAnsi="仿宋" w:cs="仿宋"/>
          <w:sz w:val="22"/>
          <w:szCs w:val="22"/>
        </w:rPr>
        <w:t xml:space="preserve"> </w:t>
      </w:r>
      <w:r>
        <w:rPr>
          <w:rFonts w:ascii="仿宋" w:eastAsia="仿宋" w:hAnsi="仿宋" w:cs="仿宋"/>
          <w:spacing w:val="6"/>
          <w:sz w:val="22"/>
          <w:szCs w:val="22"/>
        </w:rPr>
        <w:t>合伙);同意惠州市优源投资管理合伙企业(有限</w:t>
      </w:r>
      <w:r>
        <w:rPr>
          <w:rFonts w:ascii="仿宋" w:eastAsia="仿宋" w:hAnsi="仿宋" w:cs="仿宋"/>
          <w:spacing w:val="5"/>
          <w:sz w:val="22"/>
          <w:szCs w:val="22"/>
        </w:rPr>
        <w:t>合伙〉持有公司0.0625%的股权计5万元</w:t>
      </w:r>
      <w:r>
        <w:rPr>
          <w:rFonts w:ascii="仿宋" w:eastAsia="仿宋" w:hAnsi="仿宋" w:cs="仿宋"/>
          <w:sz w:val="22"/>
          <w:szCs w:val="22"/>
        </w:rPr>
        <w:t xml:space="preserve"> </w:t>
      </w:r>
      <w:r>
        <w:rPr>
          <w:rFonts w:ascii="仿宋" w:eastAsia="仿宋" w:hAnsi="仿宋" w:cs="仿宋"/>
          <w:spacing w:val="9"/>
          <w:sz w:val="22"/>
          <w:szCs w:val="22"/>
        </w:rPr>
        <w:t>出资额以21</w:t>
      </w:r>
      <w:r>
        <w:rPr>
          <w:rFonts w:ascii="仿宋" w:eastAsia="仿宋" w:hAnsi="仿宋" w:cs="仿宋"/>
          <w:spacing w:val="-23"/>
          <w:sz w:val="22"/>
          <w:szCs w:val="22"/>
        </w:rPr>
        <w:t xml:space="preserve"> </w:t>
      </w:r>
      <w:r>
        <w:rPr>
          <w:rFonts w:ascii="仿宋" w:eastAsia="仿宋" w:hAnsi="仿宋" w:cs="仿宋"/>
          <w:spacing w:val="9"/>
          <w:sz w:val="22"/>
          <w:szCs w:val="22"/>
        </w:rPr>
        <w:t>万元人民币的价格转让给惠州市天达投资管理合伙企业(有限合伙</w:t>
      </w:r>
      <w:r>
        <w:rPr>
          <w:rFonts w:ascii="仿宋" w:eastAsia="仿宋" w:hAnsi="仿宋" w:cs="仿宋"/>
          <w:spacing w:val="8"/>
          <w:sz w:val="22"/>
          <w:szCs w:val="22"/>
        </w:rPr>
        <w:t>),将其</w:t>
      </w:r>
      <w:r>
        <w:rPr>
          <w:rFonts w:ascii="仿宋" w:eastAsia="仿宋" w:hAnsi="仿宋" w:cs="仿宋"/>
          <w:sz w:val="22"/>
          <w:szCs w:val="22"/>
        </w:rPr>
        <w:t xml:space="preserve"> </w:t>
      </w:r>
      <w:r>
        <w:rPr>
          <w:rFonts w:ascii="仿宋" w:eastAsia="仿宋" w:hAnsi="仿宋" w:cs="仿宋"/>
          <w:spacing w:val="8"/>
          <w:sz w:val="22"/>
          <w:szCs w:val="22"/>
        </w:rPr>
        <w:t>持有公司0.0625%的股权计5万元出资额以21万元人民币的价格转让给惠州市天达投资</w:t>
      </w:r>
      <w:r>
        <w:rPr>
          <w:rFonts w:ascii="仿宋" w:eastAsia="仿宋" w:hAnsi="仿宋" w:cs="仿宋"/>
          <w:spacing w:val="15"/>
          <w:sz w:val="22"/>
          <w:szCs w:val="22"/>
        </w:rPr>
        <w:t xml:space="preserve"> </w:t>
      </w:r>
      <w:r>
        <w:rPr>
          <w:rFonts w:ascii="仿宋" w:eastAsia="仿宋" w:hAnsi="仿宋" w:cs="仿宋"/>
          <w:spacing w:val="18"/>
          <w:sz w:val="22"/>
          <w:szCs w:val="22"/>
        </w:rPr>
        <w:t>管理合伙企业(有限合伙);同意惠州市牧天投资管理合伙企业(有限合伙)将</w:t>
      </w:r>
      <w:r>
        <w:rPr>
          <w:rFonts w:ascii="仿宋" w:eastAsia="仿宋" w:hAnsi="仿宋" w:cs="仿宋"/>
          <w:spacing w:val="17"/>
          <w:sz w:val="22"/>
          <w:szCs w:val="22"/>
        </w:rPr>
        <w:t>其持有</w:t>
      </w:r>
      <w:r>
        <w:rPr>
          <w:rFonts w:ascii="仿宋" w:eastAsia="仿宋" w:hAnsi="仿宋" w:cs="仿宋"/>
          <w:sz w:val="22"/>
          <w:szCs w:val="22"/>
        </w:rPr>
        <w:t xml:space="preserve"> </w:t>
      </w:r>
      <w:r>
        <w:rPr>
          <w:rFonts w:ascii="仿宋" w:eastAsia="仿宋" w:hAnsi="仿宋" w:cs="仿宋"/>
          <w:spacing w:val="8"/>
          <w:sz w:val="22"/>
          <w:szCs w:val="22"/>
        </w:rPr>
        <w:t>公司0.0625%的股权计5万元出资额以21万元人民币的价格转让给惠州市天达投资管理</w:t>
      </w:r>
    </w:p>
    <w:p>
      <w:pPr>
        <w:pStyle w:val="BodyText"/>
        <w:spacing w:line="259" w:lineRule="auto"/>
      </w:pPr>
    </w:p>
    <w:p>
      <w:pPr>
        <w:pStyle w:val="BodyText"/>
        <w:spacing w:line="260" w:lineRule="auto"/>
      </w:pPr>
    </w:p>
    <w:p>
      <w:pPr>
        <w:spacing w:before="47" w:line="183" w:lineRule="auto"/>
        <w:ind w:left="4680"/>
        <w:rPr>
          <w:rFonts w:ascii="宋体" w:eastAsia="宋体" w:hAnsi="宋体" w:cs="宋体"/>
          <w:sz w:val="14"/>
          <w:szCs w:val="14"/>
        </w:rPr>
      </w:pPr>
      <w:r>
        <w:rPr>
          <w:rFonts w:ascii="宋体" w:eastAsia="宋体" w:hAnsi="宋体" w:cs="宋体"/>
          <w:sz w:val="14"/>
          <w:szCs w:val="14"/>
        </w:rPr>
        <w:t>9</w:t>
      </w:r>
    </w:p>
    <w:p>
      <w:pPr>
        <w:pStyle w:val="BodyText"/>
        <w:spacing w:line="289" w:lineRule="auto"/>
      </w:pPr>
    </w:p>
    <w:p>
      <w:pPr>
        <w:pStyle w:val="BodyText"/>
        <w:spacing w:line="289" w:lineRule="auto"/>
      </w:pPr>
    </w:p>
    <w:p>
      <w:pPr>
        <w:spacing w:before="72" w:line="184" w:lineRule="auto"/>
        <w:ind w:left="4249"/>
        <w:rPr>
          <w:rFonts w:ascii="宋体" w:eastAsia="宋体" w:hAnsi="宋体" w:cs="宋体"/>
          <w:sz w:val="22"/>
          <w:szCs w:val="22"/>
        </w:rPr>
      </w:pPr>
      <w:r>
        <w:rPr>
          <w:rFonts w:ascii="宋体" w:eastAsia="宋体" w:hAnsi="宋体" w:cs="宋体"/>
          <w:spacing w:val="-16"/>
          <w:sz w:val="22"/>
          <w:szCs w:val="22"/>
        </w:rPr>
        <w:t>3-2-3-1</w:t>
      </w:r>
    </w:p>
    <w:p>
      <w:pPr>
        <w:spacing w:line="184" w:lineRule="auto"/>
        <w:rPr>
          <w:rFonts w:ascii="宋体" w:eastAsia="宋体" w:hAnsi="宋体" w:cs="宋体"/>
          <w:sz w:val="22"/>
          <w:szCs w:val="22"/>
        </w:rPr>
        <w:sectPr>
          <w:headerReference w:type="default" r:id="rId12"/>
          <w:pgSz w:w="12060" w:h="16930"/>
          <w:pgMar w:top="400" w:right="420" w:bottom="0" w:left="1530" w:header="0" w:footer="0" w:gutter="0"/>
          <w:pgNumType w:start="13"/>
          <w:cols w:num="1" w:space="720"/>
        </w:sectPr>
      </w:pPr>
    </w:p>
    <w:p>
      <w:pPr>
        <w:pStyle w:val="BodyText"/>
        <w:spacing w:line="293" w:lineRule="auto"/>
      </w:pPr>
    </w:p>
    <w:p>
      <w:pPr>
        <w:pStyle w:val="BodyText"/>
        <w:spacing w:line="293" w:lineRule="auto"/>
      </w:pPr>
    </w:p>
    <w:p>
      <w:pPr>
        <w:pStyle w:val="BodyText"/>
        <w:spacing w:line="294" w:lineRule="auto"/>
      </w:pPr>
    </w:p>
    <w:p>
      <w:pPr>
        <w:spacing w:before="72" w:line="222" w:lineRule="auto"/>
        <w:ind w:left="29"/>
        <w:rPr>
          <w:rFonts w:ascii="仿宋" w:eastAsia="仿宋" w:hAnsi="仿宋" w:cs="仿宋"/>
          <w:sz w:val="22"/>
          <w:szCs w:val="22"/>
        </w:rPr>
      </w:pPr>
      <w:r>
        <w:rPr>
          <w:rFonts w:ascii="仿宋" w:eastAsia="仿宋" w:hAnsi="仿宋" w:cs="仿宋"/>
          <w:spacing w:val="2"/>
          <w:sz w:val="22"/>
          <w:szCs w:val="22"/>
        </w:rPr>
        <w:t>美新科技股份有限公司</w:t>
      </w:r>
    </w:p>
    <w:p>
      <w:pPr>
        <w:spacing w:before="32" w:line="220" w:lineRule="auto"/>
        <w:ind w:left="29"/>
        <w:rPr>
          <w:rFonts w:ascii="仿宋" w:eastAsia="仿宋" w:hAnsi="仿宋" w:cs="仿宋"/>
          <w:sz w:val="22"/>
          <w:szCs w:val="22"/>
        </w:rPr>
      </w:pPr>
      <w:r>
        <w:rPr>
          <w:rFonts w:ascii="仿宋" w:eastAsia="仿宋" w:hAnsi="仿宋" w:cs="仿宋"/>
          <w:spacing w:val="3"/>
          <w:sz w:val="22"/>
          <w:szCs w:val="22"/>
        </w:rPr>
        <w:t>盈利预测的编制基础、假设和编制说明</w:t>
      </w:r>
    </w:p>
    <w:p>
      <w:pPr>
        <w:spacing w:before="28" w:line="221" w:lineRule="auto"/>
        <w:ind w:left="29"/>
        <w:rPr>
          <w:rFonts w:ascii="仿宋" w:eastAsia="仿宋" w:hAnsi="仿宋" w:cs="仿宋"/>
          <w:sz w:val="22"/>
          <w:szCs w:val="22"/>
        </w:rPr>
      </w:pPr>
      <w:r>
        <w:rPr>
          <w:rFonts w:ascii="仿宋" w:eastAsia="仿宋" w:hAnsi="仿宋" w:cs="仿宋"/>
          <w:spacing w:val="11"/>
          <w:sz w:val="22"/>
          <w:szCs w:val="22"/>
        </w:rPr>
        <w:t>2023年度(除特别注明外，金额单位为人民币万元)</w:t>
      </w:r>
    </w:p>
    <w:p>
      <w:pPr>
        <w:spacing w:line="41" w:lineRule="exact"/>
      </w:pPr>
    </w:p>
    <w:tbl>
      <w:tblPr>
        <w:tblStyle w:val="TableNormal07"/>
        <w:tblW w:w="8979" w:type="dxa"/>
        <w:tblInd w:w="0" w:type="dxa"/>
        <w:tblBorders>
          <w:top w:val="nil"/>
          <w:left w:val="nil"/>
          <w:bottom w:val="nil"/>
          <w:right w:val="nil"/>
          <w:insideH w:val="nil"/>
          <w:insideV w:val="nil"/>
        </w:tblBorders>
        <w:tblLayout w:type="fixed"/>
        <w:tblCellMar>
          <w:top w:w="0" w:type="dxa"/>
          <w:left w:w="0" w:type="dxa"/>
          <w:bottom w:w="0" w:type="dxa"/>
          <w:right w:w="0" w:type="dxa"/>
        </w:tblCellMar>
      </w:tblPr>
      <w:tblGrid>
        <w:gridCol w:w="4368"/>
        <w:gridCol w:w="1825"/>
        <w:gridCol w:w="1594"/>
        <w:gridCol w:w="1192"/>
      </w:tblGrid>
      <w:tr>
        <w:tblPrEx>
          <w:tblW w:w="8979" w:type="dxa"/>
          <w:tblInd w:w="0" w:type="dxa"/>
          <w:tblBorders>
            <w:top w:val="nil"/>
            <w:left w:val="nil"/>
            <w:bottom w:val="nil"/>
            <w:right w:val="nil"/>
            <w:insideH w:val="nil"/>
            <w:insideV w:val="nil"/>
          </w:tblBorders>
          <w:tblLayout w:type="fixed"/>
          <w:tblCellMar>
            <w:top w:w="0" w:type="dxa"/>
            <w:left w:w="0" w:type="dxa"/>
            <w:bottom w:w="0" w:type="dxa"/>
            <w:right w:w="0" w:type="dxa"/>
          </w:tblCellMar>
        </w:tblPrEx>
        <w:trPr>
          <w:trHeight w:val="2768"/>
        </w:trPr>
        <w:tc>
          <w:tcPr>
            <w:tcW w:w="8979" w:type="dxa"/>
            <w:gridSpan w:val="4"/>
            <w:tcBorders>
              <w:top w:val="single" w:sz="8" w:space="0" w:color="000000"/>
            </w:tcBorders>
            <w:vAlign w:val="top"/>
          </w:tcPr>
          <w:p>
            <w:pPr>
              <w:spacing w:before="278" w:line="236" w:lineRule="auto"/>
              <w:ind w:left="389" w:right="125"/>
              <w:jc w:val="both"/>
              <w:rPr>
                <w:rFonts w:ascii="仿宋" w:eastAsia="仿宋" w:hAnsi="仿宋" w:cs="仿宋"/>
                <w:sz w:val="22"/>
                <w:szCs w:val="22"/>
              </w:rPr>
            </w:pPr>
            <w:r>
              <w:pict>
                <v:shape id="_x0000_s1036" o:spid="_x0000_s1035" style="width:433.5pt;height:0.5pt;margin-top:104.25pt;margin-left:15.5pt;mso-height-relative:page;mso-position-horizontal-relative:page;mso-position-vertical-relative:page;mso-width-relative:page;position:absolute;z-index:251668480" coordsize="8670,10" path="m,5l4289,5m4289,5l5850,5m5850,5l7380,5m7380,5l8669,5e" filled="f" stroked="t" strokecolor="black">
                  <v:stroke joinstyle="miter"/>
                </v:shape>
              </w:pict>
            </w:r>
            <w:r>
              <w:pict>
                <v:shape id="_x0000_s1037" o:spid="_x0000_s1036" style="width:433.5pt;height:0.5pt;margin-top:121.7pt;margin-left:15.5pt;mso-height-relative:page;mso-position-horizontal-relative:page;mso-position-vertical-relative:page;mso-width-relative:page;position:absolute;z-index:251669504" coordsize="8670,10" path="m,5l4289,5m4289,5l5850,5m5850,5l7380,5m7380,5l8669,5e" filled="f" stroked="t" strokecolor="black">
                  <v:stroke joinstyle="miter"/>
                </v:shape>
              </w:pict>
            </w:r>
            <w:r>
              <w:rPr>
                <w:rFonts w:ascii="仿宋" w:eastAsia="仿宋" w:hAnsi="仿宋" w:cs="仿宋"/>
                <w:spacing w:val="7"/>
                <w:sz w:val="22"/>
                <w:szCs w:val="22"/>
              </w:rPr>
              <w:t>合伙企业(有限合伙);同意江兆昌将其持有公司0.125%的股权计10.00万元出资额以60</w:t>
            </w:r>
            <w:r>
              <w:rPr>
                <w:rFonts w:ascii="仿宋" w:eastAsia="仿宋" w:hAnsi="仿宋" w:cs="仿宋"/>
                <w:spacing w:val="6"/>
                <w:sz w:val="22"/>
                <w:szCs w:val="22"/>
              </w:rPr>
              <w:t xml:space="preserve"> </w:t>
            </w:r>
            <w:r>
              <w:rPr>
                <w:rFonts w:ascii="仿宋" w:eastAsia="仿宋" w:hAnsi="仿宋" w:cs="仿宋"/>
                <w:spacing w:val="3"/>
                <w:sz w:val="22"/>
                <w:szCs w:val="22"/>
              </w:rPr>
              <w:t>万元人民币的价格转让给新兴亚洲投资有限公</w:t>
            </w:r>
            <w:r>
              <w:rPr>
                <w:rFonts w:ascii="仿宋" w:eastAsia="仿宋" w:hAnsi="仿宋" w:cs="仿宋"/>
                <w:spacing w:val="2"/>
                <w:sz w:val="22"/>
                <w:szCs w:val="22"/>
              </w:rPr>
              <w:t>司；同意杨玉华将其持有公司0.250%的股</w:t>
            </w:r>
            <w:r>
              <w:rPr>
                <w:rFonts w:ascii="仿宋" w:eastAsia="仿宋" w:hAnsi="仿宋" w:cs="仿宋"/>
                <w:sz w:val="22"/>
                <w:szCs w:val="22"/>
              </w:rPr>
              <w:t xml:space="preserve"> </w:t>
            </w:r>
            <w:r>
              <w:rPr>
                <w:rFonts w:ascii="仿宋" w:eastAsia="仿宋" w:hAnsi="仿宋" w:cs="仿宋"/>
                <w:spacing w:val="11"/>
                <w:sz w:val="22"/>
                <w:szCs w:val="22"/>
              </w:rPr>
              <w:t>权计20万元出资额以120万元人民币的价格转让给新兴亚洲投资有限公司。公司原股</w:t>
            </w:r>
            <w:r>
              <w:rPr>
                <w:rFonts w:ascii="仿宋" w:eastAsia="仿宋" w:hAnsi="仿宋" w:cs="仿宋"/>
                <w:spacing w:val="3"/>
                <w:sz w:val="22"/>
                <w:szCs w:val="22"/>
              </w:rPr>
              <w:t xml:space="preserve"> </w:t>
            </w:r>
            <w:r>
              <w:rPr>
                <w:rFonts w:ascii="仿宋" w:eastAsia="仿宋" w:hAnsi="仿宋" w:cs="仿宋"/>
                <w:spacing w:val="2"/>
                <w:sz w:val="22"/>
                <w:szCs w:val="22"/>
              </w:rPr>
              <w:t>东均同意上述股权转让并放弃上述股权的优先购买权。</w:t>
            </w:r>
          </w:p>
          <w:p>
            <w:pPr>
              <w:spacing w:before="229" w:line="219" w:lineRule="auto"/>
              <w:ind w:left="389"/>
              <w:rPr>
                <w:rFonts w:ascii="仿宋" w:eastAsia="仿宋" w:hAnsi="仿宋" w:cs="仿宋"/>
                <w:sz w:val="22"/>
                <w:szCs w:val="22"/>
              </w:rPr>
            </w:pPr>
            <w:r>
              <w:rPr>
                <w:rFonts w:ascii="仿宋" w:eastAsia="仿宋" w:hAnsi="仿宋" w:cs="仿宋"/>
                <w:spacing w:val="1"/>
                <w:sz w:val="22"/>
                <w:szCs w:val="22"/>
              </w:rPr>
              <w:t>本次股权转让后，各股东出资情况如下：</w:t>
            </w:r>
          </w:p>
          <w:p>
            <w:pPr>
              <w:pStyle w:val="TableText"/>
              <w:spacing w:before="261" w:line="223" w:lineRule="auto"/>
              <w:ind w:left="442"/>
              <w:rPr>
                <w:sz w:val="18"/>
                <w:szCs w:val="18"/>
              </w:rPr>
            </w:pPr>
            <w:r>
              <w:rPr>
                <w:b/>
                <w:bCs/>
                <w:sz w:val="18"/>
                <w:szCs w:val="18"/>
              </w:rPr>
              <w:t>股东名称</w:t>
            </w:r>
            <w:r>
              <w:rPr>
                <w:spacing w:val="1"/>
                <w:sz w:val="18"/>
                <w:szCs w:val="18"/>
              </w:rPr>
              <w:t xml:space="preserve">                                           </w:t>
            </w:r>
            <w:r>
              <w:rPr>
                <w:sz w:val="18"/>
                <w:szCs w:val="18"/>
              </w:rPr>
              <w:t>认缴出资额</w:t>
            </w:r>
            <w:r>
              <w:rPr>
                <w:spacing w:val="8"/>
                <w:sz w:val="18"/>
                <w:szCs w:val="18"/>
              </w:rPr>
              <w:t xml:space="preserve">      </w:t>
            </w:r>
            <w:r>
              <w:rPr>
                <w:sz w:val="18"/>
                <w:szCs w:val="18"/>
              </w:rPr>
              <w:t xml:space="preserve">实际出资额      </w:t>
            </w:r>
            <w:r>
              <w:rPr>
                <w:spacing w:val="-1"/>
                <w:sz w:val="18"/>
                <w:szCs w:val="18"/>
              </w:rPr>
              <w:t xml:space="preserve">  出资方式</w:t>
            </w:r>
          </w:p>
          <w:p>
            <w:pPr>
              <w:pStyle w:val="TableText"/>
              <w:spacing w:before="145" w:line="229" w:lineRule="auto"/>
              <w:ind w:left="439"/>
              <w:rPr>
                <w:sz w:val="18"/>
                <w:szCs w:val="18"/>
              </w:rPr>
            </w:pPr>
            <w:r>
              <w:rPr>
                <w:spacing w:val="2"/>
                <w:sz w:val="18"/>
                <w:szCs w:val="18"/>
              </w:rPr>
              <w:t xml:space="preserve">新兴亚洲投资有限公司          </w:t>
            </w:r>
            <w:r>
              <w:rPr>
                <w:spacing w:val="1"/>
                <w:sz w:val="18"/>
                <w:szCs w:val="18"/>
              </w:rPr>
              <w:t xml:space="preserve">                   49,775,000.00    49,775,000.00    货币、实物</w:t>
            </w:r>
          </w:p>
        </w:tc>
      </w:tr>
      <w:tr>
        <w:tblPrEx>
          <w:tblW w:w="8979" w:type="dxa"/>
          <w:tblInd w:w="0" w:type="dxa"/>
          <w:tblLayout w:type="fixed"/>
          <w:tblCellMar>
            <w:top w:w="0" w:type="dxa"/>
            <w:left w:w="0" w:type="dxa"/>
            <w:bottom w:w="0" w:type="dxa"/>
            <w:right w:w="0" w:type="dxa"/>
          </w:tblCellMar>
        </w:tblPrEx>
        <w:trPr>
          <w:trHeight w:val="304"/>
        </w:trPr>
        <w:tc>
          <w:tcPr>
            <w:tcW w:w="4368" w:type="dxa"/>
            <w:vAlign w:val="top"/>
          </w:tcPr>
          <w:p>
            <w:pPr>
              <w:pStyle w:val="TableText"/>
              <w:spacing w:before="79" w:line="219" w:lineRule="auto"/>
              <w:ind w:left="439"/>
              <w:rPr>
                <w:sz w:val="18"/>
                <w:szCs w:val="18"/>
              </w:rPr>
            </w:pPr>
            <w:r>
              <w:rPr>
                <w:spacing w:val="1"/>
                <w:sz w:val="18"/>
                <w:szCs w:val="18"/>
              </w:rPr>
              <w:t>张家港保税区梵创产业发展有限公司</w:t>
            </w:r>
          </w:p>
        </w:tc>
        <w:tc>
          <w:tcPr>
            <w:tcW w:w="1825" w:type="dxa"/>
            <w:vAlign w:val="top"/>
          </w:tcPr>
          <w:p>
            <w:pPr>
              <w:pStyle w:val="TableText"/>
              <w:spacing w:before="104" w:line="183" w:lineRule="auto"/>
              <w:ind w:left="662"/>
              <w:rPr>
                <w:sz w:val="18"/>
                <w:szCs w:val="18"/>
              </w:rPr>
            </w:pPr>
            <w:r>
              <w:rPr>
                <w:spacing w:val="-1"/>
                <w:sz w:val="18"/>
                <w:szCs w:val="18"/>
              </w:rPr>
              <w:t>6,400,000.00</w:t>
            </w:r>
          </w:p>
        </w:tc>
        <w:tc>
          <w:tcPr>
            <w:tcW w:w="1594" w:type="dxa"/>
            <w:vAlign w:val="top"/>
          </w:tcPr>
          <w:p>
            <w:pPr>
              <w:pStyle w:val="TableText"/>
              <w:spacing w:before="104" w:line="183" w:lineRule="auto"/>
              <w:ind w:left="307"/>
              <w:rPr>
                <w:sz w:val="18"/>
                <w:szCs w:val="18"/>
              </w:rPr>
            </w:pPr>
            <w:r>
              <w:rPr>
                <w:spacing w:val="-1"/>
                <w:sz w:val="18"/>
                <w:szCs w:val="18"/>
              </w:rPr>
              <w:t>6,400,000.00</w:t>
            </w:r>
          </w:p>
        </w:tc>
        <w:tc>
          <w:tcPr>
            <w:tcW w:w="1192" w:type="dxa"/>
            <w:vAlign w:val="top"/>
          </w:tcPr>
          <w:p>
            <w:pPr>
              <w:pStyle w:val="TableText"/>
              <w:spacing w:before="58" w:line="219" w:lineRule="auto"/>
              <w:ind w:left="753"/>
              <w:rPr>
                <w:sz w:val="18"/>
                <w:szCs w:val="18"/>
              </w:rPr>
            </w:pPr>
            <w:r>
              <w:rPr>
                <w:spacing w:val="10"/>
                <w:sz w:val="18"/>
                <w:szCs w:val="18"/>
              </w:rPr>
              <w:t>货币</w:t>
            </w:r>
          </w:p>
        </w:tc>
      </w:tr>
      <w:tr>
        <w:tblPrEx>
          <w:tblW w:w="8979" w:type="dxa"/>
          <w:tblInd w:w="0" w:type="dxa"/>
          <w:tblLayout w:type="fixed"/>
          <w:tblCellMar>
            <w:top w:w="0" w:type="dxa"/>
            <w:left w:w="0" w:type="dxa"/>
            <w:bottom w:w="0" w:type="dxa"/>
            <w:right w:w="0" w:type="dxa"/>
          </w:tblCellMar>
        </w:tblPrEx>
        <w:trPr>
          <w:trHeight w:val="530"/>
        </w:trPr>
        <w:tc>
          <w:tcPr>
            <w:tcW w:w="4368" w:type="dxa"/>
            <w:vAlign w:val="top"/>
          </w:tcPr>
          <w:p>
            <w:pPr>
              <w:pStyle w:val="TableText"/>
              <w:spacing w:before="53" w:line="239" w:lineRule="auto"/>
              <w:ind w:left="439" w:right="425"/>
              <w:rPr>
                <w:sz w:val="18"/>
                <w:szCs w:val="18"/>
              </w:rPr>
            </w:pPr>
            <w:r>
              <w:rPr>
                <w:spacing w:val="-1"/>
                <w:sz w:val="18"/>
                <w:szCs w:val="18"/>
              </w:rPr>
              <w:t>深圳市西博肆号新技术创业投资合伙企业(有</w:t>
            </w:r>
            <w:r>
              <w:rPr>
                <w:spacing w:val="11"/>
                <w:sz w:val="18"/>
                <w:szCs w:val="18"/>
              </w:rPr>
              <w:t xml:space="preserve"> </w:t>
            </w:r>
            <w:r>
              <w:rPr>
                <w:spacing w:val="9"/>
                <w:sz w:val="18"/>
                <w:szCs w:val="18"/>
              </w:rPr>
              <w:t>限合伙)</w:t>
            </w:r>
          </w:p>
        </w:tc>
        <w:tc>
          <w:tcPr>
            <w:tcW w:w="1825" w:type="dxa"/>
            <w:vAlign w:val="top"/>
          </w:tcPr>
          <w:p>
            <w:pPr>
              <w:pStyle w:val="TableText"/>
              <w:spacing w:before="220" w:line="183" w:lineRule="auto"/>
              <w:ind w:left="662"/>
              <w:rPr>
                <w:sz w:val="18"/>
                <w:szCs w:val="18"/>
              </w:rPr>
            </w:pPr>
            <w:r>
              <w:rPr>
                <w:spacing w:val="-1"/>
                <w:sz w:val="18"/>
                <w:szCs w:val="18"/>
              </w:rPr>
              <w:t>6,400,000.00</w:t>
            </w:r>
          </w:p>
        </w:tc>
        <w:tc>
          <w:tcPr>
            <w:tcW w:w="1594" w:type="dxa"/>
            <w:vAlign w:val="top"/>
          </w:tcPr>
          <w:p>
            <w:pPr>
              <w:pStyle w:val="TableText"/>
              <w:spacing w:before="230" w:line="183" w:lineRule="auto"/>
              <w:ind w:left="307"/>
              <w:rPr>
                <w:sz w:val="18"/>
                <w:szCs w:val="18"/>
              </w:rPr>
            </w:pPr>
            <w:r>
              <w:rPr>
                <w:spacing w:val="-1"/>
                <w:sz w:val="18"/>
                <w:szCs w:val="18"/>
              </w:rPr>
              <w:t>6,400,000.00</w:t>
            </w:r>
          </w:p>
        </w:tc>
        <w:tc>
          <w:tcPr>
            <w:tcW w:w="1192" w:type="dxa"/>
            <w:vAlign w:val="top"/>
          </w:tcPr>
          <w:p>
            <w:pPr>
              <w:pStyle w:val="TableText"/>
              <w:spacing w:before="174" w:line="219" w:lineRule="auto"/>
              <w:ind w:left="753"/>
              <w:rPr>
                <w:sz w:val="18"/>
                <w:szCs w:val="18"/>
              </w:rPr>
            </w:pPr>
            <w:r>
              <w:rPr>
                <w:spacing w:val="10"/>
                <w:sz w:val="18"/>
                <w:szCs w:val="18"/>
              </w:rPr>
              <w:t>货币</w:t>
            </w:r>
          </w:p>
        </w:tc>
      </w:tr>
      <w:tr>
        <w:tblPrEx>
          <w:tblW w:w="8979" w:type="dxa"/>
          <w:tblInd w:w="0" w:type="dxa"/>
          <w:tblLayout w:type="fixed"/>
          <w:tblCellMar>
            <w:top w:w="0" w:type="dxa"/>
            <w:left w:w="0" w:type="dxa"/>
            <w:bottom w:w="0" w:type="dxa"/>
            <w:right w:w="0" w:type="dxa"/>
          </w:tblCellMar>
        </w:tblPrEx>
        <w:trPr>
          <w:trHeight w:val="320"/>
        </w:trPr>
        <w:tc>
          <w:tcPr>
            <w:tcW w:w="4368" w:type="dxa"/>
            <w:vAlign w:val="top"/>
          </w:tcPr>
          <w:p>
            <w:pPr>
              <w:pStyle w:val="TableText"/>
              <w:spacing w:before="61" w:line="226" w:lineRule="auto"/>
              <w:ind w:left="439"/>
              <w:rPr>
                <w:sz w:val="18"/>
                <w:szCs w:val="18"/>
              </w:rPr>
            </w:pPr>
            <w:r>
              <w:rPr>
                <w:spacing w:val="-2"/>
                <w:sz w:val="18"/>
                <w:szCs w:val="18"/>
              </w:rPr>
              <w:t>汪忠远</w:t>
            </w:r>
          </w:p>
        </w:tc>
        <w:tc>
          <w:tcPr>
            <w:tcW w:w="1825" w:type="dxa"/>
            <w:vAlign w:val="top"/>
          </w:tcPr>
          <w:p>
            <w:pPr>
              <w:pStyle w:val="TableText"/>
              <w:spacing w:before="119" w:line="184" w:lineRule="auto"/>
              <w:ind w:left="652"/>
              <w:rPr>
                <w:sz w:val="18"/>
                <w:szCs w:val="18"/>
              </w:rPr>
            </w:pPr>
            <w:r>
              <w:rPr>
                <w:spacing w:val="-1"/>
                <w:sz w:val="18"/>
                <w:szCs w:val="18"/>
              </w:rPr>
              <w:t>3,190,000.00</w:t>
            </w:r>
          </w:p>
        </w:tc>
        <w:tc>
          <w:tcPr>
            <w:tcW w:w="1594" w:type="dxa"/>
            <w:vAlign w:val="top"/>
          </w:tcPr>
          <w:p>
            <w:pPr>
              <w:pStyle w:val="TableText"/>
              <w:spacing w:before="109" w:line="184" w:lineRule="auto"/>
              <w:ind w:left="307"/>
              <w:rPr>
                <w:sz w:val="18"/>
                <w:szCs w:val="18"/>
              </w:rPr>
            </w:pPr>
            <w:r>
              <w:rPr>
                <w:spacing w:val="-1"/>
                <w:sz w:val="18"/>
                <w:szCs w:val="18"/>
              </w:rPr>
              <w:t>3,190,000.00</w:t>
            </w:r>
          </w:p>
        </w:tc>
        <w:tc>
          <w:tcPr>
            <w:tcW w:w="1192" w:type="dxa"/>
            <w:vAlign w:val="top"/>
          </w:tcPr>
          <w:p>
            <w:pPr>
              <w:pStyle w:val="TableText"/>
              <w:spacing w:before="44" w:line="219" w:lineRule="auto"/>
              <w:ind w:left="753"/>
              <w:rPr>
                <w:sz w:val="18"/>
                <w:szCs w:val="18"/>
              </w:rPr>
            </w:pPr>
            <w:r>
              <w:rPr>
                <w:spacing w:val="10"/>
                <w:sz w:val="18"/>
                <w:szCs w:val="18"/>
              </w:rPr>
              <w:t>货币</w:t>
            </w:r>
          </w:p>
        </w:tc>
      </w:tr>
      <w:tr>
        <w:tblPrEx>
          <w:tblW w:w="8979" w:type="dxa"/>
          <w:tblInd w:w="0" w:type="dxa"/>
          <w:tblLayout w:type="fixed"/>
          <w:tblCellMar>
            <w:top w:w="0" w:type="dxa"/>
            <w:left w:w="0" w:type="dxa"/>
            <w:bottom w:w="0" w:type="dxa"/>
            <w:right w:w="0" w:type="dxa"/>
          </w:tblCellMar>
        </w:tblPrEx>
        <w:trPr>
          <w:trHeight w:val="315"/>
        </w:trPr>
        <w:tc>
          <w:tcPr>
            <w:tcW w:w="4368" w:type="dxa"/>
            <w:vAlign w:val="top"/>
          </w:tcPr>
          <w:p>
            <w:pPr>
              <w:pStyle w:val="TableText"/>
              <w:spacing w:before="65" w:line="219" w:lineRule="auto"/>
              <w:ind w:left="439"/>
              <w:rPr>
                <w:sz w:val="18"/>
                <w:szCs w:val="18"/>
              </w:rPr>
            </w:pPr>
            <w:r>
              <w:rPr>
                <w:spacing w:val="6"/>
                <w:sz w:val="18"/>
                <w:szCs w:val="18"/>
              </w:rPr>
              <w:t>郑小明</w:t>
            </w:r>
          </w:p>
        </w:tc>
        <w:tc>
          <w:tcPr>
            <w:tcW w:w="1825" w:type="dxa"/>
            <w:vAlign w:val="top"/>
          </w:tcPr>
          <w:p>
            <w:pPr>
              <w:pStyle w:val="TableText"/>
              <w:spacing w:before="110" w:line="183" w:lineRule="auto"/>
              <w:ind w:left="652"/>
              <w:rPr>
                <w:sz w:val="18"/>
                <w:szCs w:val="18"/>
              </w:rPr>
            </w:pPr>
            <w:r>
              <w:rPr>
                <w:spacing w:val="-1"/>
                <w:sz w:val="18"/>
                <w:szCs w:val="18"/>
              </w:rPr>
              <w:t>2,400,000.00</w:t>
            </w:r>
          </w:p>
        </w:tc>
        <w:tc>
          <w:tcPr>
            <w:tcW w:w="1594" w:type="dxa"/>
            <w:vAlign w:val="top"/>
          </w:tcPr>
          <w:p>
            <w:pPr>
              <w:pStyle w:val="TableText"/>
              <w:spacing w:before="100" w:line="183" w:lineRule="auto"/>
              <w:ind w:left="307"/>
              <w:rPr>
                <w:sz w:val="18"/>
                <w:szCs w:val="18"/>
              </w:rPr>
            </w:pPr>
            <w:r>
              <w:rPr>
                <w:spacing w:val="-1"/>
                <w:sz w:val="18"/>
                <w:szCs w:val="18"/>
              </w:rPr>
              <w:t>2,400,000.00</w:t>
            </w:r>
          </w:p>
        </w:tc>
        <w:tc>
          <w:tcPr>
            <w:tcW w:w="1192" w:type="dxa"/>
            <w:vAlign w:val="top"/>
          </w:tcPr>
          <w:p>
            <w:pPr>
              <w:pStyle w:val="TableText"/>
              <w:spacing w:before="54" w:line="219" w:lineRule="auto"/>
              <w:ind w:left="753"/>
              <w:rPr>
                <w:sz w:val="18"/>
                <w:szCs w:val="18"/>
              </w:rPr>
            </w:pPr>
            <w:r>
              <w:rPr>
                <w:spacing w:val="10"/>
                <w:sz w:val="18"/>
                <w:szCs w:val="18"/>
              </w:rPr>
              <w:t>货币</w:t>
            </w:r>
          </w:p>
        </w:tc>
      </w:tr>
      <w:tr>
        <w:tblPrEx>
          <w:tblW w:w="8979" w:type="dxa"/>
          <w:tblInd w:w="0" w:type="dxa"/>
          <w:tblLayout w:type="fixed"/>
          <w:tblCellMar>
            <w:top w:w="0" w:type="dxa"/>
            <w:left w:w="0" w:type="dxa"/>
            <w:bottom w:w="0" w:type="dxa"/>
            <w:right w:w="0" w:type="dxa"/>
          </w:tblCellMar>
        </w:tblPrEx>
        <w:trPr>
          <w:trHeight w:val="319"/>
        </w:trPr>
        <w:tc>
          <w:tcPr>
            <w:tcW w:w="4368" w:type="dxa"/>
            <w:vAlign w:val="top"/>
          </w:tcPr>
          <w:p>
            <w:pPr>
              <w:pStyle w:val="TableText"/>
              <w:spacing w:before="80" w:line="219" w:lineRule="auto"/>
              <w:ind w:left="439"/>
              <w:rPr>
                <w:sz w:val="18"/>
                <w:szCs w:val="18"/>
              </w:rPr>
            </w:pPr>
            <w:r>
              <w:rPr>
                <w:spacing w:val="-2"/>
                <w:sz w:val="18"/>
                <w:szCs w:val="18"/>
              </w:rPr>
              <w:t>谢蔚霖</w:t>
            </w:r>
          </w:p>
        </w:tc>
        <w:tc>
          <w:tcPr>
            <w:tcW w:w="1825" w:type="dxa"/>
            <w:vAlign w:val="top"/>
          </w:tcPr>
          <w:p>
            <w:pPr>
              <w:pStyle w:val="TableText"/>
              <w:spacing w:before="115" w:line="183" w:lineRule="auto"/>
              <w:ind w:left="652"/>
              <w:rPr>
                <w:sz w:val="18"/>
                <w:szCs w:val="18"/>
              </w:rPr>
            </w:pPr>
            <w:r>
              <w:rPr>
                <w:spacing w:val="-1"/>
                <w:sz w:val="18"/>
                <w:szCs w:val="18"/>
              </w:rPr>
              <w:t>2,250,000.00</w:t>
            </w:r>
          </w:p>
        </w:tc>
        <w:tc>
          <w:tcPr>
            <w:tcW w:w="1594" w:type="dxa"/>
            <w:vAlign w:val="top"/>
          </w:tcPr>
          <w:p>
            <w:pPr>
              <w:pStyle w:val="TableText"/>
              <w:spacing w:before="115" w:line="183" w:lineRule="auto"/>
              <w:ind w:left="307"/>
              <w:rPr>
                <w:sz w:val="18"/>
                <w:szCs w:val="18"/>
              </w:rPr>
            </w:pPr>
            <w:r>
              <w:rPr>
                <w:spacing w:val="-1"/>
                <w:sz w:val="18"/>
                <w:szCs w:val="18"/>
              </w:rPr>
              <w:t>2,250,000.00</w:t>
            </w:r>
          </w:p>
        </w:tc>
        <w:tc>
          <w:tcPr>
            <w:tcW w:w="1192" w:type="dxa"/>
            <w:vAlign w:val="top"/>
          </w:tcPr>
          <w:p>
            <w:pPr>
              <w:pStyle w:val="TableText"/>
              <w:spacing w:before="59" w:line="219" w:lineRule="auto"/>
              <w:ind w:left="753"/>
              <w:rPr>
                <w:sz w:val="18"/>
                <w:szCs w:val="18"/>
              </w:rPr>
            </w:pPr>
            <w:r>
              <w:rPr>
                <w:spacing w:val="10"/>
                <w:sz w:val="18"/>
                <w:szCs w:val="18"/>
              </w:rPr>
              <w:t>货币</w:t>
            </w:r>
          </w:p>
        </w:tc>
      </w:tr>
      <w:tr>
        <w:tblPrEx>
          <w:tblW w:w="8979" w:type="dxa"/>
          <w:tblInd w:w="0" w:type="dxa"/>
          <w:tblLayout w:type="fixed"/>
          <w:tblCellMar>
            <w:top w:w="0" w:type="dxa"/>
            <w:left w:w="0" w:type="dxa"/>
            <w:bottom w:w="0" w:type="dxa"/>
            <w:right w:w="0" w:type="dxa"/>
          </w:tblCellMar>
        </w:tblPrEx>
        <w:trPr>
          <w:trHeight w:val="320"/>
        </w:trPr>
        <w:tc>
          <w:tcPr>
            <w:tcW w:w="4368" w:type="dxa"/>
            <w:vAlign w:val="top"/>
          </w:tcPr>
          <w:p>
            <w:pPr>
              <w:pStyle w:val="TableText"/>
              <w:spacing w:before="60" w:line="219" w:lineRule="auto"/>
              <w:ind w:left="439"/>
              <w:rPr>
                <w:sz w:val="18"/>
                <w:szCs w:val="18"/>
              </w:rPr>
            </w:pPr>
            <w:r>
              <w:rPr>
                <w:spacing w:val="1"/>
                <w:sz w:val="18"/>
                <w:szCs w:val="18"/>
              </w:rPr>
              <w:t>惠州市恒信通投资管理合伙企业(有限合伙)</w:t>
            </w:r>
          </w:p>
        </w:tc>
        <w:tc>
          <w:tcPr>
            <w:tcW w:w="1825" w:type="dxa"/>
            <w:vAlign w:val="top"/>
          </w:tcPr>
          <w:p>
            <w:pPr>
              <w:pStyle w:val="TableText"/>
              <w:spacing w:before="115" w:line="184" w:lineRule="auto"/>
              <w:ind w:left="662"/>
              <w:rPr>
                <w:sz w:val="18"/>
                <w:szCs w:val="18"/>
              </w:rPr>
            </w:pPr>
            <w:r>
              <w:rPr>
                <w:spacing w:val="-2"/>
                <w:sz w:val="18"/>
                <w:szCs w:val="18"/>
              </w:rPr>
              <w:t>1,200,000.00</w:t>
            </w:r>
          </w:p>
        </w:tc>
        <w:tc>
          <w:tcPr>
            <w:tcW w:w="1594" w:type="dxa"/>
            <w:vAlign w:val="top"/>
          </w:tcPr>
          <w:p>
            <w:pPr>
              <w:pStyle w:val="TableText"/>
              <w:spacing w:before="115" w:line="184" w:lineRule="auto"/>
              <w:ind w:left="317"/>
              <w:rPr>
                <w:sz w:val="18"/>
                <w:szCs w:val="18"/>
              </w:rPr>
            </w:pPr>
            <w:r>
              <w:rPr>
                <w:spacing w:val="-2"/>
                <w:sz w:val="18"/>
                <w:szCs w:val="18"/>
              </w:rPr>
              <w:t>1,200,000.00</w:t>
            </w:r>
          </w:p>
        </w:tc>
        <w:tc>
          <w:tcPr>
            <w:tcW w:w="1192" w:type="dxa"/>
            <w:vAlign w:val="top"/>
          </w:tcPr>
          <w:p>
            <w:pPr>
              <w:pStyle w:val="TableText"/>
              <w:spacing w:before="60" w:line="219" w:lineRule="auto"/>
              <w:ind w:left="753"/>
              <w:rPr>
                <w:sz w:val="18"/>
                <w:szCs w:val="18"/>
              </w:rPr>
            </w:pPr>
            <w:r>
              <w:rPr>
                <w:spacing w:val="10"/>
                <w:sz w:val="18"/>
                <w:szCs w:val="18"/>
              </w:rPr>
              <w:t>货币</w:t>
            </w:r>
          </w:p>
        </w:tc>
      </w:tr>
      <w:tr>
        <w:tblPrEx>
          <w:tblW w:w="8979" w:type="dxa"/>
          <w:tblInd w:w="0" w:type="dxa"/>
          <w:tblLayout w:type="fixed"/>
          <w:tblCellMar>
            <w:top w:w="0" w:type="dxa"/>
            <w:left w:w="0" w:type="dxa"/>
            <w:bottom w:w="0" w:type="dxa"/>
            <w:right w:w="0" w:type="dxa"/>
          </w:tblCellMar>
        </w:tblPrEx>
        <w:trPr>
          <w:trHeight w:val="325"/>
        </w:trPr>
        <w:tc>
          <w:tcPr>
            <w:tcW w:w="4368" w:type="dxa"/>
            <w:vAlign w:val="top"/>
          </w:tcPr>
          <w:p>
            <w:pPr>
              <w:pStyle w:val="TableText"/>
              <w:spacing w:before="60" w:line="219" w:lineRule="auto"/>
              <w:ind w:left="439"/>
              <w:rPr>
                <w:sz w:val="18"/>
                <w:szCs w:val="18"/>
              </w:rPr>
            </w:pPr>
            <w:r>
              <w:rPr>
                <w:spacing w:val="2"/>
                <w:sz w:val="18"/>
                <w:szCs w:val="18"/>
              </w:rPr>
              <w:t>惠州市天达投资管理合伙企业(有限合伙)</w:t>
            </w:r>
          </w:p>
        </w:tc>
        <w:tc>
          <w:tcPr>
            <w:tcW w:w="1825" w:type="dxa"/>
            <w:vAlign w:val="top"/>
          </w:tcPr>
          <w:p>
            <w:pPr>
              <w:pStyle w:val="TableText"/>
              <w:spacing w:before="125" w:line="184" w:lineRule="auto"/>
              <w:ind w:left="662"/>
              <w:rPr>
                <w:sz w:val="18"/>
                <w:szCs w:val="18"/>
              </w:rPr>
            </w:pPr>
            <w:r>
              <w:rPr>
                <w:spacing w:val="-2"/>
                <w:sz w:val="18"/>
                <w:szCs w:val="18"/>
              </w:rPr>
              <w:t>1,160,000.00</w:t>
            </w:r>
          </w:p>
        </w:tc>
        <w:tc>
          <w:tcPr>
            <w:tcW w:w="1594" w:type="dxa"/>
            <w:vAlign w:val="top"/>
          </w:tcPr>
          <w:p>
            <w:pPr>
              <w:pStyle w:val="TableText"/>
              <w:spacing w:before="115" w:line="184" w:lineRule="auto"/>
              <w:ind w:left="317"/>
              <w:rPr>
                <w:sz w:val="18"/>
                <w:szCs w:val="18"/>
              </w:rPr>
            </w:pPr>
            <w:r>
              <w:rPr>
                <w:spacing w:val="-2"/>
                <w:sz w:val="18"/>
                <w:szCs w:val="18"/>
              </w:rPr>
              <w:t>1,160,000.00</w:t>
            </w:r>
          </w:p>
        </w:tc>
        <w:tc>
          <w:tcPr>
            <w:tcW w:w="1192" w:type="dxa"/>
            <w:vAlign w:val="top"/>
          </w:tcPr>
          <w:p>
            <w:pPr>
              <w:pStyle w:val="TableText"/>
              <w:spacing w:before="70" w:line="219" w:lineRule="auto"/>
              <w:ind w:left="753"/>
              <w:rPr>
                <w:sz w:val="18"/>
                <w:szCs w:val="18"/>
              </w:rPr>
            </w:pPr>
            <w:r>
              <w:rPr>
                <w:spacing w:val="10"/>
                <w:sz w:val="18"/>
                <w:szCs w:val="18"/>
              </w:rPr>
              <w:t>货币</w:t>
            </w:r>
          </w:p>
        </w:tc>
      </w:tr>
      <w:tr>
        <w:tblPrEx>
          <w:tblW w:w="8979" w:type="dxa"/>
          <w:tblInd w:w="0" w:type="dxa"/>
          <w:tblLayout w:type="fixed"/>
          <w:tblCellMar>
            <w:top w:w="0" w:type="dxa"/>
            <w:left w:w="0" w:type="dxa"/>
            <w:bottom w:w="0" w:type="dxa"/>
            <w:right w:w="0" w:type="dxa"/>
          </w:tblCellMar>
        </w:tblPrEx>
        <w:trPr>
          <w:trHeight w:val="320"/>
        </w:trPr>
        <w:tc>
          <w:tcPr>
            <w:tcW w:w="4368" w:type="dxa"/>
            <w:vAlign w:val="top"/>
          </w:tcPr>
          <w:p>
            <w:pPr>
              <w:pStyle w:val="TableText"/>
              <w:spacing w:before="76" w:line="219" w:lineRule="auto"/>
              <w:ind w:left="439"/>
              <w:rPr>
                <w:sz w:val="18"/>
                <w:szCs w:val="18"/>
              </w:rPr>
            </w:pPr>
            <w:r>
              <w:rPr>
                <w:spacing w:val="5"/>
                <w:sz w:val="18"/>
                <w:szCs w:val="18"/>
              </w:rPr>
              <w:t>史伟</w:t>
            </w:r>
          </w:p>
        </w:tc>
        <w:tc>
          <w:tcPr>
            <w:tcW w:w="1825" w:type="dxa"/>
            <w:vAlign w:val="top"/>
          </w:tcPr>
          <w:p>
            <w:pPr>
              <w:pStyle w:val="TableText"/>
              <w:spacing w:before="120" w:line="184" w:lineRule="auto"/>
              <w:ind w:left="662"/>
              <w:rPr>
                <w:sz w:val="18"/>
                <w:szCs w:val="18"/>
              </w:rPr>
            </w:pPr>
            <w:r>
              <w:rPr>
                <w:spacing w:val="-2"/>
                <w:sz w:val="18"/>
                <w:szCs w:val="18"/>
              </w:rPr>
              <w:t>1,120,000.00</w:t>
            </w:r>
          </w:p>
        </w:tc>
        <w:tc>
          <w:tcPr>
            <w:tcW w:w="1594" w:type="dxa"/>
            <w:vAlign w:val="top"/>
          </w:tcPr>
          <w:p>
            <w:pPr>
              <w:pStyle w:val="TableText"/>
              <w:spacing w:before="100" w:line="184" w:lineRule="auto"/>
              <w:ind w:left="297"/>
              <w:rPr>
                <w:sz w:val="18"/>
                <w:szCs w:val="18"/>
              </w:rPr>
            </w:pPr>
            <w:r>
              <w:rPr>
                <w:spacing w:val="-2"/>
                <w:sz w:val="18"/>
                <w:szCs w:val="18"/>
              </w:rPr>
              <w:t>1,120,000.00</w:t>
            </w:r>
          </w:p>
        </w:tc>
        <w:tc>
          <w:tcPr>
            <w:tcW w:w="1192" w:type="dxa"/>
            <w:vAlign w:val="top"/>
          </w:tcPr>
          <w:p>
            <w:pPr>
              <w:pStyle w:val="TableText"/>
              <w:spacing w:before="55" w:line="219" w:lineRule="auto"/>
              <w:ind w:left="753"/>
              <w:rPr>
                <w:sz w:val="18"/>
                <w:szCs w:val="18"/>
              </w:rPr>
            </w:pPr>
            <w:r>
              <w:rPr>
                <w:spacing w:val="10"/>
                <w:sz w:val="18"/>
                <w:szCs w:val="18"/>
              </w:rPr>
              <w:t>货币</w:t>
            </w:r>
          </w:p>
        </w:tc>
      </w:tr>
      <w:tr>
        <w:tblPrEx>
          <w:tblW w:w="8979" w:type="dxa"/>
          <w:tblInd w:w="0" w:type="dxa"/>
          <w:tblLayout w:type="fixed"/>
          <w:tblCellMar>
            <w:top w:w="0" w:type="dxa"/>
            <w:left w:w="0" w:type="dxa"/>
            <w:bottom w:w="0" w:type="dxa"/>
            <w:right w:w="0" w:type="dxa"/>
          </w:tblCellMar>
        </w:tblPrEx>
        <w:trPr>
          <w:trHeight w:val="320"/>
        </w:trPr>
        <w:tc>
          <w:tcPr>
            <w:tcW w:w="4368" w:type="dxa"/>
            <w:vAlign w:val="top"/>
          </w:tcPr>
          <w:p>
            <w:pPr>
              <w:pStyle w:val="TableText"/>
              <w:spacing w:before="86" w:line="219" w:lineRule="auto"/>
              <w:ind w:left="439"/>
              <w:rPr>
                <w:sz w:val="18"/>
                <w:szCs w:val="18"/>
              </w:rPr>
            </w:pPr>
            <w:r>
              <w:rPr>
                <w:spacing w:val="6"/>
                <w:sz w:val="18"/>
                <w:szCs w:val="18"/>
              </w:rPr>
              <w:t>吴启明</w:t>
            </w:r>
          </w:p>
        </w:tc>
        <w:tc>
          <w:tcPr>
            <w:tcW w:w="1825" w:type="dxa"/>
            <w:vAlign w:val="top"/>
          </w:tcPr>
          <w:p>
            <w:pPr>
              <w:pStyle w:val="TableText"/>
              <w:spacing w:before="121" w:line="183" w:lineRule="auto"/>
              <w:ind w:left="701"/>
              <w:rPr>
                <w:sz w:val="18"/>
                <w:szCs w:val="18"/>
              </w:rPr>
            </w:pPr>
            <w:r>
              <w:rPr>
                <w:spacing w:val="-1"/>
                <w:sz w:val="18"/>
                <w:szCs w:val="18"/>
              </w:rPr>
              <w:t>880,000.00</w:t>
            </w:r>
          </w:p>
        </w:tc>
        <w:tc>
          <w:tcPr>
            <w:tcW w:w="1594" w:type="dxa"/>
            <w:vAlign w:val="top"/>
          </w:tcPr>
          <w:p>
            <w:pPr>
              <w:pStyle w:val="TableText"/>
              <w:spacing w:before="121" w:line="183" w:lineRule="auto"/>
              <w:ind w:left="356"/>
              <w:rPr>
                <w:sz w:val="18"/>
                <w:szCs w:val="18"/>
              </w:rPr>
            </w:pPr>
            <w:r>
              <w:rPr>
                <w:spacing w:val="-1"/>
                <w:sz w:val="18"/>
                <w:szCs w:val="18"/>
              </w:rPr>
              <w:t>880,000.00</w:t>
            </w:r>
          </w:p>
        </w:tc>
        <w:tc>
          <w:tcPr>
            <w:tcW w:w="1192" w:type="dxa"/>
            <w:vAlign w:val="top"/>
          </w:tcPr>
          <w:p>
            <w:pPr>
              <w:pStyle w:val="TableText"/>
              <w:spacing w:before="55" w:line="219" w:lineRule="auto"/>
              <w:ind w:left="753"/>
              <w:rPr>
                <w:sz w:val="18"/>
                <w:szCs w:val="18"/>
              </w:rPr>
            </w:pPr>
            <w:r>
              <w:rPr>
                <w:spacing w:val="10"/>
                <w:sz w:val="18"/>
                <w:szCs w:val="18"/>
              </w:rPr>
              <w:t>货币</w:t>
            </w:r>
          </w:p>
        </w:tc>
      </w:tr>
      <w:tr>
        <w:tblPrEx>
          <w:tblW w:w="8979" w:type="dxa"/>
          <w:tblInd w:w="0" w:type="dxa"/>
          <w:tblLayout w:type="fixed"/>
          <w:tblCellMar>
            <w:top w:w="0" w:type="dxa"/>
            <w:left w:w="0" w:type="dxa"/>
            <w:bottom w:w="0" w:type="dxa"/>
            <w:right w:w="0" w:type="dxa"/>
          </w:tblCellMar>
        </w:tblPrEx>
        <w:trPr>
          <w:trHeight w:val="319"/>
        </w:trPr>
        <w:tc>
          <w:tcPr>
            <w:tcW w:w="4368" w:type="dxa"/>
            <w:vAlign w:val="top"/>
          </w:tcPr>
          <w:p>
            <w:pPr>
              <w:pStyle w:val="TableText"/>
              <w:spacing w:before="85" w:line="219" w:lineRule="auto"/>
              <w:ind w:left="439"/>
              <w:rPr>
                <w:sz w:val="18"/>
                <w:szCs w:val="18"/>
              </w:rPr>
            </w:pPr>
            <w:r>
              <w:rPr>
                <w:spacing w:val="1"/>
                <w:sz w:val="18"/>
                <w:szCs w:val="18"/>
              </w:rPr>
              <w:t>惠州市亨信生物科技有限公司</w:t>
            </w:r>
          </w:p>
        </w:tc>
        <w:tc>
          <w:tcPr>
            <w:tcW w:w="1825" w:type="dxa"/>
            <w:vAlign w:val="top"/>
          </w:tcPr>
          <w:p>
            <w:pPr>
              <w:pStyle w:val="TableText"/>
              <w:spacing w:before="111" w:line="183" w:lineRule="auto"/>
              <w:ind w:left="701"/>
              <w:rPr>
                <w:sz w:val="18"/>
                <w:szCs w:val="18"/>
              </w:rPr>
            </w:pPr>
            <w:r>
              <w:rPr>
                <w:spacing w:val="-1"/>
                <w:sz w:val="18"/>
                <w:szCs w:val="18"/>
              </w:rPr>
              <w:t>800,000.00</w:t>
            </w:r>
          </w:p>
        </w:tc>
        <w:tc>
          <w:tcPr>
            <w:tcW w:w="1594" w:type="dxa"/>
            <w:vAlign w:val="top"/>
          </w:tcPr>
          <w:p>
            <w:pPr>
              <w:pStyle w:val="TableText"/>
              <w:spacing w:before="121" w:line="183" w:lineRule="auto"/>
              <w:ind w:left="356"/>
              <w:rPr>
                <w:sz w:val="18"/>
                <w:szCs w:val="18"/>
              </w:rPr>
            </w:pPr>
            <w:r>
              <w:rPr>
                <w:spacing w:val="-1"/>
                <w:sz w:val="18"/>
                <w:szCs w:val="18"/>
              </w:rPr>
              <w:t>800,000.00</w:t>
            </w:r>
          </w:p>
        </w:tc>
        <w:tc>
          <w:tcPr>
            <w:tcW w:w="1192" w:type="dxa"/>
            <w:vAlign w:val="top"/>
          </w:tcPr>
          <w:p>
            <w:pPr>
              <w:pStyle w:val="TableText"/>
              <w:spacing w:before="55" w:line="219" w:lineRule="auto"/>
              <w:ind w:left="753"/>
              <w:rPr>
                <w:sz w:val="18"/>
                <w:szCs w:val="18"/>
              </w:rPr>
            </w:pPr>
            <w:r>
              <w:rPr>
                <w:spacing w:val="10"/>
                <w:sz w:val="18"/>
                <w:szCs w:val="18"/>
              </w:rPr>
              <w:t>货币</w:t>
            </w:r>
          </w:p>
        </w:tc>
      </w:tr>
      <w:tr>
        <w:tblPrEx>
          <w:tblW w:w="8979" w:type="dxa"/>
          <w:tblInd w:w="0" w:type="dxa"/>
          <w:tblLayout w:type="fixed"/>
          <w:tblCellMar>
            <w:top w:w="0" w:type="dxa"/>
            <w:left w:w="0" w:type="dxa"/>
            <w:bottom w:w="0" w:type="dxa"/>
            <w:right w:w="0" w:type="dxa"/>
          </w:tblCellMar>
        </w:tblPrEx>
        <w:trPr>
          <w:trHeight w:val="330"/>
        </w:trPr>
        <w:tc>
          <w:tcPr>
            <w:tcW w:w="4368" w:type="dxa"/>
            <w:vAlign w:val="top"/>
          </w:tcPr>
          <w:p>
            <w:pPr>
              <w:pStyle w:val="TableText"/>
              <w:spacing w:before="56" w:line="219" w:lineRule="auto"/>
              <w:ind w:left="439"/>
              <w:rPr>
                <w:sz w:val="18"/>
                <w:szCs w:val="18"/>
              </w:rPr>
            </w:pPr>
            <w:r>
              <w:rPr>
                <w:spacing w:val="2"/>
                <w:sz w:val="18"/>
                <w:szCs w:val="18"/>
              </w:rPr>
              <w:t>惠州市天演投资管理合伙企业(有限合伙)</w:t>
            </w:r>
          </w:p>
        </w:tc>
        <w:tc>
          <w:tcPr>
            <w:tcW w:w="1825" w:type="dxa"/>
            <w:vAlign w:val="top"/>
          </w:tcPr>
          <w:p>
            <w:pPr>
              <w:pStyle w:val="TableText"/>
              <w:spacing w:before="112" w:line="183" w:lineRule="auto"/>
              <w:ind w:left="701"/>
              <w:rPr>
                <w:sz w:val="18"/>
                <w:szCs w:val="18"/>
              </w:rPr>
            </w:pPr>
            <w:r>
              <w:rPr>
                <w:spacing w:val="-1"/>
                <w:sz w:val="18"/>
                <w:szCs w:val="18"/>
              </w:rPr>
              <w:t>800,000.00</w:t>
            </w:r>
          </w:p>
        </w:tc>
        <w:tc>
          <w:tcPr>
            <w:tcW w:w="1594" w:type="dxa"/>
            <w:vAlign w:val="top"/>
          </w:tcPr>
          <w:p>
            <w:pPr>
              <w:pStyle w:val="TableText"/>
              <w:spacing w:before="122" w:line="183" w:lineRule="auto"/>
              <w:ind w:left="356"/>
              <w:rPr>
                <w:sz w:val="18"/>
                <w:szCs w:val="18"/>
              </w:rPr>
            </w:pPr>
            <w:r>
              <w:rPr>
                <w:spacing w:val="-1"/>
                <w:sz w:val="18"/>
                <w:szCs w:val="18"/>
              </w:rPr>
              <w:t>800,000.00</w:t>
            </w:r>
          </w:p>
        </w:tc>
        <w:tc>
          <w:tcPr>
            <w:tcW w:w="1192" w:type="dxa"/>
            <w:vAlign w:val="top"/>
          </w:tcPr>
          <w:p>
            <w:pPr>
              <w:pStyle w:val="TableText"/>
              <w:spacing w:before="66" w:line="219" w:lineRule="auto"/>
              <w:ind w:left="753"/>
              <w:rPr>
                <w:sz w:val="18"/>
                <w:szCs w:val="18"/>
              </w:rPr>
            </w:pPr>
            <w:r>
              <w:rPr>
                <w:spacing w:val="10"/>
                <w:sz w:val="18"/>
                <w:szCs w:val="18"/>
              </w:rPr>
              <w:t>货币</w:t>
            </w:r>
          </w:p>
        </w:tc>
      </w:tr>
      <w:tr>
        <w:tblPrEx>
          <w:tblW w:w="8979" w:type="dxa"/>
          <w:tblInd w:w="0" w:type="dxa"/>
          <w:tblLayout w:type="fixed"/>
          <w:tblCellMar>
            <w:top w:w="0" w:type="dxa"/>
            <w:left w:w="0" w:type="dxa"/>
            <w:bottom w:w="0" w:type="dxa"/>
            <w:right w:w="0" w:type="dxa"/>
          </w:tblCellMar>
        </w:tblPrEx>
        <w:trPr>
          <w:trHeight w:val="320"/>
        </w:trPr>
        <w:tc>
          <w:tcPr>
            <w:tcW w:w="4368" w:type="dxa"/>
            <w:vAlign w:val="top"/>
          </w:tcPr>
          <w:p>
            <w:pPr>
              <w:pStyle w:val="TableText"/>
              <w:spacing w:before="87" w:line="219" w:lineRule="auto"/>
              <w:ind w:left="439"/>
              <w:rPr>
                <w:sz w:val="18"/>
                <w:szCs w:val="18"/>
              </w:rPr>
            </w:pPr>
            <w:r>
              <w:rPr>
                <w:spacing w:val="2"/>
                <w:sz w:val="18"/>
                <w:szCs w:val="18"/>
              </w:rPr>
              <w:t>东莞市浩烨贸易有限公司</w:t>
            </w:r>
          </w:p>
        </w:tc>
        <w:tc>
          <w:tcPr>
            <w:tcW w:w="1825" w:type="dxa"/>
            <w:vAlign w:val="top"/>
          </w:tcPr>
          <w:p>
            <w:pPr>
              <w:pStyle w:val="TableText"/>
              <w:spacing w:before="102" w:line="183" w:lineRule="auto"/>
              <w:ind w:left="701"/>
              <w:rPr>
                <w:sz w:val="18"/>
                <w:szCs w:val="18"/>
              </w:rPr>
            </w:pPr>
            <w:r>
              <w:rPr>
                <w:spacing w:val="-2"/>
                <w:sz w:val="18"/>
                <w:szCs w:val="18"/>
              </w:rPr>
              <w:t>740,000.00</w:t>
            </w:r>
          </w:p>
        </w:tc>
        <w:tc>
          <w:tcPr>
            <w:tcW w:w="1594" w:type="dxa"/>
            <w:vAlign w:val="top"/>
          </w:tcPr>
          <w:p>
            <w:pPr>
              <w:pStyle w:val="TableText"/>
              <w:spacing w:before="112" w:line="183" w:lineRule="auto"/>
              <w:ind w:left="356"/>
              <w:rPr>
                <w:sz w:val="18"/>
                <w:szCs w:val="18"/>
              </w:rPr>
            </w:pPr>
            <w:r>
              <w:rPr>
                <w:spacing w:val="-2"/>
                <w:sz w:val="18"/>
                <w:szCs w:val="18"/>
              </w:rPr>
              <w:t>740,000.00</w:t>
            </w:r>
          </w:p>
        </w:tc>
        <w:tc>
          <w:tcPr>
            <w:tcW w:w="1192" w:type="dxa"/>
            <w:vAlign w:val="top"/>
          </w:tcPr>
          <w:p>
            <w:pPr>
              <w:pStyle w:val="TableText"/>
              <w:spacing w:before="66" w:line="219" w:lineRule="auto"/>
              <w:ind w:left="753"/>
              <w:rPr>
                <w:sz w:val="18"/>
                <w:szCs w:val="18"/>
              </w:rPr>
            </w:pPr>
            <w:r>
              <w:rPr>
                <w:spacing w:val="10"/>
                <w:sz w:val="18"/>
                <w:szCs w:val="18"/>
              </w:rPr>
              <w:t>货币</w:t>
            </w:r>
          </w:p>
        </w:tc>
      </w:tr>
      <w:tr>
        <w:tblPrEx>
          <w:tblW w:w="8979" w:type="dxa"/>
          <w:tblInd w:w="0" w:type="dxa"/>
          <w:tblLayout w:type="fixed"/>
          <w:tblCellMar>
            <w:top w:w="0" w:type="dxa"/>
            <w:left w:w="0" w:type="dxa"/>
            <w:bottom w:w="0" w:type="dxa"/>
            <w:right w:w="0" w:type="dxa"/>
          </w:tblCellMar>
        </w:tblPrEx>
        <w:trPr>
          <w:trHeight w:val="320"/>
        </w:trPr>
        <w:tc>
          <w:tcPr>
            <w:tcW w:w="4368" w:type="dxa"/>
            <w:vAlign w:val="top"/>
          </w:tcPr>
          <w:p>
            <w:pPr>
              <w:pStyle w:val="TableText"/>
              <w:spacing w:before="87" w:line="219" w:lineRule="auto"/>
              <w:ind w:left="439"/>
              <w:rPr>
                <w:sz w:val="18"/>
                <w:szCs w:val="18"/>
              </w:rPr>
            </w:pPr>
            <w:r>
              <w:rPr>
                <w:spacing w:val="7"/>
                <w:sz w:val="18"/>
                <w:szCs w:val="18"/>
              </w:rPr>
              <w:t>梁卫山</w:t>
            </w:r>
          </w:p>
        </w:tc>
        <w:tc>
          <w:tcPr>
            <w:tcW w:w="1825" w:type="dxa"/>
            <w:vAlign w:val="top"/>
          </w:tcPr>
          <w:p>
            <w:pPr>
              <w:pStyle w:val="TableText"/>
              <w:spacing w:before="112" w:line="183" w:lineRule="auto"/>
              <w:ind w:left="701"/>
              <w:rPr>
                <w:sz w:val="18"/>
                <w:szCs w:val="18"/>
              </w:rPr>
            </w:pPr>
            <w:r>
              <w:rPr>
                <w:spacing w:val="-1"/>
                <w:sz w:val="18"/>
                <w:szCs w:val="18"/>
              </w:rPr>
              <w:t>600,000.00</w:t>
            </w:r>
          </w:p>
        </w:tc>
        <w:tc>
          <w:tcPr>
            <w:tcW w:w="1594" w:type="dxa"/>
            <w:vAlign w:val="top"/>
          </w:tcPr>
          <w:p>
            <w:pPr>
              <w:pStyle w:val="TableText"/>
              <w:spacing w:before="112" w:line="183" w:lineRule="auto"/>
              <w:ind w:left="356"/>
              <w:rPr>
                <w:sz w:val="18"/>
                <w:szCs w:val="18"/>
              </w:rPr>
            </w:pPr>
            <w:r>
              <w:rPr>
                <w:spacing w:val="-1"/>
                <w:sz w:val="18"/>
                <w:szCs w:val="18"/>
              </w:rPr>
              <w:t>600,000.00</w:t>
            </w:r>
          </w:p>
        </w:tc>
        <w:tc>
          <w:tcPr>
            <w:tcW w:w="1192" w:type="dxa"/>
            <w:vAlign w:val="top"/>
          </w:tcPr>
          <w:p>
            <w:pPr>
              <w:pStyle w:val="TableText"/>
              <w:spacing w:before="66" w:line="219" w:lineRule="auto"/>
              <w:ind w:left="753"/>
              <w:rPr>
                <w:sz w:val="18"/>
                <w:szCs w:val="18"/>
              </w:rPr>
            </w:pPr>
            <w:r>
              <w:rPr>
                <w:spacing w:val="10"/>
                <w:sz w:val="18"/>
                <w:szCs w:val="18"/>
              </w:rPr>
              <w:t>货币</w:t>
            </w:r>
          </w:p>
        </w:tc>
      </w:tr>
      <w:tr>
        <w:tblPrEx>
          <w:tblW w:w="8979" w:type="dxa"/>
          <w:tblInd w:w="0" w:type="dxa"/>
          <w:tblLayout w:type="fixed"/>
          <w:tblCellMar>
            <w:top w:w="0" w:type="dxa"/>
            <w:left w:w="0" w:type="dxa"/>
            <w:bottom w:w="0" w:type="dxa"/>
            <w:right w:w="0" w:type="dxa"/>
          </w:tblCellMar>
        </w:tblPrEx>
        <w:trPr>
          <w:trHeight w:val="319"/>
        </w:trPr>
        <w:tc>
          <w:tcPr>
            <w:tcW w:w="4368" w:type="dxa"/>
            <w:vAlign w:val="top"/>
          </w:tcPr>
          <w:p>
            <w:pPr>
              <w:pStyle w:val="TableText"/>
              <w:spacing w:before="77" w:line="219" w:lineRule="auto"/>
              <w:ind w:left="439"/>
              <w:rPr>
                <w:sz w:val="18"/>
                <w:szCs w:val="18"/>
              </w:rPr>
            </w:pPr>
            <w:r>
              <w:rPr>
                <w:spacing w:val="-2"/>
                <w:sz w:val="18"/>
                <w:szCs w:val="18"/>
              </w:rPr>
              <w:t>黄俊鸿</w:t>
            </w:r>
          </w:p>
        </w:tc>
        <w:tc>
          <w:tcPr>
            <w:tcW w:w="1825" w:type="dxa"/>
            <w:vAlign w:val="top"/>
          </w:tcPr>
          <w:p>
            <w:pPr>
              <w:pStyle w:val="TableText"/>
              <w:spacing w:before="112" w:line="183" w:lineRule="auto"/>
              <w:ind w:left="701"/>
              <w:rPr>
                <w:sz w:val="18"/>
                <w:szCs w:val="18"/>
              </w:rPr>
            </w:pPr>
            <w:r>
              <w:rPr>
                <w:spacing w:val="-2"/>
                <w:sz w:val="18"/>
                <w:szCs w:val="18"/>
              </w:rPr>
              <w:t>500,000.00</w:t>
            </w:r>
          </w:p>
        </w:tc>
        <w:tc>
          <w:tcPr>
            <w:tcW w:w="1594" w:type="dxa"/>
            <w:vAlign w:val="top"/>
          </w:tcPr>
          <w:p>
            <w:pPr>
              <w:pStyle w:val="TableText"/>
              <w:spacing w:before="112" w:line="183" w:lineRule="auto"/>
              <w:ind w:left="356"/>
              <w:rPr>
                <w:sz w:val="18"/>
                <w:szCs w:val="18"/>
              </w:rPr>
            </w:pPr>
            <w:r>
              <w:rPr>
                <w:spacing w:val="-2"/>
                <w:sz w:val="18"/>
                <w:szCs w:val="18"/>
              </w:rPr>
              <w:t>500,000.00</w:t>
            </w:r>
          </w:p>
        </w:tc>
        <w:tc>
          <w:tcPr>
            <w:tcW w:w="1192" w:type="dxa"/>
            <w:vAlign w:val="top"/>
          </w:tcPr>
          <w:p>
            <w:pPr>
              <w:pStyle w:val="TableText"/>
              <w:spacing w:before="66" w:line="219" w:lineRule="auto"/>
              <w:ind w:left="753"/>
              <w:rPr>
                <w:sz w:val="18"/>
                <w:szCs w:val="18"/>
              </w:rPr>
            </w:pPr>
            <w:r>
              <w:rPr>
                <w:spacing w:val="10"/>
                <w:sz w:val="18"/>
                <w:szCs w:val="18"/>
              </w:rPr>
              <w:t>货币</w:t>
            </w:r>
          </w:p>
        </w:tc>
      </w:tr>
      <w:tr>
        <w:tblPrEx>
          <w:tblW w:w="8979" w:type="dxa"/>
          <w:tblInd w:w="0" w:type="dxa"/>
          <w:tblLayout w:type="fixed"/>
          <w:tblCellMar>
            <w:top w:w="0" w:type="dxa"/>
            <w:left w:w="0" w:type="dxa"/>
            <w:bottom w:w="0" w:type="dxa"/>
            <w:right w:w="0" w:type="dxa"/>
          </w:tblCellMar>
        </w:tblPrEx>
        <w:trPr>
          <w:trHeight w:val="325"/>
        </w:trPr>
        <w:tc>
          <w:tcPr>
            <w:tcW w:w="4368" w:type="dxa"/>
            <w:vAlign w:val="top"/>
          </w:tcPr>
          <w:p>
            <w:pPr>
              <w:pStyle w:val="TableText"/>
              <w:spacing w:before="67" w:line="219" w:lineRule="auto"/>
              <w:ind w:left="439"/>
              <w:rPr>
                <w:sz w:val="18"/>
                <w:szCs w:val="18"/>
              </w:rPr>
            </w:pPr>
            <w:r>
              <w:rPr>
                <w:spacing w:val="2"/>
                <w:sz w:val="18"/>
                <w:szCs w:val="18"/>
              </w:rPr>
              <w:t>惠州市本盛投资管理合伙企业(有限合伙)</w:t>
            </w:r>
          </w:p>
        </w:tc>
        <w:tc>
          <w:tcPr>
            <w:tcW w:w="1825" w:type="dxa"/>
            <w:vAlign w:val="top"/>
          </w:tcPr>
          <w:p>
            <w:pPr>
              <w:pStyle w:val="TableText"/>
              <w:spacing w:before="123" w:line="183" w:lineRule="auto"/>
              <w:ind w:left="701"/>
              <w:rPr>
                <w:sz w:val="18"/>
                <w:szCs w:val="18"/>
              </w:rPr>
            </w:pPr>
            <w:r>
              <w:rPr>
                <w:spacing w:val="-2"/>
                <w:sz w:val="18"/>
                <w:szCs w:val="18"/>
              </w:rPr>
              <w:t>500,000.00</w:t>
            </w:r>
          </w:p>
        </w:tc>
        <w:tc>
          <w:tcPr>
            <w:tcW w:w="1594" w:type="dxa"/>
            <w:vAlign w:val="top"/>
          </w:tcPr>
          <w:p>
            <w:pPr>
              <w:pStyle w:val="TableText"/>
              <w:spacing w:before="113" w:line="183" w:lineRule="auto"/>
              <w:ind w:left="356"/>
              <w:rPr>
                <w:sz w:val="18"/>
                <w:szCs w:val="18"/>
              </w:rPr>
            </w:pPr>
            <w:r>
              <w:rPr>
                <w:spacing w:val="-2"/>
                <w:sz w:val="18"/>
                <w:szCs w:val="18"/>
              </w:rPr>
              <w:t>500,000.00</w:t>
            </w:r>
          </w:p>
        </w:tc>
        <w:tc>
          <w:tcPr>
            <w:tcW w:w="1192" w:type="dxa"/>
            <w:vAlign w:val="top"/>
          </w:tcPr>
          <w:p>
            <w:pPr>
              <w:pStyle w:val="TableText"/>
              <w:spacing w:before="87" w:line="219" w:lineRule="auto"/>
              <w:ind w:left="753"/>
              <w:rPr>
                <w:sz w:val="18"/>
                <w:szCs w:val="18"/>
              </w:rPr>
            </w:pPr>
            <w:r>
              <w:rPr>
                <w:spacing w:val="10"/>
                <w:sz w:val="18"/>
                <w:szCs w:val="18"/>
              </w:rPr>
              <w:t>货币</w:t>
            </w:r>
          </w:p>
        </w:tc>
      </w:tr>
      <w:tr>
        <w:tblPrEx>
          <w:tblW w:w="8979" w:type="dxa"/>
          <w:tblInd w:w="0" w:type="dxa"/>
          <w:tblLayout w:type="fixed"/>
          <w:tblCellMar>
            <w:top w:w="0" w:type="dxa"/>
            <w:left w:w="0" w:type="dxa"/>
            <w:bottom w:w="0" w:type="dxa"/>
            <w:right w:w="0" w:type="dxa"/>
          </w:tblCellMar>
        </w:tblPrEx>
        <w:trPr>
          <w:trHeight w:val="320"/>
        </w:trPr>
        <w:tc>
          <w:tcPr>
            <w:tcW w:w="4368" w:type="dxa"/>
            <w:vAlign w:val="top"/>
          </w:tcPr>
          <w:p>
            <w:pPr>
              <w:pStyle w:val="TableText"/>
              <w:spacing w:before="83" w:line="219" w:lineRule="auto"/>
              <w:ind w:left="439"/>
              <w:rPr>
                <w:sz w:val="18"/>
                <w:szCs w:val="18"/>
              </w:rPr>
            </w:pPr>
            <w:r>
              <w:rPr>
                <w:spacing w:val="-2"/>
                <w:sz w:val="18"/>
                <w:szCs w:val="18"/>
              </w:rPr>
              <w:t>林倩倩</w:t>
            </w:r>
          </w:p>
        </w:tc>
        <w:tc>
          <w:tcPr>
            <w:tcW w:w="1825" w:type="dxa"/>
            <w:vAlign w:val="top"/>
          </w:tcPr>
          <w:p>
            <w:pPr>
              <w:pStyle w:val="TableText"/>
              <w:spacing w:before="108" w:line="183" w:lineRule="auto"/>
              <w:ind w:left="701"/>
              <w:rPr>
                <w:sz w:val="18"/>
                <w:szCs w:val="18"/>
              </w:rPr>
            </w:pPr>
            <w:r>
              <w:rPr>
                <w:spacing w:val="-1"/>
                <w:sz w:val="18"/>
                <w:szCs w:val="18"/>
              </w:rPr>
              <w:t>490,000.00</w:t>
            </w:r>
          </w:p>
        </w:tc>
        <w:tc>
          <w:tcPr>
            <w:tcW w:w="1594" w:type="dxa"/>
            <w:vAlign w:val="top"/>
          </w:tcPr>
          <w:p>
            <w:pPr>
              <w:pStyle w:val="TableText"/>
              <w:spacing w:before="108" w:line="183" w:lineRule="auto"/>
              <w:ind w:left="356"/>
              <w:rPr>
                <w:sz w:val="18"/>
                <w:szCs w:val="18"/>
              </w:rPr>
            </w:pPr>
            <w:r>
              <w:rPr>
                <w:spacing w:val="-1"/>
                <w:sz w:val="18"/>
                <w:szCs w:val="18"/>
              </w:rPr>
              <w:t>490,000.00</w:t>
            </w:r>
          </w:p>
        </w:tc>
        <w:tc>
          <w:tcPr>
            <w:tcW w:w="1192" w:type="dxa"/>
            <w:vAlign w:val="top"/>
          </w:tcPr>
          <w:p>
            <w:pPr>
              <w:pStyle w:val="TableText"/>
              <w:spacing w:before="62" w:line="219" w:lineRule="auto"/>
              <w:ind w:left="753"/>
              <w:rPr>
                <w:sz w:val="18"/>
                <w:szCs w:val="18"/>
              </w:rPr>
            </w:pPr>
            <w:r>
              <w:rPr>
                <w:spacing w:val="10"/>
                <w:sz w:val="18"/>
                <w:szCs w:val="18"/>
              </w:rPr>
              <w:t>货币</w:t>
            </w:r>
          </w:p>
        </w:tc>
      </w:tr>
      <w:tr>
        <w:tblPrEx>
          <w:tblW w:w="8979" w:type="dxa"/>
          <w:tblInd w:w="0" w:type="dxa"/>
          <w:tblLayout w:type="fixed"/>
          <w:tblCellMar>
            <w:top w:w="0" w:type="dxa"/>
            <w:left w:w="0" w:type="dxa"/>
            <w:bottom w:w="0" w:type="dxa"/>
            <w:right w:w="0" w:type="dxa"/>
          </w:tblCellMar>
        </w:tblPrEx>
        <w:trPr>
          <w:trHeight w:val="324"/>
        </w:trPr>
        <w:tc>
          <w:tcPr>
            <w:tcW w:w="4368" w:type="dxa"/>
            <w:vAlign w:val="top"/>
          </w:tcPr>
          <w:p>
            <w:pPr>
              <w:pStyle w:val="TableText"/>
              <w:spacing w:before="83" w:line="220" w:lineRule="auto"/>
              <w:ind w:left="439"/>
              <w:rPr>
                <w:sz w:val="18"/>
                <w:szCs w:val="18"/>
              </w:rPr>
            </w:pPr>
            <w:r>
              <w:rPr>
                <w:spacing w:val="-2"/>
                <w:sz w:val="18"/>
                <w:szCs w:val="18"/>
              </w:rPr>
              <w:t>鲍泽民</w:t>
            </w:r>
          </w:p>
        </w:tc>
        <w:tc>
          <w:tcPr>
            <w:tcW w:w="1825" w:type="dxa"/>
            <w:vAlign w:val="top"/>
          </w:tcPr>
          <w:p>
            <w:pPr>
              <w:pStyle w:val="TableText"/>
              <w:spacing w:before="108" w:line="183" w:lineRule="auto"/>
              <w:ind w:left="701"/>
              <w:rPr>
                <w:sz w:val="18"/>
                <w:szCs w:val="18"/>
              </w:rPr>
            </w:pPr>
            <w:r>
              <w:rPr>
                <w:spacing w:val="-1"/>
                <w:sz w:val="18"/>
                <w:szCs w:val="18"/>
              </w:rPr>
              <w:t>290,000.00</w:t>
            </w:r>
          </w:p>
        </w:tc>
        <w:tc>
          <w:tcPr>
            <w:tcW w:w="1594" w:type="dxa"/>
            <w:vAlign w:val="top"/>
          </w:tcPr>
          <w:p>
            <w:pPr>
              <w:pStyle w:val="TableText"/>
              <w:spacing w:before="108" w:line="183" w:lineRule="auto"/>
              <w:ind w:left="356"/>
              <w:rPr>
                <w:sz w:val="18"/>
                <w:szCs w:val="18"/>
              </w:rPr>
            </w:pPr>
            <w:r>
              <w:rPr>
                <w:spacing w:val="-1"/>
                <w:sz w:val="18"/>
                <w:szCs w:val="18"/>
              </w:rPr>
              <w:t>290,000.00</w:t>
            </w:r>
          </w:p>
        </w:tc>
        <w:tc>
          <w:tcPr>
            <w:tcW w:w="1192" w:type="dxa"/>
            <w:vAlign w:val="top"/>
          </w:tcPr>
          <w:p>
            <w:pPr>
              <w:pStyle w:val="TableText"/>
              <w:spacing w:before="72" w:line="219" w:lineRule="auto"/>
              <w:ind w:left="753"/>
              <w:rPr>
                <w:sz w:val="18"/>
                <w:szCs w:val="18"/>
              </w:rPr>
            </w:pPr>
            <w:r>
              <w:rPr>
                <w:spacing w:val="10"/>
                <w:sz w:val="18"/>
                <w:szCs w:val="18"/>
              </w:rPr>
              <w:t>货币</w:t>
            </w:r>
          </w:p>
        </w:tc>
      </w:tr>
      <w:tr>
        <w:tblPrEx>
          <w:tblW w:w="8979" w:type="dxa"/>
          <w:tblInd w:w="0" w:type="dxa"/>
          <w:tblLayout w:type="fixed"/>
          <w:tblCellMar>
            <w:top w:w="0" w:type="dxa"/>
            <w:left w:w="0" w:type="dxa"/>
            <w:bottom w:w="0" w:type="dxa"/>
            <w:right w:w="0" w:type="dxa"/>
          </w:tblCellMar>
        </w:tblPrEx>
        <w:trPr>
          <w:trHeight w:val="320"/>
        </w:trPr>
        <w:tc>
          <w:tcPr>
            <w:tcW w:w="4368" w:type="dxa"/>
            <w:vAlign w:val="top"/>
          </w:tcPr>
          <w:p>
            <w:pPr>
              <w:pStyle w:val="TableText"/>
              <w:spacing w:before="79" w:line="219" w:lineRule="auto"/>
              <w:ind w:left="439"/>
              <w:rPr>
                <w:sz w:val="18"/>
                <w:szCs w:val="18"/>
              </w:rPr>
            </w:pPr>
            <w:r>
              <w:rPr>
                <w:spacing w:val="-2"/>
                <w:sz w:val="18"/>
                <w:szCs w:val="18"/>
              </w:rPr>
              <w:t>林楚琛</w:t>
            </w:r>
          </w:p>
        </w:tc>
        <w:tc>
          <w:tcPr>
            <w:tcW w:w="1825" w:type="dxa"/>
            <w:vAlign w:val="top"/>
          </w:tcPr>
          <w:p>
            <w:pPr>
              <w:pStyle w:val="TableText"/>
              <w:spacing w:before="104" w:line="183" w:lineRule="auto"/>
              <w:ind w:left="701"/>
              <w:rPr>
                <w:sz w:val="18"/>
                <w:szCs w:val="18"/>
              </w:rPr>
            </w:pPr>
            <w:r>
              <w:rPr>
                <w:spacing w:val="-1"/>
                <w:sz w:val="18"/>
                <w:szCs w:val="18"/>
              </w:rPr>
              <w:t>205,000.00</w:t>
            </w:r>
          </w:p>
        </w:tc>
        <w:tc>
          <w:tcPr>
            <w:tcW w:w="1594" w:type="dxa"/>
            <w:vAlign w:val="top"/>
          </w:tcPr>
          <w:p>
            <w:pPr>
              <w:pStyle w:val="TableText"/>
              <w:spacing w:before="104" w:line="183" w:lineRule="auto"/>
              <w:ind w:left="356"/>
              <w:rPr>
                <w:sz w:val="18"/>
                <w:szCs w:val="18"/>
              </w:rPr>
            </w:pPr>
            <w:r>
              <w:rPr>
                <w:spacing w:val="-1"/>
                <w:sz w:val="18"/>
                <w:szCs w:val="18"/>
              </w:rPr>
              <w:t>205,000.00</w:t>
            </w:r>
          </w:p>
        </w:tc>
        <w:tc>
          <w:tcPr>
            <w:tcW w:w="1192" w:type="dxa"/>
            <w:vAlign w:val="top"/>
          </w:tcPr>
          <w:p>
            <w:pPr>
              <w:pStyle w:val="TableText"/>
              <w:spacing w:before="78" w:line="219" w:lineRule="auto"/>
              <w:ind w:left="753"/>
              <w:rPr>
                <w:sz w:val="18"/>
                <w:szCs w:val="18"/>
              </w:rPr>
            </w:pPr>
            <w:r>
              <w:rPr>
                <w:spacing w:val="10"/>
                <w:sz w:val="18"/>
                <w:szCs w:val="18"/>
              </w:rPr>
              <w:t>货币</w:t>
            </w:r>
          </w:p>
        </w:tc>
      </w:tr>
      <w:tr>
        <w:tblPrEx>
          <w:tblW w:w="8979" w:type="dxa"/>
          <w:tblInd w:w="0" w:type="dxa"/>
          <w:tblLayout w:type="fixed"/>
          <w:tblCellMar>
            <w:top w:w="0" w:type="dxa"/>
            <w:left w:w="0" w:type="dxa"/>
            <w:bottom w:w="0" w:type="dxa"/>
            <w:right w:w="0" w:type="dxa"/>
          </w:tblCellMar>
        </w:tblPrEx>
        <w:trPr>
          <w:trHeight w:val="319"/>
        </w:trPr>
        <w:tc>
          <w:tcPr>
            <w:tcW w:w="4368" w:type="dxa"/>
            <w:vAlign w:val="top"/>
          </w:tcPr>
          <w:p>
            <w:pPr>
              <w:pStyle w:val="TableText"/>
              <w:spacing w:before="88" w:line="219" w:lineRule="auto"/>
              <w:ind w:left="439"/>
              <w:rPr>
                <w:sz w:val="18"/>
                <w:szCs w:val="18"/>
              </w:rPr>
            </w:pPr>
            <w:r>
              <w:rPr>
                <w:spacing w:val="1"/>
                <w:sz w:val="18"/>
                <w:szCs w:val="18"/>
              </w:rPr>
              <w:t>惠州市信天达投资管理合伙企业(有限合伙)</w:t>
            </w:r>
          </w:p>
        </w:tc>
        <w:tc>
          <w:tcPr>
            <w:tcW w:w="1825" w:type="dxa"/>
            <w:vAlign w:val="top"/>
          </w:tcPr>
          <w:p>
            <w:pPr>
              <w:pStyle w:val="TableText"/>
              <w:spacing w:before="113" w:line="184" w:lineRule="auto"/>
              <w:ind w:left="701"/>
              <w:rPr>
                <w:sz w:val="18"/>
                <w:szCs w:val="18"/>
              </w:rPr>
            </w:pPr>
            <w:r>
              <w:rPr>
                <w:spacing w:val="-3"/>
                <w:sz w:val="18"/>
                <w:szCs w:val="18"/>
              </w:rPr>
              <w:t>150,000.00</w:t>
            </w:r>
          </w:p>
        </w:tc>
        <w:tc>
          <w:tcPr>
            <w:tcW w:w="1594" w:type="dxa"/>
            <w:vAlign w:val="top"/>
          </w:tcPr>
          <w:p>
            <w:pPr>
              <w:pStyle w:val="TableText"/>
              <w:spacing w:before="113" w:line="184" w:lineRule="auto"/>
              <w:ind w:left="356"/>
              <w:rPr>
                <w:sz w:val="18"/>
                <w:szCs w:val="18"/>
              </w:rPr>
            </w:pPr>
            <w:r>
              <w:rPr>
                <w:spacing w:val="-3"/>
                <w:sz w:val="18"/>
                <w:szCs w:val="18"/>
              </w:rPr>
              <w:t>150,000.00</w:t>
            </w:r>
          </w:p>
        </w:tc>
        <w:tc>
          <w:tcPr>
            <w:tcW w:w="1192" w:type="dxa"/>
            <w:vAlign w:val="top"/>
          </w:tcPr>
          <w:p>
            <w:pPr>
              <w:pStyle w:val="TableText"/>
              <w:spacing w:before="78" w:line="219" w:lineRule="auto"/>
              <w:ind w:left="753"/>
              <w:rPr>
                <w:sz w:val="18"/>
                <w:szCs w:val="18"/>
              </w:rPr>
            </w:pPr>
            <w:r>
              <w:rPr>
                <w:spacing w:val="10"/>
                <w:sz w:val="18"/>
                <w:szCs w:val="18"/>
              </w:rPr>
              <w:t>货币</w:t>
            </w:r>
          </w:p>
        </w:tc>
      </w:tr>
      <w:tr>
        <w:tblPrEx>
          <w:tblW w:w="8979" w:type="dxa"/>
          <w:tblInd w:w="0" w:type="dxa"/>
          <w:tblLayout w:type="fixed"/>
          <w:tblCellMar>
            <w:top w:w="0" w:type="dxa"/>
            <w:left w:w="0" w:type="dxa"/>
            <w:bottom w:w="0" w:type="dxa"/>
            <w:right w:w="0" w:type="dxa"/>
          </w:tblCellMar>
        </w:tblPrEx>
        <w:trPr>
          <w:trHeight w:val="300"/>
        </w:trPr>
        <w:tc>
          <w:tcPr>
            <w:tcW w:w="4368" w:type="dxa"/>
            <w:vAlign w:val="top"/>
          </w:tcPr>
          <w:p>
            <w:pPr>
              <w:pStyle w:val="TableText"/>
              <w:spacing w:before="70" w:line="219" w:lineRule="auto"/>
              <w:ind w:left="439"/>
              <w:rPr>
                <w:sz w:val="18"/>
                <w:szCs w:val="18"/>
              </w:rPr>
            </w:pPr>
            <w:r>
              <w:rPr>
                <w:spacing w:val="-2"/>
                <w:sz w:val="18"/>
                <w:szCs w:val="18"/>
              </w:rPr>
              <w:t>林翠君</w:t>
            </w:r>
          </w:p>
        </w:tc>
        <w:tc>
          <w:tcPr>
            <w:tcW w:w="1825" w:type="dxa"/>
            <w:vAlign w:val="top"/>
          </w:tcPr>
          <w:p>
            <w:pPr>
              <w:pStyle w:val="TableText"/>
              <w:spacing w:before="115" w:line="179" w:lineRule="auto"/>
              <w:ind w:left="701"/>
              <w:rPr>
                <w:sz w:val="18"/>
                <w:szCs w:val="18"/>
              </w:rPr>
            </w:pPr>
            <w:r>
              <w:rPr>
                <w:spacing w:val="-3"/>
                <w:sz w:val="18"/>
                <w:szCs w:val="18"/>
              </w:rPr>
              <w:t>100,000.00</w:t>
            </w:r>
          </w:p>
        </w:tc>
        <w:tc>
          <w:tcPr>
            <w:tcW w:w="1594" w:type="dxa"/>
            <w:vAlign w:val="top"/>
          </w:tcPr>
          <w:p>
            <w:pPr>
              <w:pStyle w:val="TableText"/>
              <w:spacing w:before="115" w:line="179" w:lineRule="auto"/>
              <w:ind w:left="356"/>
              <w:rPr>
                <w:sz w:val="18"/>
                <w:szCs w:val="18"/>
              </w:rPr>
            </w:pPr>
            <w:r>
              <w:rPr>
                <w:spacing w:val="-3"/>
                <w:sz w:val="18"/>
                <w:szCs w:val="18"/>
              </w:rPr>
              <w:t>100,000.00</w:t>
            </w:r>
          </w:p>
        </w:tc>
        <w:tc>
          <w:tcPr>
            <w:tcW w:w="1192" w:type="dxa"/>
            <w:vAlign w:val="top"/>
          </w:tcPr>
          <w:p>
            <w:pPr>
              <w:pStyle w:val="TableText"/>
              <w:spacing w:before="69" w:line="219" w:lineRule="auto"/>
              <w:ind w:left="753"/>
              <w:rPr>
                <w:sz w:val="18"/>
                <w:szCs w:val="18"/>
              </w:rPr>
            </w:pPr>
            <w:r>
              <w:rPr>
                <w:spacing w:val="10"/>
                <w:sz w:val="18"/>
                <w:szCs w:val="18"/>
              </w:rPr>
              <w:t>货币</w:t>
            </w:r>
          </w:p>
        </w:tc>
      </w:tr>
      <w:tr>
        <w:tblPrEx>
          <w:tblW w:w="8979" w:type="dxa"/>
          <w:tblInd w:w="0" w:type="dxa"/>
          <w:tblLayout w:type="fixed"/>
          <w:tblCellMar>
            <w:top w:w="0" w:type="dxa"/>
            <w:left w:w="0" w:type="dxa"/>
            <w:bottom w:w="0" w:type="dxa"/>
            <w:right w:w="0" w:type="dxa"/>
          </w:tblCellMar>
        </w:tblPrEx>
        <w:trPr>
          <w:trHeight w:val="303"/>
        </w:trPr>
        <w:tc>
          <w:tcPr>
            <w:tcW w:w="4368" w:type="dxa"/>
            <w:vMerge w:val="restart"/>
            <w:tcBorders>
              <w:bottom w:val="nil"/>
            </w:tcBorders>
            <w:vAlign w:val="top"/>
          </w:tcPr>
          <w:p>
            <w:pPr>
              <w:pStyle w:val="TableText"/>
              <w:spacing w:before="90" w:line="270" w:lineRule="auto"/>
              <w:ind w:left="439" w:right="468"/>
              <w:rPr>
                <w:sz w:val="18"/>
                <w:szCs w:val="18"/>
              </w:rPr>
            </w:pPr>
            <w:r>
              <w:rPr>
                <w:spacing w:val="1"/>
                <w:sz w:val="18"/>
                <w:szCs w:val="18"/>
              </w:rPr>
              <w:t>惠州市鑫意诚投资管理合伙企业(有限合伙)</w:t>
            </w:r>
            <w:r>
              <w:rPr>
                <w:spacing w:val="18"/>
                <w:sz w:val="18"/>
                <w:szCs w:val="18"/>
              </w:rPr>
              <w:t xml:space="preserve"> </w:t>
            </w:r>
            <w:r>
              <w:rPr>
                <w:spacing w:val="-4"/>
                <w:sz w:val="18"/>
                <w:szCs w:val="18"/>
              </w:rPr>
              <w:t>合</w:t>
            </w:r>
            <w:r>
              <w:rPr>
                <w:spacing w:val="7"/>
                <w:sz w:val="18"/>
                <w:szCs w:val="18"/>
              </w:rPr>
              <w:t xml:space="preserve"> </w:t>
            </w:r>
            <w:r>
              <w:rPr>
                <w:spacing w:val="-4"/>
                <w:sz w:val="18"/>
                <w:szCs w:val="18"/>
              </w:rPr>
              <w:t>计</w:t>
            </w:r>
          </w:p>
        </w:tc>
        <w:tc>
          <w:tcPr>
            <w:tcW w:w="1825" w:type="dxa"/>
            <w:tcBorders>
              <w:bottom w:val="single" w:sz="4" w:space="0" w:color="000000"/>
            </w:tcBorders>
            <w:vAlign w:val="top"/>
          </w:tcPr>
          <w:p>
            <w:pPr>
              <w:pStyle w:val="TableText"/>
              <w:spacing w:before="126" w:line="171" w:lineRule="auto"/>
              <w:ind w:left="791"/>
              <w:rPr>
                <w:sz w:val="18"/>
                <w:szCs w:val="18"/>
              </w:rPr>
            </w:pPr>
            <w:r>
              <w:rPr>
                <w:spacing w:val="-2"/>
                <w:sz w:val="18"/>
                <w:szCs w:val="18"/>
              </w:rPr>
              <w:t>50,000.00</w:t>
            </w:r>
          </w:p>
        </w:tc>
        <w:tc>
          <w:tcPr>
            <w:tcW w:w="1594" w:type="dxa"/>
            <w:tcBorders>
              <w:bottom w:val="single" w:sz="4" w:space="0" w:color="000000"/>
            </w:tcBorders>
            <w:vAlign w:val="top"/>
          </w:tcPr>
          <w:p>
            <w:pPr>
              <w:pStyle w:val="TableText"/>
              <w:spacing w:before="136" w:line="161" w:lineRule="auto"/>
              <w:ind w:left="446"/>
              <w:rPr>
                <w:sz w:val="18"/>
                <w:szCs w:val="18"/>
              </w:rPr>
            </w:pPr>
            <w:r>
              <w:rPr>
                <w:spacing w:val="-2"/>
                <w:sz w:val="18"/>
                <w:szCs w:val="18"/>
              </w:rPr>
              <w:t>50,000.00</w:t>
            </w:r>
          </w:p>
        </w:tc>
        <w:tc>
          <w:tcPr>
            <w:tcW w:w="1192" w:type="dxa"/>
            <w:tcBorders>
              <w:bottom w:val="single" w:sz="4" w:space="0" w:color="000000"/>
            </w:tcBorders>
            <w:vAlign w:val="top"/>
          </w:tcPr>
          <w:p>
            <w:pPr>
              <w:pStyle w:val="TableText"/>
              <w:spacing w:before="49" w:line="219" w:lineRule="auto"/>
              <w:ind w:left="753"/>
              <w:rPr>
                <w:sz w:val="18"/>
                <w:szCs w:val="18"/>
              </w:rPr>
            </w:pPr>
            <w:r>
              <w:rPr>
                <w:spacing w:val="10"/>
                <w:sz w:val="18"/>
                <w:szCs w:val="18"/>
              </w:rPr>
              <w:t>货币</w:t>
            </w:r>
          </w:p>
        </w:tc>
      </w:tr>
      <w:tr>
        <w:tblPrEx>
          <w:tblW w:w="8979" w:type="dxa"/>
          <w:tblInd w:w="0" w:type="dxa"/>
          <w:tblLayout w:type="fixed"/>
          <w:tblCellMar>
            <w:top w:w="0" w:type="dxa"/>
            <w:left w:w="0" w:type="dxa"/>
            <w:bottom w:w="0" w:type="dxa"/>
            <w:right w:w="0" w:type="dxa"/>
          </w:tblCellMar>
        </w:tblPrEx>
        <w:trPr>
          <w:trHeight w:val="334"/>
        </w:trPr>
        <w:tc>
          <w:tcPr>
            <w:tcW w:w="4368" w:type="dxa"/>
            <w:vMerge/>
            <w:tcBorders>
              <w:top w:val="nil"/>
              <w:bottom w:val="single" w:sz="4" w:space="0" w:color="000000"/>
            </w:tcBorders>
            <w:vAlign w:val="top"/>
          </w:tcPr>
          <w:p/>
        </w:tc>
        <w:tc>
          <w:tcPr>
            <w:tcW w:w="1825" w:type="dxa"/>
            <w:tcBorders>
              <w:top w:val="single" w:sz="4" w:space="0" w:color="000000"/>
              <w:bottom w:val="single" w:sz="4" w:space="0" w:color="000000"/>
            </w:tcBorders>
            <w:vAlign w:val="top"/>
          </w:tcPr>
          <w:p>
            <w:pPr>
              <w:pStyle w:val="TableText"/>
              <w:spacing w:before="150" w:line="178" w:lineRule="auto"/>
              <w:ind w:left="434"/>
              <w:rPr>
                <w:sz w:val="18"/>
                <w:szCs w:val="18"/>
              </w:rPr>
            </w:pPr>
            <w:r>
              <w:rPr>
                <w:b/>
                <w:bCs/>
                <w:spacing w:val="-3"/>
                <w:sz w:val="18"/>
                <w:szCs w:val="18"/>
              </w:rPr>
              <w:t>80,000,000.00</w:t>
            </w:r>
          </w:p>
        </w:tc>
        <w:tc>
          <w:tcPr>
            <w:tcW w:w="1594" w:type="dxa"/>
            <w:tcBorders>
              <w:top w:val="single" w:sz="4" w:space="0" w:color="000000"/>
              <w:bottom w:val="single" w:sz="4" w:space="0" w:color="000000"/>
            </w:tcBorders>
            <w:vAlign w:val="top"/>
          </w:tcPr>
          <w:p>
            <w:pPr>
              <w:pStyle w:val="TableText"/>
              <w:spacing w:before="150" w:line="178" w:lineRule="auto"/>
              <w:ind w:left="89"/>
              <w:rPr>
                <w:sz w:val="18"/>
                <w:szCs w:val="18"/>
              </w:rPr>
            </w:pPr>
            <w:r>
              <w:rPr>
                <w:b/>
                <w:bCs/>
                <w:spacing w:val="-3"/>
                <w:sz w:val="18"/>
                <w:szCs w:val="18"/>
              </w:rPr>
              <w:t>80,000,000.00</w:t>
            </w:r>
          </w:p>
        </w:tc>
        <w:tc>
          <w:tcPr>
            <w:tcW w:w="1192" w:type="dxa"/>
            <w:tcBorders>
              <w:top w:val="single" w:sz="4" w:space="0" w:color="000000"/>
              <w:bottom w:val="single" w:sz="4" w:space="0" w:color="000000"/>
            </w:tcBorders>
            <w:vAlign w:val="top"/>
          </w:tcPr>
          <w:p/>
        </w:tc>
      </w:tr>
    </w:tbl>
    <w:p>
      <w:pPr>
        <w:spacing w:before="181" w:line="219" w:lineRule="auto"/>
        <w:ind w:left="399"/>
        <w:rPr>
          <w:rFonts w:ascii="宋体" w:eastAsia="宋体" w:hAnsi="宋体" w:cs="宋体"/>
          <w:sz w:val="18"/>
          <w:szCs w:val="18"/>
        </w:rPr>
      </w:pPr>
      <w:r>
        <w:rPr>
          <w:rFonts w:ascii="宋体" w:eastAsia="宋体" w:hAnsi="宋体" w:cs="宋体"/>
          <w:spacing w:val="31"/>
          <w:sz w:val="18"/>
          <w:szCs w:val="18"/>
        </w:rPr>
        <w:t>2020年12月15日，经公司股东会决议，同意新兴亚洲投资有限公司将其持有公司7</w:t>
      </w:r>
      <w:r>
        <w:rPr>
          <w:rFonts w:ascii="宋体" w:eastAsia="宋体" w:hAnsi="宋体" w:cs="宋体"/>
          <w:spacing w:val="-44"/>
          <w:sz w:val="18"/>
          <w:szCs w:val="18"/>
        </w:rPr>
        <w:t xml:space="preserve"> </w:t>
      </w:r>
      <w:r>
        <w:rPr>
          <w:rFonts w:ascii="宋体" w:eastAsia="宋体" w:hAnsi="宋体" w:cs="宋体"/>
          <w:spacing w:val="31"/>
          <w:sz w:val="18"/>
          <w:szCs w:val="18"/>
        </w:rPr>
        <w:t>.</w:t>
      </w:r>
      <w:r>
        <w:rPr>
          <w:rFonts w:ascii="宋体" w:eastAsia="宋体" w:hAnsi="宋体" w:cs="宋体"/>
          <w:spacing w:val="-47"/>
          <w:sz w:val="18"/>
          <w:szCs w:val="18"/>
        </w:rPr>
        <w:t xml:space="preserve"> </w:t>
      </w:r>
      <w:r>
        <w:rPr>
          <w:rFonts w:ascii="宋体" w:eastAsia="宋体" w:hAnsi="宋体" w:cs="宋体"/>
          <w:spacing w:val="31"/>
          <w:sz w:val="18"/>
          <w:szCs w:val="18"/>
        </w:rPr>
        <w:t>285</w:t>
      </w:r>
      <w:r>
        <w:rPr>
          <w:rFonts w:ascii="宋体" w:eastAsia="宋体" w:hAnsi="宋体" w:cs="宋体"/>
          <w:spacing w:val="30"/>
          <w:sz w:val="18"/>
          <w:szCs w:val="18"/>
        </w:rPr>
        <w:t>7%</w:t>
      </w:r>
    </w:p>
    <w:p>
      <w:pPr>
        <w:pStyle w:val="BodyText"/>
        <w:spacing w:before="94" w:line="243" w:lineRule="auto"/>
        <w:ind w:left="389" w:right="1090"/>
        <w:jc w:val="both"/>
        <w:rPr>
          <w:rFonts w:ascii="仿宋" w:eastAsia="仿宋" w:hAnsi="仿宋" w:cs="仿宋"/>
          <w:sz w:val="22"/>
          <w:szCs w:val="22"/>
        </w:rPr>
      </w:pPr>
      <w:r>
        <w:rPr>
          <w:rFonts w:ascii="宋体" w:eastAsia="宋体" w:hAnsi="宋体" w:cs="宋体"/>
          <w:spacing w:val="4"/>
          <w:sz w:val="22"/>
          <w:szCs w:val="22"/>
        </w:rPr>
        <w:t>股权计计582.</w:t>
      </w:r>
      <w:r>
        <w:rPr>
          <w:spacing w:val="4"/>
          <w:sz w:val="22"/>
          <w:szCs w:val="22"/>
        </w:rPr>
        <w:t>857</w:t>
      </w:r>
      <w:r>
        <w:rPr>
          <w:rFonts w:ascii="仿宋" w:eastAsia="仿宋" w:hAnsi="仿宋" w:cs="仿宋"/>
          <w:spacing w:val="4"/>
          <w:sz w:val="22"/>
          <w:szCs w:val="22"/>
        </w:rPr>
        <w:t>2万元出资额以5,100万元人民币的价格转让给江苏走泉大亚林工产业</w:t>
      </w:r>
      <w:r>
        <w:rPr>
          <w:rFonts w:ascii="仿宋" w:eastAsia="仿宋" w:hAnsi="仿宋" w:cs="仿宋"/>
          <w:sz w:val="22"/>
          <w:szCs w:val="22"/>
        </w:rPr>
        <w:t xml:space="preserve"> </w:t>
      </w:r>
      <w:r>
        <w:rPr>
          <w:rFonts w:ascii="仿宋" w:eastAsia="仿宋" w:hAnsi="仿宋" w:cs="仿宋"/>
          <w:spacing w:val="8"/>
          <w:sz w:val="22"/>
          <w:szCs w:val="22"/>
        </w:rPr>
        <w:t>基金(有限合伙),将其持有公司1.4286%股权计114.2857万元出资额以1,000</w:t>
      </w:r>
      <w:r>
        <w:rPr>
          <w:rFonts w:ascii="仿宋" w:eastAsia="仿宋" w:hAnsi="仿宋" w:cs="仿宋"/>
          <w:spacing w:val="-54"/>
          <w:sz w:val="22"/>
          <w:szCs w:val="22"/>
        </w:rPr>
        <w:t xml:space="preserve"> </w:t>
      </w:r>
      <w:r>
        <w:rPr>
          <w:rFonts w:ascii="仿宋" w:eastAsia="仿宋" w:hAnsi="仿宋" w:cs="仿宋"/>
          <w:spacing w:val="8"/>
          <w:sz w:val="22"/>
          <w:szCs w:val="22"/>
        </w:rPr>
        <w:t>万元人民</w:t>
      </w:r>
      <w:r>
        <w:rPr>
          <w:rFonts w:ascii="仿宋" w:eastAsia="仿宋" w:hAnsi="仿宋" w:cs="仿宋"/>
          <w:sz w:val="22"/>
          <w:szCs w:val="22"/>
        </w:rPr>
        <w:t xml:space="preserve"> </w:t>
      </w:r>
      <w:r>
        <w:rPr>
          <w:rFonts w:ascii="仿宋" w:eastAsia="仿宋" w:hAnsi="仿宋" w:cs="仿宋"/>
          <w:spacing w:val="17"/>
          <w:sz w:val="22"/>
          <w:szCs w:val="22"/>
        </w:rPr>
        <w:t xml:space="preserve">币的价格转让给上海素值企业管理咨询中心(有限合伙);同意谢蔚霖将其持有公司 </w:t>
      </w:r>
      <w:r>
        <w:rPr>
          <w:rFonts w:ascii="仿宋" w:eastAsia="仿宋" w:hAnsi="仿宋" w:cs="仿宋"/>
          <w:sz w:val="22"/>
          <w:szCs w:val="22"/>
        </w:rPr>
        <w:t>2.8125%的股权计225.00万元出资额以1,968.75万元人民币的</w:t>
      </w:r>
      <w:r>
        <w:rPr>
          <w:rFonts w:ascii="仿宋" w:eastAsia="仿宋" w:hAnsi="仿宋" w:cs="仿宋"/>
          <w:spacing w:val="-1"/>
          <w:sz w:val="22"/>
          <w:szCs w:val="22"/>
        </w:rPr>
        <w:t>价格转让给隽临环球有限公</w:t>
      </w:r>
      <w:r>
        <w:rPr>
          <w:rFonts w:ascii="仿宋" w:eastAsia="仿宋" w:hAnsi="仿宋" w:cs="仿宋"/>
          <w:sz w:val="22"/>
          <w:szCs w:val="22"/>
        </w:rPr>
        <w:t xml:space="preserve"> </w:t>
      </w:r>
      <w:r>
        <w:rPr>
          <w:rFonts w:ascii="仿宋" w:eastAsia="仿宋" w:hAnsi="仿宋" w:cs="仿宋"/>
          <w:spacing w:val="13"/>
          <w:sz w:val="22"/>
          <w:szCs w:val="22"/>
        </w:rPr>
        <w:t>司。同意公司新增注册资本560万元，全部</w:t>
      </w:r>
      <w:r>
        <w:rPr>
          <w:rFonts w:ascii="仿宋" w:eastAsia="仿宋" w:hAnsi="仿宋" w:cs="仿宋"/>
          <w:spacing w:val="12"/>
          <w:sz w:val="22"/>
          <w:szCs w:val="22"/>
        </w:rPr>
        <w:t>由江苏走泉大亚林工产业基金(有限合伙)</w:t>
      </w:r>
      <w:r>
        <w:rPr>
          <w:rFonts w:ascii="仿宋" w:eastAsia="仿宋" w:hAnsi="仿宋" w:cs="仿宋"/>
          <w:sz w:val="22"/>
          <w:szCs w:val="22"/>
        </w:rPr>
        <w:t xml:space="preserve"> </w:t>
      </w:r>
      <w:r>
        <w:rPr>
          <w:rFonts w:ascii="仿宋" w:eastAsia="仿宋" w:hAnsi="仿宋" w:cs="仿宋"/>
          <w:spacing w:val="2"/>
          <w:sz w:val="22"/>
          <w:szCs w:val="22"/>
        </w:rPr>
        <w:t>出资。注册资本由人民币8,000万元增加至人民币8,560万元。</w:t>
      </w:r>
    </w:p>
    <w:p>
      <w:pPr>
        <w:pStyle w:val="BodyText"/>
        <w:spacing w:line="295" w:lineRule="auto"/>
      </w:pPr>
    </w:p>
    <w:p>
      <w:pPr>
        <w:pStyle w:val="BodyText"/>
        <w:spacing w:line="296" w:lineRule="auto"/>
      </w:pPr>
    </w:p>
    <w:p>
      <w:pPr>
        <w:pStyle w:val="BodyText"/>
        <w:spacing w:line="296" w:lineRule="auto"/>
      </w:pPr>
    </w:p>
    <w:p>
      <w:pPr>
        <w:spacing w:before="50" w:line="184" w:lineRule="auto"/>
        <w:ind w:left="4559"/>
        <w:rPr>
          <w:rFonts w:ascii="宋体" w:eastAsia="宋体" w:hAnsi="宋体" w:cs="宋体"/>
          <w:sz w:val="15"/>
          <w:szCs w:val="15"/>
        </w:rPr>
      </w:pPr>
      <w:r>
        <w:rPr>
          <w:rFonts w:ascii="宋体" w:eastAsia="宋体" w:hAnsi="宋体" w:cs="宋体"/>
          <w:spacing w:val="-5"/>
          <w:sz w:val="15"/>
          <w:szCs w:val="15"/>
        </w:rPr>
        <w:t>10</w:t>
      </w:r>
    </w:p>
    <w:p>
      <w:pPr>
        <w:pStyle w:val="BodyText"/>
        <w:spacing w:line="287" w:lineRule="auto"/>
      </w:pPr>
    </w:p>
    <w:p>
      <w:pPr>
        <w:pStyle w:val="BodyText"/>
        <w:spacing w:line="288" w:lineRule="auto"/>
      </w:pPr>
    </w:p>
    <w:p>
      <w:pPr>
        <w:spacing w:before="72" w:line="184" w:lineRule="auto"/>
        <w:ind w:left="4160"/>
        <w:rPr>
          <w:rFonts w:ascii="宋体" w:eastAsia="宋体" w:hAnsi="宋体" w:cs="宋体"/>
          <w:sz w:val="22"/>
          <w:szCs w:val="22"/>
        </w:rPr>
      </w:pPr>
      <w:r>
        <w:rPr>
          <w:rFonts w:ascii="宋体" w:eastAsia="宋体" w:hAnsi="宋体" w:cs="宋体"/>
          <w:spacing w:val="-18"/>
          <w:sz w:val="22"/>
          <w:szCs w:val="22"/>
        </w:rPr>
        <w:t>3-2-3-12</w:t>
      </w:r>
    </w:p>
    <w:p>
      <w:pPr>
        <w:spacing w:line="184" w:lineRule="auto"/>
        <w:rPr>
          <w:rFonts w:ascii="宋体" w:eastAsia="宋体" w:hAnsi="宋体" w:cs="宋体"/>
          <w:sz w:val="22"/>
          <w:szCs w:val="22"/>
        </w:rPr>
        <w:sectPr>
          <w:headerReference w:type="default" r:id="rId13"/>
          <w:pgSz w:w="11900" w:h="16820"/>
          <w:pgMar w:top="400" w:right="419" w:bottom="0" w:left="1480" w:header="0" w:footer="0" w:gutter="0"/>
          <w:pgNumType w:start="14"/>
          <w:cols w:num="1" w:space="720"/>
        </w:sectPr>
      </w:pPr>
    </w:p>
    <w:p>
      <w:pPr>
        <w:pStyle w:val="BodyText"/>
        <w:spacing w:line="290" w:lineRule="auto"/>
      </w:pPr>
    </w:p>
    <w:p>
      <w:pPr>
        <w:pStyle w:val="BodyText"/>
        <w:spacing w:line="290" w:lineRule="auto"/>
      </w:pPr>
    </w:p>
    <w:p>
      <w:pPr>
        <w:pStyle w:val="BodyText"/>
        <w:spacing w:line="290" w:lineRule="auto"/>
      </w:pPr>
    </w:p>
    <w:p>
      <w:pPr>
        <w:spacing w:before="72" w:line="222" w:lineRule="auto"/>
        <w:ind w:left="19"/>
        <w:rPr>
          <w:rFonts w:ascii="仿宋" w:eastAsia="仿宋" w:hAnsi="仿宋" w:cs="仿宋"/>
          <w:sz w:val="22"/>
          <w:szCs w:val="22"/>
        </w:rPr>
      </w:pPr>
      <w:r>
        <w:rPr>
          <w:rFonts w:ascii="仿宋" w:eastAsia="仿宋" w:hAnsi="仿宋" w:cs="仿宋"/>
          <w:spacing w:val="2"/>
          <w:sz w:val="22"/>
          <w:szCs w:val="22"/>
        </w:rPr>
        <w:t>美新科技股份有限公司</w:t>
      </w:r>
    </w:p>
    <w:p>
      <w:pPr>
        <w:spacing w:before="22" w:line="220" w:lineRule="auto"/>
        <w:ind w:left="19"/>
        <w:rPr>
          <w:rFonts w:ascii="仿宋" w:eastAsia="仿宋" w:hAnsi="仿宋" w:cs="仿宋"/>
          <w:sz w:val="22"/>
          <w:szCs w:val="22"/>
        </w:rPr>
      </w:pPr>
      <w:r>
        <w:rPr>
          <w:rFonts w:ascii="仿宋" w:eastAsia="仿宋" w:hAnsi="仿宋" w:cs="仿宋"/>
          <w:spacing w:val="4"/>
          <w:sz w:val="22"/>
          <w:szCs w:val="22"/>
        </w:rPr>
        <w:t>盈利预测的编制基础、假设和编制说明</w:t>
      </w:r>
    </w:p>
    <w:p>
      <w:pPr>
        <w:spacing w:before="58" w:line="221" w:lineRule="auto"/>
        <w:ind w:left="19"/>
        <w:rPr>
          <w:rFonts w:ascii="仿宋" w:eastAsia="仿宋" w:hAnsi="仿宋" w:cs="仿宋"/>
          <w:sz w:val="22"/>
          <w:szCs w:val="22"/>
        </w:rPr>
      </w:pPr>
      <w:r>
        <w:rPr>
          <w:rFonts w:ascii="仿宋" w:eastAsia="仿宋" w:hAnsi="仿宋" w:cs="仿宋"/>
          <w:spacing w:val="11"/>
          <w:sz w:val="22"/>
          <w:szCs w:val="22"/>
        </w:rPr>
        <w:t>2023年度(除特别注明外，金额单位为人民币万元)</w:t>
      </w:r>
    </w:p>
    <w:p>
      <w:pPr>
        <w:spacing w:before="31" w:line="20" w:lineRule="exact"/>
      </w:pPr>
    </w:p>
    <w:p>
      <w:pPr>
        <w:spacing w:before="262" w:line="219" w:lineRule="auto"/>
        <w:ind w:left="420"/>
        <w:rPr>
          <w:rFonts w:ascii="仿宋" w:eastAsia="仿宋" w:hAnsi="仿宋" w:cs="仿宋"/>
          <w:sz w:val="22"/>
          <w:szCs w:val="22"/>
        </w:rPr>
      </w:pPr>
      <w:r>
        <w:rPr>
          <w:rFonts w:ascii="仿宋" w:eastAsia="仿宋" w:hAnsi="仿宋" w:cs="仿宋"/>
          <w:spacing w:val="1"/>
          <w:sz w:val="22"/>
          <w:szCs w:val="22"/>
        </w:rPr>
        <w:t>本次股权转让及增资后，各股东出资情况如下：</w:t>
      </w:r>
    </w:p>
    <w:p>
      <w:pPr>
        <w:spacing w:line="141" w:lineRule="exact"/>
      </w:pPr>
    </w:p>
    <w:tbl>
      <w:tblPr>
        <w:tblStyle w:val="TableNormal08"/>
        <w:tblW w:w="8689" w:type="dxa"/>
        <w:tblInd w:w="250" w:type="dxa"/>
        <w:tblBorders>
          <w:top w:val="nil"/>
          <w:left w:val="nil"/>
          <w:bottom w:val="nil"/>
          <w:right w:val="nil"/>
          <w:insideH w:val="nil"/>
          <w:insideV w:val="nil"/>
        </w:tblBorders>
        <w:tblLayout w:type="fixed"/>
        <w:tblCellMar>
          <w:top w:w="0" w:type="dxa"/>
          <w:left w:w="0" w:type="dxa"/>
          <w:bottom w:w="0" w:type="dxa"/>
          <w:right w:w="0" w:type="dxa"/>
        </w:tblCellMar>
      </w:tblPr>
      <w:tblGrid>
        <w:gridCol w:w="2672"/>
        <w:gridCol w:w="1684"/>
        <w:gridCol w:w="3175"/>
        <w:gridCol w:w="1158"/>
      </w:tblGrid>
      <w:tr>
        <w:tblPrEx>
          <w:tblW w:w="8689" w:type="dxa"/>
          <w:tblInd w:w="250" w:type="dxa"/>
          <w:tblBorders>
            <w:top w:val="nil"/>
            <w:left w:val="nil"/>
            <w:bottom w:val="nil"/>
            <w:right w:val="nil"/>
            <w:insideH w:val="nil"/>
            <w:insideV w:val="nil"/>
          </w:tblBorders>
          <w:tblLayout w:type="fixed"/>
          <w:tblCellMar>
            <w:top w:w="0" w:type="dxa"/>
            <w:left w:w="0" w:type="dxa"/>
            <w:bottom w:w="0" w:type="dxa"/>
            <w:right w:w="0" w:type="dxa"/>
          </w:tblCellMar>
        </w:tblPrEx>
        <w:trPr>
          <w:trHeight w:val="385"/>
        </w:trPr>
        <w:tc>
          <w:tcPr>
            <w:tcW w:w="4356" w:type="dxa"/>
            <w:gridSpan w:val="2"/>
            <w:tcBorders>
              <w:top w:val="single" w:sz="4" w:space="0" w:color="000000"/>
              <w:bottom w:val="single" w:sz="4" w:space="0" w:color="000000"/>
            </w:tcBorders>
            <w:vAlign w:val="top"/>
          </w:tcPr>
          <w:p>
            <w:pPr>
              <w:pStyle w:val="TableText"/>
              <w:spacing w:before="100" w:line="219" w:lineRule="auto"/>
              <w:ind w:left="142"/>
              <w:rPr>
                <w:sz w:val="19"/>
                <w:szCs w:val="19"/>
              </w:rPr>
            </w:pPr>
            <w:r>
              <w:rPr>
                <w:b/>
                <w:bCs/>
                <w:spacing w:val="-4"/>
                <w:sz w:val="19"/>
                <w:szCs w:val="19"/>
              </w:rPr>
              <w:t>股东名称</w:t>
            </w:r>
          </w:p>
        </w:tc>
        <w:tc>
          <w:tcPr>
            <w:tcW w:w="3175" w:type="dxa"/>
            <w:tcBorders>
              <w:top w:val="single" w:sz="4" w:space="0" w:color="000000"/>
              <w:bottom w:val="single" w:sz="4" w:space="0" w:color="000000"/>
            </w:tcBorders>
            <w:vAlign w:val="top"/>
          </w:tcPr>
          <w:p>
            <w:pPr>
              <w:pStyle w:val="TableText"/>
              <w:spacing w:before="102" w:line="219" w:lineRule="auto"/>
              <w:ind w:left="304"/>
              <w:rPr>
                <w:sz w:val="19"/>
                <w:szCs w:val="19"/>
              </w:rPr>
            </w:pPr>
            <w:r>
              <w:rPr>
                <w:spacing w:val="-2"/>
                <w:sz w:val="19"/>
                <w:szCs w:val="19"/>
              </w:rPr>
              <w:t>认缴出资额</w:t>
            </w:r>
            <w:r>
              <w:rPr>
                <w:spacing w:val="11"/>
                <w:sz w:val="19"/>
                <w:szCs w:val="19"/>
              </w:rPr>
              <w:t xml:space="preserve">      </w:t>
            </w:r>
            <w:r>
              <w:rPr>
                <w:spacing w:val="-2"/>
                <w:sz w:val="19"/>
                <w:szCs w:val="19"/>
              </w:rPr>
              <w:t>实际出资额</w:t>
            </w:r>
          </w:p>
        </w:tc>
        <w:tc>
          <w:tcPr>
            <w:tcW w:w="1158" w:type="dxa"/>
            <w:tcBorders>
              <w:top w:val="single" w:sz="4" w:space="0" w:color="000000"/>
              <w:bottom w:val="single" w:sz="4" w:space="0" w:color="000000"/>
            </w:tcBorders>
            <w:vAlign w:val="top"/>
          </w:tcPr>
          <w:p>
            <w:pPr>
              <w:pStyle w:val="TableText"/>
              <w:spacing w:before="101" w:line="221" w:lineRule="auto"/>
              <w:ind w:left="331"/>
              <w:rPr>
                <w:sz w:val="19"/>
                <w:szCs w:val="19"/>
              </w:rPr>
            </w:pPr>
            <w:r>
              <w:rPr>
                <w:b/>
                <w:bCs/>
                <w:spacing w:val="-2"/>
                <w:sz w:val="19"/>
                <w:szCs w:val="19"/>
              </w:rPr>
              <w:t>出资方式</w:t>
            </w:r>
          </w:p>
        </w:tc>
      </w:tr>
      <w:tr>
        <w:tblPrEx>
          <w:tblW w:w="8689" w:type="dxa"/>
          <w:tblInd w:w="250" w:type="dxa"/>
          <w:tblLayout w:type="fixed"/>
          <w:tblCellMar>
            <w:top w:w="0" w:type="dxa"/>
            <w:left w:w="0" w:type="dxa"/>
            <w:bottom w:w="0" w:type="dxa"/>
            <w:right w:w="0" w:type="dxa"/>
          </w:tblCellMar>
        </w:tblPrEx>
        <w:trPr>
          <w:trHeight w:val="336"/>
        </w:trPr>
        <w:tc>
          <w:tcPr>
            <w:tcW w:w="4356" w:type="dxa"/>
            <w:gridSpan w:val="2"/>
            <w:tcBorders>
              <w:top w:val="single" w:sz="4" w:space="0" w:color="000000"/>
            </w:tcBorders>
            <w:vAlign w:val="top"/>
          </w:tcPr>
          <w:p>
            <w:pPr>
              <w:pStyle w:val="TableText"/>
              <w:spacing w:before="88" w:line="220" w:lineRule="auto"/>
              <w:ind w:left="139"/>
              <w:rPr>
                <w:sz w:val="19"/>
                <w:szCs w:val="19"/>
              </w:rPr>
            </w:pPr>
            <w:r>
              <w:rPr>
                <w:spacing w:val="2"/>
                <w:sz w:val="19"/>
                <w:szCs w:val="19"/>
              </w:rPr>
              <w:t>新兴亚洲投资有限公司</w:t>
            </w:r>
          </w:p>
        </w:tc>
        <w:tc>
          <w:tcPr>
            <w:tcW w:w="3175" w:type="dxa"/>
            <w:tcBorders>
              <w:top w:val="single" w:sz="4" w:space="0" w:color="000000"/>
            </w:tcBorders>
            <w:vAlign w:val="top"/>
          </w:tcPr>
          <w:p>
            <w:pPr>
              <w:pStyle w:val="TableText"/>
              <w:spacing w:before="114" w:line="193" w:lineRule="auto"/>
              <w:ind w:left="163"/>
              <w:rPr>
                <w:sz w:val="19"/>
                <w:szCs w:val="19"/>
              </w:rPr>
            </w:pPr>
            <w:r>
              <w:rPr>
                <w:spacing w:val="-1"/>
                <w:sz w:val="19"/>
                <w:szCs w:val="19"/>
              </w:rPr>
              <w:t>42,803,571.00</w:t>
            </w:r>
            <w:r>
              <w:rPr>
                <w:spacing w:val="10"/>
                <w:sz w:val="19"/>
                <w:szCs w:val="19"/>
              </w:rPr>
              <w:t xml:space="preserve">    </w:t>
            </w:r>
            <w:r>
              <w:rPr>
                <w:spacing w:val="-1"/>
                <w:sz w:val="19"/>
                <w:szCs w:val="19"/>
              </w:rPr>
              <w:t>42,803,571.00</w:t>
            </w:r>
          </w:p>
        </w:tc>
        <w:tc>
          <w:tcPr>
            <w:tcW w:w="1158" w:type="dxa"/>
            <w:tcBorders>
              <w:top w:val="single" w:sz="4" w:space="0" w:color="000000"/>
            </w:tcBorders>
            <w:vAlign w:val="top"/>
          </w:tcPr>
          <w:p>
            <w:pPr>
              <w:pStyle w:val="TableText"/>
              <w:spacing w:before="56" w:line="219" w:lineRule="auto"/>
              <w:ind w:left="139"/>
              <w:rPr>
                <w:sz w:val="19"/>
                <w:szCs w:val="19"/>
              </w:rPr>
            </w:pPr>
            <w:r>
              <w:rPr>
                <w:spacing w:val="1"/>
                <w:sz w:val="19"/>
                <w:szCs w:val="19"/>
              </w:rPr>
              <w:t>货币、实物</w:t>
            </w:r>
          </w:p>
        </w:tc>
      </w:tr>
      <w:tr>
        <w:tblPrEx>
          <w:tblW w:w="8689" w:type="dxa"/>
          <w:tblInd w:w="250" w:type="dxa"/>
          <w:tblLayout w:type="fixed"/>
          <w:tblCellMar>
            <w:top w:w="0" w:type="dxa"/>
            <w:left w:w="0" w:type="dxa"/>
            <w:bottom w:w="0" w:type="dxa"/>
            <w:right w:w="0" w:type="dxa"/>
          </w:tblCellMar>
        </w:tblPrEx>
        <w:trPr>
          <w:trHeight w:val="320"/>
        </w:trPr>
        <w:tc>
          <w:tcPr>
            <w:tcW w:w="4356" w:type="dxa"/>
            <w:gridSpan w:val="2"/>
            <w:vAlign w:val="top"/>
          </w:tcPr>
          <w:p>
            <w:pPr>
              <w:pStyle w:val="TableText"/>
              <w:spacing w:before="51" w:line="219" w:lineRule="auto"/>
              <w:ind w:left="139"/>
              <w:rPr>
                <w:sz w:val="19"/>
                <w:szCs w:val="19"/>
              </w:rPr>
            </w:pPr>
            <w:r>
              <w:rPr>
                <w:spacing w:val="2"/>
                <w:sz w:val="19"/>
                <w:szCs w:val="19"/>
              </w:rPr>
              <w:t>江苏走泉大亚林工产业基金(有限合伙)</w:t>
            </w:r>
          </w:p>
        </w:tc>
        <w:tc>
          <w:tcPr>
            <w:tcW w:w="3175" w:type="dxa"/>
            <w:vAlign w:val="top"/>
          </w:tcPr>
          <w:p>
            <w:pPr>
              <w:pStyle w:val="TableText"/>
              <w:spacing w:before="97" w:line="184" w:lineRule="auto"/>
              <w:ind w:left="284"/>
              <w:rPr>
                <w:sz w:val="19"/>
                <w:szCs w:val="19"/>
              </w:rPr>
            </w:pPr>
            <w:r>
              <w:rPr>
                <w:spacing w:val="-2"/>
                <w:sz w:val="19"/>
                <w:szCs w:val="19"/>
              </w:rPr>
              <w:t>11,428,572.00</w:t>
            </w:r>
            <w:r>
              <w:rPr>
                <w:spacing w:val="19"/>
                <w:sz w:val="19"/>
                <w:szCs w:val="19"/>
              </w:rPr>
              <w:t xml:space="preserve">   </w:t>
            </w:r>
            <w:r>
              <w:rPr>
                <w:spacing w:val="-2"/>
                <w:sz w:val="19"/>
                <w:szCs w:val="19"/>
              </w:rPr>
              <w:t>11,428,572.00</w:t>
            </w:r>
          </w:p>
        </w:tc>
        <w:tc>
          <w:tcPr>
            <w:tcW w:w="1158" w:type="dxa"/>
            <w:vAlign w:val="top"/>
          </w:tcPr>
          <w:p>
            <w:pPr>
              <w:pStyle w:val="TableText"/>
              <w:spacing w:before="50" w:line="219" w:lineRule="auto"/>
              <w:ind w:left="709"/>
              <w:rPr>
                <w:sz w:val="19"/>
                <w:szCs w:val="19"/>
              </w:rPr>
            </w:pPr>
            <w:r>
              <w:rPr>
                <w:spacing w:val="11"/>
                <w:sz w:val="19"/>
                <w:szCs w:val="19"/>
              </w:rPr>
              <w:t>货币</w:t>
            </w:r>
          </w:p>
        </w:tc>
      </w:tr>
      <w:tr>
        <w:tblPrEx>
          <w:tblW w:w="8689" w:type="dxa"/>
          <w:tblInd w:w="250" w:type="dxa"/>
          <w:tblLayout w:type="fixed"/>
          <w:tblCellMar>
            <w:top w:w="0" w:type="dxa"/>
            <w:left w:w="0" w:type="dxa"/>
            <w:bottom w:w="0" w:type="dxa"/>
            <w:right w:w="0" w:type="dxa"/>
          </w:tblCellMar>
        </w:tblPrEx>
        <w:trPr>
          <w:trHeight w:val="304"/>
        </w:trPr>
        <w:tc>
          <w:tcPr>
            <w:tcW w:w="4356" w:type="dxa"/>
            <w:gridSpan w:val="2"/>
            <w:vAlign w:val="top"/>
          </w:tcPr>
          <w:p>
            <w:pPr>
              <w:pStyle w:val="TableText"/>
              <w:spacing w:before="81" w:line="206" w:lineRule="auto"/>
              <w:ind w:left="139"/>
              <w:rPr>
                <w:sz w:val="19"/>
                <w:szCs w:val="19"/>
              </w:rPr>
            </w:pPr>
            <w:r>
              <w:rPr>
                <w:spacing w:val="1"/>
                <w:sz w:val="19"/>
                <w:szCs w:val="19"/>
              </w:rPr>
              <w:t>张家港保税区梵创产业发展有限公司</w:t>
            </w:r>
          </w:p>
        </w:tc>
        <w:tc>
          <w:tcPr>
            <w:tcW w:w="3175" w:type="dxa"/>
            <w:vAlign w:val="top"/>
          </w:tcPr>
          <w:p>
            <w:pPr>
              <w:pStyle w:val="TableText"/>
              <w:spacing w:before="78" w:line="190" w:lineRule="auto"/>
              <w:ind w:left="354"/>
              <w:rPr>
                <w:sz w:val="19"/>
                <w:szCs w:val="19"/>
              </w:rPr>
            </w:pPr>
            <w:r>
              <w:rPr>
                <w:spacing w:val="-1"/>
                <w:position w:val="-1"/>
                <w:sz w:val="19"/>
                <w:szCs w:val="19"/>
              </w:rPr>
              <w:t xml:space="preserve">6,400,000.00    </w:t>
            </w:r>
            <w:r>
              <w:rPr>
                <w:spacing w:val="-1"/>
                <w:position w:val="1"/>
                <w:sz w:val="19"/>
                <w:szCs w:val="19"/>
              </w:rPr>
              <w:t>6,400,000.00</w:t>
            </w:r>
          </w:p>
        </w:tc>
        <w:tc>
          <w:tcPr>
            <w:tcW w:w="1158" w:type="dxa"/>
            <w:vAlign w:val="top"/>
          </w:tcPr>
          <w:p>
            <w:pPr>
              <w:pStyle w:val="TableText"/>
              <w:spacing w:before="60" w:line="219" w:lineRule="auto"/>
              <w:ind w:left="709"/>
              <w:rPr>
                <w:sz w:val="19"/>
                <w:szCs w:val="19"/>
              </w:rPr>
            </w:pPr>
            <w:r>
              <w:rPr>
                <w:spacing w:val="11"/>
                <w:sz w:val="19"/>
                <w:szCs w:val="19"/>
              </w:rPr>
              <w:t>货币</w:t>
            </w:r>
          </w:p>
        </w:tc>
      </w:tr>
      <w:tr>
        <w:tblPrEx>
          <w:tblW w:w="8689" w:type="dxa"/>
          <w:tblInd w:w="250" w:type="dxa"/>
          <w:tblLayout w:type="fixed"/>
          <w:tblCellMar>
            <w:top w:w="0" w:type="dxa"/>
            <w:left w:w="0" w:type="dxa"/>
            <w:bottom w:w="0" w:type="dxa"/>
            <w:right w:w="0" w:type="dxa"/>
          </w:tblCellMar>
        </w:tblPrEx>
        <w:trPr>
          <w:trHeight w:val="544"/>
        </w:trPr>
        <w:tc>
          <w:tcPr>
            <w:tcW w:w="4356" w:type="dxa"/>
            <w:gridSpan w:val="2"/>
            <w:vAlign w:val="top"/>
          </w:tcPr>
          <w:p>
            <w:pPr>
              <w:pStyle w:val="TableText"/>
              <w:spacing w:before="37" w:line="241" w:lineRule="auto"/>
              <w:ind w:left="139" w:right="298" w:firstLine="30"/>
              <w:rPr>
                <w:sz w:val="19"/>
                <w:szCs w:val="19"/>
              </w:rPr>
            </w:pPr>
            <w:r>
              <w:rPr>
                <w:spacing w:val="-1"/>
                <w:sz w:val="19"/>
                <w:szCs w:val="19"/>
              </w:rPr>
              <w:t>深圳市西博肆号新技术创业投资合伙企业(有限</w:t>
            </w:r>
            <w:r>
              <w:rPr>
                <w:spacing w:val="12"/>
                <w:sz w:val="19"/>
                <w:szCs w:val="19"/>
              </w:rPr>
              <w:t xml:space="preserve"> 合伙)</w:t>
            </w:r>
          </w:p>
        </w:tc>
        <w:tc>
          <w:tcPr>
            <w:tcW w:w="3175" w:type="dxa"/>
            <w:vAlign w:val="top"/>
          </w:tcPr>
          <w:p>
            <w:pPr>
              <w:pStyle w:val="TableText"/>
              <w:spacing w:before="214" w:line="183" w:lineRule="auto"/>
              <w:ind w:left="334"/>
              <w:rPr>
                <w:sz w:val="19"/>
                <w:szCs w:val="19"/>
              </w:rPr>
            </w:pPr>
            <w:r>
              <w:rPr>
                <w:spacing w:val="-1"/>
                <w:sz w:val="19"/>
                <w:szCs w:val="19"/>
              </w:rPr>
              <w:t>6,400,000.00</w:t>
            </w:r>
            <w:r>
              <w:rPr>
                <w:spacing w:val="11"/>
                <w:sz w:val="19"/>
                <w:szCs w:val="19"/>
              </w:rPr>
              <w:t xml:space="preserve">    </w:t>
            </w:r>
            <w:r>
              <w:rPr>
                <w:spacing w:val="-1"/>
                <w:sz w:val="19"/>
                <w:szCs w:val="19"/>
              </w:rPr>
              <w:t>6,400,000.00</w:t>
            </w:r>
          </w:p>
        </w:tc>
        <w:tc>
          <w:tcPr>
            <w:tcW w:w="1158" w:type="dxa"/>
            <w:vAlign w:val="top"/>
          </w:tcPr>
          <w:p>
            <w:pPr>
              <w:pStyle w:val="TableText"/>
              <w:spacing w:before="176" w:line="219" w:lineRule="auto"/>
              <w:ind w:left="709"/>
              <w:rPr>
                <w:sz w:val="19"/>
                <w:szCs w:val="19"/>
              </w:rPr>
            </w:pPr>
            <w:r>
              <w:rPr>
                <w:spacing w:val="11"/>
                <w:sz w:val="19"/>
                <w:szCs w:val="19"/>
              </w:rPr>
              <w:t>货币</w:t>
            </w:r>
          </w:p>
        </w:tc>
      </w:tr>
      <w:tr>
        <w:tblPrEx>
          <w:tblW w:w="8689" w:type="dxa"/>
          <w:tblInd w:w="250" w:type="dxa"/>
          <w:tblLayout w:type="fixed"/>
          <w:tblCellMar>
            <w:top w:w="0" w:type="dxa"/>
            <w:left w:w="0" w:type="dxa"/>
            <w:bottom w:w="0" w:type="dxa"/>
            <w:right w:w="0" w:type="dxa"/>
          </w:tblCellMar>
        </w:tblPrEx>
        <w:trPr>
          <w:trHeight w:val="317"/>
        </w:trPr>
        <w:tc>
          <w:tcPr>
            <w:tcW w:w="4356" w:type="dxa"/>
            <w:gridSpan w:val="2"/>
            <w:vAlign w:val="top"/>
          </w:tcPr>
          <w:p>
            <w:pPr>
              <w:pStyle w:val="TableText"/>
              <w:spacing w:before="50" w:line="226" w:lineRule="auto"/>
              <w:ind w:left="139"/>
              <w:rPr>
                <w:sz w:val="19"/>
                <w:szCs w:val="19"/>
              </w:rPr>
            </w:pPr>
            <w:r>
              <w:rPr>
                <w:spacing w:val="-2"/>
                <w:sz w:val="19"/>
                <w:szCs w:val="19"/>
              </w:rPr>
              <w:t>汪忠远</w:t>
            </w:r>
          </w:p>
        </w:tc>
        <w:tc>
          <w:tcPr>
            <w:tcW w:w="3175" w:type="dxa"/>
            <w:vAlign w:val="top"/>
          </w:tcPr>
          <w:p>
            <w:pPr>
              <w:pStyle w:val="TableText"/>
              <w:spacing w:before="90" w:line="193" w:lineRule="auto"/>
              <w:ind w:left="334"/>
              <w:rPr>
                <w:sz w:val="19"/>
                <w:szCs w:val="19"/>
              </w:rPr>
            </w:pPr>
            <w:r>
              <w:rPr>
                <w:spacing w:val="-1"/>
                <w:sz w:val="19"/>
                <w:szCs w:val="19"/>
              </w:rPr>
              <w:t>3,190,000.00</w:t>
            </w:r>
            <w:r>
              <w:rPr>
                <w:spacing w:val="10"/>
                <w:sz w:val="19"/>
                <w:szCs w:val="19"/>
              </w:rPr>
              <w:t xml:space="preserve">    </w:t>
            </w:r>
            <w:r>
              <w:rPr>
                <w:spacing w:val="-1"/>
                <w:sz w:val="19"/>
                <w:szCs w:val="19"/>
              </w:rPr>
              <w:t>3,190,000.00</w:t>
            </w:r>
          </w:p>
        </w:tc>
        <w:tc>
          <w:tcPr>
            <w:tcW w:w="1158" w:type="dxa"/>
            <w:vAlign w:val="top"/>
          </w:tcPr>
          <w:p>
            <w:pPr>
              <w:pStyle w:val="TableText"/>
              <w:spacing w:before="62" w:line="219" w:lineRule="auto"/>
              <w:ind w:left="709"/>
              <w:rPr>
                <w:sz w:val="19"/>
                <w:szCs w:val="19"/>
              </w:rPr>
            </w:pPr>
            <w:r>
              <w:rPr>
                <w:spacing w:val="11"/>
                <w:sz w:val="19"/>
                <w:szCs w:val="19"/>
              </w:rPr>
              <w:t>货币</w:t>
            </w:r>
          </w:p>
        </w:tc>
      </w:tr>
      <w:tr>
        <w:tblPrEx>
          <w:tblW w:w="8689" w:type="dxa"/>
          <w:tblInd w:w="250" w:type="dxa"/>
          <w:tblLayout w:type="fixed"/>
          <w:tblCellMar>
            <w:top w:w="0" w:type="dxa"/>
            <w:left w:w="0" w:type="dxa"/>
            <w:bottom w:w="0" w:type="dxa"/>
            <w:right w:w="0" w:type="dxa"/>
          </w:tblCellMar>
        </w:tblPrEx>
        <w:trPr>
          <w:trHeight w:val="314"/>
        </w:trPr>
        <w:tc>
          <w:tcPr>
            <w:tcW w:w="4356" w:type="dxa"/>
            <w:gridSpan w:val="2"/>
            <w:vAlign w:val="top"/>
          </w:tcPr>
          <w:p>
            <w:pPr>
              <w:pStyle w:val="TableText"/>
              <w:spacing w:before="57" w:line="219" w:lineRule="auto"/>
              <w:ind w:left="139"/>
              <w:rPr>
                <w:sz w:val="19"/>
                <w:szCs w:val="19"/>
              </w:rPr>
            </w:pPr>
            <w:r>
              <w:rPr>
                <w:spacing w:val="6"/>
                <w:sz w:val="19"/>
                <w:szCs w:val="19"/>
              </w:rPr>
              <w:t>郑小明</w:t>
            </w:r>
          </w:p>
        </w:tc>
        <w:tc>
          <w:tcPr>
            <w:tcW w:w="3175" w:type="dxa"/>
            <w:vAlign w:val="top"/>
          </w:tcPr>
          <w:p>
            <w:pPr>
              <w:pStyle w:val="TableText"/>
              <w:spacing w:before="93" w:line="193" w:lineRule="auto"/>
              <w:ind w:left="334"/>
              <w:rPr>
                <w:sz w:val="19"/>
                <w:szCs w:val="19"/>
              </w:rPr>
            </w:pPr>
            <w:r>
              <w:rPr>
                <w:spacing w:val="-1"/>
                <w:sz w:val="19"/>
                <w:szCs w:val="19"/>
              </w:rPr>
              <w:t>2,400,000.00</w:t>
            </w:r>
            <w:r>
              <w:rPr>
                <w:spacing w:val="10"/>
                <w:sz w:val="19"/>
                <w:szCs w:val="19"/>
              </w:rPr>
              <w:t xml:space="preserve">    </w:t>
            </w:r>
            <w:r>
              <w:rPr>
                <w:spacing w:val="-1"/>
                <w:sz w:val="19"/>
                <w:szCs w:val="19"/>
              </w:rPr>
              <w:t>2,400,000.00</w:t>
            </w:r>
          </w:p>
        </w:tc>
        <w:tc>
          <w:tcPr>
            <w:tcW w:w="1158" w:type="dxa"/>
            <w:vAlign w:val="top"/>
          </w:tcPr>
          <w:p>
            <w:pPr>
              <w:pStyle w:val="TableText"/>
              <w:spacing w:before="65" w:line="219" w:lineRule="auto"/>
              <w:ind w:left="709"/>
              <w:rPr>
                <w:sz w:val="19"/>
                <w:szCs w:val="19"/>
              </w:rPr>
            </w:pPr>
            <w:r>
              <w:rPr>
                <w:spacing w:val="11"/>
                <w:sz w:val="19"/>
                <w:szCs w:val="19"/>
              </w:rPr>
              <w:t>货币</w:t>
            </w:r>
          </w:p>
        </w:tc>
      </w:tr>
      <w:tr>
        <w:tblPrEx>
          <w:tblW w:w="8689" w:type="dxa"/>
          <w:tblInd w:w="250" w:type="dxa"/>
          <w:tblLayout w:type="fixed"/>
          <w:tblCellMar>
            <w:top w:w="0" w:type="dxa"/>
            <w:left w:w="0" w:type="dxa"/>
            <w:bottom w:w="0" w:type="dxa"/>
            <w:right w:w="0" w:type="dxa"/>
          </w:tblCellMar>
        </w:tblPrEx>
        <w:trPr>
          <w:trHeight w:val="304"/>
        </w:trPr>
        <w:tc>
          <w:tcPr>
            <w:tcW w:w="4356" w:type="dxa"/>
            <w:gridSpan w:val="2"/>
            <w:vAlign w:val="top"/>
          </w:tcPr>
          <w:p>
            <w:pPr>
              <w:pStyle w:val="TableText"/>
              <w:spacing w:before="53" w:line="219" w:lineRule="auto"/>
              <w:ind w:left="139"/>
              <w:rPr>
                <w:sz w:val="19"/>
                <w:szCs w:val="19"/>
              </w:rPr>
            </w:pPr>
            <w:r>
              <w:rPr>
                <w:spacing w:val="3"/>
                <w:sz w:val="19"/>
                <w:szCs w:val="19"/>
              </w:rPr>
              <w:t>隽临环球有限公司</w:t>
            </w:r>
          </w:p>
        </w:tc>
        <w:tc>
          <w:tcPr>
            <w:tcW w:w="3175" w:type="dxa"/>
            <w:vAlign w:val="top"/>
          </w:tcPr>
          <w:p>
            <w:pPr>
              <w:pStyle w:val="TableText"/>
              <w:spacing w:before="79" w:line="183" w:lineRule="auto"/>
              <w:ind w:left="213"/>
              <w:rPr>
                <w:sz w:val="19"/>
                <w:szCs w:val="19"/>
              </w:rPr>
            </w:pPr>
            <w:r>
              <w:rPr>
                <w:spacing w:val="-1"/>
                <w:sz w:val="19"/>
                <w:szCs w:val="19"/>
              </w:rPr>
              <w:t>2,250,000.00</w:t>
            </w:r>
            <w:r>
              <w:rPr>
                <w:spacing w:val="22"/>
                <w:sz w:val="19"/>
                <w:szCs w:val="19"/>
              </w:rPr>
              <w:t xml:space="preserve">   </w:t>
            </w:r>
            <w:r>
              <w:rPr>
                <w:spacing w:val="-1"/>
                <w:sz w:val="19"/>
                <w:szCs w:val="19"/>
              </w:rPr>
              <w:t>2,250,000.00</w:t>
            </w:r>
          </w:p>
        </w:tc>
        <w:tc>
          <w:tcPr>
            <w:tcW w:w="1158" w:type="dxa"/>
            <w:vAlign w:val="top"/>
          </w:tcPr>
          <w:p>
            <w:pPr>
              <w:pStyle w:val="TableText"/>
              <w:spacing w:before="51" w:line="219" w:lineRule="auto"/>
              <w:ind w:left="709"/>
              <w:rPr>
                <w:sz w:val="19"/>
                <w:szCs w:val="19"/>
              </w:rPr>
            </w:pPr>
            <w:r>
              <w:rPr>
                <w:spacing w:val="11"/>
                <w:sz w:val="19"/>
                <w:szCs w:val="19"/>
              </w:rPr>
              <w:t>货币</w:t>
            </w:r>
          </w:p>
        </w:tc>
      </w:tr>
      <w:tr>
        <w:tblPrEx>
          <w:tblW w:w="8689" w:type="dxa"/>
          <w:tblInd w:w="250" w:type="dxa"/>
          <w:tblLayout w:type="fixed"/>
          <w:tblCellMar>
            <w:top w:w="0" w:type="dxa"/>
            <w:left w:w="0" w:type="dxa"/>
            <w:bottom w:w="0" w:type="dxa"/>
            <w:right w:w="0" w:type="dxa"/>
          </w:tblCellMar>
        </w:tblPrEx>
        <w:trPr>
          <w:trHeight w:val="335"/>
        </w:trPr>
        <w:tc>
          <w:tcPr>
            <w:tcW w:w="4356" w:type="dxa"/>
            <w:gridSpan w:val="2"/>
            <w:vAlign w:val="top"/>
          </w:tcPr>
          <w:p>
            <w:pPr>
              <w:pStyle w:val="TableText"/>
              <w:spacing w:before="67" w:line="219" w:lineRule="auto"/>
              <w:ind w:left="139"/>
              <w:rPr>
                <w:sz w:val="19"/>
                <w:szCs w:val="19"/>
              </w:rPr>
            </w:pPr>
            <w:r>
              <w:rPr>
                <w:spacing w:val="2"/>
                <w:sz w:val="19"/>
                <w:szCs w:val="19"/>
              </w:rPr>
              <w:t>惠州市恒信通投资管理合伙企业(有限合伙)</w:t>
            </w:r>
          </w:p>
        </w:tc>
        <w:tc>
          <w:tcPr>
            <w:tcW w:w="3175" w:type="dxa"/>
            <w:vAlign w:val="top"/>
          </w:tcPr>
          <w:p>
            <w:pPr>
              <w:pStyle w:val="TableText"/>
              <w:spacing w:before="115" w:line="193" w:lineRule="auto"/>
              <w:ind w:left="354"/>
              <w:rPr>
                <w:sz w:val="19"/>
                <w:szCs w:val="19"/>
              </w:rPr>
            </w:pPr>
            <w:r>
              <w:rPr>
                <w:spacing w:val="-2"/>
                <w:sz w:val="19"/>
                <w:szCs w:val="19"/>
              </w:rPr>
              <w:t>1,200,000.00</w:t>
            </w:r>
            <w:r>
              <w:rPr>
                <w:spacing w:val="13"/>
                <w:sz w:val="19"/>
                <w:szCs w:val="19"/>
              </w:rPr>
              <w:t xml:space="preserve">    </w:t>
            </w:r>
            <w:r>
              <w:rPr>
                <w:spacing w:val="-2"/>
                <w:sz w:val="19"/>
                <w:szCs w:val="19"/>
              </w:rPr>
              <w:t>1,200,000.00</w:t>
            </w:r>
          </w:p>
        </w:tc>
        <w:tc>
          <w:tcPr>
            <w:tcW w:w="1158" w:type="dxa"/>
            <w:vAlign w:val="top"/>
          </w:tcPr>
          <w:p>
            <w:pPr>
              <w:pStyle w:val="TableText"/>
              <w:spacing w:before="77" w:line="219" w:lineRule="auto"/>
              <w:ind w:left="709"/>
              <w:rPr>
                <w:sz w:val="19"/>
                <w:szCs w:val="19"/>
              </w:rPr>
            </w:pPr>
            <w:r>
              <w:rPr>
                <w:spacing w:val="11"/>
                <w:sz w:val="19"/>
                <w:szCs w:val="19"/>
              </w:rPr>
              <w:t>货币</w:t>
            </w:r>
          </w:p>
        </w:tc>
      </w:tr>
      <w:tr>
        <w:tblPrEx>
          <w:tblW w:w="8689" w:type="dxa"/>
          <w:tblInd w:w="250" w:type="dxa"/>
          <w:tblLayout w:type="fixed"/>
          <w:tblCellMar>
            <w:top w:w="0" w:type="dxa"/>
            <w:left w:w="0" w:type="dxa"/>
            <w:bottom w:w="0" w:type="dxa"/>
            <w:right w:w="0" w:type="dxa"/>
          </w:tblCellMar>
        </w:tblPrEx>
        <w:trPr>
          <w:trHeight w:val="320"/>
        </w:trPr>
        <w:tc>
          <w:tcPr>
            <w:tcW w:w="4356" w:type="dxa"/>
            <w:gridSpan w:val="2"/>
            <w:vAlign w:val="top"/>
          </w:tcPr>
          <w:p>
            <w:pPr>
              <w:pStyle w:val="TableText"/>
              <w:spacing w:before="52" w:line="219" w:lineRule="auto"/>
              <w:ind w:left="139"/>
              <w:rPr>
                <w:sz w:val="19"/>
                <w:szCs w:val="19"/>
              </w:rPr>
            </w:pPr>
            <w:r>
              <w:rPr>
                <w:spacing w:val="2"/>
                <w:sz w:val="19"/>
                <w:szCs w:val="19"/>
              </w:rPr>
              <w:t>惠州市天达投资管理合伙企业(有限合伙)</w:t>
            </w:r>
          </w:p>
        </w:tc>
        <w:tc>
          <w:tcPr>
            <w:tcW w:w="3175" w:type="dxa"/>
            <w:vAlign w:val="top"/>
          </w:tcPr>
          <w:p>
            <w:pPr>
              <w:pStyle w:val="TableText"/>
              <w:spacing w:before="109" w:line="184" w:lineRule="auto"/>
              <w:ind w:left="354"/>
              <w:rPr>
                <w:sz w:val="19"/>
                <w:szCs w:val="19"/>
              </w:rPr>
            </w:pPr>
            <w:r>
              <w:rPr>
                <w:spacing w:val="-2"/>
                <w:sz w:val="19"/>
                <w:szCs w:val="19"/>
              </w:rPr>
              <w:t>1,160,000.00</w:t>
            </w:r>
            <w:r>
              <w:rPr>
                <w:spacing w:val="13"/>
                <w:sz w:val="19"/>
                <w:szCs w:val="19"/>
              </w:rPr>
              <w:t xml:space="preserve">    </w:t>
            </w:r>
            <w:r>
              <w:rPr>
                <w:spacing w:val="-2"/>
                <w:sz w:val="19"/>
                <w:szCs w:val="19"/>
              </w:rPr>
              <w:t>1,160,000.00</w:t>
            </w:r>
          </w:p>
        </w:tc>
        <w:tc>
          <w:tcPr>
            <w:tcW w:w="1158" w:type="dxa"/>
            <w:vAlign w:val="top"/>
          </w:tcPr>
          <w:p>
            <w:pPr>
              <w:pStyle w:val="TableText"/>
              <w:spacing w:before="62" w:line="219" w:lineRule="auto"/>
              <w:ind w:left="709"/>
              <w:rPr>
                <w:sz w:val="19"/>
                <w:szCs w:val="19"/>
              </w:rPr>
            </w:pPr>
            <w:r>
              <w:rPr>
                <w:spacing w:val="11"/>
                <w:sz w:val="19"/>
                <w:szCs w:val="19"/>
              </w:rPr>
              <w:t>货币</w:t>
            </w:r>
          </w:p>
        </w:tc>
      </w:tr>
      <w:tr>
        <w:tblPrEx>
          <w:tblW w:w="8689" w:type="dxa"/>
          <w:tblInd w:w="250" w:type="dxa"/>
          <w:tblLayout w:type="fixed"/>
          <w:tblCellMar>
            <w:top w:w="0" w:type="dxa"/>
            <w:left w:w="0" w:type="dxa"/>
            <w:bottom w:w="0" w:type="dxa"/>
            <w:right w:w="0" w:type="dxa"/>
          </w:tblCellMar>
        </w:tblPrEx>
        <w:trPr>
          <w:trHeight w:val="320"/>
        </w:trPr>
        <w:tc>
          <w:tcPr>
            <w:tcW w:w="4356" w:type="dxa"/>
            <w:gridSpan w:val="2"/>
            <w:vAlign w:val="top"/>
          </w:tcPr>
          <w:p>
            <w:pPr>
              <w:pStyle w:val="TableText"/>
              <w:spacing w:before="53" w:line="219" w:lineRule="auto"/>
              <w:ind w:left="139"/>
              <w:rPr>
                <w:sz w:val="19"/>
                <w:szCs w:val="19"/>
              </w:rPr>
            </w:pPr>
            <w:r>
              <w:rPr>
                <w:spacing w:val="-1"/>
                <w:sz w:val="19"/>
                <w:szCs w:val="19"/>
              </w:rPr>
              <w:t>上海素值企业管理咨询中心(有限合伙</w:t>
            </w:r>
          </w:p>
        </w:tc>
        <w:tc>
          <w:tcPr>
            <w:tcW w:w="3175" w:type="dxa"/>
            <w:vAlign w:val="top"/>
          </w:tcPr>
          <w:p>
            <w:pPr>
              <w:pStyle w:val="TableText"/>
              <w:spacing w:before="90" w:line="193" w:lineRule="auto"/>
              <w:ind w:left="344"/>
              <w:rPr>
                <w:sz w:val="19"/>
                <w:szCs w:val="19"/>
              </w:rPr>
            </w:pPr>
            <w:r>
              <w:rPr>
                <w:spacing w:val="-2"/>
                <w:sz w:val="19"/>
                <w:szCs w:val="19"/>
              </w:rPr>
              <w:t>1,142,857.00</w:t>
            </w:r>
            <w:r>
              <w:rPr>
                <w:spacing w:val="8"/>
                <w:sz w:val="19"/>
                <w:szCs w:val="19"/>
              </w:rPr>
              <w:t xml:space="preserve">    </w:t>
            </w:r>
            <w:r>
              <w:rPr>
                <w:spacing w:val="-2"/>
                <w:position w:val="1"/>
                <w:sz w:val="19"/>
                <w:szCs w:val="19"/>
              </w:rPr>
              <w:t>1,142,857.0</w:t>
            </w:r>
          </w:p>
        </w:tc>
        <w:tc>
          <w:tcPr>
            <w:tcW w:w="1158" w:type="dxa"/>
            <w:vAlign w:val="top"/>
          </w:tcPr>
          <w:p>
            <w:pPr>
              <w:pStyle w:val="TableText"/>
              <w:spacing w:before="62" w:line="219" w:lineRule="auto"/>
              <w:ind w:left="709"/>
              <w:rPr>
                <w:sz w:val="19"/>
                <w:szCs w:val="19"/>
              </w:rPr>
            </w:pPr>
            <w:r>
              <w:rPr>
                <w:spacing w:val="11"/>
                <w:sz w:val="19"/>
                <w:szCs w:val="19"/>
              </w:rPr>
              <w:t>货币</w:t>
            </w:r>
          </w:p>
        </w:tc>
      </w:tr>
      <w:tr>
        <w:tblPrEx>
          <w:tblW w:w="8689" w:type="dxa"/>
          <w:tblInd w:w="250" w:type="dxa"/>
          <w:tblLayout w:type="fixed"/>
          <w:tblCellMar>
            <w:top w:w="0" w:type="dxa"/>
            <w:left w:w="0" w:type="dxa"/>
            <w:bottom w:w="0" w:type="dxa"/>
            <w:right w:w="0" w:type="dxa"/>
          </w:tblCellMar>
        </w:tblPrEx>
        <w:trPr>
          <w:trHeight w:val="330"/>
        </w:trPr>
        <w:tc>
          <w:tcPr>
            <w:tcW w:w="4356" w:type="dxa"/>
            <w:gridSpan w:val="2"/>
            <w:vAlign w:val="top"/>
          </w:tcPr>
          <w:p>
            <w:pPr>
              <w:pStyle w:val="TableText"/>
              <w:spacing w:before="63" w:line="219" w:lineRule="auto"/>
              <w:ind w:left="139"/>
              <w:rPr>
                <w:sz w:val="19"/>
                <w:szCs w:val="19"/>
              </w:rPr>
            </w:pPr>
            <w:r>
              <w:rPr>
                <w:spacing w:val="6"/>
                <w:sz w:val="19"/>
                <w:szCs w:val="19"/>
              </w:rPr>
              <w:t>史伟</w:t>
            </w:r>
          </w:p>
        </w:tc>
        <w:tc>
          <w:tcPr>
            <w:tcW w:w="3175" w:type="dxa"/>
            <w:vAlign w:val="top"/>
          </w:tcPr>
          <w:p>
            <w:pPr>
              <w:pStyle w:val="TableText"/>
              <w:spacing w:before="99" w:line="203" w:lineRule="auto"/>
              <w:ind w:left="344"/>
              <w:rPr>
                <w:sz w:val="19"/>
                <w:szCs w:val="19"/>
              </w:rPr>
            </w:pPr>
            <w:r>
              <w:rPr>
                <w:spacing w:val="-2"/>
                <w:sz w:val="19"/>
                <w:szCs w:val="19"/>
              </w:rPr>
              <w:t>1,120,000.00</w:t>
            </w:r>
            <w:r>
              <w:rPr>
                <w:spacing w:val="13"/>
                <w:sz w:val="19"/>
                <w:szCs w:val="19"/>
              </w:rPr>
              <w:t xml:space="preserve">    </w:t>
            </w:r>
            <w:r>
              <w:rPr>
                <w:spacing w:val="-2"/>
                <w:sz w:val="19"/>
                <w:szCs w:val="19"/>
              </w:rPr>
              <w:t>1,120,000.00</w:t>
            </w:r>
          </w:p>
        </w:tc>
        <w:tc>
          <w:tcPr>
            <w:tcW w:w="1158" w:type="dxa"/>
            <w:vAlign w:val="top"/>
          </w:tcPr>
          <w:p>
            <w:pPr>
              <w:pStyle w:val="TableText"/>
              <w:spacing w:before="52" w:line="219" w:lineRule="auto"/>
              <w:ind w:left="709"/>
              <w:rPr>
                <w:sz w:val="19"/>
                <w:szCs w:val="19"/>
              </w:rPr>
            </w:pPr>
            <w:r>
              <w:rPr>
                <w:spacing w:val="11"/>
                <w:sz w:val="19"/>
                <w:szCs w:val="19"/>
              </w:rPr>
              <w:t>货币</w:t>
            </w:r>
          </w:p>
        </w:tc>
      </w:tr>
      <w:tr>
        <w:tblPrEx>
          <w:tblW w:w="8689" w:type="dxa"/>
          <w:tblInd w:w="250" w:type="dxa"/>
          <w:tblLayout w:type="fixed"/>
          <w:tblCellMar>
            <w:top w:w="0" w:type="dxa"/>
            <w:left w:w="0" w:type="dxa"/>
            <w:bottom w:w="0" w:type="dxa"/>
            <w:right w:w="0" w:type="dxa"/>
          </w:tblCellMar>
        </w:tblPrEx>
        <w:trPr>
          <w:trHeight w:val="310"/>
        </w:trPr>
        <w:tc>
          <w:tcPr>
            <w:tcW w:w="4356" w:type="dxa"/>
            <w:gridSpan w:val="2"/>
            <w:vAlign w:val="top"/>
          </w:tcPr>
          <w:p>
            <w:pPr>
              <w:pStyle w:val="TableText"/>
              <w:spacing w:before="63" w:line="219" w:lineRule="auto"/>
              <w:ind w:left="139"/>
              <w:rPr>
                <w:sz w:val="19"/>
                <w:szCs w:val="19"/>
              </w:rPr>
            </w:pPr>
            <w:r>
              <w:rPr>
                <w:spacing w:val="6"/>
                <w:sz w:val="19"/>
                <w:szCs w:val="19"/>
              </w:rPr>
              <w:t>吴启明</w:t>
            </w:r>
          </w:p>
        </w:tc>
        <w:tc>
          <w:tcPr>
            <w:tcW w:w="3175" w:type="dxa"/>
            <w:vAlign w:val="top"/>
          </w:tcPr>
          <w:p>
            <w:pPr>
              <w:pStyle w:val="TableText"/>
              <w:spacing w:before="90" w:line="193" w:lineRule="auto"/>
              <w:ind w:left="463"/>
              <w:rPr>
                <w:sz w:val="19"/>
                <w:szCs w:val="19"/>
              </w:rPr>
            </w:pPr>
            <w:r>
              <w:rPr>
                <w:spacing w:val="-1"/>
                <w:sz w:val="19"/>
                <w:szCs w:val="19"/>
              </w:rPr>
              <w:t>880,000.00</w:t>
            </w:r>
            <w:r>
              <w:rPr>
                <w:spacing w:val="3"/>
                <w:sz w:val="19"/>
                <w:szCs w:val="19"/>
              </w:rPr>
              <w:t xml:space="preserve">      </w:t>
            </w:r>
            <w:r>
              <w:rPr>
                <w:spacing w:val="-1"/>
                <w:sz w:val="19"/>
                <w:szCs w:val="19"/>
              </w:rPr>
              <w:t>880,000.00</w:t>
            </w:r>
          </w:p>
        </w:tc>
        <w:tc>
          <w:tcPr>
            <w:tcW w:w="1158" w:type="dxa"/>
            <w:vAlign w:val="top"/>
          </w:tcPr>
          <w:p>
            <w:pPr>
              <w:pStyle w:val="TableText"/>
              <w:spacing w:before="52" w:line="219" w:lineRule="auto"/>
              <w:ind w:left="709"/>
              <w:rPr>
                <w:sz w:val="19"/>
                <w:szCs w:val="19"/>
              </w:rPr>
            </w:pPr>
            <w:r>
              <w:rPr>
                <w:spacing w:val="11"/>
                <w:sz w:val="19"/>
                <w:szCs w:val="19"/>
              </w:rPr>
              <w:t>货币</w:t>
            </w:r>
          </w:p>
        </w:tc>
      </w:tr>
      <w:tr>
        <w:tblPrEx>
          <w:tblW w:w="8689" w:type="dxa"/>
          <w:tblInd w:w="250" w:type="dxa"/>
          <w:tblLayout w:type="fixed"/>
          <w:tblCellMar>
            <w:top w:w="0" w:type="dxa"/>
            <w:left w:w="0" w:type="dxa"/>
            <w:bottom w:w="0" w:type="dxa"/>
            <w:right w:w="0" w:type="dxa"/>
          </w:tblCellMar>
        </w:tblPrEx>
        <w:trPr>
          <w:trHeight w:val="310"/>
        </w:trPr>
        <w:tc>
          <w:tcPr>
            <w:tcW w:w="4356" w:type="dxa"/>
            <w:gridSpan w:val="2"/>
            <w:vAlign w:val="top"/>
          </w:tcPr>
          <w:p>
            <w:pPr>
              <w:pStyle w:val="TableText"/>
              <w:spacing w:before="72" w:line="219" w:lineRule="auto"/>
              <w:ind w:left="139"/>
              <w:rPr>
                <w:sz w:val="19"/>
                <w:szCs w:val="19"/>
              </w:rPr>
            </w:pPr>
            <w:r>
              <w:rPr>
                <w:spacing w:val="2"/>
                <w:sz w:val="19"/>
                <w:szCs w:val="19"/>
              </w:rPr>
              <w:t>惠州市亨信生物科技有限公司</w:t>
            </w:r>
          </w:p>
        </w:tc>
        <w:tc>
          <w:tcPr>
            <w:tcW w:w="3175" w:type="dxa"/>
            <w:vAlign w:val="top"/>
          </w:tcPr>
          <w:p>
            <w:pPr>
              <w:pStyle w:val="TableText"/>
              <w:spacing w:before="101" w:line="192" w:lineRule="auto"/>
              <w:ind w:left="463"/>
              <w:rPr>
                <w:sz w:val="19"/>
                <w:szCs w:val="19"/>
              </w:rPr>
            </w:pPr>
            <w:r>
              <w:rPr>
                <w:spacing w:val="-1"/>
                <w:sz w:val="19"/>
                <w:szCs w:val="19"/>
              </w:rPr>
              <w:t>800,000.00</w:t>
            </w:r>
            <w:r>
              <w:rPr>
                <w:spacing w:val="3"/>
                <w:sz w:val="19"/>
                <w:szCs w:val="19"/>
              </w:rPr>
              <w:t xml:space="preserve">      </w:t>
            </w:r>
            <w:r>
              <w:rPr>
                <w:spacing w:val="-1"/>
                <w:sz w:val="19"/>
                <w:szCs w:val="19"/>
              </w:rPr>
              <w:t>800,000.00</w:t>
            </w:r>
          </w:p>
        </w:tc>
        <w:tc>
          <w:tcPr>
            <w:tcW w:w="1158" w:type="dxa"/>
            <w:vAlign w:val="top"/>
          </w:tcPr>
          <w:p>
            <w:pPr>
              <w:pStyle w:val="TableText"/>
              <w:spacing w:before="52" w:line="219" w:lineRule="auto"/>
              <w:ind w:left="709"/>
              <w:rPr>
                <w:sz w:val="19"/>
                <w:szCs w:val="19"/>
              </w:rPr>
            </w:pPr>
            <w:r>
              <w:rPr>
                <w:spacing w:val="11"/>
                <w:sz w:val="19"/>
                <w:szCs w:val="19"/>
              </w:rPr>
              <w:t>货币</w:t>
            </w:r>
          </w:p>
        </w:tc>
      </w:tr>
      <w:tr>
        <w:tblPrEx>
          <w:tblW w:w="8689" w:type="dxa"/>
          <w:tblInd w:w="250" w:type="dxa"/>
          <w:tblLayout w:type="fixed"/>
          <w:tblCellMar>
            <w:top w:w="0" w:type="dxa"/>
            <w:left w:w="0" w:type="dxa"/>
            <w:bottom w:w="0" w:type="dxa"/>
            <w:right w:w="0" w:type="dxa"/>
          </w:tblCellMar>
        </w:tblPrEx>
        <w:trPr>
          <w:trHeight w:val="340"/>
        </w:trPr>
        <w:tc>
          <w:tcPr>
            <w:tcW w:w="4356" w:type="dxa"/>
            <w:gridSpan w:val="2"/>
            <w:vAlign w:val="top"/>
          </w:tcPr>
          <w:p>
            <w:pPr>
              <w:pStyle w:val="TableText"/>
              <w:spacing w:before="62" w:line="219" w:lineRule="auto"/>
              <w:ind w:left="139"/>
              <w:rPr>
                <w:sz w:val="19"/>
                <w:szCs w:val="19"/>
              </w:rPr>
            </w:pPr>
            <w:r>
              <w:rPr>
                <w:spacing w:val="2"/>
                <w:sz w:val="19"/>
                <w:szCs w:val="19"/>
              </w:rPr>
              <w:t>惠州市天演投资管理合伙企业(有限合伙)</w:t>
            </w:r>
          </w:p>
        </w:tc>
        <w:tc>
          <w:tcPr>
            <w:tcW w:w="3175" w:type="dxa"/>
            <w:vAlign w:val="top"/>
          </w:tcPr>
          <w:p>
            <w:pPr>
              <w:pStyle w:val="TableText"/>
              <w:spacing w:before="110" w:line="193" w:lineRule="auto"/>
              <w:ind w:left="463"/>
              <w:rPr>
                <w:sz w:val="19"/>
                <w:szCs w:val="19"/>
              </w:rPr>
            </w:pPr>
            <w:r>
              <w:rPr>
                <w:spacing w:val="-1"/>
                <w:sz w:val="19"/>
                <w:szCs w:val="19"/>
              </w:rPr>
              <w:t>800,000.00</w:t>
            </w:r>
            <w:r>
              <w:rPr>
                <w:spacing w:val="3"/>
                <w:sz w:val="19"/>
                <w:szCs w:val="19"/>
              </w:rPr>
              <w:t xml:space="preserve">      </w:t>
            </w:r>
            <w:r>
              <w:rPr>
                <w:spacing w:val="-1"/>
                <w:sz w:val="19"/>
                <w:szCs w:val="19"/>
              </w:rPr>
              <w:t>800,000.00</w:t>
            </w:r>
          </w:p>
        </w:tc>
        <w:tc>
          <w:tcPr>
            <w:tcW w:w="1158" w:type="dxa"/>
            <w:vAlign w:val="top"/>
          </w:tcPr>
          <w:p>
            <w:pPr>
              <w:pStyle w:val="TableText"/>
              <w:spacing w:before="43" w:line="259" w:lineRule="exact"/>
              <w:ind w:left="699"/>
              <w:rPr>
                <w:sz w:val="19"/>
                <w:szCs w:val="19"/>
              </w:rPr>
            </w:pPr>
            <w:r>
              <w:rPr>
                <w:spacing w:val="4"/>
                <w:position w:val="1"/>
                <w:sz w:val="19"/>
                <w:szCs w:val="19"/>
              </w:rPr>
              <w:t>货币</w:t>
            </w:r>
          </w:p>
        </w:tc>
      </w:tr>
      <w:tr>
        <w:tblPrEx>
          <w:tblW w:w="8689" w:type="dxa"/>
          <w:tblInd w:w="250" w:type="dxa"/>
          <w:tblLayout w:type="fixed"/>
          <w:tblCellMar>
            <w:top w:w="0" w:type="dxa"/>
            <w:left w:w="0" w:type="dxa"/>
            <w:bottom w:w="0" w:type="dxa"/>
            <w:right w:w="0" w:type="dxa"/>
          </w:tblCellMar>
        </w:tblPrEx>
        <w:trPr>
          <w:trHeight w:val="295"/>
        </w:trPr>
        <w:tc>
          <w:tcPr>
            <w:tcW w:w="4356" w:type="dxa"/>
            <w:gridSpan w:val="2"/>
            <w:vAlign w:val="top"/>
          </w:tcPr>
          <w:p>
            <w:pPr>
              <w:pStyle w:val="TableText"/>
              <w:spacing w:before="63" w:line="215" w:lineRule="auto"/>
              <w:ind w:left="139"/>
              <w:rPr>
                <w:sz w:val="19"/>
                <w:szCs w:val="19"/>
              </w:rPr>
            </w:pPr>
            <w:r>
              <w:rPr>
                <w:spacing w:val="2"/>
                <w:sz w:val="19"/>
                <w:szCs w:val="19"/>
              </w:rPr>
              <w:t>东莞市浩烨贸易有限公司</w:t>
            </w:r>
          </w:p>
        </w:tc>
        <w:tc>
          <w:tcPr>
            <w:tcW w:w="3175" w:type="dxa"/>
            <w:vAlign w:val="top"/>
          </w:tcPr>
          <w:p>
            <w:pPr>
              <w:pStyle w:val="TableText"/>
              <w:spacing w:before="100" w:line="179" w:lineRule="auto"/>
              <w:ind w:left="453"/>
              <w:rPr>
                <w:sz w:val="19"/>
                <w:szCs w:val="19"/>
              </w:rPr>
            </w:pPr>
            <w:r>
              <w:rPr>
                <w:spacing w:val="-2"/>
                <w:sz w:val="19"/>
                <w:szCs w:val="19"/>
              </w:rPr>
              <w:t>740,000.00</w:t>
            </w:r>
            <w:r>
              <w:rPr>
                <w:spacing w:val="6"/>
                <w:sz w:val="19"/>
                <w:szCs w:val="19"/>
              </w:rPr>
              <w:t xml:space="preserve">      </w:t>
            </w:r>
            <w:r>
              <w:rPr>
                <w:spacing w:val="-2"/>
                <w:sz w:val="19"/>
                <w:szCs w:val="19"/>
              </w:rPr>
              <w:t>740,000.00</w:t>
            </w:r>
          </w:p>
        </w:tc>
        <w:tc>
          <w:tcPr>
            <w:tcW w:w="1158" w:type="dxa"/>
            <w:vAlign w:val="top"/>
          </w:tcPr>
          <w:p>
            <w:pPr>
              <w:pStyle w:val="TableText"/>
              <w:spacing w:before="42" w:line="219" w:lineRule="auto"/>
              <w:ind w:left="709"/>
              <w:rPr>
                <w:sz w:val="19"/>
                <w:szCs w:val="19"/>
              </w:rPr>
            </w:pPr>
            <w:r>
              <w:rPr>
                <w:spacing w:val="11"/>
                <w:sz w:val="19"/>
                <w:szCs w:val="19"/>
              </w:rPr>
              <w:t>货币</w:t>
            </w:r>
          </w:p>
        </w:tc>
      </w:tr>
      <w:tr>
        <w:tblPrEx>
          <w:tblW w:w="8689" w:type="dxa"/>
          <w:tblInd w:w="250" w:type="dxa"/>
          <w:tblLayout w:type="fixed"/>
          <w:tblCellMar>
            <w:top w:w="0" w:type="dxa"/>
            <w:left w:w="0" w:type="dxa"/>
            <w:bottom w:w="0" w:type="dxa"/>
            <w:right w:w="0" w:type="dxa"/>
          </w:tblCellMar>
        </w:tblPrEx>
        <w:trPr>
          <w:trHeight w:val="315"/>
        </w:trPr>
        <w:tc>
          <w:tcPr>
            <w:tcW w:w="4356" w:type="dxa"/>
            <w:gridSpan w:val="2"/>
            <w:vAlign w:val="top"/>
          </w:tcPr>
          <w:p>
            <w:pPr>
              <w:pStyle w:val="TableText"/>
              <w:spacing w:before="88" w:line="210" w:lineRule="auto"/>
              <w:ind w:left="139"/>
              <w:rPr>
                <w:sz w:val="19"/>
                <w:szCs w:val="19"/>
              </w:rPr>
            </w:pPr>
            <w:r>
              <w:rPr>
                <w:spacing w:val="8"/>
                <w:sz w:val="19"/>
                <w:szCs w:val="19"/>
              </w:rPr>
              <w:t>梁卫山</w:t>
            </w:r>
          </w:p>
        </w:tc>
        <w:tc>
          <w:tcPr>
            <w:tcW w:w="3175" w:type="dxa"/>
            <w:vAlign w:val="top"/>
          </w:tcPr>
          <w:p>
            <w:pPr>
              <w:pStyle w:val="TableText"/>
              <w:spacing w:before="105" w:line="174" w:lineRule="auto"/>
              <w:ind w:left="433"/>
              <w:rPr>
                <w:sz w:val="19"/>
                <w:szCs w:val="19"/>
              </w:rPr>
            </w:pPr>
            <w:r>
              <w:rPr>
                <w:spacing w:val="-1"/>
                <w:position w:val="-1"/>
                <w:sz w:val="19"/>
                <w:szCs w:val="19"/>
              </w:rPr>
              <w:t>600,000.00</w:t>
            </w:r>
            <w:r>
              <w:rPr>
                <w:spacing w:val="7"/>
                <w:position w:val="-1"/>
                <w:sz w:val="19"/>
                <w:szCs w:val="19"/>
              </w:rPr>
              <w:t xml:space="preserve">     </w:t>
            </w:r>
            <w:r>
              <w:rPr>
                <w:spacing w:val="-1"/>
                <w:position w:val="1"/>
                <w:sz w:val="19"/>
                <w:szCs w:val="19"/>
              </w:rPr>
              <w:t>600,000.00</w:t>
            </w:r>
          </w:p>
        </w:tc>
        <w:tc>
          <w:tcPr>
            <w:tcW w:w="1158" w:type="dxa"/>
            <w:vAlign w:val="top"/>
          </w:tcPr>
          <w:p>
            <w:pPr>
              <w:pStyle w:val="TableText"/>
              <w:spacing w:before="37" w:line="219" w:lineRule="auto"/>
              <w:ind w:left="709"/>
              <w:rPr>
                <w:sz w:val="19"/>
                <w:szCs w:val="19"/>
              </w:rPr>
            </w:pPr>
            <w:r>
              <w:rPr>
                <w:spacing w:val="11"/>
                <w:sz w:val="19"/>
                <w:szCs w:val="19"/>
              </w:rPr>
              <w:t>货币</w:t>
            </w:r>
          </w:p>
        </w:tc>
      </w:tr>
      <w:tr>
        <w:tblPrEx>
          <w:tblW w:w="8689" w:type="dxa"/>
          <w:tblInd w:w="250" w:type="dxa"/>
          <w:tblLayout w:type="fixed"/>
          <w:tblCellMar>
            <w:top w:w="0" w:type="dxa"/>
            <w:left w:w="0" w:type="dxa"/>
            <w:bottom w:w="0" w:type="dxa"/>
            <w:right w:w="0" w:type="dxa"/>
          </w:tblCellMar>
        </w:tblPrEx>
        <w:trPr>
          <w:trHeight w:val="334"/>
        </w:trPr>
        <w:tc>
          <w:tcPr>
            <w:tcW w:w="4356" w:type="dxa"/>
            <w:gridSpan w:val="2"/>
            <w:vAlign w:val="top"/>
          </w:tcPr>
          <w:p>
            <w:pPr>
              <w:pStyle w:val="TableText"/>
              <w:spacing w:before="94" w:line="219" w:lineRule="auto"/>
              <w:ind w:left="139"/>
              <w:rPr>
                <w:sz w:val="19"/>
                <w:szCs w:val="19"/>
              </w:rPr>
            </w:pPr>
            <w:r>
              <w:rPr>
                <w:spacing w:val="-2"/>
                <w:sz w:val="19"/>
                <w:szCs w:val="19"/>
              </w:rPr>
              <w:t>黄俊鸿</w:t>
            </w:r>
          </w:p>
        </w:tc>
        <w:tc>
          <w:tcPr>
            <w:tcW w:w="3175" w:type="dxa"/>
            <w:vAlign w:val="top"/>
          </w:tcPr>
          <w:p>
            <w:pPr>
              <w:pStyle w:val="TableText"/>
              <w:spacing w:before="121" w:line="192" w:lineRule="auto"/>
              <w:ind w:left="453"/>
              <w:rPr>
                <w:sz w:val="19"/>
                <w:szCs w:val="19"/>
              </w:rPr>
            </w:pPr>
            <w:r>
              <w:rPr>
                <w:spacing w:val="-2"/>
                <w:sz w:val="19"/>
                <w:szCs w:val="19"/>
              </w:rPr>
              <w:t>500,000.00</w:t>
            </w:r>
            <w:r>
              <w:rPr>
                <w:spacing w:val="6"/>
                <w:sz w:val="19"/>
                <w:szCs w:val="19"/>
              </w:rPr>
              <w:t xml:space="preserve">      </w:t>
            </w:r>
            <w:r>
              <w:rPr>
                <w:spacing w:val="-2"/>
                <w:sz w:val="19"/>
                <w:szCs w:val="19"/>
              </w:rPr>
              <w:t>500,000.00</w:t>
            </w:r>
          </w:p>
        </w:tc>
        <w:tc>
          <w:tcPr>
            <w:tcW w:w="1158" w:type="dxa"/>
            <w:vAlign w:val="top"/>
          </w:tcPr>
          <w:p>
            <w:pPr>
              <w:pStyle w:val="TableText"/>
              <w:spacing w:before="32" w:line="219" w:lineRule="auto"/>
              <w:ind w:left="709"/>
              <w:rPr>
                <w:sz w:val="19"/>
                <w:szCs w:val="19"/>
              </w:rPr>
            </w:pPr>
            <w:r>
              <w:rPr>
                <w:spacing w:val="11"/>
                <w:sz w:val="19"/>
                <w:szCs w:val="19"/>
              </w:rPr>
              <w:t>货币</w:t>
            </w:r>
          </w:p>
        </w:tc>
      </w:tr>
      <w:tr>
        <w:tblPrEx>
          <w:tblW w:w="8689" w:type="dxa"/>
          <w:tblInd w:w="250" w:type="dxa"/>
          <w:tblLayout w:type="fixed"/>
          <w:tblCellMar>
            <w:top w:w="0" w:type="dxa"/>
            <w:left w:w="0" w:type="dxa"/>
            <w:bottom w:w="0" w:type="dxa"/>
            <w:right w:w="0" w:type="dxa"/>
          </w:tblCellMar>
        </w:tblPrEx>
        <w:trPr>
          <w:trHeight w:val="325"/>
        </w:trPr>
        <w:tc>
          <w:tcPr>
            <w:tcW w:w="4356" w:type="dxa"/>
            <w:gridSpan w:val="2"/>
            <w:vAlign w:val="top"/>
          </w:tcPr>
          <w:p>
            <w:pPr>
              <w:pStyle w:val="TableText"/>
              <w:spacing w:before="48" w:line="219" w:lineRule="auto"/>
              <w:ind w:left="139"/>
              <w:rPr>
                <w:sz w:val="19"/>
                <w:szCs w:val="19"/>
              </w:rPr>
            </w:pPr>
            <w:r>
              <w:rPr>
                <w:spacing w:val="2"/>
                <w:sz w:val="19"/>
                <w:szCs w:val="19"/>
              </w:rPr>
              <w:t>惠州市本盛投资管理合伙企业(有限合伙)</w:t>
            </w:r>
          </w:p>
        </w:tc>
        <w:tc>
          <w:tcPr>
            <w:tcW w:w="3175" w:type="dxa"/>
            <w:vAlign w:val="top"/>
          </w:tcPr>
          <w:p>
            <w:pPr>
              <w:pStyle w:val="TableText"/>
              <w:spacing w:before="106" w:line="193" w:lineRule="auto"/>
              <w:ind w:left="453"/>
              <w:rPr>
                <w:sz w:val="19"/>
                <w:szCs w:val="19"/>
              </w:rPr>
            </w:pPr>
            <w:r>
              <w:rPr>
                <w:spacing w:val="-2"/>
                <w:sz w:val="19"/>
                <w:szCs w:val="19"/>
              </w:rPr>
              <w:t>500,000.00</w:t>
            </w:r>
            <w:r>
              <w:rPr>
                <w:spacing w:val="6"/>
                <w:sz w:val="19"/>
                <w:szCs w:val="19"/>
              </w:rPr>
              <w:t xml:space="preserve">      </w:t>
            </w:r>
            <w:r>
              <w:rPr>
                <w:spacing w:val="-2"/>
                <w:sz w:val="19"/>
                <w:szCs w:val="19"/>
              </w:rPr>
              <w:t>500,000.00</w:t>
            </w:r>
          </w:p>
        </w:tc>
        <w:tc>
          <w:tcPr>
            <w:tcW w:w="1158" w:type="dxa"/>
            <w:vAlign w:val="top"/>
          </w:tcPr>
          <w:p>
            <w:pPr>
              <w:pStyle w:val="TableText"/>
              <w:spacing w:before="79" w:line="229" w:lineRule="auto"/>
              <w:ind w:left="679"/>
              <w:rPr>
                <w:sz w:val="19"/>
                <w:szCs w:val="19"/>
              </w:rPr>
            </w:pPr>
            <w:r>
              <w:rPr>
                <w:spacing w:val="14"/>
                <w:sz w:val="19"/>
                <w:szCs w:val="19"/>
              </w:rPr>
              <w:t>货币</w:t>
            </w:r>
          </w:p>
        </w:tc>
      </w:tr>
      <w:tr>
        <w:tblPrEx>
          <w:tblW w:w="8689" w:type="dxa"/>
          <w:tblInd w:w="250" w:type="dxa"/>
          <w:tblLayout w:type="fixed"/>
          <w:tblCellMar>
            <w:top w:w="0" w:type="dxa"/>
            <w:left w:w="0" w:type="dxa"/>
            <w:bottom w:w="0" w:type="dxa"/>
            <w:right w:w="0" w:type="dxa"/>
          </w:tblCellMar>
        </w:tblPrEx>
        <w:trPr>
          <w:trHeight w:val="315"/>
        </w:trPr>
        <w:tc>
          <w:tcPr>
            <w:tcW w:w="4356" w:type="dxa"/>
            <w:gridSpan w:val="2"/>
            <w:vAlign w:val="top"/>
          </w:tcPr>
          <w:p>
            <w:pPr>
              <w:pStyle w:val="TableText"/>
              <w:spacing w:before="75" w:line="219" w:lineRule="auto"/>
              <w:ind w:left="139"/>
              <w:rPr>
                <w:sz w:val="19"/>
                <w:szCs w:val="19"/>
              </w:rPr>
            </w:pPr>
            <w:r>
              <w:rPr>
                <w:spacing w:val="-2"/>
                <w:sz w:val="19"/>
                <w:szCs w:val="19"/>
              </w:rPr>
              <w:t>林倩倩</w:t>
            </w:r>
          </w:p>
        </w:tc>
        <w:tc>
          <w:tcPr>
            <w:tcW w:w="3175" w:type="dxa"/>
            <w:vAlign w:val="top"/>
          </w:tcPr>
          <w:p>
            <w:pPr>
              <w:pStyle w:val="TableText"/>
              <w:spacing w:before="91" w:line="193" w:lineRule="auto"/>
              <w:ind w:left="413"/>
              <w:rPr>
                <w:sz w:val="19"/>
                <w:szCs w:val="19"/>
              </w:rPr>
            </w:pPr>
            <w:r>
              <w:rPr>
                <w:spacing w:val="-1"/>
                <w:sz w:val="19"/>
                <w:szCs w:val="19"/>
              </w:rPr>
              <w:t>490,000.00</w:t>
            </w:r>
            <w:r>
              <w:rPr>
                <w:spacing w:val="11"/>
                <w:sz w:val="19"/>
                <w:szCs w:val="19"/>
              </w:rPr>
              <w:t xml:space="preserve">     </w:t>
            </w:r>
            <w:r>
              <w:rPr>
                <w:spacing w:val="-1"/>
                <w:sz w:val="19"/>
                <w:szCs w:val="19"/>
              </w:rPr>
              <w:t>490,000.00</w:t>
            </w:r>
          </w:p>
        </w:tc>
        <w:tc>
          <w:tcPr>
            <w:tcW w:w="1158" w:type="dxa"/>
            <w:vAlign w:val="top"/>
          </w:tcPr>
          <w:p>
            <w:pPr>
              <w:pStyle w:val="TableText"/>
              <w:spacing w:before="43" w:line="219" w:lineRule="auto"/>
              <w:ind w:left="709"/>
              <w:rPr>
                <w:sz w:val="19"/>
                <w:szCs w:val="19"/>
              </w:rPr>
            </w:pPr>
            <w:r>
              <w:rPr>
                <w:spacing w:val="11"/>
                <w:sz w:val="19"/>
                <w:szCs w:val="19"/>
              </w:rPr>
              <w:t>货币</w:t>
            </w:r>
          </w:p>
        </w:tc>
      </w:tr>
      <w:tr>
        <w:tblPrEx>
          <w:tblW w:w="8689" w:type="dxa"/>
          <w:tblInd w:w="250" w:type="dxa"/>
          <w:tblLayout w:type="fixed"/>
          <w:tblCellMar>
            <w:top w:w="0" w:type="dxa"/>
            <w:left w:w="0" w:type="dxa"/>
            <w:bottom w:w="0" w:type="dxa"/>
            <w:right w:w="0" w:type="dxa"/>
          </w:tblCellMar>
        </w:tblPrEx>
        <w:trPr>
          <w:trHeight w:val="329"/>
        </w:trPr>
        <w:tc>
          <w:tcPr>
            <w:tcW w:w="4356" w:type="dxa"/>
            <w:gridSpan w:val="2"/>
            <w:vAlign w:val="top"/>
          </w:tcPr>
          <w:p>
            <w:pPr>
              <w:pStyle w:val="TableText"/>
              <w:spacing w:before="90" w:line="220" w:lineRule="auto"/>
              <w:ind w:left="139"/>
              <w:rPr>
                <w:sz w:val="19"/>
                <w:szCs w:val="19"/>
              </w:rPr>
            </w:pPr>
            <w:r>
              <w:rPr>
                <w:spacing w:val="-2"/>
                <w:sz w:val="19"/>
                <w:szCs w:val="19"/>
              </w:rPr>
              <w:t>鲍泽民</w:t>
            </w:r>
          </w:p>
        </w:tc>
        <w:tc>
          <w:tcPr>
            <w:tcW w:w="3175" w:type="dxa"/>
            <w:vAlign w:val="top"/>
          </w:tcPr>
          <w:p>
            <w:pPr>
              <w:pStyle w:val="TableText"/>
              <w:spacing w:before="116" w:line="183" w:lineRule="auto"/>
              <w:ind w:left="423"/>
              <w:rPr>
                <w:sz w:val="19"/>
                <w:szCs w:val="19"/>
              </w:rPr>
            </w:pPr>
            <w:r>
              <w:rPr>
                <w:spacing w:val="-1"/>
                <w:sz w:val="19"/>
                <w:szCs w:val="19"/>
              </w:rPr>
              <w:t>290,000.00</w:t>
            </w:r>
            <w:r>
              <w:rPr>
                <w:spacing w:val="8"/>
                <w:sz w:val="19"/>
                <w:szCs w:val="19"/>
              </w:rPr>
              <w:t xml:space="preserve">     </w:t>
            </w:r>
            <w:r>
              <w:rPr>
                <w:spacing w:val="-1"/>
                <w:sz w:val="19"/>
                <w:szCs w:val="19"/>
              </w:rPr>
              <w:t>290,000.00</w:t>
            </w:r>
          </w:p>
        </w:tc>
        <w:tc>
          <w:tcPr>
            <w:tcW w:w="1158" w:type="dxa"/>
            <w:vAlign w:val="top"/>
          </w:tcPr>
          <w:p>
            <w:pPr>
              <w:pStyle w:val="TableText"/>
              <w:spacing w:before="58" w:line="219" w:lineRule="auto"/>
              <w:ind w:left="709"/>
              <w:rPr>
                <w:sz w:val="19"/>
                <w:szCs w:val="19"/>
              </w:rPr>
            </w:pPr>
            <w:r>
              <w:rPr>
                <w:spacing w:val="11"/>
                <w:sz w:val="19"/>
                <w:szCs w:val="19"/>
              </w:rPr>
              <w:t>货币</w:t>
            </w:r>
          </w:p>
        </w:tc>
      </w:tr>
      <w:tr>
        <w:tblPrEx>
          <w:tblW w:w="8689" w:type="dxa"/>
          <w:tblInd w:w="250" w:type="dxa"/>
          <w:tblLayout w:type="fixed"/>
          <w:tblCellMar>
            <w:top w:w="0" w:type="dxa"/>
            <w:left w:w="0" w:type="dxa"/>
            <w:bottom w:w="0" w:type="dxa"/>
            <w:right w:w="0" w:type="dxa"/>
          </w:tblCellMar>
        </w:tblPrEx>
        <w:trPr>
          <w:trHeight w:val="319"/>
        </w:trPr>
        <w:tc>
          <w:tcPr>
            <w:tcW w:w="4356" w:type="dxa"/>
            <w:gridSpan w:val="2"/>
            <w:vAlign w:val="top"/>
          </w:tcPr>
          <w:p>
            <w:pPr>
              <w:pStyle w:val="TableText"/>
              <w:spacing w:before="60" w:line="219" w:lineRule="auto"/>
              <w:ind w:left="139"/>
              <w:rPr>
                <w:sz w:val="19"/>
                <w:szCs w:val="19"/>
              </w:rPr>
            </w:pPr>
            <w:r>
              <w:rPr>
                <w:spacing w:val="-2"/>
                <w:sz w:val="19"/>
                <w:szCs w:val="19"/>
              </w:rPr>
              <w:t>林楚琛</w:t>
            </w:r>
          </w:p>
        </w:tc>
        <w:tc>
          <w:tcPr>
            <w:tcW w:w="3175" w:type="dxa"/>
            <w:vAlign w:val="top"/>
          </w:tcPr>
          <w:p>
            <w:pPr>
              <w:pStyle w:val="TableText"/>
              <w:spacing w:before="107" w:line="183" w:lineRule="auto"/>
              <w:ind w:left="423"/>
              <w:rPr>
                <w:sz w:val="19"/>
                <w:szCs w:val="19"/>
              </w:rPr>
            </w:pPr>
            <w:r>
              <w:rPr>
                <w:spacing w:val="-1"/>
                <w:sz w:val="19"/>
                <w:szCs w:val="19"/>
              </w:rPr>
              <w:t>205,000.00</w:t>
            </w:r>
            <w:r>
              <w:rPr>
                <w:spacing w:val="8"/>
                <w:sz w:val="19"/>
                <w:szCs w:val="19"/>
              </w:rPr>
              <w:t xml:space="preserve">     </w:t>
            </w:r>
            <w:r>
              <w:rPr>
                <w:spacing w:val="-1"/>
                <w:sz w:val="19"/>
                <w:szCs w:val="19"/>
              </w:rPr>
              <w:t>205,000.00</w:t>
            </w:r>
          </w:p>
        </w:tc>
        <w:tc>
          <w:tcPr>
            <w:tcW w:w="1158" w:type="dxa"/>
            <w:vAlign w:val="top"/>
          </w:tcPr>
          <w:p>
            <w:pPr>
              <w:pStyle w:val="TableText"/>
              <w:spacing w:before="69" w:line="219" w:lineRule="auto"/>
              <w:ind w:left="709"/>
              <w:rPr>
                <w:sz w:val="19"/>
                <w:szCs w:val="19"/>
              </w:rPr>
            </w:pPr>
            <w:r>
              <w:rPr>
                <w:spacing w:val="11"/>
                <w:sz w:val="19"/>
                <w:szCs w:val="19"/>
              </w:rPr>
              <w:t>货币</w:t>
            </w:r>
          </w:p>
        </w:tc>
      </w:tr>
      <w:tr>
        <w:tblPrEx>
          <w:tblW w:w="8689" w:type="dxa"/>
          <w:tblInd w:w="250" w:type="dxa"/>
          <w:tblLayout w:type="fixed"/>
          <w:tblCellMar>
            <w:top w:w="0" w:type="dxa"/>
            <w:left w:w="0" w:type="dxa"/>
            <w:bottom w:w="0" w:type="dxa"/>
            <w:right w:w="0" w:type="dxa"/>
          </w:tblCellMar>
        </w:tblPrEx>
        <w:trPr>
          <w:trHeight w:val="315"/>
        </w:trPr>
        <w:tc>
          <w:tcPr>
            <w:tcW w:w="4356" w:type="dxa"/>
            <w:gridSpan w:val="2"/>
            <w:vAlign w:val="top"/>
          </w:tcPr>
          <w:p>
            <w:pPr>
              <w:pStyle w:val="TableText"/>
              <w:spacing w:before="60" w:line="219" w:lineRule="auto"/>
              <w:ind w:left="139"/>
              <w:rPr>
                <w:sz w:val="19"/>
                <w:szCs w:val="19"/>
              </w:rPr>
            </w:pPr>
            <w:r>
              <w:rPr>
                <w:spacing w:val="2"/>
                <w:sz w:val="19"/>
                <w:szCs w:val="19"/>
              </w:rPr>
              <w:t>惠州市信天达投资管理合伙企业(有限合伙)</w:t>
            </w:r>
          </w:p>
        </w:tc>
        <w:tc>
          <w:tcPr>
            <w:tcW w:w="3175" w:type="dxa"/>
            <w:vAlign w:val="top"/>
          </w:tcPr>
          <w:p>
            <w:pPr>
              <w:pStyle w:val="TableText"/>
              <w:spacing w:before="107" w:line="184" w:lineRule="auto"/>
              <w:ind w:left="443"/>
              <w:rPr>
                <w:sz w:val="19"/>
                <w:szCs w:val="19"/>
              </w:rPr>
            </w:pPr>
            <w:r>
              <w:rPr>
                <w:spacing w:val="-3"/>
                <w:sz w:val="19"/>
                <w:szCs w:val="19"/>
              </w:rPr>
              <w:t>150,000.00</w:t>
            </w:r>
            <w:r>
              <w:rPr>
                <w:spacing w:val="10"/>
                <w:sz w:val="19"/>
                <w:szCs w:val="19"/>
              </w:rPr>
              <w:t xml:space="preserve">     </w:t>
            </w:r>
            <w:r>
              <w:rPr>
                <w:spacing w:val="-3"/>
                <w:sz w:val="19"/>
                <w:szCs w:val="19"/>
              </w:rPr>
              <w:t>150,000.00</w:t>
            </w:r>
          </w:p>
        </w:tc>
        <w:tc>
          <w:tcPr>
            <w:tcW w:w="1158" w:type="dxa"/>
            <w:vAlign w:val="top"/>
          </w:tcPr>
          <w:p>
            <w:pPr>
              <w:pStyle w:val="TableText"/>
              <w:spacing w:before="60" w:line="219" w:lineRule="auto"/>
              <w:ind w:left="709"/>
              <w:rPr>
                <w:sz w:val="19"/>
                <w:szCs w:val="19"/>
              </w:rPr>
            </w:pPr>
            <w:r>
              <w:rPr>
                <w:spacing w:val="11"/>
                <w:sz w:val="19"/>
                <w:szCs w:val="19"/>
              </w:rPr>
              <w:t>货币</w:t>
            </w:r>
          </w:p>
        </w:tc>
      </w:tr>
      <w:tr>
        <w:tblPrEx>
          <w:tblW w:w="8689" w:type="dxa"/>
          <w:tblInd w:w="250" w:type="dxa"/>
          <w:tblLayout w:type="fixed"/>
          <w:tblCellMar>
            <w:top w:w="0" w:type="dxa"/>
            <w:left w:w="0" w:type="dxa"/>
            <w:bottom w:w="0" w:type="dxa"/>
            <w:right w:w="0" w:type="dxa"/>
          </w:tblCellMar>
        </w:tblPrEx>
        <w:trPr>
          <w:trHeight w:val="330"/>
        </w:trPr>
        <w:tc>
          <w:tcPr>
            <w:tcW w:w="4356" w:type="dxa"/>
            <w:gridSpan w:val="2"/>
            <w:vAlign w:val="top"/>
          </w:tcPr>
          <w:p>
            <w:pPr>
              <w:pStyle w:val="TableText"/>
              <w:spacing w:before="77" w:line="219" w:lineRule="auto"/>
              <w:ind w:left="139"/>
              <w:rPr>
                <w:sz w:val="19"/>
                <w:szCs w:val="19"/>
              </w:rPr>
            </w:pPr>
            <w:r>
              <w:rPr>
                <w:spacing w:val="-2"/>
                <w:sz w:val="19"/>
                <w:szCs w:val="19"/>
              </w:rPr>
              <w:t>林翠君</w:t>
            </w:r>
          </w:p>
        </w:tc>
        <w:tc>
          <w:tcPr>
            <w:tcW w:w="3175" w:type="dxa"/>
            <w:vAlign w:val="top"/>
          </w:tcPr>
          <w:p>
            <w:pPr>
              <w:pStyle w:val="TableText"/>
              <w:spacing w:before="102" w:line="203" w:lineRule="auto"/>
              <w:ind w:left="443"/>
              <w:rPr>
                <w:sz w:val="19"/>
                <w:szCs w:val="19"/>
              </w:rPr>
            </w:pPr>
            <w:r>
              <w:rPr>
                <w:spacing w:val="-3"/>
                <w:sz w:val="19"/>
                <w:szCs w:val="19"/>
              </w:rPr>
              <w:t>100,000.00</w:t>
            </w:r>
            <w:r>
              <w:rPr>
                <w:spacing w:val="10"/>
                <w:sz w:val="19"/>
                <w:szCs w:val="19"/>
              </w:rPr>
              <w:t xml:space="preserve">     </w:t>
            </w:r>
            <w:r>
              <w:rPr>
                <w:spacing w:val="-3"/>
                <w:sz w:val="19"/>
                <w:szCs w:val="19"/>
              </w:rPr>
              <w:t>100,000.00</w:t>
            </w:r>
          </w:p>
        </w:tc>
        <w:tc>
          <w:tcPr>
            <w:tcW w:w="1158" w:type="dxa"/>
            <w:vAlign w:val="top"/>
          </w:tcPr>
          <w:p>
            <w:pPr>
              <w:pStyle w:val="TableText"/>
              <w:spacing w:before="55" w:line="219" w:lineRule="auto"/>
              <w:ind w:left="709"/>
              <w:rPr>
                <w:sz w:val="19"/>
                <w:szCs w:val="19"/>
              </w:rPr>
            </w:pPr>
            <w:r>
              <w:rPr>
                <w:spacing w:val="11"/>
                <w:sz w:val="19"/>
                <w:szCs w:val="19"/>
              </w:rPr>
              <w:t>货币</w:t>
            </w:r>
          </w:p>
        </w:tc>
      </w:tr>
      <w:tr>
        <w:tblPrEx>
          <w:tblW w:w="8689" w:type="dxa"/>
          <w:tblInd w:w="250" w:type="dxa"/>
          <w:tblLayout w:type="fixed"/>
          <w:tblCellMar>
            <w:top w:w="0" w:type="dxa"/>
            <w:left w:w="0" w:type="dxa"/>
            <w:bottom w:w="0" w:type="dxa"/>
            <w:right w:w="0" w:type="dxa"/>
          </w:tblCellMar>
        </w:tblPrEx>
        <w:trPr>
          <w:trHeight w:val="326"/>
        </w:trPr>
        <w:tc>
          <w:tcPr>
            <w:tcW w:w="4356" w:type="dxa"/>
            <w:gridSpan w:val="2"/>
            <w:vAlign w:val="top"/>
          </w:tcPr>
          <w:p>
            <w:pPr>
              <w:pStyle w:val="TableText"/>
              <w:spacing w:before="65" w:line="219" w:lineRule="auto"/>
              <w:ind w:left="139"/>
              <w:rPr>
                <w:sz w:val="19"/>
                <w:szCs w:val="19"/>
              </w:rPr>
            </w:pPr>
            <w:r>
              <w:rPr>
                <w:spacing w:val="2"/>
                <w:sz w:val="19"/>
                <w:szCs w:val="19"/>
              </w:rPr>
              <w:t>惠州市鑫意诚投资管理合伙企业(有限合伙)</w:t>
            </w:r>
          </w:p>
        </w:tc>
        <w:tc>
          <w:tcPr>
            <w:tcW w:w="3175" w:type="dxa"/>
            <w:vAlign w:val="top"/>
          </w:tcPr>
          <w:p>
            <w:pPr>
              <w:pStyle w:val="TableText"/>
              <w:spacing w:before="103" w:line="193" w:lineRule="auto"/>
              <w:ind w:left="493"/>
              <w:rPr>
                <w:sz w:val="19"/>
                <w:szCs w:val="19"/>
              </w:rPr>
            </w:pPr>
            <w:r>
              <w:rPr>
                <w:spacing w:val="-2"/>
                <w:sz w:val="19"/>
                <w:szCs w:val="19"/>
              </w:rPr>
              <w:t>50,000.00</w:t>
            </w:r>
            <w:r>
              <w:rPr>
                <w:spacing w:val="13"/>
                <w:sz w:val="19"/>
                <w:szCs w:val="19"/>
              </w:rPr>
              <w:t xml:space="preserve">      </w:t>
            </w:r>
            <w:r>
              <w:rPr>
                <w:spacing w:val="-2"/>
                <w:sz w:val="19"/>
                <w:szCs w:val="19"/>
              </w:rPr>
              <w:t>50,000.00</w:t>
            </w:r>
          </w:p>
        </w:tc>
        <w:tc>
          <w:tcPr>
            <w:tcW w:w="1158" w:type="dxa"/>
            <w:vAlign w:val="top"/>
          </w:tcPr>
          <w:p>
            <w:pPr>
              <w:pStyle w:val="TableText"/>
              <w:spacing w:before="55" w:line="219" w:lineRule="auto"/>
              <w:ind w:left="709"/>
              <w:rPr>
                <w:sz w:val="19"/>
                <w:szCs w:val="19"/>
              </w:rPr>
            </w:pPr>
            <w:r>
              <w:rPr>
                <w:spacing w:val="11"/>
                <w:sz w:val="19"/>
                <w:szCs w:val="19"/>
              </w:rPr>
              <w:t>货币</w:t>
            </w:r>
          </w:p>
        </w:tc>
      </w:tr>
      <w:tr>
        <w:tblPrEx>
          <w:tblW w:w="8689" w:type="dxa"/>
          <w:tblInd w:w="250" w:type="dxa"/>
          <w:tblLayout w:type="fixed"/>
          <w:tblCellMar>
            <w:top w:w="0" w:type="dxa"/>
            <w:left w:w="0" w:type="dxa"/>
            <w:bottom w:w="0" w:type="dxa"/>
            <w:right w:w="0" w:type="dxa"/>
          </w:tblCellMar>
        </w:tblPrEx>
        <w:trPr>
          <w:trHeight w:val="297"/>
        </w:trPr>
        <w:tc>
          <w:tcPr>
            <w:tcW w:w="4356" w:type="dxa"/>
            <w:gridSpan w:val="2"/>
            <w:tcBorders>
              <w:bottom w:val="single" w:sz="4" w:space="0" w:color="000000"/>
            </w:tcBorders>
            <w:vAlign w:val="top"/>
          </w:tcPr>
          <w:p>
            <w:pPr>
              <w:pStyle w:val="TableText"/>
              <w:spacing w:before="62" w:line="218" w:lineRule="auto"/>
              <w:ind w:left="139"/>
              <w:rPr>
                <w:sz w:val="19"/>
                <w:szCs w:val="19"/>
              </w:rPr>
            </w:pPr>
            <w:r>
              <w:rPr>
                <w:spacing w:val="-5"/>
                <w:sz w:val="19"/>
                <w:szCs w:val="19"/>
              </w:rPr>
              <w:t>合</w:t>
            </w:r>
            <w:r>
              <w:rPr>
                <w:spacing w:val="8"/>
                <w:sz w:val="19"/>
                <w:szCs w:val="19"/>
              </w:rPr>
              <w:t xml:space="preserve"> </w:t>
            </w:r>
            <w:r>
              <w:rPr>
                <w:spacing w:val="-5"/>
                <w:sz w:val="19"/>
                <w:szCs w:val="19"/>
              </w:rPr>
              <w:t>计</w:t>
            </w:r>
          </w:p>
        </w:tc>
        <w:tc>
          <w:tcPr>
            <w:tcW w:w="3175" w:type="dxa"/>
            <w:tcBorders>
              <w:bottom w:val="single" w:sz="4" w:space="0" w:color="000000"/>
            </w:tcBorders>
            <w:vAlign w:val="top"/>
          </w:tcPr>
          <w:p>
            <w:pPr>
              <w:pStyle w:val="TableText"/>
              <w:spacing w:before="115" w:line="167" w:lineRule="auto"/>
              <w:ind w:left="166"/>
              <w:rPr>
                <w:sz w:val="19"/>
                <w:szCs w:val="19"/>
              </w:rPr>
            </w:pPr>
            <w:r>
              <w:rPr>
                <w:b/>
                <w:bCs/>
                <w:spacing w:val="-3"/>
                <w:sz w:val="19"/>
                <w:szCs w:val="19"/>
              </w:rPr>
              <w:t>85,600,000.00</w:t>
            </w:r>
            <w:r>
              <w:rPr>
                <w:spacing w:val="18"/>
                <w:sz w:val="19"/>
                <w:szCs w:val="19"/>
              </w:rPr>
              <w:t xml:space="preserve">   </w:t>
            </w:r>
            <w:r>
              <w:rPr>
                <w:b/>
                <w:bCs/>
                <w:spacing w:val="-3"/>
                <w:sz w:val="19"/>
                <w:szCs w:val="19"/>
              </w:rPr>
              <w:t>85,600,000.00</w:t>
            </w:r>
          </w:p>
        </w:tc>
        <w:tc>
          <w:tcPr>
            <w:tcW w:w="1158" w:type="dxa"/>
            <w:tcBorders>
              <w:bottom w:val="single" w:sz="4" w:space="0" w:color="000000"/>
            </w:tcBorders>
            <w:vAlign w:val="top"/>
          </w:tcPr>
          <w:p/>
        </w:tc>
      </w:tr>
      <w:tr>
        <w:tblPrEx>
          <w:tblW w:w="8689" w:type="dxa"/>
          <w:tblInd w:w="250" w:type="dxa"/>
          <w:tblLayout w:type="fixed"/>
          <w:tblCellMar>
            <w:top w:w="0" w:type="dxa"/>
            <w:left w:w="0" w:type="dxa"/>
            <w:bottom w:w="0" w:type="dxa"/>
            <w:right w:w="0" w:type="dxa"/>
          </w:tblCellMar>
        </w:tblPrEx>
        <w:trPr>
          <w:trHeight w:val="2058"/>
        </w:trPr>
        <w:tc>
          <w:tcPr>
            <w:tcW w:w="8689" w:type="dxa"/>
            <w:gridSpan w:val="4"/>
            <w:tcBorders>
              <w:top w:val="single" w:sz="4" w:space="0" w:color="000000"/>
              <w:bottom w:val="single" w:sz="4" w:space="0" w:color="000000"/>
            </w:tcBorders>
            <w:vAlign w:val="top"/>
          </w:tcPr>
          <w:p>
            <w:pPr>
              <w:pStyle w:val="TableText"/>
              <w:spacing w:before="181" w:line="216" w:lineRule="auto"/>
              <w:ind w:left="129"/>
              <w:rPr>
                <w:sz w:val="19"/>
                <w:szCs w:val="19"/>
              </w:rPr>
            </w:pPr>
            <w:r>
              <w:rPr>
                <w:spacing w:val="35"/>
                <w:sz w:val="19"/>
                <w:szCs w:val="19"/>
              </w:rPr>
              <w:t>2021年3月15日，本公司股东签订《美</w:t>
            </w:r>
            <w:r>
              <w:rPr>
                <w:spacing w:val="34"/>
                <w:sz w:val="19"/>
                <w:szCs w:val="19"/>
              </w:rPr>
              <w:t>新科技股份有限公司发起人协议书》,以本公司</w:t>
            </w:r>
          </w:p>
          <w:p>
            <w:pPr>
              <w:pStyle w:val="TableText"/>
              <w:spacing w:before="78" w:line="229" w:lineRule="auto"/>
              <w:ind w:left="118" w:right="1261" w:hanging="9"/>
              <w:rPr>
                <w:sz w:val="19"/>
                <w:szCs w:val="19"/>
              </w:rPr>
            </w:pPr>
            <w:r>
              <w:rPr>
                <w:sz w:val="19"/>
                <w:szCs w:val="19"/>
              </w:rPr>
              <w:t>股东作为发起人，将本公司由有限责任公司整体变更为股份公司，</w:t>
            </w:r>
            <w:r>
              <w:rPr>
                <w:spacing w:val="-1"/>
                <w:sz w:val="19"/>
                <w:szCs w:val="19"/>
              </w:rPr>
              <w:t>更名为“美新科技股</w:t>
            </w:r>
            <w:r>
              <w:rPr>
                <w:sz w:val="19"/>
                <w:szCs w:val="19"/>
              </w:rPr>
              <w:t xml:space="preserve">  份有限公司”,以致同会计师事务所(特殊普通合伙)出具的致同审字(2021)第4</w:t>
            </w:r>
            <w:r>
              <w:rPr>
                <w:spacing w:val="-1"/>
                <w:sz w:val="19"/>
                <w:szCs w:val="19"/>
              </w:rPr>
              <w:t>41B003133</w:t>
            </w:r>
          </w:p>
          <w:p>
            <w:pPr>
              <w:spacing w:before="118" w:line="231" w:lineRule="auto"/>
              <w:ind w:left="119" w:right="86"/>
              <w:jc w:val="both"/>
              <w:rPr>
                <w:rFonts w:ascii="仿宋" w:eastAsia="仿宋" w:hAnsi="仿宋" w:cs="仿宋"/>
                <w:sz w:val="22"/>
                <w:szCs w:val="22"/>
              </w:rPr>
            </w:pPr>
            <w:r>
              <w:rPr>
                <w:rFonts w:ascii="仿宋" w:eastAsia="仿宋" w:hAnsi="仿宋" w:cs="仿宋"/>
                <w:spacing w:val="6"/>
                <w:sz w:val="22"/>
                <w:szCs w:val="22"/>
              </w:rPr>
              <w:t>号审计报告审定的2021</w:t>
            </w:r>
            <w:r>
              <w:rPr>
                <w:rFonts w:ascii="仿宋" w:eastAsia="仿宋" w:hAnsi="仿宋" w:cs="仿宋"/>
                <w:spacing w:val="-63"/>
                <w:sz w:val="22"/>
                <w:szCs w:val="22"/>
              </w:rPr>
              <w:t xml:space="preserve"> </w:t>
            </w:r>
            <w:r>
              <w:rPr>
                <w:rFonts w:ascii="仿宋" w:eastAsia="仿宋" w:hAnsi="仿宋" w:cs="仿宋"/>
                <w:spacing w:val="6"/>
                <w:sz w:val="22"/>
                <w:szCs w:val="22"/>
              </w:rPr>
              <w:t>年1月31日净资产人民币22,277.79万元按1:0.3842的比例折合</w:t>
            </w:r>
            <w:r>
              <w:rPr>
                <w:rFonts w:ascii="仿宋" w:eastAsia="仿宋" w:hAnsi="仿宋" w:cs="仿宋"/>
                <w:sz w:val="22"/>
                <w:szCs w:val="22"/>
              </w:rPr>
              <w:t xml:space="preserve"> </w:t>
            </w:r>
            <w:r>
              <w:rPr>
                <w:rFonts w:ascii="仿宋" w:eastAsia="仿宋" w:hAnsi="仿宋" w:cs="仿宋"/>
                <w:spacing w:val="2"/>
                <w:sz w:val="22"/>
                <w:szCs w:val="22"/>
              </w:rPr>
              <w:t>为股份公司的股本8,560万元，其余人民币13,717.79万元转作本公司的资本公积，变更</w:t>
            </w:r>
            <w:r>
              <w:rPr>
                <w:rFonts w:ascii="仿宋" w:eastAsia="仿宋" w:hAnsi="仿宋" w:cs="仿宋"/>
                <w:spacing w:val="15"/>
                <w:sz w:val="22"/>
                <w:szCs w:val="22"/>
              </w:rPr>
              <w:t xml:space="preserve"> </w:t>
            </w:r>
            <w:r>
              <w:rPr>
                <w:rFonts w:ascii="仿宋" w:eastAsia="仿宋" w:hAnsi="仿宋" w:cs="仿宋"/>
                <w:spacing w:val="-8"/>
                <w:sz w:val="22"/>
                <w:szCs w:val="22"/>
              </w:rPr>
              <w:t>后公司股权如下：</w:t>
            </w:r>
          </w:p>
        </w:tc>
      </w:tr>
      <w:tr>
        <w:tblPrEx>
          <w:tblW w:w="8689" w:type="dxa"/>
          <w:tblInd w:w="250" w:type="dxa"/>
          <w:tblLayout w:type="fixed"/>
          <w:tblCellMar>
            <w:top w:w="0" w:type="dxa"/>
            <w:left w:w="0" w:type="dxa"/>
            <w:bottom w:w="0" w:type="dxa"/>
            <w:right w:w="0" w:type="dxa"/>
          </w:tblCellMar>
        </w:tblPrEx>
        <w:trPr>
          <w:trHeight w:val="349"/>
        </w:trPr>
        <w:tc>
          <w:tcPr>
            <w:tcW w:w="4356" w:type="dxa"/>
            <w:gridSpan w:val="2"/>
            <w:tcBorders>
              <w:top w:val="single" w:sz="4" w:space="0" w:color="000000"/>
              <w:bottom w:val="single" w:sz="4" w:space="0" w:color="000000"/>
            </w:tcBorders>
            <w:vAlign w:val="top"/>
          </w:tcPr>
          <w:p>
            <w:pPr>
              <w:pStyle w:val="TableText"/>
              <w:spacing w:before="142" w:line="191" w:lineRule="auto"/>
              <w:ind w:left="102"/>
              <w:rPr>
                <w:sz w:val="19"/>
                <w:szCs w:val="19"/>
              </w:rPr>
            </w:pPr>
            <w:r>
              <w:rPr>
                <w:b/>
                <w:bCs/>
                <w:spacing w:val="-3"/>
                <w:sz w:val="19"/>
                <w:szCs w:val="19"/>
              </w:rPr>
              <w:t>股东名称</w:t>
            </w:r>
            <w:r>
              <w:rPr>
                <w:spacing w:val="1"/>
                <w:sz w:val="19"/>
                <w:szCs w:val="19"/>
              </w:rPr>
              <w:t xml:space="preserve">                           </w:t>
            </w:r>
            <w:r>
              <w:rPr>
                <w:spacing w:val="-3"/>
                <w:sz w:val="19"/>
                <w:szCs w:val="19"/>
              </w:rPr>
              <w:t>注册资本</w:t>
            </w:r>
          </w:p>
        </w:tc>
        <w:tc>
          <w:tcPr>
            <w:tcW w:w="3175" w:type="dxa"/>
            <w:tcBorders>
              <w:top w:val="single" w:sz="4" w:space="0" w:color="000000"/>
              <w:bottom w:val="single" w:sz="4" w:space="0" w:color="000000"/>
            </w:tcBorders>
            <w:vAlign w:val="top"/>
          </w:tcPr>
          <w:p>
            <w:pPr>
              <w:pStyle w:val="TableText"/>
              <w:spacing w:before="84" w:line="219" w:lineRule="auto"/>
              <w:ind w:left="914"/>
              <w:rPr>
                <w:sz w:val="19"/>
                <w:szCs w:val="19"/>
              </w:rPr>
            </w:pPr>
            <w:r>
              <w:rPr>
                <w:spacing w:val="25"/>
                <w:sz w:val="19"/>
                <w:szCs w:val="19"/>
              </w:rPr>
              <w:t>股本持股比例(%’</w:t>
            </w:r>
          </w:p>
        </w:tc>
        <w:tc>
          <w:tcPr>
            <w:tcW w:w="1158" w:type="dxa"/>
            <w:tcBorders>
              <w:top w:val="single" w:sz="4" w:space="0" w:color="000000"/>
              <w:bottom w:val="single" w:sz="4" w:space="0" w:color="000000"/>
            </w:tcBorders>
            <w:vAlign w:val="top"/>
          </w:tcPr>
          <w:p>
            <w:pPr>
              <w:pStyle w:val="TableText"/>
              <w:spacing w:before="156" w:line="177" w:lineRule="auto"/>
              <w:ind w:left="328"/>
              <w:rPr>
                <w:sz w:val="19"/>
                <w:szCs w:val="19"/>
              </w:rPr>
            </w:pPr>
            <w:r>
              <w:rPr>
                <w:spacing w:val="1"/>
                <w:sz w:val="19"/>
                <w:szCs w:val="19"/>
              </w:rPr>
              <w:t>出资方式</w:t>
            </w:r>
          </w:p>
        </w:tc>
      </w:tr>
      <w:tr>
        <w:tblPrEx>
          <w:tblW w:w="8689" w:type="dxa"/>
          <w:tblInd w:w="250" w:type="dxa"/>
          <w:tblLayout w:type="fixed"/>
          <w:tblCellMar>
            <w:top w:w="0" w:type="dxa"/>
            <w:left w:w="0" w:type="dxa"/>
            <w:bottom w:w="0" w:type="dxa"/>
            <w:right w:w="0" w:type="dxa"/>
          </w:tblCellMar>
        </w:tblPrEx>
        <w:trPr>
          <w:trHeight w:val="344"/>
        </w:trPr>
        <w:tc>
          <w:tcPr>
            <w:tcW w:w="4356" w:type="dxa"/>
            <w:gridSpan w:val="2"/>
            <w:tcBorders>
              <w:top w:val="single" w:sz="4" w:space="0" w:color="000000"/>
            </w:tcBorders>
            <w:vAlign w:val="top"/>
          </w:tcPr>
          <w:p>
            <w:pPr>
              <w:pStyle w:val="TableText"/>
              <w:spacing w:before="125" w:line="203" w:lineRule="auto"/>
              <w:ind w:left="102"/>
              <w:rPr>
                <w:sz w:val="19"/>
                <w:szCs w:val="19"/>
              </w:rPr>
            </w:pPr>
            <w:r>
              <w:rPr>
                <w:b/>
                <w:bCs/>
                <w:spacing w:val="-1"/>
                <w:sz w:val="19"/>
                <w:szCs w:val="19"/>
              </w:rPr>
              <w:t>新兴亚洲投资有限公司</w:t>
            </w:r>
            <w:r>
              <w:rPr>
                <w:spacing w:val="11"/>
                <w:sz w:val="19"/>
                <w:szCs w:val="19"/>
              </w:rPr>
              <w:t xml:space="preserve">         </w:t>
            </w:r>
            <w:r>
              <w:rPr>
                <w:spacing w:val="-1"/>
                <w:sz w:val="19"/>
                <w:szCs w:val="19"/>
              </w:rPr>
              <w:t>42,803,571.00</w:t>
            </w:r>
          </w:p>
        </w:tc>
        <w:tc>
          <w:tcPr>
            <w:tcW w:w="3175" w:type="dxa"/>
            <w:tcBorders>
              <w:top w:val="single" w:sz="4" w:space="0" w:color="000000"/>
            </w:tcBorders>
            <w:vAlign w:val="top"/>
          </w:tcPr>
          <w:p>
            <w:pPr>
              <w:pStyle w:val="TableText"/>
              <w:spacing w:before="143" w:line="190" w:lineRule="exact"/>
              <w:ind w:left="274"/>
              <w:rPr>
                <w:sz w:val="19"/>
                <w:szCs w:val="19"/>
              </w:rPr>
            </w:pPr>
            <w:r>
              <w:rPr>
                <w:spacing w:val="-1"/>
                <w:position w:val="1"/>
                <w:sz w:val="19"/>
                <w:szCs w:val="19"/>
              </w:rPr>
              <w:t>42,803,571.00</w:t>
            </w:r>
            <w:r>
              <w:rPr>
                <w:spacing w:val="14"/>
                <w:position w:val="1"/>
                <w:sz w:val="19"/>
                <w:szCs w:val="19"/>
              </w:rPr>
              <w:t xml:space="preserve">     </w:t>
            </w:r>
            <w:r>
              <w:rPr>
                <w:spacing w:val="-1"/>
                <w:position w:val="-2"/>
                <w:sz w:val="19"/>
                <w:szCs w:val="19"/>
              </w:rPr>
              <w:t>50.00417</w:t>
            </w:r>
          </w:p>
        </w:tc>
        <w:tc>
          <w:tcPr>
            <w:tcW w:w="1158" w:type="dxa"/>
            <w:tcBorders>
              <w:top w:val="single" w:sz="4" w:space="0" w:color="000000"/>
            </w:tcBorders>
            <w:vAlign w:val="top"/>
          </w:tcPr>
          <w:p>
            <w:pPr>
              <w:pStyle w:val="TableText"/>
              <w:spacing w:before="96" w:line="219" w:lineRule="auto"/>
              <w:ind w:left="139"/>
              <w:rPr>
                <w:sz w:val="19"/>
                <w:szCs w:val="19"/>
              </w:rPr>
            </w:pPr>
            <w:r>
              <w:rPr>
                <w:spacing w:val="-2"/>
                <w:sz w:val="19"/>
                <w:szCs w:val="19"/>
              </w:rPr>
              <w:t>净资产折股</w:t>
            </w:r>
          </w:p>
        </w:tc>
      </w:tr>
      <w:tr>
        <w:tblPrEx>
          <w:tblW w:w="8689" w:type="dxa"/>
          <w:tblInd w:w="250" w:type="dxa"/>
          <w:tblLayout w:type="fixed"/>
          <w:tblCellMar>
            <w:top w:w="0" w:type="dxa"/>
            <w:left w:w="0" w:type="dxa"/>
            <w:bottom w:w="0" w:type="dxa"/>
            <w:right w:w="0" w:type="dxa"/>
          </w:tblCellMar>
        </w:tblPrEx>
        <w:trPr>
          <w:trHeight w:val="520"/>
        </w:trPr>
        <w:tc>
          <w:tcPr>
            <w:tcW w:w="2672" w:type="dxa"/>
            <w:tcBorders>
              <w:bottom w:val="single" w:sz="4" w:space="0" w:color="000000"/>
            </w:tcBorders>
            <w:vAlign w:val="top"/>
          </w:tcPr>
          <w:p>
            <w:pPr>
              <w:pStyle w:val="TableText"/>
              <w:spacing w:before="50" w:line="223" w:lineRule="auto"/>
              <w:ind w:left="102" w:right="297"/>
              <w:rPr>
                <w:sz w:val="19"/>
                <w:szCs w:val="19"/>
              </w:rPr>
            </w:pPr>
            <w:r>
              <w:rPr>
                <w:b/>
                <w:bCs/>
                <w:spacing w:val="-3"/>
                <w:sz w:val="19"/>
                <w:szCs w:val="19"/>
              </w:rPr>
              <w:t>江苏走泉大亚林工产业基金</w:t>
            </w:r>
            <w:r>
              <w:rPr>
                <w:spacing w:val="2"/>
                <w:sz w:val="19"/>
                <w:szCs w:val="19"/>
              </w:rPr>
              <w:t xml:space="preserve"> </w:t>
            </w:r>
            <w:r>
              <w:rPr>
                <w:b/>
                <w:bCs/>
                <w:spacing w:val="4"/>
                <w:sz w:val="19"/>
                <w:szCs w:val="19"/>
              </w:rPr>
              <w:t>(有限合伙)</w:t>
            </w:r>
          </w:p>
        </w:tc>
        <w:tc>
          <w:tcPr>
            <w:tcW w:w="1684" w:type="dxa"/>
            <w:tcBorders>
              <w:bottom w:val="single" w:sz="4" w:space="0" w:color="000000"/>
            </w:tcBorders>
            <w:vAlign w:val="top"/>
          </w:tcPr>
          <w:p>
            <w:pPr>
              <w:pStyle w:val="TableText"/>
              <w:spacing w:before="228" w:line="184" w:lineRule="auto"/>
              <w:ind w:left="298"/>
              <w:rPr>
                <w:sz w:val="19"/>
                <w:szCs w:val="19"/>
              </w:rPr>
            </w:pPr>
            <w:r>
              <w:rPr>
                <w:spacing w:val="-2"/>
                <w:sz w:val="19"/>
                <w:szCs w:val="19"/>
              </w:rPr>
              <w:t>11,428,572.00</w:t>
            </w:r>
          </w:p>
        </w:tc>
        <w:tc>
          <w:tcPr>
            <w:tcW w:w="3175" w:type="dxa"/>
            <w:tcBorders>
              <w:bottom w:val="single" w:sz="4" w:space="0" w:color="000000"/>
            </w:tcBorders>
            <w:vAlign w:val="top"/>
          </w:tcPr>
          <w:p>
            <w:pPr>
              <w:pStyle w:val="TableText"/>
              <w:spacing w:before="228" w:line="184" w:lineRule="auto"/>
              <w:ind w:left="274"/>
              <w:rPr>
                <w:sz w:val="19"/>
                <w:szCs w:val="19"/>
              </w:rPr>
            </w:pPr>
            <w:r>
              <w:rPr>
                <w:spacing w:val="-2"/>
                <w:sz w:val="19"/>
                <w:szCs w:val="19"/>
              </w:rPr>
              <w:t>11,428,572.00</w:t>
            </w:r>
            <w:r>
              <w:rPr>
                <w:spacing w:val="16"/>
                <w:sz w:val="19"/>
                <w:szCs w:val="19"/>
              </w:rPr>
              <w:t xml:space="preserve">     </w:t>
            </w:r>
            <w:r>
              <w:rPr>
                <w:spacing w:val="-2"/>
                <w:sz w:val="19"/>
                <w:szCs w:val="19"/>
              </w:rPr>
              <w:t>13.35114</w:t>
            </w:r>
          </w:p>
        </w:tc>
        <w:tc>
          <w:tcPr>
            <w:tcW w:w="1158" w:type="dxa"/>
            <w:tcBorders>
              <w:bottom w:val="single" w:sz="4" w:space="0" w:color="000000"/>
            </w:tcBorders>
            <w:vAlign w:val="top"/>
          </w:tcPr>
          <w:p>
            <w:pPr>
              <w:pStyle w:val="TableText"/>
              <w:spacing w:before="202" w:line="219" w:lineRule="auto"/>
              <w:ind w:left="139"/>
              <w:rPr>
                <w:sz w:val="19"/>
                <w:szCs w:val="19"/>
              </w:rPr>
            </w:pPr>
            <w:r>
              <w:rPr>
                <w:spacing w:val="-2"/>
                <w:sz w:val="19"/>
                <w:szCs w:val="19"/>
              </w:rPr>
              <w:t>净资产折股</w:t>
            </w:r>
          </w:p>
        </w:tc>
      </w:tr>
    </w:tbl>
    <w:p>
      <w:pPr>
        <w:pStyle w:val="BodyText"/>
        <w:spacing w:line="273" w:lineRule="auto"/>
      </w:pPr>
    </w:p>
    <w:p>
      <w:pPr>
        <w:pStyle w:val="BodyText"/>
        <w:spacing w:line="273" w:lineRule="auto"/>
      </w:pPr>
    </w:p>
    <w:p>
      <w:pPr>
        <w:spacing w:before="50" w:line="184" w:lineRule="auto"/>
        <w:ind w:left="4509"/>
        <w:rPr>
          <w:rFonts w:ascii="宋体" w:eastAsia="宋体" w:hAnsi="宋体" w:cs="宋体"/>
          <w:sz w:val="15"/>
          <w:szCs w:val="15"/>
        </w:rPr>
      </w:pPr>
      <w:r>
        <w:rPr>
          <w:rFonts w:ascii="宋体" w:eastAsia="宋体" w:hAnsi="宋体" w:cs="宋体"/>
          <w:spacing w:val="-5"/>
          <w:sz w:val="15"/>
          <w:szCs w:val="15"/>
        </w:rPr>
        <w:t>11</w:t>
      </w:r>
    </w:p>
    <w:p>
      <w:pPr>
        <w:pStyle w:val="BodyText"/>
        <w:spacing w:line="313" w:lineRule="auto"/>
      </w:pPr>
    </w:p>
    <w:p>
      <w:pPr>
        <w:pStyle w:val="BodyText"/>
        <w:spacing w:line="313" w:lineRule="auto"/>
      </w:pPr>
    </w:p>
    <w:p>
      <w:pPr>
        <w:spacing w:before="59" w:line="184" w:lineRule="auto"/>
        <w:ind w:left="4130"/>
        <w:rPr>
          <w:rFonts w:ascii="宋体" w:eastAsia="宋体" w:hAnsi="宋体" w:cs="宋体"/>
          <w:sz w:val="18"/>
          <w:szCs w:val="18"/>
        </w:rPr>
      </w:pPr>
      <w:r>
        <w:rPr>
          <w:rFonts w:ascii="宋体" w:eastAsia="宋体" w:hAnsi="宋体" w:cs="宋体"/>
          <w:spacing w:val="-5"/>
          <w:sz w:val="18"/>
          <w:szCs w:val="18"/>
        </w:rPr>
        <w:t>3-2-3-13</w:t>
      </w:r>
    </w:p>
    <w:p>
      <w:pPr>
        <w:spacing w:line="184" w:lineRule="auto"/>
        <w:rPr>
          <w:rFonts w:ascii="宋体" w:eastAsia="宋体" w:hAnsi="宋体" w:cs="宋体"/>
          <w:sz w:val="18"/>
          <w:szCs w:val="18"/>
        </w:rPr>
        <w:sectPr>
          <w:headerReference w:type="default" r:id="rId14"/>
          <w:pgSz w:w="11900" w:h="16820"/>
          <w:pgMar w:top="400" w:right="419" w:bottom="0" w:left="1519" w:header="0" w:footer="0" w:gutter="0"/>
          <w:pgNumType w:start="15"/>
          <w:cols w:num="1" w:space="720"/>
        </w:sectPr>
      </w:pPr>
    </w:p>
    <w:p>
      <w:pPr>
        <w:pStyle w:val="BodyText"/>
        <w:spacing w:line="286" w:lineRule="auto"/>
      </w:pPr>
      <w:r>
        <w:pict>
          <v:rect id="_x0000_s1038" o:spid="_x0000_s1037" style="width:448pt;height:1.05pt;margin-top:111.95pt;margin-left:75.45pt;mso-height-relative:page;mso-position-horizontal-relative:page;mso-position-vertical-relative:page;mso-width-relative:page;position:absolute;z-index:251670528" coordsize="21600,21600" o:allowincell="f" filled="t" fillcolor="black" stroked="f"/>
        </w:pict>
      </w:r>
    </w:p>
    <w:p>
      <w:pPr>
        <w:pStyle w:val="BodyText"/>
        <w:spacing w:line="287" w:lineRule="auto"/>
      </w:pPr>
    </w:p>
    <w:p>
      <w:pPr>
        <w:pStyle w:val="BodyText"/>
        <w:spacing w:line="287" w:lineRule="auto"/>
      </w:pPr>
    </w:p>
    <w:p>
      <w:pPr>
        <w:spacing w:before="72" w:line="222" w:lineRule="auto"/>
        <w:ind w:left="29"/>
        <w:rPr>
          <w:rFonts w:ascii="仿宋" w:eastAsia="仿宋" w:hAnsi="仿宋" w:cs="仿宋"/>
          <w:sz w:val="22"/>
          <w:szCs w:val="22"/>
        </w:rPr>
      </w:pPr>
      <w:r>
        <w:rPr>
          <w:rFonts w:ascii="仿宋" w:eastAsia="仿宋" w:hAnsi="仿宋" w:cs="仿宋"/>
          <w:spacing w:val="4"/>
          <w:sz w:val="22"/>
          <w:szCs w:val="22"/>
        </w:rPr>
        <w:t>美新科技股份有限公司</w:t>
      </w:r>
    </w:p>
    <w:p>
      <w:pPr>
        <w:spacing w:before="42" w:line="220" w:lineRule="auto"/>
        <w:ind w:left="29"/>
        <w:rPr>
          <w:rFonts w:ascii="仿宋" w:eastAsia="仿宋" w:hAnsi="仿宋" w:cs="仿宋"/>
          <w:sz w:val="22"/>
          <w:szCs w:val="22"/>
        </w:rPr>
      </w:pPr>
      <w:r>
        <w:rPr>
          <w:rFonts w:ascii="仿宋" w:eastAsia="仿宋" w:hAnsi="仿宋" w:cs="仿宋"/>
          <w:spacing w:val="3"/>
          <w:sz w:val="22"/>
          <w:szCs w:val="22"/>
        </w:rPr>
        <w:t>盈利预测的编制基础、假设和编制说明</w:t>
      </w:r>
    </w:p>
    <w:p>
      <w:pPr>
        <w:spacing w:before="28" w:line="221" w:lineRule="auto"/>
        <w:ind w:left="29"/>
        <w:rPr>
          <w:rFonts w:ascii="仿宋" w:eastAsia="仿宋" w:hAnsi="仿宋" w:cs="仿宋"/>
          <w:sz w:val="22"/>
          <w:szCs w:val="22"/>
        </w:rPr>
      </w:pPr>
      <w:r>
        <w:rPr>
          <w:rFonts w:ascii="仿宋" w:eastAsia="仿宋" w:hAnsi="仿宋" w:cs="仿宋"/>
          <w:spacing w:val="11"/>
          <w:sz w:val="22"/>
          <w:szCs w:val="22"/>
        </w:rPr>
        <w:t>2023年度(除特别注明外，金额单位为人民币万元)</w:t>
      </w:r>
    </w:p>
    <w:p>
      <w:pPr>
        <w:spacing w:before="4"/>
      </w:pPr>
    </w:p>
    <w:tbl>
      <w:tblPr>
        <w:tblStyle w:val="TableNormal09"/>
        <w:tblW w:w="8689" w:type="dxa"/>
        <w:tblInd w:w="280" w:type="dxa"/>
        <w:tblBorders>
          <w:top w:val="nil"/>
          <w:left w:val="nil"/>
          <w:bottom w:val="nil"/>
          <w:right w:val="nil"/>
          <w:insideH w:val="nil"/>
          <w:insideV w:val="nil"/>
        </w:tblBorders>
        <w:tblLayout w:type="fixed"/>
        <w:tblCellMar>
          <w:top w:w="0" w:type="dxa"/>
          <w:left w:w="0" w:type="dxa"/>
          <w:bottom w:w="0" w:type="dxa"/>
          <w:right w:w="0" w:type="dxa"/>
        </w:tblCellMar>
      </w:tblPr>
      <w:tblGrid>
        <w:gridCol w:w="2880"/>
        <w:gridCol w:w="1656"/>
        <w:gridCol w:w="2868"/>
        <w:gridCol w:w="1285"/>
      </w:tblGrid>
      <w:tr>
        <w:tblPrEx>
          <w:tblW w:w="8689" w:type="dxa"/>
          <w:tblInd w:w="280" w:type="dxa"/>
          <w:tblBorders>
            <w:top w:val="nil"/>
            <w:left w:val="nil"/>
            <w:bottom w:val="nil"/>
            <w:right w:val="nil"/>
            <w:insideH w:val="nil"/>
            <w:insideV w:val="nil"/>
          </w:tblBorders>
          <w:tblLayout w:type="fixed"/>
          <w:tblCellMar>
            <w:top w:w="0" w:type="dxa"/>
            <w:left w:w="0" w:type="dxa"/>
            <w:bottom w:w="0" w:type="dxa"/>
            <w:right w:w="0" w:type="dxa"/>
          </w:tblCellMar>
        </w:tblPrEx>
        <w:trPr>
          <w:trHeight w:val="365"/>
        </w:trPr>
        <w:tc>
          <w:tcPr>
            <w:tcW w:w="2880" w:type="dxa"/>
            <w:tcBorders>
              <w:top w:val="single" w:sz="4" w:space="0" w:color="000000"/>
              <w:bottom w:val="single" w:sz="4" w:space="0" w:color="000000"/>
            </w:tcBorders>
            <w:vAlign w:val="top"/>
          </w:tcPr>
          <w:p>
            <w:pPr>
              <w:pStyle w:val="TableText"/>
              <w:spacing w:before="129" w:line="219" w:lineRule="auto"/>
              <w:ind w:left="202"/>
              <w:rPr>
                <w:sz w:val="19"/>
                <w:szCs w:val="19"/>
              </w:rPr>
            </w:pPr>
            <w:r>
              <w:rPr>
                <w:b/>
                <w:bCs/>
                <w:spacing w:val="-4"/>
                <w:sz w:val="19"/>
                <w:szCs w:val="19"/>
              </w:rPr>
              <w:t>股东名称</w:t>
            </w:r>
          </w:p>
        </w:tc>
        <w:tc>
          <w:tcPr>
            <w:tcW w:w="1656" w:type="dxa"/>
            <w:tcBorders>
              <w:top w:val="single" w:sz="4" w:space="0" w:color="000000"/>
              <w:bottom w:val="single" w:sz="4" w:space="0" w:color="000000"/>
            </w:tcBorders>
            <w:vAlign w:val="top"/>
          </w:tcPr>
          <w:p>
            <w:pPr>
              <w:pStyle w:val="TableText"/>
              <w:spacing w:before="121" w:line="219" w:lineRule="auto"/>
              <w:ind w:left="590"/>
              <w:rPr>
                <w:sz w:val="19"/>
                <w:szCs w:val="19"/>
              </w:rPr>
            </w:pPr>
            <w:r>
              <w:rPr>
                <w:spacing w:val="-2"/>
                <w:sz w:val="19"/>
                <w:szCs w:val="19"/>
              </w:rPr>
              <w:t>注册资本</w:t>
            </w:r>
          </w:p>
        </w:tc>
        <w:tc>
          <w:tcPr>
            <w:tcW w:w="2868" w:type="dxa"/>
            <w:tcBorders>
              <w:top w:val="single" w:sz="4" w:space="0" w:color="000000"/>
              <w:bottom w:val="single" w:sz="4" w:space="0" w:color="000000"/>
            </w:tcBorders>
            <w:vAlign w:val="top"/>
          </w:tcPr>
          <w:p>
            <w:pPr>
              <w:pStyle w:val="TableText"/>
              <w:spacing w:before="141" w:line="207" w:lineRule="auto"/>
              <w:ind w:left="774"/>
              <w:rPr>
                <w:sz w:val="19"/>
                <w:szCs w:val="19"/>
              </w:rPr>
            </w:pPr>
            <w:r>
              <w:rPr>
                <w:spacing w:val="-12"/>
                <w:sz w:val="19"/>
                <w:szCs w:val="19"/>
              </w:rPr>
              <w:t>股</w:t>
            </w:r>
            <w:r>
              <w:rPr>
                <w:spacing w:val="-38"/>
                <w:sz w:val="19"/>
                <w:szCs w:val="19"/>
              </w:rPr>
              <w:t xml:space="preserve"> </w:t>
            </w:r>
            <w:r>
              <w:rPr>
                <w:spacing w:val="-12"/>
                <w:sz w:val="19"/>
                <w:szCs w:val="19"/>
              </w:rPr>
              <w:t>本</w:t>
            </w:r>
            <w:r>
              <w:rPr>
                <w:spacing w:val="-37"/>
                <w:sz w:val="19"/>
                <w:szCs w:val="19"/>
              </w:rPr>
              <w:t xml:space="preserve"> </w:t>
            </w:r>
            <w:r>
              <w:rPr>
                <w:spacing w:val="-12"/>
                <w:sz w:val="19"/>
                <w:szCs w:val="19"/>
              </w:rPr>
              <w:t>持</w:t>
            </w:r>
            <w:r>
              <w:rPr>
                <w:spacing w:val="-40"/>
                <w:sz w:val="19"/>
                <w:szCs w:val="19"/>
              </w:rPr>
              <w:t xml:space="preserve"> </w:t>
            </w:r>
            <w:r>
              <w:rPr>
                <w:spacing w:val="-12"/>
                <w:sz w:val="19"/>
                <w:szCs w:val="19"/>
              </w:rPr>
              <w:t>股</w:t>
            </w:r>
            <w:r>
              <w:rPr>
                <w:spacing w:val="-19"/>
                <w:sz w:val="19"/>
                <w:szCs w:val="19"/>
              </w:rPr>
              <w:t xml:space="preserve"> </w:t>
            </w:r>
            <w:r>
              <w:rPr>
                <w:spacing w:val="-12"/>
                <w:sz w:val="19"/>
                <w:szCs w:val="19"/>
              </w:rPr>
              <w:t>比</w:t>
            </w:r>
            <w:r>
              <w:rPr>
                <w:spacing w:val="-39"/>
                <w:sz w:val="19"/>
                <w:szCs w:val="19"/>
              </w:rPr>
              <w:t xml:space="preserve"> </w:t>
            </w:r>
            <w:r>
              <w:rPr>
                <w:spacing w:val="-12"/>
                <w:sz w:val="19"/>
                <w:szCs w:val="19"/>
              </w:rPr>
              <w:t>例 (</w:t>
            </w:r>
            <w:r>
              <w:rPr>
                <w:spacing w:val="-45"/>
                <w:sz w:val="19"/>
                <w:szCs w:val="19"/>
              </w:rPr>
              <w:t xml:space="preserve"> </w:t>
            </w:r>
            <w:r>
              <w:rPr>
                <w:spacing w:val="-12"/>
                <w:sz w:val="19"/>
                <w:szCs w:val="19"/>
              </w:rPr>
              <w:t>%</w:t>
            </w:r>
            <w:r>
              <w:rPr>
                <w:spacing w:val="-39"/>
                <w:sz w:val="19"/>
                <w:szCs w:val="19"/>
              </w:rPr>
              <w:t xml:space="preserve"> </w:t>
            </w:r>
            <w:r>
              <w:rPr>
                <w:spacing w:val="-12"/>
                <w:sz w:val="19"/>
                <w:szCs w:val="19"/>
              </w:rPr>
              <w:t>)</w:t>
            </w:r>
          </w:p>
        </w:tc>
        <w:tc>
          <w:tcPr>
            <w:tcW w:w="1285" w:type="dxa"/>
            <w:tcBorders>
              <w:top w:val="single" w:sz="4" w:space="0" w:color="000000"/>
              <w:bottom w:val="single" w:sz="4" w:space="0" w:color="000000"/>
            </w:tcBorders>
            <w:vAlign w:val="top"/>
          </w:tcPr>
          <w:p>
            <w:pPr>
              <w:pStyle w:val="TableText"/>
              <w:spacing w:before="140" w:line="208" w:lineRule="auto"/>
              <w:ind w:left="458"/>
              <w:rPr>
                <w:sz w:val="19"/>
                <w:szCs w:val="19"/>
              </w:rPr>
            </w:pPr>
            <w:r>
              <w:rPr>
                <w:b/>
                <w:bCs/>
                <w:spacing w:val="-2"/>
                <w:sz w:val="19"/>
                <w:szCs w:val="19"/>
              </w:rPr>
              <w:t>出资方式</w:t>
            </w:r>
          </w:p>
        </w:tc>
      </w:tr>
      <w:tr>
        <w:tblPrEx>
          <w:tblW w:w="8689" w:type="dxa"/>
          <w:tblInd w:w="280" w:type="dxa"/>
          <w:tblLayout w:type="fixed"/>
          <w:tblCellMar>
            <w:top w:w="0" w:type="dxa"/>
            <w:left w:w="0" w:type="dxa"/>
            <w:bottom w:w="0" w:type="dxa"/>
            <w:right w:w="0" w:type="dxa"/>
          </w:tblCellMar>
        </w:tblPrEx>
        <w:trPr>
          <w:trHeight w:val="530"/>
        </w:trPr>
        <w:tc>
          <w:tcPr>
            <w:tcW w:w="2880" w:type="dxa"/>
            <w:tcBorders>
              <w:top w:val="single" w:sz="4" w:space="0" w:color="000000"/>
            </w:tcBorders>
            <w:vAlign w:val="top"/>
          </w:tcPr>
          <w:p>
            <w:pPr>
              <w:pStyle w:val="TableText"/>
              <w:spacing w:before="38" w:line="234" w:lineRule="auto"/>
              <w:ind w:left="200" w:right="200"/>
              <w:rPr>
                <w:sz w:val="19"/>
                <w:szCs w:val="19"/>
              </w:rPr>
            </w:pPr>
            <w:r>
              <w:rPr>
                <w:sz w:val="19"/>
                <w:szCs w:val="19"/>
              </w:rPr>
              <w:t>张家港保税区梵创产业发展有</w:t>
            </w:r>
            <w:r>
              <w:rPr>
                <w:spacing w:val="8"/>
                <w:sz w:val="19"/>
                <w:szCs w:val="19"/>
              </w:rPr>
              <w:t xml:space="preserve"> 限公司</w:t>
            </w:r>
          </w:p>
        </w:tc>
        <w:tc>
          <w:tcPr>
            <w:tcW w:w="1656" w:type="dxa"/>
            <w:tcBorders>
              <w:top w:val="single" w:sz="4" w:space="0" w:color="000000"/>
            </w:tcBorders>
            <w:vAlign w:val="top"/>
          </w:tcPr>
          <w:p>
            <w:pPr>
              <w:pStyle w:val="TableText"/>
              <w:spacing w:before="234" w:line="183" w:lineRule="auto"/>
              <w:ind w:left="209"/>
              <w:rPr>
                <w:sz w:val="19"/>
                <w:szCs w:val="19"/>
              </w:rPr>
            </w:pPr>
            <w:r>
              <w:rPr>
                <w:spacing w:val="-1"/>
                <w:sz w:val="19"/>
                <w:szCs w:val="19"/>
              </w:rPr>
              <w:t>6,400,000.00</w:t>
            </w:r>
          </w:p>
        </w:tc>
        <w:tc>
          <w:tcPr>
            <w:tcW w:w="2868" w:type="dxa"/>
            <w:tcBorders>
              <w:top w:val="single" w:sz="4" w:space="0" w:color="000000"/>
            </w:tcBorders>
            <w:vAlign w:val="top"/>
          </w:tcPr>
          <w:p>
            <w:pPr>
              <w:pStyle w:val="TableText"/>
              <w:spacing w:before="214" w:line="185" w:lineRule="auto"/>
              <w:ind w:left="164"/>
              <w:rPr>
                <w:sz w:val="19"/>
                <w:szCs w:val="19"/>
              </w:rPr>
            </w:pPr>
            <w:r>
              <w:rPr>
                <w:spacing w:val="-1"/>
                <w:position w:val="1"/>
                <w:sz w:val="19"/>
                <w:szCs w:val="19"/>
              </w:rPr>
              <w:t xml:space="preserve">6,400,000.00       </w:t>
            </w:r>
            <w:r>
              <w:rPr>
                <w:spacing w:val="-1"/>
                <w:position w:val="-2"/>
                <w:sz w:val="19"/>
                <w:szCs w:val="19"/>
              </w:rPr>
              <w:t>7.47664</w:t>
            </w:r>
          </w:p>
        </w:tc>
        <w:tc>
          <w:tcPr>
            <w:tcW w:w="1285" w:type="dxa"/>
            <w:tcBorders>
              <w:top w:val="single" w:sz="4" w:space="0" w:color="000000"/>
            </w:tcBorders>
            <w:vAlign w:val="top"/>
          </w:tcPr>
          <w:p>
            <w:pPr>
              <w:pStyle w:val="TableText"/>
              <w:spacing w:before="187" w:line="219" w:lineRule="auto"/>
              <w:ind w:left="266"/>
              <w:rPr>
                <w:sz w:val="19"/>
                <w:szCs w:val="19"/>
              </w:rPr>
            </w:pPr>
            <w:r>
              <w:rPr>
                <w:spacing w:val="-2"/>
                <w:sz w:val="19"/>
                <w:szCs w:val="19"/>
              </w:rPr>
              <w:t>净资产折股</w:t>
            </w:r>
          </w:p>
        </w:tc>
      </w:tr>
      <w:tr>
        <w:tblPrEx>
          <w:tblW w:w="8689" w:type="dxa"/>
          <w:tblInd w:w="280" w:type="dxa"/>
          <w:tblLayout w:type="fixed"/>
          <w:tblCellMar>
            <w:top w:w="0" w:type="dxa"/>
            <w:left w:w="0" w:type="dxa"/>
            <w:bottom w:w="0" w:type="dxa"/>
            <w:right w:w="0" w:type="dxa"/>
          </w:tblCellMar>
        </w:tblPrEx>
        <w:trPr>
          <w:trHeight w:val="524"/>
        </w:trPr>
        <w:tc>
          <w:tcPr>
            <w:tcW w:w="2880" w:type="dxa"/>
            <w:vAlign w:val="top"/>
          </w:tcPr>
          <w:p>
            <w:pPr>
              <w:pStyle w:val="TableText"/>
              <w:spacing w:before="27" w:line="231" w:lineRule="auto"/>
              <w:ind w:left="200" w:right="217"/>
              <w:rPr>
                <w:sz w:val="19"/>
                <w:szCs w:val="19"/>
              </w:rPr>
            </w:pPr>
            <w:r>
              <w:rPr>
                <w:spacing w:val="-1"/>
                <w:sz w:val="19"/>
                <w:szCs w:val="19"/>
              </w:rPr>
              <w:t>深圳市西博肆号新技术创业投</w:t>
            </w:r>
            <w:r>
              <w:rPr>
                <w:spacing w:val="4"/>
                <w:sz w:val="19"/>
                <w:szCs w:val="19"/>
              </w:rPr>
              <w:t xml:space="preserve"> </w:t>
            </w:r>
            <w:r>
              <w:rPr>
                <w:spacing w:val="-2"/>
                <w:sz w:val="19"/>
                <w:szCs w:val="19"/>
              </w:rPr>
              <w:t>资合伙企业(有限合伙</w:t>
            </w:r>
          </w:p>
        </w:tc>
        <w:tc>
          <w:tcPr>
            <w:tcW w:w="1656" w:type="dxa"/>
            <w:vAlign w:val="top"/>
          </w:tcPr>
          <w:p>
            <w:pPr>
              <w:pStyle w:val="TableText"/>
              <w:spacing w:before="204" w:line="183" w:lineRule="auto"/>
              <w:ind w:left="209"/>
              <w:rPr>
                <w:sz w:val="19"/>
                <w:szCs w:val="19"/>
              </w:rPr>
            </w:pPr>
            <w:r>
              <w:rPr>
                <w:spacing w:val="-1"/>
                <w:sz w:val="19"/>
                <w:szCs w:val="19"/>
              </w:rPr>
              <w:t>6,400,000.00</w:t>
            </w:r>
          </w:p>
        </w:tc>
        <w:tc>
          <w:tcPr>
            <w:tcW w:w="2868" w:type="dxa"/>
            <w:vAlign w:val="top"/>
          </w:tcPr>
          <w:p>
            <w:pPr>
              <w:pStyle w:val="TableText"/>
              <w:spacing w:before="204" w:line="183" w:lineRule="auto"/>
              <w:ind w:left="164"/>
              <w:rPr>
                <w:sz w:val="19"/>
                <w:szCs w:val="19"/>
              </w:rPr>
            </w:pPr>
            <w:r>
              <w:rPr>
                <w:spacing w:val="-1"/>
                <w:sz w:val="19"/>
                <w:szCs w:val="19"/>
              </w:rPr>
              <w:t>6,400,000.00       7.47664</w:t>
            </w:r>
          </w:p>
        </w:tc>
        <w:tc>
          <w:tcPr>
            <w:tcW w:w="1285" w:type="dxa"/>
            <w:vAlign w:val="top"/>
          </w:tcPr>
          <w:p>
            <w:pPr>
              <w:pStyle w:val="TableText"/>
              <w:spacing w:before="167" w:line="219" w:lineRule="auto"/>
              <w:ind w:left="266"/>
              <w:rPr>
                <w:sz w:val="19"/>
                <w:szCs w:val="19"/>
              </w:rPr>
            </w:pPr>
            <w:r>
              <w:rPr>
                <w:spacing w:val="-2"/>
                <w:sz w:val="19"/>
                <w:szCs w:val="19"/>
              </w:rPr>
              <w:t>净资产折股</w:t>
            </w:r>
          </w:p>
        </w:tc>
      </w:tr>
      <w:tr>
        <w:tblPrEx>
          <w:tblW w:w="8689" w:type="dxa"/>
          <w:tblInd w:w="280" w:type="dxa"/>
          <w:tblLayout w:type="fixed"/>
          <w:tblCellMar>
            <w:top w:w="0" w:type="dxa"/>
            <w:left w:w="0" w:type="dxa"/>
            <w:bottom w:w="0" w:type="dxa"/>
            <w:right w:w="0" w:type="dxa"/>
          </w:tblCellMar>
        </w:tblPrEx>
        <w:trPr>
          <w:trHeight w:val="317"/>
        </w:trPr>
        <w:tc>
          <w:tcPr>
            <w:tcW w:w="2880" w:type="dxa"/>
            <w:vAlign w:val="top"/>
          </w:tcPr>
          <w:p>
            <w:pPr>
              <w:pStyle w:val="TableText"/>
              <w:spacing w:before="60" w:line="226" w:lineRule="auto"/>
              <w:ind w:left="200"/>
              <w:rPr>
                <w:sz w:val="19"/>
                <w:szCs w:val="19"/>
              </w:rPr>
            </w:pPr>
            <w:r>
              <w:rPr>
                <w:spacing w:val="-2"/>
                <w:sz w:val="19"/>
                <w:szCs w:val="19"/>
              </w:rPr>
              <w:t>汪忠远</w:t>
            </w:r>
          </w:p>
        </w:tc>
        <w:tc>
          <w:tcPr>
            <w:tcW w:w="1656" w:type="dxa"/>
            <w:vAlign w:val="top"/>
          </w:tcPr>
          <w:p>
            <w:pPr>
              <w:pStyle w:val="TableText"/>
              <w:spacing w:before="99" w:line="184" w:lineRule="auto"/>
              <w:ind w:left="409"/>
              <w:rPr>
                <w:sz w:val="19"/>
                <w:szCs w:val="19"/>
              </w:rPr>
            </w:pPr>
            <w:r>
              <w:rPr>
                <w:spacing w:val="-1"/>
                <w:sz w:val="19"/>
                <w:szCs w:val="19"/>
              </w:rPr>
              <w:t>3,190,000.00</w:t>
            </w:r>
          </w:p>
        </w:tc>
        <w:tc>
          <w:tcPr>
            <w:tcW w:w="2868" w:type="dxa"/>
            <w:vAlign w:val="top"/>
          </w:tcPr>
          <w:p>
            <w:pPr>
              <w:pStyle w:val="TableText"/>
              <w:spacing w:before="99" w:line="184" w:lineRule="auto"/>
              <w:ind w:left="164"/>
              <w:rPr>
                <w:sz w:val="19"/>
                <w:szCs w:val="19"/>
              </w:rPr>
            </w:pPr>
            <w:r>
              <w:rPr>
                <w:spacing w:val="-1"/>
                <w:sz w:val="19"/>
                <w:szCs w:val="19"/>
              </w:rPr>
              <w:t>3,190,000.00       3.72664</w:t>
            </w:r>
          </w:p>
        </w:tc>
        <w:tc>
          <w:tcPr>
            <w:tcW w:w="1285" w:type="dxa"/>
            <w:vAlign w:val="top"/>
          </w:tcPr>
          <w:p>
            <w:pPr>
              <w:pStyle w:val="TableText"/>
              <w:spacing w:before="74" w:line="219" w:lineRule="auto"/>
              <w:ind w:left="266"/>
              <w:rPr>
                <w:sz w:val="19"/>
                <w:szCs w:val="19"/>
              </w:rPr>
            </w:pPr>
            <w:r>
              <w:rPr>
                <w:spacing w:val="-2"/>
                <w:sz w:val="19"/>
                <w:szCs w:val="19"/>
              </w:rPr>
              <w:t>净资产折股</w:t>
            </w:r>
          </w:p>
        </w:tc>
      </w:tr>
      <w:tr>
        <w:tblPrEx>
          <w:tblW w:w="8689" w:type="dxa"/>
          <w:tblInd w:w="280" w:type="dxa"/>
          <w:tblLayout w:type="fixed"/>
          <w:tblCellMar>
            <w:top w:w="0" w:type="dxa"/>
            <w:left w:w="0" w:type="dxa"/>
            <w:bottom w:w="0" w:type="dxa"/>
            <w:right w:w="0" w:type="dxa"/>
          </w:tblCellMar>
        </w:tblPrEx>
        <w:trPr>
          <w:trHeight w:val="323"/>
        </w:trPr>
        <w:tc>
          <w:tcPr>
            <w:tcW w:w="2880" w:type="dxa"/>
            <w:vAlign w:val="top"/>
          </w:tcPr>
          <w:p>
            <w:pPr>
              <w:pStyle w:val="TableText"/>
              <w:spacing w:before="56" w:line="219" w:lineRule="auto"/>
              <w:ind w:left="200"/>
              <w:rPr>
                <w:sz w:val="19"/>
                <w:szCs w:val="19"/>
              </w:rPr>
            </w:pPr>
            <w:r>
              <w:rPr>
                <w:spacing w:val="6"/>
                <w:sz w:val="19"/>
                <w:szCs w:val="19"/>
              </w:rPr>
              <w:t>郑小明</w:t>
            </w:r>
          </w:p>
        </w:tc>
        <w:tc>
          <w:tcPr>
            <w:tcW w:w="1656" w:type="dxa"/>
            <w:vAlign w:val="top"/>
          </w:tcPr>
          <w:p>
            <w:pPr>
              <w:pStyle w:val="TableText"/>
              <w:spacing w:before="103" w:line="183" w:lineRule="auto"/>
              <w:ind w:left="409"/>
              <w:rPr>
                <w:sz w:val="19"/>
                <w:szCs w:val="19"/>
              </w:rPr>
            </w:pPr>
            <w:r>
              <w:rPr>
                <w:spacing w:val="-1"/>
                <w:sz w:val="19"/>
                <w:szCs w:val="19"/>
              </w:rPr>
              <w:t>2,400,000.00</w:t>
            </w:r>
          </w:p>
        </w:tc>
        <w:tc>
          <w:tcPr>
            <w:tcW w:w="2868" w:type="dxa"/>
            <w:vAlign w:val="top"/>
          </w:tcPr>
          <w:p>
            <w:pPr>
              <w:pStyle w:val="TableText"/>
              <w:spacing w:before="103" w:line="183" w:lineRule="auto"/>
              <w:ind w:left="164"/>
              <w:rPr>
                <w:sz w:val="19"/>
                <w:szCs w:val="19"/>
              </w:rPr>
            </w:pPr>
            <w:r>
              <w:rPr>
                <w:spacing w:val="-1"/>
                <w:sz w:val="19"/>
                <w:szCs w:val="19"/>
              </w:rPr>
              <w:t>2,400,000.00       2.80374</w:t>
            </w:r>
          </w:p>
        </w:tc>
        <w:tc>
          <w:tcPr>
            <w:tcW w:w="1285" w:type="dxa"/>
            <w:vAlign w:val="top"/>
          </w:tcPr>
          <w:p>
            <w:pPr>
              <w:pStyle w:val="TableText"/>
              <w:spacing w:before="67" w:line="219" w:lineRule="auto"/>
              <w:ind w:left="266"/>
              <w:rPr>
                <w:sz w:val="19"/>
                <w:szCs w:val="19"/>
              </w:rPr>
            </w:pPr>
            <w:r>
              <w:rPr>
                <w:spacing w:val="-2"/>
                <w:sz w:val="19"/>
                <w:szCs w:val="19"/>
              </w:rPr>
              <w:t>净资产折股</w:t>
            </w:r>
          </w:p>
        </w:tc>
      </w:tr>
      <w:tr>
        <w:tblPrEx>
          <w:tblW w:w="8689" w:type="dxa"/>
          <w:tblInd w:w="280" w:type="dxa"/>
          <w:tblLayout w:type="fixed"/>
          <w:tblCellMar>
            <w:top w:w="0" w:type="dxa"/>
            <w:left w:w="0" w:type="dxa"/>
            <w:bottom w:w="0" w:type="dxa"/>
            <w:right w:w="0" w:type="dxa"/>
          </w:tblCellMar>
        </w:tblPrEx>
        <w:trPr>
          <w:trHeight w:val="294"/>
        </w:trPr>
        <w:tc>
          <w:tcPr>
            <w:tcW w:w="2880" w:type="dxa"/>
            <w:vAlign w:val="top"/>
          </w:tcPr>
          <w:p>
            <w:pPr>
              <w:pStyle w:val="TableText"/>
              <w:spacing w:before="63" w:line="214" w:lineRule="auto"/>
              <w:ind w:left="200"/>
              <w:rPr>
                <w:sz w:val="19"/>
                <w:szCs w:val="19"/>
              </w:rPr>
            </w:pPr>
            <w:r>
              <w:rPr>
                <w:spacing w:val="3"/>
                <w:sz w:val="19"/>
                <w:szCs w:val="19"/>
              </w:rPr>
              <w:t>隽临环球有限公司</w:t>
            </w:r>
          </w:p>
        </w:tc>
        <w:tc>
          <w:tcPr>
            <w:tcW w:w="1656" w:type="dxa"/>
            <w:vAlign w:val="top"/>
          </w:tcPr>
          <w:p>
            <w:pPr>
              <w:pStyle w:val="TableText"/>
              <w:spacing w:before="90" w:line="183" w:lineRule="auto"/>
              <w:ind w:left="409"/>
              <w:rPr>
                <w:sz w:val="19"/>
                <w:szCs w:val="19"/>
              </w:rPr>
            </w:pPr>
            <w:r>
              <w:rPr>
                <w:spacing w:val="-1"/>
                <w:sz w:val="19"/>
                <w:szCs w:val="19"/>
              </w:rPr>
              <w:t>2,250,000.00</w:t>
            </w:r>
          </w:p>
        </w:tc>
        <w:tc>
          <w:tcPr>
            <w:tcW w:w="2868" w:type="dxa"/>
            <w:vAlign w:val="top"/>
          </w:tcPr>
          <w:p>
            <w:pPr>
              <w:pStyle w:val="TableText"/>
              <w:spacing w:before="100" w:line="178" w:lineRule="auto"/>
              <w:ind w:left="164"/>
              <w:rPr>
                <w:sz w:val="19"/>
                <w:szCs w:val="19"/>
              </w:rPr>
            </w:pPr>
            <w:r>
              <w:rPr>
                <w:spacing w:val="-1"/>
                <w:sz w:val="19"/>
                <w:szCs w:val="19"/>
              </w:rPr>
              <w:t>2,250,000.00       2.62850</w:t>
            </w:r>
          </w:p>
        </w:tc>
        <w:tc>
          <w:tcPr>
            <w:tcW w:w="1285" w:type="dxa"/>
            <w:vAlign w:val="top"/>
          </w:tcPr>
          <w:p>
            <w:pPr>
              <w:pStyle w:val="TableText"/>
              <w:spacing w:before="63" w:line="214" w:lineRule="auto"/>
              <w:ind w:left="266"/>
              <w:rPr>
                <w:sz w:val="19"/>
                <w:szCs w:val="19"/>
              </w:rPr>
            </w:pPr>
            <w:r>
              <w:rPr>
                <w:spacing w:val="-2"/>
                <w:sz w:val="19"/>
                <w:szCs w:val="19"/>
              </w:rPr>
              <w:t>净资产折股</w:t>
            </w:r>
          </w:p>
        </w:tc>
      </w:tr>
      <w:tr>
        <w:tblPrEx>
          <w:tblW w:w="8689" w:type="dxa"/>
          <w:tblInd w:w="280" w:type="dxa"/>
          <w:tblLayout w:type="fixed"/>
          <w:tblCellMar>
            <w:top w:w="0" w:type="dxa"/>
            <w:left w:w="0" w:type="dxa"/>
            <w:bottom w:w="0" w:type="dxa"/>
            <w:right w:w="0" w:type="dxa"/>
          </w:tblCellMar>
        </w:tblPrEx>
        <w:trPr>
          <w:trHeight w:val="524"/>
        </w:trPr>
        <w:tc>
          <w:tcPr>
            <w:tcW w:w="2880" w:type="dxa"/>
            <w:vAlign w:val="top"/>
          </w:tcPr>
          <w:p>
            <w:pPr>
              <w:pStyle w:val="TableText"/>
              <w:spacing w:before="38" w:line="231" w:lineRule="auto"/>
              <w:ind w:left="200" w:right="201"/>
              <w:rPr>
                <w:sz w:val="19"/>
                <w:szCs w:val="19"/>
              </w:rPr>
            </w:pPr>
            <w:r>
              <w:rPr>
                <w:sz w:val="19"/>
                <w:szCs w:val="19"/>
              </w:rPr>
              <w:t>惠州市恒信通投资管理合伙企</w:t>
            </w:r>
            <w:r>
              <w:rPr>
                <w:spacing w:val="7"/>
                <w:sz w:val="19"/>
                <w:szCs w:val="19"/>
              </w:rPr>
              <w:t xml:space="preserve"> </w:t>
            </w:r>
            <w:r>
              <w:rPr>
                <w:spacing w:val="5"/>
                <w:sz w:val="19"/>
                <w:szCs w:val="19"/>
              </w:rPr>
              <w:t>业(有限合伙)</w:t>
            </w:r>
          </w:p>
        </w:tc>
        <w:tc>
          <w:tcPr>
            <w:tcW w:w="1656" w:type="dxa"/>
            <w:vAlign w:val="top"/>
          </w:tcPr>
          <w:p>
            <w:pPr>
              <w:pStyle w:val="TableText"/>
              <w:spacing w:before="215" w:line="184" w:lineRule="auto"/>
              <w:ind w:left="419"/>
              <w:rPr>
                <w:sz w:val="19"/>
                <w:szCs w:val="19"/>
              </w:rPr>
            </w:pPr>
            <w:r>
              <w:rPr>
                <w:spacing w:val="-2"/>
                <w:sz w:val="19"/>
                <w:szCs w:val="19"/>
              </w:rPr>
              <w:t>1,200,000.00</w:t>
            </w:r>
          </w:p>
        </w:tc>
        <w:tc>
          <w:tcPr>
            <w:tcW w:w="2868" w:type="dxa"/>
            <w:vAlign w:val="top"/>
          </w:tcPr>
          <w:p>
            <w:pPr>
              <w:pStyle w:val="TableText"/>
              <w:spacing w:before="215" w:line="184" w:lineRule="auto"/>
              <w:ind w:left="164"/>
              <w:rPr>
                <w:sz w:val="19"/>
                <w:szCs w:val="19"/>
              </w:rPr>
            </w:pPr>
            <w:r>
              <w:rPr>
                <w:spacing w:val="-2"/>
                <w:sz w:val="19"/>
                <w:szCs w:val="19"/>
              </w:rPr>
              <w:t xml:space="preserve">1,200,000.00       </w:t>
            </w:r>
            <w:r>
              <w:rPr>
                <w:spacing w:val="-2"/>
                <w:position w:val="-1"/>
                <w:sz w:val="19"/>
                <w:szCs w:val="19"/>
              </w:rPr>
              <w:t>1.40187</w:t>
            </w:r>
          </w:p>
        </w:tc>
        <w:tc>
          <w:tcPr>
            <w:tcW w:w="1285" w:type="dxa"/>
            <w:vAlign w:val="top"/>
          </w:tcPr>
          <w:p>
            <w:pPr>
              <w:pStyle w:val="TableText"/>
              <w:spacing w:before="179" w:line="219" w:lineRule="auto"/>
              <w:ind w:left="266"/>
              <w:rPr>
                <w:sz w:val="19"/>
                <w:szCs w:val="19"/>
              </w:rPr>
            </w:pPr>
            <w:r>
              <w:rPr>
                <w:spacing w:val="-2"/>
                <w:sz w:val="19"/>
                <w:szCs w:val="19"/>
              </w:rPr>
              <w:t>净资产折股</w:t>
            </w:r>
          </w:p>
        </w:tc>
      </w:tr>
      <w:tr>
        <w:tblPrEx>
          <w:tblW w:w="8689" w:type="dxa"/>
          <w:tblInd w:w="280" w:type="dxa"/>
          <w:tblLayout w:type="fixed"/>
          <w:tblCellMar>
            <w:top w:w="0" w:type="dxa"/>
            <w:left w:w="0" w:type="dxa"/>
            <w:bottom w:w="0" w:type="dxa"/>
            <w:right w:w="0" w:type="dxa"/>
          </w:tblCellMar>
        </w:tblPrEx>
        <w:trPr>
          <w:trHeight w:val="520"/>
        </w:trPr>
        <w:tc>
          <w:tcPr>
            <w:tcW w:w="2880" w:type="dxa"/>
            <w:vAlign w:val="top"/>
          </w:tcPr>
          <w:p>
            <w:pPr>
              <w:pStyle w:val="TableText"/>
              <w:spacing w:before="34" w:line="231" w:lineRule="auto"/>
              <w:ind w:left="199" w:right="253" w:hanging="49"/>
              <w:rPr>
                <w:sz w:val="19"/>
                <w:szCs w:val="19"/>
              </w:rPr>
            </w:pPr>
            <w:r>
              <w:rPr>
                <w:sz w:val="19"/>
                <w:szCs w:val="19"/>
              </w:rPr>
              <w:t>惠州市天达投资管理合伙企业</w:t>
            </w:r>
            <w:r>
              <w:rPr>
                <w:spacing w:val="5"/>
                <w:sz w:val="19"/>
                <w:szCs w:val="19"/>
              </w:rPr>
              <w:t xml:space="preserve"> </w:t>
            </w:r>
            <w:r>
              <w:rPr>
                <w:spacing w:val="6"/>
                <w:sz w:val="19"/>
                <w:szCs w:val="19"/>
              </w:rPr>
              <w:t>(有限合伙)</w:t>
            </w:r>
          </w:p>
        </w:tc>
        <w:tc>
          <w:tcPr>
            <w:tcW w:w="1656" w:type="dxa"/>
            <w:vAlign w:val="top"/>
          </w:tcPr>
          <w:p>
            <w:pPr>
              <w:pStyle w:val="TableText"/>
              <w:spacing w:before="201" w:line="184" w:lineRule="auto"/>
              <w:ind w:left="409"/>
              <w:rPr>
                <w:sz w:val="19"/>
                <w:szCs w:val="19"/>
              </w:rPr>
            </w:pPr>
            <w:r>
              <w:rPr>
                <w:spacing w:val="-2"/>
                <w:sz w:val="19"/>
                <w:szCs w:val="19"/>
              </w:rPr>
              <w:t>1,160,000.00</w:t>
            </w:r>
          </w:p>
        </w:tc>
        <w:tc>
          <w:tcPr>
            <w:tcW w:w="2868" w:type="dxa"/>
            <w:vAlign w:val="top"/>
          </w:tcPr>
          <w:p>
            <w:pPr>
              <w:pStyle w:val="TableText"/>
              <w:spacing w:before="211" w:line="184" w:lineRule="auto"/>
              <w:ind w:left="164"/>
              <w:rPr>
                <w:sz w:val="19"/>
                <w:szCs w:val="19"/>
              </w:rPr>
            </w:pPr>
            <w:r>
              <w:rPr>
                <w:spacing w:val="-2"/>
                <w:sz w:val="19"/>
                <w:szCs w:val="19"/>
              </w:rPr>
              <w:t xml:space="preserve">1,160,000.00       </w:t>
            </w:r>
            <w:r>
              <w:rPr>
                <w:spacing w:val="-2"/>
                <w:position w:val="-1"/>
                <w:sz w:val="19"/>
                <w:szCs w:val="19"/>
              </w:rPr>
              <w:t>1.35514</w:t>
            </w:r>
          </w:p>
        </w:tc>
        <w:tc>
          <w:tcPr>
            <w:tcW w:w="1285" w:type="dxa"/>
            <w:vAlign w:val="top"/>
          </w:tcPr>
          <w:p>
            <w:pPr>
              <w:pStyle w:val="TableText"/>
              <w:spacing w:before="175" w:line="219" w:lineRule="auto"/>
              <w:ind w:left="266"/>
              <w:rPr>
                <w:sz w:val="19"/>
                <w:szCs w:val="19"/>
              </w:rPr>
            </w:pPr>
            <w:r>
              <w:rPr>
                <w:spacing w:val="-2"/>
                <w:sz w:val="19"/>
                <w:szCs w:val="19"/>
              </w:rPr>
              <w:t>净资产折股</w:t>
            </w:r>
          </w:p>
        </w:tc>
      </w:tr>
      <w:tr>
        <w:tblPrEx>
          <w:tblW w:w="8689" w:type="dxa"/>
          <w:tblInd w:w="280" w:type="dxa"/>
          <w:tblLayout w:type="fixed"/>
          <w:tblCellMar>
            <w:top w:w="0" w:type="dxa"/>
            <w:left w:w="0" w:type="dxa"/>
            <w:bottom w:w="0" w:type="dxa"/>
            <w:right w:w="0" w:type="dxa"/>
          </w:tblCellMar>
        </w:tblPrEx>
        <w:trPr>
          <w:trHeight w:val="520"/>
        </w:trPr>
        <w:tc>
          <w:tcPr>
            <w:tcW w:w="2880" w:type="dxa"/>
            <w:vAlign w:val="top"/>
          </w:tcPr>
          <w:p>
            <w:pPr>
              <w:pStyle w:val="TableText"/>
              <w:spacing w:before="34" w:line="231" w:lineRule="auto"/>
              <w:ind w:left="200" w:right="387"/>
              <w:rPr>
                <w:sz w:val="19"/>
                <w:szCs w:val="19"/>
              </w:rPr>
            </w:pPr>
            <w:r>
              <w:rPr>
                <w:spacing w:val="1"/>
                <w:sz w:val="19"/>
                <w:szCs w:val="19"/>
              </w:rPr>
              <w:t>上海素值企业管理咨询中心</w:t>
            </w:r>
            <w:r>
              <w:rPr>
                <w:sz w:val="19"/>
                <w:szCs w:val="19"/>
              </w:rPr>
              <w:t xml:space="preserve"> </w:t>
            </w:r>
            <w:r>
              <w:rPr>
                <w:spacing w:val="6"/>
                <w:sz w:val="19"/>
                <w:szCs w:val="19"/>
              </w:rPr>
              <w:t>(有限合伙)</w:t>
            </w:r>
          </w:p>
        </w:tc>
        <w:tc>
          <w:tcPr>
            <w:tcW w:w="1656" w:type="dxa"/>
            <w:vAlign w:val="top"/>
          </w:tcPr>
          <w:p>
            <w:pPr>
              <w:pStyle w:val="TableText"/>
              <w:spacing w:before="201" w:line="184" w:lineRule="auto"/>
              <w:ind w:left="429"/>
              <w:rPr>
                <w:sz w:val="19"/>
                <w:szCs w:val="19"/>
              </w:rPr>
            </w:pPr>
            <w:r>
              <w:rPr>
                <w:spacing w:val="-2"/>
                <w:sz w:val="19"/>
                <w:szCs w:val="19"/>
              </w:rPr>
              <w:t>1,142,857.00</w:t>
            </w:r>
          </w:p>
        </w:tc>
        <w:tc>
          <w:tcPr>
            <w:tcW w:w="2868" w:type="dxa"/>
            <w:vAlign w:val="top"/>
          </w:tcPr>
          <w:p>
            <w:pPr>
              <w:pStyle w:val="TableText"/>
              <w:spacing w:before="201" w:line="184" w:lineRule="auto"/>
              <w:ind w:left="164"/>
              <w:rPr>
                <w:sz w:val="19"/>
                <w:szCs w:val="19"/>
              </w:rPr>
            </w:pPr>
            <w:r>
              <w:rPr>
                <w:spacing w:val="-2"/>
                <w:sz w:val="19"/>
                <w:szCs w:val="19"/>
              </w:rPr>
              <w:t xml:space="preserve">1,142,857.00       </w:t>
            </w:r>
            <w:r>
              <w:rPr>
                <w:spacing w:val="-2"/>
                <w:position w:val="-1"/>
                <w:sz w:val="19"/>
                <w:szCs w:val="19"/>
              </w:rPr>
              <w:t>1.33511</w:t>
            </w:r>
          </w:p>
        </w:tc>
        <w:tc>
          <w:tcPr>
            <w:tcW w:w="1285" w:type="dxa"/>
            <w:vAlign w:val="top"/>
          </w:tcPr>
          <w:p>
            <w:pPr>
              <w:pStyle w:val="TableText"/>
              <w:spacing w:before="175" w:line="219" w:lineRule="auto"/>
              <w:ind w:left="266"/>
              <w:rPr>
                <w:sz w:val="19"/>
                <w:szCs w:val="19"/>
              </w:rPr>
            </w:pPr>
            <w:r>
              <w:rPr>
                <w:spacing w:val="-2"/>
                <w:sz w:val="19"/>
                <w:szCs w:val="19"/>
              </w:rPr>
              <w:t>净资产折股</w:t>
            </w:r>
          </w:p>
        </w:tc>
      </w:tr>
      <w:tr>
        <w:tblPrEx>
          <w:tblW w:w="8689" w:type="dxa"/>
          <w:tblInd w:w="280" w:type="dxa"/>
          <w:tblLayout w:type="fixed"/>
          <w:tblCellMar>
            <w:top w:w="0" w:type="dxa"/>
            <w:left w:w="0" w:type="dxa"/>
            <w:bottom w:w="0" w:type="dxa"/>
            <w:right w:w="0" w:type="dxa"/>
          </w:tblCellMar>
        </w:tblPrEx>
        <w:trPr>
          <w:trHeight w:val="305"/>
        </w:trPr>
        <w:tc>
          <w:tcPr>
            <w:tcW w:w="2880" w:type="dxa"/>
            <w:vAlign w:val="top"/>
          </w:tcPr>
          <w:p>
            <w:pPr>
              <w:pStyle w:val="TableText"/>
              <w:spacing w:before="45" w:line="219" w:lineRule="auto"/>
              <w:ind w:left="200"/>
              <w:rPr>
                <w:sz w:val="19"/>
                <w:szCs w:val="19"/>
              </w:rPr>
            </w:pPr>
            <w:r>
              <w:rPr>
                <w:spacing w:val="6"/>
                <w:sz w:val="19"/>
                <w:szCs w:val="19"/>
              </w:rPr>
              <w:t>史伟</w:t>
            </w:r>
          </w:p>
        </w:tc>
        <w:tc>
          <w:tcPr>
            <w:tcW w:w="1656" w:type="dxa"/>
            <w:vAlign w:val="top"/>
          </w:tcPr>
          <w:p>
            <w:pPr>
              <w:pStyle w:val="TableText"/>
              <w:spacing w:before="101" w:line="184" w:lineRule="auto"/>
              <w:ind w:left="409"/>
              <w:rPr>
                <w:sz w:val="19"/>
                <w:szCs w:val="19"/>
              </w:rPr>
            </w:pPr>
            <w:r>
              <w:rPr>
                <w:spacing w:val="-2"/>
                <w:sz w:val="19"/>
                <w:szCs w:val="19"/>
              </w:rPr>
              <w:t>1,120,000.00</w:t>
            </w:r>
          </w:p>
        </w:tc>
        <w:tc>
          <w:tcPr>
            <w:tcW w:w="2868" w:type="dxa"/>
            <w:vAlign w:val="top"/>
          </w:tcPr>
          <w:p>
            <w:pPr>
              <w:pStyle w:val="TableText"/>
              <w:spacing w:before="92" w:line="168" w:lineRule="auto"/>
              <w:ind w:left="164"/>
              <w:rPr>
                <w:sz w:val="19"/>
                <w:szCs w:val="19"/>
              </w:rPr>
            </w:pPr>
            <w:r>
              <w:rPr>
                <w:spacing w:val="-2"/>
                <w:position w:val="1"/>
                <w:sz w:val="19"/>
                <w:szCs w:val="19"/>
              </w:rPr>
              <w:t xml:space="preserve">1,120,000.00       </w:t>
            </w:r>
            <w:r>
              <w:rPr>
                <w:spacing w:val="-2"/>
                <w:position w:val="-2"/>
                <w:sz w:val="19"/>
                <w:szCs w:val="19"/>
              </w:rPr>
              <w:t>1.30841</w:t>
            </w:r>
          </w:p>
        </w:tc>
        <w:tc>
          <w:tcPr>
            <w:tcW w:w="1285" w:type="dxa"/>
            <w:vAlign w:val="top"/>
          </w:tcPr>
          <w:p>
            <w:pPr>
              <w:pStyle w:val="TableText"/>
              <w:spacing w:before="65" w:line="219" w:lineRule="auto"/>
              <w:ind w:left="266"/>
              <w:rPr>
                <w:sz w:val="19"/>
                <w:szCs w:val="19"/>
              </w:rPr>
            </w:pPr>
            <w:r>
              <w:rPr>
                <w:spacing w:val="-2"/>
                <w:sz w:val="19"/>
                <w:szCs w:val="19"/>
              </w:rPr>
              <w:t>净资产折股</w:t>
            </w:r>
          </w:p>
        </w:tc>
      </w:tr>
      <w:tr>
        <w:tblPrEx>
          <w:tblW w:w="8689" w:type="dxa"/>
          <w:tblInd w:w="280" w:type="dxa"/>
          <w:tblLayout w:type="fixed"/>
          <w:tblCellMar>
            <w:top w:w="0" w:type="dxa"/>
            <w:left w:w="0" w:type="dxa"/>
            <w:bottom w:w="0" w:type="dxa"/>
            <w:right w:w="0" w:type="dxa"/>
          </w:tblCellMar>
        </w:tblPrEx>
        <w:trPr>
          <w:trHeight w:val="320"/>
        </w:trPr>
        <w:tc>
          <w:tcPr>
            <w:tcW w:w="2880" w:type="dxa"/>
            <w:vAlign w:val="top"/>
          </w:tcPr>
          <w:p>
            <w:pPr>
              <w:pStyle w:val="TableText"/>
              <w:spacing w:before="70" w:line="219" w:lineRule="auto"/>
              <w:ind w:left="200"/>
              <w:rPr>
                <w:sz w:val="19"/>
                <w:szCs w:val="19"/>
              </w:rPr>
            </w:pPr>
            <w:r>
              <w:rPr>
                <w:spacing w:val="6"/>
                <w:sz w:val="19"/>
                <w:szCs w:val="19"/>
              </w:rPr>
              <w:t>吴启明</w:t>
            </w:r>
          </w:p>
        </w:tc>
        <w:tc>
          <w:tcPr>
            <w:tcW w:w="1656" w:type="dxa"/>
            <w:vAlign w:val="top"/>
          </w:tcPr>
          <w:p>
            <w:pPr>
              <w:pStyle w:val="TableText"/>
              <w:spacing w:before="107" w:line="183" w:lineRule="auto"/>
              <w:ind w:left="529"/>
              <w:rPr>
                <w:sz w:val="19"/>
                <w:szCs w:val="19"/>
              </w:rPr>
            </w:pPr>
            <w:r>
              <w:rPr>
                <w:spacing w:val="-1"/>
                <w:sz w:val="19"/>
                <w:szCs w:val="19"/>
              </w:rPr>
              <w:t>880,000.00</w:t>
            </w:r>
          </w:p>
        </w:tc>
        <w:tc>
          <w:tcPr>
            <w:tcW w:w="2868" w:type="dxa"/>
            <w:vAlign w:val="top"/>
          </w:tcPr>
          <w:p>
            <w:pPr>
              <w:pStyle w:val="TableText"/>
              <w:spacing w:before="107" w:line="183" w:lineRule="auto"/>
              <w:ind w:left="263"/>
              <w:rPr>
                <w:sz w:val="19"/>
                <w:szCs w:val="19"/>
              </w:rPr>
            </w:pPr>
            <w:r>
              <w:rPr>
                <w:spacing w:val="-2"/>
                <w:sz w:val="19"/>
                <w:szCs w:val="19"/>
              </w:rPr>
              <w:t xml:space="preserve">880,000.00        </w:t>
            </w:r>
            <w:r>
              <w:rPr>
                <w:spacing w:val="-2"/>
                <w:position w:val="-1"/>
                <w:sz w:val="19"/>
                <w:szCs w:val="19"/>
              </w:rPr>
              <w:t>1.02804</w:t>
            </w:r>
          </w:p>
        </w:tc>
        <w:tc>
          <w:tcPr>
            <w:tcW w:w="1285" w:type="dxa"/>
            <w:vAlign w:val="top"/>
          </w:tcPr>
          <w:p>
            <w:pPr>
              <w:pStyle w:val="TableText"/>
              <w:spacing w:before="50" w:line="219" w:lineRule="auto"/>
              <w:ind w:left="266"/>
              <w:rPr>
                <w:sz w:val="19"/>
                <w:szCs w:val="19"/>
              </w:rPr>
            </w:pPr>
            <w:r>
              <w:rPr>
                <w:spacing w:val="-2"/>
                <w:sz w:val="19"/>
                <w:szCs w:val="19"/>
              </w:rPr>
              <w:t>净资产折股</w:t>
            </w:r>
          </w:p>
        </w:tc>
      </w:tr>
      <w:tr>
        <w:tblPrEx>
          <w:tblW w:w="8689" w:type="dxa"/>
          <w:tblInd w:w="280" w:type="dxa"/>
          <w:tblLayout w:type="fixed"/>
          <w:tblCellMar>
            <w:top w:w="0" w:type="dxa"/>
            <w:left w:w="0" w:type="dxa"/>
            <w:bottom w:w="0" w:type="dxa"/>
            <w:right w:w="0" w:type="dxa"/>
          </w:tblCellMar>
        </w:tblPrEx>
        <w:trPr>
          <w:trHeight w:val="319"/>
        </w:trPr>
        <w:tc>
          <w:tcPr>
            <w:tcW w:w="2880" w:type="dxa"/>
            <w:vAlign w:val="top"/>
          </w:tcPr>
          <w:p>
            <w:pPr>
              <w:pStyle w:val="TableText"/>
              <w:spacing w:before="79" w:line="219" w:lineRule="auto"/>
              <w:ind w:left="200"/>
              <w:rPr>
                <w:sz w:val="19"/>
                <w:szCs w:val="19"/>
              </w:rPr>
            </w:pPr>
            <w:r>
              <w:rPr>
                <w:spacing w:val="1"/>
                <w:sz w:val="19"/>
                <w:szCs w:val="19"/>
              </w:rPr>
              <w:t>惠州市亨信生物科技有限公司</w:t>
            </w:r>
          </w:p>
        </w:tc>
        <w:tc>
          <w:tcPr>
            <w:tcW w:w="1656" w:type="dxa"/>
            <w:vAlign w:val="top"/>
          </w:tcPr>
          <w:p>
            <w:pPr>
              <w:pStyle w:val="TableText"/>
              <w:spacing w:before="117" w:line="183" w:lineRule="auto"/>
              <w:ind w:left="399"/>
              <w:rPr>
                <w:sz w:val="19"/>
                <w:szCs w:val="19"/>
              </w:rPr>
            </w:pPr>
            <w:r>
              <w:rPr>
                <w:spacing w:val="-1"/>
                <w:sz w:val="19"/>
                <w:szCs w:val="19"/>
              </w:rPr>
              <w:t>800,000.00</w:t>
            </w:r>
          </w:p>
        </w:tc>
        <w:tc>
          <w:tcPr>
            <w:tcW w:w="2868" w:type="dxa"/>
            <w:vAlign w:val="top"/>
          </w:tcPr>
          <w:p>
            <w:pPr>
              <w:pStyle w:val="TableText"/>
              <w:spacing w:before="108" w:line="166" w:lineRule="auto"/>
              <w:ind w:left="263"/>
              <w:rPr>
                <w:sz w:val="19"/>
                <w:szCs w:val="19"/>
              </w:rPr>
            </w:pPr>
            <w:r>
              <w:rPr>
                <w:spacing w:val="-1"/>
                <w:position w:val="1"/>
                <w:sz w:val="19"/>
                <w:szCs w:val="19"/>
              </w:rPr>
              <w:t>800,000.00</w:t>
            </w:r>
            <w:r>
              <w:rPr>
                <w:spacing w:val="11"/>
                <w:position w:val="1"/>
                <w:sz w:val="19"/>
                <w:szCs w:val="19"/>
              </w:rPr>
              <w:t xml:space="preserve">       </w:t>
            </w:r>
            <w:r>
              <w:rPr>
                <w:spacing w:val="-1"/>
                <w:position w:val="-2"/>
                <w:sz w:val="19"/>
                <w:szCs w:val="19"/>
              </w:rPr>
              <w:t>0.93458</w:t>
            </w:r>
          </w:p>
        </w:tc>
        <w:tc>
          <w:tcPr>
            <w:tcW w:w="1285" w:type="dxa"/>
            <w:vAlign w:val="top"/>
          </w:tcPr>
          <w:p>
            <w:pPr>
              <w:pStyle w:val="TableText"/>
              <w:spacing w:before="60" w:line="219" w:lineRule="auto"/>
              <w:ind w:left="266"/>
              <w:rPr>
                <w:sz w:val="19"/>
                <w:szCs w:val="19"/>
              </w:rPr>
            </w:pPr>
            <w:r>
              <w:rPr>
                <w:spacing w:val="-2"/>
                <w:sz w:val="19"/>
                <w:szCs w:val="19"/>
              </w:rPr>
              <w:t>净资产折股</w:t>
            </w:r>
          </w:p>
        </w:tc>
      </w:tr>
      <w:tr>
        <w:tblPrEx>
          <w:tblW w:w="8689" w:type="dxa"/>
          <w:tblInd w:w="280" w:type="dxa"/>
          <w:tblLayout w:type="fixed"/>
          <w:tblCellMar>
            <w:top w:w="0" w:type="dxa"/>
            <w:left w:w="0" w:type="dxa"/>
            <w:bottom w:w="0" w:type="dxa"/>
            <w:right w:w="0" w:type="dxa"/>
          </w:tblCellMar>
        </w:tblPrEx>
        <w:trPr>
          <w:trHeight w:val="530"/>
        </w:trPr>
        <w:tc>
          <w:tcPr>
            <w:tcW w:w="2880" w:type="dxa"/>
            <w:vAlign w:val="top"/>
          </w:tcPr>
          <w:p>
            <w:pPr>
              <w:pStyle w:val="TableText"/>
              <w:spacing w:before="50" w:line="228" w:lineRule="auto"/>
              <w:ind w:left="200" w:right="203"/>
              <w:rPr>
                <w:sz w:val="19"/>
                <w:szCs w:val="19"/>
              </w:rPr>
            </w:pPr>
            <w:r>
              <w:rPr>
                <w:sz w:val="19"/>
                <w:szCs w:val="19"/>
              </w:rPr>
              <w:t>惠州市天演投资管理合伙企业</w:t>
            </w:r>
            <w:r>
              <w:rPr>
                <w:spacing w:val="5"/>
                <w:sz w:val="19"/>
                <w:szCs w:val="19"/>
              </w:rPr>
              <w:t xml:space="preserve"> </w:t>
            </w:r>
            <w:r>
              <w:rPr>
                <w:spacing w:val="6"/>
                <w:sz w:val="19"/>
                <w:szCs w:val="19"/>
              </w:rPr>
              <w:t>(有限合伙)</w:t>
            </w:r>
          </w:p>
        </w:tc>
        <w:tc>
          <w:tcPr>
            <w:tcW w:w="1656" w:type="dxa"/>
            <w:vAlign w:val="top"/>
          </w:tcPr>
          <w:p>
            <w:pPr>
              <w:pStyle w:val="TableText"/>
              <w:spacing w:before="188" w:line="183" w:lineRule="auto"/>
              <w:ind w:left="399"/>
              <w:rPr>
                <w:sz w:val="19"/>
                <w:szCs w:val="19"/>
              </w:rPr>
            </w:pPr>
            <w:r>
              <w:rPr>
                <w:spacing w:val="-1"/>
                <w:sz w:val="19"/>
                <w:szCs w:val="19"/>
              </w:rPr>
              <w:t>800,000.00</w:t>
            </w:r>
          </w:p>
        </w:tc>
        <w:tc>
          <w:tcPr>
            <w:tcW w:w="2868" w:type="dxa"/>
            <w:vAlign w:val="top"/>
          </w:tcPr>
          <w:p>
            <w:pPr>
              <w:pStyle w:val="TableText"/>
              <w:spacing w:before="208" w:line="183" w:lineRule="auto"/>
              <w:ind w:left="263"/>
              <w:rPr>
                <w:sz w:val="19"/>
                <w:szCs w:val="19"/>
              </w:rPr>
            </w:pPr>
            <w:r>
              <w:rPr>
                <w:spacing w:val="-1"/>
                <w:sz w:val="19"/>
                <w:szCs w:val="19"/>
              </w:rPr>
              <w:t>800,000.00</w:t>
            </w:r>
            <w:r>
              <w:rPr>
                <w:spacing w:val="11"/>
                <w:sz w:val="19"/>
                <w:szCs w:val="19"/>
              </w:rPr>
              <w:t xml:space="preserve">       </w:t>
            </w:r>
            <w:r>
              <w:rPr>
                <w:spacing w:val="-1"/>
                <w:position w:val="-1"/>
                <w:sz w:val="19"/>
                <w:szCs w:val="19"/>
              </w:rPr>
              <w:t>0.93458</w:t>
            </w:r>
          </w:p>
        </w:tc>
        <w:tc>
          <w:tcPr>
            <w:tcW w:w="1285" w:type="dxa"/>
            <w:vAlign w:val="top"/>
          </w:tcPr>
          <w:p>
            <w:pPr>
              <w:pStyle w:val="TableText"/>
              <w:spacing w:before="161" w:line="219" w:lineRule="auto"/>
              <w:ind w:left="266"/>
              <w:rPr>
                <w:sz w:val="19"/>
                <w:szCs w:val="19"/>
              </w:rPr>
            </w:pPr>
            <w:r>
              <w:rPr>
                <w:spacing w:val="-2"/>
                <w:sz w:val="19"/>
                <w:szCs w:val="19"/>
              </w:rPr>
              <w:t>净资产折股</w:t>
            </w:r>
          </w:p>
        </w:tc>
      </w:tr>
      <w:tr>
        <w:tblPrEx>
          <w:tblW w:w="8689" w:type="dxa"/>
          <w:tblInd w:w="280" w:type="dxa"/>
          <w:tblLayout w:type="fixed"/>
          <w:tblCellMar>
            <w:top w:w="0" w:type="dxa"/>
            <w:left w:w="0" w:type="dxa"/>
            <w:bottom w:w="0" w:type="dxa"/>
            <w:right w:w="0" w:type="dxa"/>
          </w:tblCellMar>
        </w:tblPrEx>
        <w:trPr>
          <w:trHeight w:val="315"/>
        </w:trPr>
        <w:tc>
          <w:tcPr>
            <w:tcW w:w="2880" w:type="dxa"/>
            <w:vAlign w:val="top"/>
          </w:tcPr>
          <w:p>
            <w:pPr>
              <w:pStyle w:val="TableText"/>
              <w:spacing w:before="52" w:line="219" w:lineRule="auto"/>
              <w:ind w:left="200"/>
              <w:rPr>
                <w:sz w:val="19"/>
                <w:szCs w:val="19"/>
              </w:rPr>
            </w:pPr>
            <w:r>
              <w:rPr>
                <w:spacing w:val="2"/>
                <w:sz w:val="19"/>
                <w:szCs w:val="19"/>
              </w:rPr>
              <w:t>东莞市浩烨贸易有限公司</w:t>
            </w:r>
          </w:p>
        </w:tc>
        <w:tc>
          <w:tcPr>
            <w:tcW w:w="1656" w:type="dxa"/>
            <w:vAlign w:val="top"/>
          </w:tcPr>
          <w:p>
            <w:pPr>
              <w:pStyle w:val="TableText"/>
              <w:spacing w:before="88" w:line="183" w:lineRule="auto"/>
              <w:ind w:left="399"/>
              <w:rPr>
                <w:sz w:val="19"/>
                <w:szCs w:val="19"/>
              </w:rPr>
            </w:pPr>
            <w:r>
              <w:rPr>
                <w:spacing w:val="-2"/>
                <w:sz w:val="19"/>
                <w:szCs w:val="19"/>
              </w:rPr>
              <w:t>740,000.00</w:t>
            </w:r>
          </w:p>
        </w:tc>
        <w:tc>
          <w:tcPr>
            <w:tcW w:w="2868" w:type="dxa"/>
            <w:vAlign w:val="top"/>
          </w:tcPr>
          <w:p>
            <w:pPr>
              <w:pStyle w:val="TableText"/>
              <w:spacing w:before="108" w:line="183" w:lineRule="auto"/>
              <w:ind w:left="263"/>
              <w:rPr>
                <w:sz w:val="19"/>
                <w:szCs w:val="19"/>
              </w:rPr>
            </w:pPr>
            <w:r>
              <w:rPr>
                <w:spacing w:val="-1"/>
                <w:sz w:val="19"/>
                <w:szCs w:val="19"/>
              </w:rPr>
              <w:t>740,000.00        0.8</w:t>
            </w:r>
            <w:r>
              <w:rPr>
                <w:spacing w:val="-2"/>
                <w:sz w:val="19"/>
                <w:szCs w:val="19"/>
              </w:rPr>
              <w:t>6449</w:t>
            </w:r>
          </w:p>
        </w:tc>
        <w:tc>
          <w:tcPr>
            <w:tcW w:w="1285" w:type="dxa"/>
            <w:vAlign w:val="top"/>
          </w:tcPr>
          <w:p>
            <w:pPr>
              <w:pStyle w:val="TableText"/>
              <w:spacing w:before="71" w:line="219" w:lineRule="auto"/>
              <w:ind w:left="266"/>
              <w:rPr>
                <w:sz w:val="19"/>
                <w:szCs w:val="19"/>
              </w:rPr>
            </w:pPr>
            <w:r>
              <w:rPr>
                <w:spacing w:val="-2"/>
                <w:sz w:val="19"/>
                <w:szCs w:val="19"/>
              </w:rPr>
              <w:t>净资产折股</w:t>
            </w:r>
          </w:p>
        </w:tc>
      </w:tr>
      <w:tr>
        <w:tblPrEx>
          <w:tblW w:w="8689" w:type="dxa"/>
          <w:tblInd w:w="280" w:type="dxa"/>
          <w:tblLayout w:type="fixed"/>
          <w:tblCellMar>
            <w:top w:w="0" w:type="dxa"/>
            <w:left w:w="0" w:type="dxa"/>
            <w:bottom w:w="0" w:type="dxa"/>
            <w:right w:w="0" w:type="dxa"/>
          </w:tblCellMar>
        </w:tblPrEx>
        <w:trPr>
          <w:trHeight w:val="309"/>
        </w:trPr>
        <w:tc>
          <w:tcPr>
            <w:tcW w:w="2880" w:type="dxa"/>
            <w:vAlign w:val="top"/>
          </w:tcPr>
          <w:p>
            <w:pPr>
              <w:pStyle w:val="TableText"/>
              <w:spacing w:before="56" w:line="219" w:lineRule="auto"/>
              <w:ind w:left="200"/>
              <w:rPr>
                <w:sz w:val="19"/>
                <w:szCs w:val="19"/>
              </w:rPr>
            </w:pPr>
            <w:r>
              <w:rPr>
                <w:spacing w:val="8"/>
                <w:sz w:val="19"/>
                <w:szCs w:val="19"/>
              </w:rPr>
              <w:t>梁卫山</w:t>
            </w:r>
          </w:p>
        </w:tc>
        <w:tc>
          <w:tcPr>
            <w:tcW w:w="1656" w:type="dxa"/>
            <w:vAlign w:val="top"/>
          </w:tcPr>
          <w:p>
            <w:pPr>
              <w:pStyle w:val="TableText"/>
              <w:spacing w:before="83" w:line="183" w:lineRule="auto"/>
              <w:ind w:left="399"/>
              <w:rPr>
                <w:sz w:val="19"/>
                <w:szCs w:val="19"/>
              </w:rPr>
            </w:pPr>
            <w:r>
              <w:rPr>
                <w:spacing w:val="-1"/>
                <w:sz w:val="19"/>
                <w:szCs w:val="19"/>
              </w:rPr>
              <w:t>600,000.00</w:t>
            </w:r>
          </w:p>
        </w:tc>
        <w:tc>
          <w:tcPr>
            <w:tcW w:w="2868" w:type="dxa"/>
            <w:vAlign w:val="top"/>
          </w:tcPr>
          <w:p>
            <w:pPr>
              <w:pStyle w:val="TableText"/>
              <w:spacing w:before="83" w:line="183" w:lineRule="auto"/>
              <w:ind w:left="263"/>
              <w:rPr>
                <w:sz w:val="19"/>
                <w:szCs w:val="19"/>
              </w:rPr>
            </w:pPr>
            <w:r>
              <w:rPr>
                <w:spacing w:val="-1"/>
                <w:sz w:val="19"/>
                <w:szCs w:val="19"/>
              </w:rPr>
              <w:t>600,000.00</w:t>
            </w:r>
            <w:r>
              <w:rPr>
                <w:spacing w:val="11"/>
                <w:sz w:val="19"/>
                <w:szCs w:val="19"/>
              </w:rPr>
              <w:t xml:space="preserve">       </w:t>
            </w:r>
            <w:r>
              <w:rPr>
                <w:spacing w:val="-1"/>
                <w:position w:val="-1"/>
                <w:sz w:val="19"/>
                <w:szCs w:val="19"/>
              </w:rPr>
              <w:t>0.70093</w:t>
            </w:r>
          </w:p>
        </w:tc>
        <w:tc>
          <w:tcPr>
            <w:tcW w:w="1285" w:type="dxa"/>
            <w:vAlign w:val="top"/>
          </w:tcPr>
          <w:p>
            <w:pPr>
              <w:pStyle w:val="TableText"/>
              <w:spacing w:before="56" w:line="219" w:lineRule="auto"/>
              <w:ind w:left="266"/>
              <w:rPr>
                <w:sz w:val="19"/>
                <w:szCs w:val="19"/>
              </w:rPr>
            </w:pPr>
            <w:r>
              <w:rPr>
                <w:spacing w:val="-2"/>
                <w:sz w:val="19"/>
                <w:szCs w:val="19"/>
              </w:rPr>
              <w:t>净资产折股</w:t>
            </w:r>
          </w:p>
        </w:tc>
      </w:tr>
      <w:tr>
        <w:tblPrEx>
          <w:tblW w:w="8689" w:type="dxa"/>
          <w:tblInd w:w="280" w:type="dxa"/>
          <w:tblLayout w:type="fixed"/>
          <w:tblCellMar>
            <w:top w:w="0" w:type="dxa"/>
            <w:left w:w="0" w:type="dxa"/>
            <w:bottom w:w="0" w:type="dxa"/>
            <w:right w:w="0" w:type="dxa"/>
          </w:tblCellMar>
        </w:tblPrEx>
        <w:trPr>
          <w:trHeight w:val="304"/>
        </w:trPr>
        <w:tc>
          <w:tcPr>
            <w:tcW w:w="2880" w:type="dxa"/>
            <w:vAlign w:val="top"/>
          </w:tcPr>
          <w:p>
            <w:pPr>
              <w:pStyle w:val="TableText"/>
              <w:spacing w:before="77" w:line="210" w:lineRule="auto"/>
              <w:ind w:left="200"/>
              <w:rPr>
                <w:sz w:val="19"/>
                <w:szCs w:val="19"/>
              </w:rPr>
            </w:pPr>
            <w:r>
              <w:rPr>
                <w:spacing w:val="-2"/>
                <w:sz w:val="19"/>
                <w:szCs w:val="19"/>
              </w:rPr>
              <w:t>黄俊鸿</w:t>
            </w:r>
          </w:p>
        </w:tc>
        <w:tc>
          <w:tcPr>
            <w:tcW w:w="1656" w:type="dxa"/>
            <w:vAlign w:val="top"/>
          </w:tcPr>
          <w:p>
            <w:pPr>
              <w:pStyle w:val="TableText"/>
              <w:spacing w:before="114" w:line="174" w:lineRule="auto"/>
              <w:ind w:left="399"/>
              <w:rPr>
                <w:sz w:val="19"/>
                <w:szCs w:val="19"/>
              </w:rPr>
            </w:pPr>
            <w:r>
              <w:rPr>
                <w:spacing w:val="-2"/>
                <w:sz w:val="19"/>
                <w:szCs w:val="19"/>
              </w:rPr>
              <w:t>500,000.00</w:t>
            </w:r>
          </w:p>
        </w:tc>
        <w:tc>
          <w:tcPr>
            <w:tcW w:w="2868" w:type="dxa"/>
            <w:vAlign w:val="top"/>
          </w:tcPr>
          <w:p>
            <w:pPr>
              <w:pStyle w:val="TableText"/>
              <w:spacing w:before="114" w:line="165" w:lineRule="auto"/>
              <w:ind w:left="263"/>
              <w:rPr>
                <w:sz w:val="19"/>
                <w:szCs w:val="19"/>
              </w:rPr>
            </w:pPr>
            <w:r>
              <w:rPr>
                <w:spacing w:val="-1"/>
                <w:sz w:val="19"/>
                <w:szCs w:val="19"/>
              </w:rPr>
              <w:t xml:space="preserve">500,000.00        </w:t>
            </w:r>
            <w:r>
              <w:rPr>
                <w:spacing w:val="-1"/>
                <w:position w:val="-1"/>
                <w:sz w:val="19"/>
                <w:szCs w:val="19"/>
              </w:rPr>
              <w:t>0.5</w:t>
            </w:r>
            <w:r>
              <w:rPr>
                <w:spacing w:val="-2"/>
                <w:position w:val="-1"/>
                <w:sz w:val="19"/>
                <w:szCs w:val="19"/>
              </w:rPr>
              <w:t>8411</w:t>
            </w:r>
          </w:p>
        </w:tc>
        <w:tc>
          <w:tcPr>
            <w:tcW w:w="1285" w:type="dxa"/>
            <w:vAlign w:val="top"/>
          </w:tcPr>
          <w:p>
            <w:pPr>
              <w:pStyle w:val="TableText"/>
              <w:spacing w:before="87" w:line="201" w:lineRule="auto"/>
              <w:ind w:left="266"/>
              <w:rPr>
                <w:sz w:val="19"/>
                <w:szCs w:val="19"/>
              </w:rPr>
            </w:pPr>
            <w:r>
              <w:rPr>
                <w:spacing w:val="-2"/>
                <w:sz w:val="19"/>
                <w:szCs w:val="19"/>
              </w:rPr>
              <w:t>净资产折股</w:t>
            </w:r>
          </w:p>
        </w:tc>
      </w:tr>
      <w:tr>
        <w:tblPrEx>
          <w:tblW w:w="8689" w:type="dxa"/>
          <w:tblInd w:w="280" w:type="dxa"/>
          <w:tblLayout w:type="fixed"/>
          <w:tblCellMar>
            <w:top w:w="0" w:type="dxa"/>
            <w:left w:w="0" w:type="dxa"/>
            <w:bottom w:w="0" w:type="dxa"/>
            <w:right w:w="0" w:type="dxa"/>
          </w:tblCellMar>
        </w:tblPrEx>
        <w:trPr>
          <w:trHeight w:val="555"/>
        </w:trPr>
        <w:tc>
          <w:tcPr>
            <w:tcW w:w="2880" w:type="dxa"/>
            <w:vAlign w:val="top"/>
          </w:tcPr>
          <w:p>
            <w:pPr>
              <w:pStyle w:val="TableText"/>
              <w:spacing w:before="42" w:line="244" w:lineRule="auto"/>
              <w:ind w:left="200" w:right="203"/>
              <w:rPr>
                <w:sz w:val="19"/>
                <w:szCs w:val="19"/>
              </w:rPr>
            </w:pPr>
            <w:r>
              <w:rPr>
                <w:sz w:val="19"/>
                <w:szCs w:val="19"/>
              </w:rPr>
              <w:t>惠州市本盛投资管理合伙企业</w:t>
            </w:r>
            <w:r>
              <w:rPr>
                <w:spacing w:val="5"/>
                <w:sz w:val="19"/>
                <w:szCs w:val="19"/>
              </w:rPr>
              <w:t xml:space="preserve"> </w:t>
            </w:r>
            <w:r>
              <w:rPr>
                <w:spacing w:val="6"/>
                <w:sz w:val="19"/>
                <w:szCs w:val="19"/>
              </w:rPr>
              <w:t>(有限合伙)</w:t>
            </w:r>
          </w:p>
        </w:tc>
        <w:tc>
          <w:tcPr>
            <w:tcW w:w="1656" w:type="dxa"/>
            <w:vAlign w:val="top"/>
          </w:tcPr>
          <w:p>
            <w:pPr>
              <w:pStyle w:val="TableText"/>
              <w:spacing w:before="230" w:line="183" w:lineRule="auto"/>
              <w:ind w:left="399"/>
              <w:rPr>
                <w:sz w:val="19"/>
                <w:szCs w:val="19"/>
              </w:rPr>
            </w:pPr>
            <w:r>
              <w:rPr>
                <w:spacing w:val="-2"/>
                <w:sz w:val="19"/>
                <w:szCs w:val="19"/>
              </w:rPr>
              <w:t>500,000.00</w:t>
            </w:r>
          </w:p>
        </w:tc>
        <w:tc>
          <w:tcPr>
            <w:tcW w:w="2868" w:type="dxa"/>
            <w:vAlign w:val="top"/>
          </w:tcPr>
          <w:p>
            <w:pPr>
              <w:pStyle w:val="TableText"/>
              <w:spacing w:before="230" w:line="183" w:lineRule="auto"/>
              <w:ind w:left="263"/>
              <w:rPr>
                <w:sz w:val="19"/>
                <w:szCs w:val="19"/>
              </w:rPr>
            </w:pPr>
            <w:r>
              <w:rPr>
                <w:spacing w:val="-1"/>
                <w:sz w:val="19"/>
                <w:szCs w:val="19"/>
              </w:rPr>
              <w:t>500,000.00        0.5</w:t>
            </w:r>
            <w:r>
              <w:rPr>
                <w:spacing w:val="-2"/>
                <w:sz w:val="19"/>
                <w:szCs w:val="19"/>
              </w:rPr>
              <w:t>8411</w:t>
            </w:r>
          </w:p>
        </w:tc>
        <w:tc>
          <w:tcPr>
            <w:tcW w:w="1285" w:type="dxa"/>
            <w:vAlign w:val="top"/>
          </w:tcPr>
          <w:p>
            <w:pPr>
              <w:pStyle w:val="TableText"/>
              <w:spacing w:before="203" w:line="219" w:lineRule="auto"/>
              <w:ind w:left="266"/>
              <w:rPr>
                <w:sz w:val="19"/>
                <w:szCs w:val="19"/>
              </w:rPr>
            </w:pPr>
            <w:r>
              <w:rPr>
                <w:spacing w:val="-2"/>
                <w:sz w:val="19"/>
                <w:szCs w:val="19"/>
              </w:rPr>
              <w:t>净资产折股</w:t>
            </w:r>
          </w:p>
        </w:tc>
      </w:tr>
      <w:tr>
        <w:tblPrEx>
          <w:tblW w:w="8689" w:type="dxa"/>
          <w:tblInd w:w="280" w:type="dxa"/>
          <w:tblLayout w:type="fixed"/>
          <w:tblCellMar>
            <w:top w:w="0" w:type="dxa"/>
            <w:left w:w="0" w:type="dxa"/>
            <w:bottom w:w="0" w:type="dxa"/>
            <w:right w:w="0" w:type="dxa"/>
          </w:tblCellMar>
        </w:tblPrEx>
        <w:trPr>
          <w:trHeight w:val="305"/>
        </w:trPr>
        <w:tc>
          <w:tcPr>
            <w:tcW w:w="2880" w:type="dxa"/>
            <w:vAlign w:val="top"/>
          </w:tcPr>
          <w:p>
            <w:pPr>
              <w:pStyle w:val="TableText"/>
              <w:spacing w:before="49" w:line="219" w:lineRule="auto"/>
              <w:ind w:left="200"/>
              <w:rPr>
                <w:sz w:val="19"/>
                <w:szCs w:val="19"/>
              </w:rPr>
            </w:pPr>
            <w:r>
              <w:rPr>
                <w:spacing w:val="-2"/>
                <w:sz w:val="19"/>
                <w:szCs w:val="19"/>
              </w:rPr>
              <w:t>林倩倩</w:t>
            </w:r>
          </w:p>
        </w:tc>
        <w:tc>
          <w:tcPr>
            <w:tcW w:w="1656" w:type="dxa"/>
            <w:vAlign w:val="top"/>
          </w:tcPr>
          <w:p>
            <w:pPr>
              <w:pStyle w:val="TableText"/>
              <w:spacing w:before="85" w:line="183" w:lineRule="auto"/>
              <w:ind w:left="399"/>
              <w:rPr>
                <w:sz w:val="19"/>
                <w:szCs w:val="19"/>
              </w:rPr>
            </w:pPr>
            <w:r>
              <w:rPr>
                <w:spacing w:val="-1"/>
                <w:sz w:val="19"/>
                <w:szCs w:val="19"/>
              </w:rPr>
              <w:t>490,000.00</w:t>
            </w:r>
          </w:p>
        </w:tc>
        <w:tc>
          <w:tcPr>
            <w:tcW w:w="2868" w:type="dxa"/>
            <w:vAlign w:val="top"/>
          </w:tcPr>
          <w:p>
            <w:pPr>
              <w:pStyle w:val="TableText"/>
              <w:spacing w:before="95" w:line="183" w:lineRule="auto"/>
              <w:ind w:left="263"/>
              <w:rPr>
                <w:sz w:val="19"/>
                <w:szCs w:val="19"/>
              </w:rPr>
            </w:pPr>
            <w:r>
              <w:rPr>
                <w:spacing w:val="-1"/>
                <w:sz w:val="19"/>
                <w:szCs w:val="19"/>
              </w:rPr>
              <w:t>490,000.00</w:t>
            </w:r>
            <w:r>
              <w:rPr>
                <w:spacing w:val="11"/>
                <w:sz w:val="19"/>
                <w:szCs w:val="19"/>
              </w:rPr>
              <w:t xml:space="preserve">       </w:t>
            </w:r>
            <w:r>
              <w:rPr>
                <w:spacing w:val="-1"/>
                <w:position w:val="-1"/>
                <w:sz w:val="19"/>
                <w:szCs w:val="19"/>
              </w:rPr>
              <w:t>0.57243</w:t>
            </w:r>
          </w:p>
        </w:tc>
        <w:tc>
          <w:tcPr>
            <w:tcW w:w="1285" w:type="dxa"/>
            <w:vAlign w:val="top"/>
          </w:tcPr>
          <w:p>
            <w:pPr>
              <w:pStyle w:val="TableText"/>
              <w:spacing w:before="68" w:line="219" w:lineRule="auto"/>
              <w:ind w:left="266"/>
              <w:rPr>
                <w:sz w:val="19"/>
                <w:szCs w:val="19"/>
              </w:rPr>
            </w:pPr>
            <w:r>
              <w:rPr>
                <w:spacing w:val="-2"/>
                <w:sz w:val="19"/>
                <w:szCs w:val="19"/>
              </w:rPr>
              <w:t>净资产折股</w:t>
            </w:r>
          </w:p>
        </w:tc>
      </w:tr>
      <w:tr>
        <w:tblPrEx>
          <w:tblW w:w="8689" w:type="dxa"/>
          <w:tblInd w:w="280" w:type="dxa"/>
          <w:tblLayout w:type="fixed"/>
          <w:tblCellMar>
            <w:top w:w="0" w:type="dxa"/>
            <w:left w:w="0" w:type="dxa"/>
            <w:bottom w:w="0" w:type="dxa"/>
            <w:right w:w="0" w:type="dxa"/>
          </w:tblCellMar>
        </w:tblPrEx>
        <w:trPr>
          <w:trHeight w:val="324"/>
        </w:trPr>
        <w:tc>
          <w:tcPr>
            <w:tcW w:w="2880" w:type="dxa"/>
            <w:vAlign w:val="top"/>
          </w:tcPr>
          <w:p>
            <w:pPr>
              <w:pStyle w:val="TableText"/>
              <w:spacing w:before="64" w:line="220" w:lineRule="auto"/>
              <w:ind w:left="200"/>
              <w:rPr>
                <w:sz w:val="19"/>
                <w:szCs w:val="19"/>
              </w:rPr>
            </w:pPr>
            <w:r>
              <w:rPr>
                <w:spacing w:val="-2"/>
                <w:sz w:val="19"/>
                <w:szCs w:val="19"/>
              </w:rPr>
              <w:t>鲍泽民</w:t>
            </w:r>
          </w:p>
        </w:tc>
        <w:tc>
          <w:tcPr>
            <w:tcW w:w="1656" w:type="dxa"/>
            <w:vAlign w:val="top"/>
          </w:tcPr>
          <w:p>
            <w:pPr>
              <w:pStyle w:val="TableText"/>
              <w:spacing w:before="100" w:line="183" w:lineRule="auto"/>
              <w:ind w:left="399"/>
              <w:rPr>
                <w:sz w:val="19"/>
                <w:szCs w:val="19"/>
              </w:rPr>
            </w:pPr>
            <w:r>
              <w:rPr>
                <w:spacing w:val="-1"/>
                <w:sz w:val="19"/>
                <w:szCs w:val="19"/>
              </w:rPr>
              <w:t>290,000.00</w:t>
            </w:r>
          </w:p>
        </w:tc>
        <w:tc>
          <w:tcPr>
            <w:tcW w:w="2868" w:type="dxa"/>
            <w:vAlign w:val="top"/>
          </w:tcPr>
          <w:p>
            <w:pPr>
              <w:pStyle w:val="TableText"/>
              <w:spacing w:before="100" w:line="188" w:lineRule="auto"/>
              <w:ind w:left="263"/>
              <w:rPr>
                <w:sz w:val="19"/>
                <w:szCs w:val="19"/>
              </w:rPr>
            </w:pPr>
            <w:r>
              <w:rPr>
                <w:spacing w:val="-2"/>
                <w:position w:val="1"/>
                <w:sz w:val="19"/>
                <w:szCs w:val="19"/>
              </w:rPr>
              <w:t>290,000.00</w:t>
            </w:r>
            <w:r>
              <w:rPr>
                <w:spacing w:val="14"/>
                <w:position w:val="1"/>
                <w:sz w:val="19"/>
                <w:szCs w:val="19"/>
              </w:rPr>
              <w:t xml:space="preserve">       </w:t>
            </w:r>
            <w:r>
              <w:rPr>
                <w:spacing w:val="-2"/>
                <w:position w:val="-1"/>
                <w:sz w:val="19"/>
                <w:szCs w:val="19"/>
              </w:rPr>
              <w:t>0.33879</w:t>
            </w:r>
          </w:p>
        </w:tc>
        <w:tc>
          <w:tcPr>
            <w:tcW w:w="1285" w:type="dxa"/>
            <w:vAlign w:val="top"/>
          </w:tcPr>
          <w:p>
            <w:pPr>
              <w:pStyle w:val="TableText"/>
              <w:spacing w:before="93" w:line="214" w:lineRule="auto"/>
              <w:ind w:left="266"/>
              <w:rPr>
                <w:sz w:val="19"/>
                <w:szCs w:val="19"/>
              </w:rPr>
            </w:pPr>
            <w:r>
              <w:rPr>
                <w:spacing w:val="-2"/>
                <w:sz w:val="19"/>
                <w:szCs w:val="19"/>
              </w:rPr>
              <w:t>净资产折股</w:t>
            </w:r>
          </w:p>
        </w:tc>
      </w:tr>
      <w:tr>
        <w:tblPrEx>
          <w:tblW w:w="8689" w:type="dxa"/>
          <w:tblInd w:w="280" w:type="dxa"/>
          <w:tblLayout w:type="fixed"/>
          <w:tblCellMar>
            <w:top w:w="0" w:type="dxa"/>
            <w:left w:w="0" w:type="dxa"/>
            <w:bottom w:w="0" w:type="dxa"/>
            <w:right w:w="0" w:type="dxa"/>
          </w:tblCellMar>
        </w:tblPrEx>
        <w:trPr>
          <w:trHeight w:val="304"/>
        </w:trPr>
        <w:tc>
          <w:tcPr>
            <w:tcW w:w="2880" w:type="dxa"/>
            <w:vAlign w:val="top"/>
          </w:tcPr>
          <w:p>
            <w:pPr>
              <w:pStyle w:val="TableText"/>
              <w:spacing w:before="60" w:line="219" w:lineRule="auto"/>
              <w:ind w:left="200"/>
              <w:rPr>
                <w:sz w:val="19"/>
                <w:szCs w:val="19"/>
              </w:rPr>
            </w:pPr>
            <w:r>
              <w:rPr>
                <w:spacing w:val="-2"/>
                <w:sz w:val="19"/>
                <w:szCs w:val="19"/>
              </w:rPr>
              <w:t>林楚琛</w:t>
            </w:r>
          </w:p>
        </w:tc>
        <w:tc>
          <w:tcPr>
            <w:tcW w:w="1656" w:type="dxa"/>
            <w:vAlign w:val="top"/>
          </w:tcPr>
          <w:p>
            <w:pPr>
              <w:pStyle w:val="TableText"/>
              <w:spacing w:before="106" w:line="182" w:lineRule="auto"/>
              <w:ind w:left="399"/>
              <w:rPr>
                <w:sz w:val="19"/>
                <w:szCs w:val="19"/>
              </w:rPr>
            </w:pPr>
            <w:r>
              <w:rPr>
                <w:spacing w:val="-1"/>
                <w:sz w:val="19"/>
                <w:szCs w:val="19"/>
              </w:rPr>
              <w:t>205,000.00</w:t>
            </w:r>
          </w:p>
        </w:tc>
        <w:tc>
          <w:tcPr>
            <w:tcW w:w="2868" w:type="dxa"/>
            <w:vAlign w:val="top"/>
          </w:tcPr>
          <w:p>
            <w:pPr>
              <w:pStyle w:val="TableText"/>
              <w:spacing w:before="116" w:line="172" w:lineRule="auto"/>
              <w:ind w:left="263"/>
              <w:rPr>
                <w:sz w:val="19"/>
                <w:szCs w:val="19"/>
              </w:rPr>
            </w:pPr>
            <w:r>
              <w:rPr>
                <w:spacing w:val="-2"/>
                <w:sz w:val="19"/>
                <w:szCs w:val="19"/>
              </w:rPr>
              <w:t>205,000.00</w:t>
            </w:r>
            <w:r>
              <w:rPr>
                <w:spacing w:val="14"/>
                <w:sz w:val="19"/>
                <w:szCs w:val="19"/>
              </w:rPr>
              <w:t xml:space="preserve">       </w:t>
            </w:r>
            <w:r>
              <w:rPr>
                <w:spacing w:val="-2"/>
                <w:sz w:val="19"/>
                <w:szCs w:val="19"/>
              </w:rPr>
              <w:t>0.23949</w:t>
            </w:r>
          </w:p>
        </w:tc>
        <w:tc>
          <w:tcPr>
            <w:tcW w:w="1285" w:type="dxa"/>
            <w:vAlign w:val="top"/>
          </w:tcPr>
          <w:p>
            <w:pPr>
              <w:pStyle w:val="TableText"/>
              <w:spacing w:before="89" w:line="199" w:lineRule="auto"/>
              <w:ind w:left="266"/>
              <w:rPr>
                <w:sz w:val="19"/>
                <w:szCs w:val="19"/>
              </w:rPr>
            </w:pPr>
            <w:r>
              <w:rPr>
                <w:spacing w:val="-2"/>
                <w:sz w:val="19"/>
                <w:szCs w:val="19"/>
              </w:rPr>
              <w:t>净资产折股</w:t>
            </w:r>
          </w:p>
        </w:tc>
      </w:tr>
      <w:tr>
        <w:tblPrEx>
          <w:tblW w:w="8689" w:type="dxa"/>
          <w:tblInd w:w="280" w:type="dxa"/>
          <w:tblLayout w:type="fixed"/>
          <w:tblCellMar>
            <w:top w:w="0" w:type="dxa"/>
            <w:left w:w="0" w:type="dxa"/>
            <w:bottom w:w="0" w:type="dxa"/>
            <w:right w:w="0" w:type="dxa"/>
          </w:tblCellMar>
        </w:tblPrEx>
        <w:trPr>
          <w:trHeight w:val="540"/>
        </w:trPr>
        <w:tc>
          <w:tcPr>
            <w:tcW w:w="2880" w:type="dxa"/>
            <w:vAlign w:val="top"/>
          </w:tcPr>
          <w:p>
            <w:pPr>
              <w:pStyle w:val="TableText"/>
              <w:spacing w:before="44" w:line="236" w:lineRule="auto"/>
              <w:ind w:left="200" w:right="201"/>
              <w:rPr>
                <w:sz w:val="19"/>
                <w:szCs w:val="19"/>
              </w:rPr>
            </w:pPr>
            <w:r>
              <w:rPr>
                <w:sz w:val="19"/>
                <w:szCs w:val="19"/>
              </w:rPr>
              <w:t>惠州市信天达投资管理合伙企</w:t>
            </w:r>
            <w:r>
              <w:rPr>
                <w:spacing w:val="7"/>
                <w:sz w:val="19"/>
                <w:szCs w:val="19"/>
              </w:rPr>
              <w:t xml:space="preserve"> </w:t>
            </w:r>
            <w:r>
              <w:rPr>
                <w:spacing w:val="5"/>
                <w:sz w:val="19"/>
                <w:szCs w:val="19"/>
              </w:rPr>
              <w:t>业(有限合伙)</w:t>
            </w:r>
          </w:p>
        </w:tc>
        <w:tc>
          <w:tcPr>
            <w:tcW w:w="1656" w:type="dxa"/>
            <w:vAlign w:val="top"/>
          </w:tcPr>
          <w:p>
            <w:pPr>
              <w:pStyle w:val="TableText"/>
              <w:spacing w:before="221" w:line="184" w:lineRule="auto"/>
              <w:ind w:left="399"/>
              <w:rPr>
                <w:sz w:val="19"/>
                <w:szCs w:val="19"/>
              </w:rPr>
            </w:pPr>
            <w:r>
              <w:rPr>
                <w:spacing w:val="-3"/>
                <w:sz w:val="19"/>
                <w:szCs w:val="19"/>
              </w:rPr>
              <w:t>150,000.00</w:t>
            </w:r>
          </w:p>
        </w:tc>
        <w:tc>
          <w:tcPr>
            <w:tcW w:w="2868" w:type="dxa"/>
            <w:vAlign w:val="top"/>
          </w:tcPr>
          <w:p>
            <w:pPr>
              <w:pStyle w:val="TableText"/>
              <w:spacing w:before="221" w:line="184" w:lineRule="auto"/>
              <w:ind w:left="263"/>
              <w:rPr>
                <w:sz w:val="19"/>
                <w:szCs w:val="19"/>
              </w:rPr>
            </w:pPr>
            <w:r>
              <w:rPr>
                <w:spacing w:val="-1"/>
                <w:sz w:val="19"/>
                <w:szCs w:val="19"/>
              </w:rPr>
              <w:t xml:space="preserve">150,000.00        </w:t>
            </w:r>
            <w:r>
              <w:rPr>
                <w:spacing w:val="-1"/>
                <w:position w:val="-1"/>
                <w:sz w:val="19"/>
                <w:szCs w:val="19"/>
              </w:rPr>
              <w:t>0.1</w:t>
            </w:r>
            <w:r>
              <w:rPr>
                <w:spacing w:val="-2"/>
                <w:position w:val="-1"/>
                <w:sz w:val="19"/>
                <w:szCs w:val="19"/>
              </w:rPr>
              <w:t>7523</w:t>
            </w:r>
          </w:p>
        </w:tc>
        <w:tc>
          <w:tcPr>
            <w:tcW w:w="1285" w:type="dxa"/>
            <w:vAlign w:val="top"/>
          </w:tcPr>
          <w:p>
            <w:pPr>
              <w:pStyle w:val="TableText"/>
              <w:spacing w:before="195" w:line="219" w:lineRule="auto"/>
              <w:ind w:left="266"/>
              <w:rPr>
                <w:sz w:val="19"/>
                <w:szCs w:val="19"/>
              </w:rPr>
            </w:pPr>
            <w:r>
              <w:rPr>
                <w:spacing w:val="-2"/>
                <w:sz w:val="19"/>
                <w:szCs w:val="19"/>
              </w:rPr>
              <w:t>净资产折股</w:t>
            </w:r>
          </w:p>
        </w:tc>
      </w:tr>
      <w:tr>
        <w:tblPrEx>
          <w:tblW w:w="8689" w:type="dxa"/>
          <w:tblInd w:w="280" w:type="dxa"/>
          <w:tblLayout w:type="fixed"/>
          <w:tblCellMar>
            <w:top w:w="0" w:type="dxa"/>
            <w:left w:w="0" w:type="dxa"/>
            <w:bottom w:w="0" w:type="dxa"/>
            <w:right w:w="0" w:type="dxa"/>
          </w:tblCellMar>
        </w:tblPrEx>
        <w:trPr>
          <w:trHeight w:val="294"/>
        </w:trPr>
        <w:tc>
          <w:tcPr>
            <w:tcW w:w="2880" w:type="dxa"/>
            <w:vAlign w:val="top"/>
          </w:tcPr>
          <w:p>
            <w:pPr>
              <w:pStyle w:val="TableText"/>
              <w:spacing w:before="45" w:line="219" w:lineRule="auto"/>
              <w:ind w:left="200"/>
              <w:rPr>
                <w:sz w:val="19"/>
                <w:szCs w:val="19"/>
              </w:rPr>
            </w:pPr>
            <w:r>
              <w:rPr>
                <w:spacing w:val="-2"/>
                <w:sz w:val="19"/>
                <w:szCs w:val="19"/>
              </w:rPr>
              <w:t>林翠君</w:t>
            </w:r>
          </w:p>
        </w:tc>
        <w:tc>
          <w:tcPr>
            <w:tcW w:w="1656" w:type="dxa"/>
            <w:vAlign w:val="top"/>
          </w:tcPr>
          <w:p>
            <w:pPr>
              <w:pStyle w:val="TableText"/>
              <w:spacing w:before="112" w:line="167" w:lineRule="auto"/>
              <w:ind w:left="399"/>
              <w:rPr>
                <w:sz w:val="19"/>
                <w:szCs w:val="19"/>
              </w:rPr>
            </w:pPr>
            <w:r>
              <w:rPr>
                <w:spacing w:val="-3"/>
                <w:sz w:val="19"/>
                <w:szCs w:val="19"/>
              </w:rPr>
              <w:t>100,000.00</w:t>
            </w:r>
          </w:p>
        </w:tc>
        <w:tc>
          <w:tcPr>
            <w:tcW w:w="2868" w:type="dxa"/>
            <w:vAlign w:val="top"/>
          </w:tcPr>
          <w:p>
            <w:pPr>
              <w:pStyle w:val="TableText"/>
              <w:spacing w:before="102" w:line="167" w:lineRule="auto"/>
              <w:ind w:left="263"/>
              <w:rPr>
                <w:sz w:val="19"/>
                <w:szCs w:val="19"/>
              </w:rPr>
            </w:pPr>
            <w:r>
              <w:rPr>
                <w:spacing w:val="-1"/>
                <w:sz w:val="19"/>
                <w:szCs w:val="19"/>
              </w:rPr>
              <w:t xml:space="preserve">100,000.00        </w:t>
            </w:r>
            <w:r>
              <w:rPr>
                <w:spacing w:val="-1"/>
                <w:position w:val="-1"/>
                <w:sz w:val="19"/>
                <w:szCs w:val="19"/>
              </w:rPr>
              <w:t>0.1</w:t>
            </w:r>
            <w:r>
              <w:rPr>
                <w:spacing w:val="-2"/>
                <w:position w:val="-1"/>
                <w:sz w:val="19"/>
                <w:szCs w:val="19"/>
              </w:rPr>
              <w:t>1682</w:t>
            </w:r>
          </w:p>
        </w:tc>
        <w:tc>
          <w:tcPr>
            <w:tcW w:w="1285" w:type="dxa"/>
            <w:vAlign w:val="top"/>
          </w:tcPr>
          <w:p>
            <w:pPr>
              <w:pStyle w:val="TableText"/>
              <w:spacing w:before="76" w:line="202" w:lineRule="auto"/>
              <w:ind w:left="266"/>
              <w:rPr>
                <w:sz w:val="19"/>
                <w:szCs w:val="19"/>
              </w:rPr>
            </w:pPr>
            <w:r>
              <w:rPr>
                <w:spacing w:val="-2"/>
                <w:sz w:val="19"/>
                <w:szCs w:val="19"/>
              </w:rPr>
              <w:t>净资产折股</w:t>
            </w:r>
          </w:p>
        </w:tc>
      </w:tr>
      <w:tr>
        <w:tblPrEx>
          <w:tblW w:w="8689" w:type="dxa"/>
          <w:tblInd w:w="280" w:type="dxa"/>
          <w:tblLayout w:type="fixed"/>
          <w:tblCellMar>
            <w:top w:w="0" w:type="dxa"/>
            <w:left w:w="0" w:type="dxa"/>
            <w:bottom w:w="0" w:type="dxa"/>
            <w:right w:w="0" w:type="dxa"/>
          </w:tblCellMar>
        </w:tblPrEx>
        <w:trPr>
          <w:trHeight w:val="494"/>
        </w:trPr>
        <w:tc>
          <w:tcPr>
            <w:tcW w:w="2880" w:type="dxa"/>
            <w:tcBorders>
              <w:bottom w:val="single" w:sz="4" w:space="0" w:color="000000"/>
            </w:tcBorders>
            <w:vAlign w:val="top"/>
          </w:tcPr>
          <w:p>
            <w:pPr>
              <w:pStyle w:val="TableText"/>
              <w:spacing w:before="41" w:line="215" w:lineRule="auto"/>
              <w:ind w:left="199" w:right="301" w:hanging="100"/>
              <w:rPr>
                <w:sz w:val="19"/>
                <w:szCs w:val="19"/>
              </w:rPr>
            </w:pPr>
            <w:r>
              <w:rPr>
                <w:sz w:val="19"/>
                <w:szCs w:val="19"/>
              </w:rPr>
              <w:t>惠州市鑫意诚投资管理合伙企</w:t>
            </w:r>
            <w:r>
              <w:rPr>
                <w:spacing w:val="7"/>
                <w:sz w:val="19"/>
                <w:szCs w:val="19"/>
              </w:rPr>
              <w:t xml:space="preserve"> </w:t>
            </w:r>
            <w:r>
              <w:rPr>
                <w:spacing w:val="5"/>
                <w:sz w:val="19"/>
                <w:szCs w:val="19"/>
              </w:rPr>
              <w:t>业(有限合伙)</w:t>
            </w:r>
          </w:p>
        </w:tc>
        <w:tc>
          <w:tcPr>
            <w:tcW w:w="1656" w:type="dxa"/>
            <w:tcBorders>
              <w:bottom w:val="single" w:sz="4" w:space="0" w:color="000000"/>
            </w:tcBorders>
            <w:vAlign w:val="top"/>
          </w:tcPr>
          <w:p>
            <w:pPr>
              <w:pStyle w:val="TableText"/>
              <w:spacing w:before="238" w:line="183" w:lineRule="auto"/>
              <w:ind w:left="489"/>
              <w:rPr>
                <w:sz w:val="19"/>
                <w:szCs w:val="19"/>
              </w:rPr>
            </w:pPr>
            <w:r>
              <w:rPr>
                <w:spacing w:val="-2"/>
                <w:sz w:val="19"/>
                <w:szCs w:val="19"/>
              </w:rPr>
              <w:t>50,000.00</w:t>
            </w:r>
          </w:p>
        </w:tc>
        <w:tc>
          <w:tcPr>
            <w:tcW w:w="2868" w:type="dxa"/>
            <w:tcBorders>
              <w:bottom w:val="single" w:sz="4" w:space="0" w:color="000000"/>
            </w:tcBorders>
            <w:vAlign w:val="top"/>
          </w:tcPr>
          <w:p>
            <w:pPr>
              <w:pStyle w:val="TableText"/>
              <w:spacing w:before="228" w:line="183" w:lineRule="auto"/>
              <w:ind w:left="303"/>
              <w:rPr>
                <w:sz w:val="19"/>
                <w:szCs w:val="19"/>
              </w:rPr>
            </w:pPr>
            <w:r>
              <w:rPr>
                <w:spacing w:val="-2"/>
                <w:sz w:val="19"/>
                <w:szCs w:val="19"/>
              </w:rPr>
              <w:t>50,000.00</w:t>
            </w:r>
            <w:r>
              <w:rPr>
                <w:spacing w:val="7"/>
                <w:sz w:val="19"/>
                <w:szCs w:val="19"/>
              </w:rPr>
              <w:t xml:space="preserve">        </w:t>
            </w:r>
            <w:r>
              <w:rPr>
                <w:spacing w:val="-2"/>
                <w:position w:val="-1"/>
                <w:sz w:val="19"/>
                <w:szCs w:val="19"/>
              </w:rPr>
              <w:t>0.05841</w:t>
            </w:r>
          </w:p>
        </w:tc>
        <w:tc>
          <w:tcPr>
            <w:tcW w:w="1285" w:type="dxa"/>
            <w:tcBorders>
              <w:bottom w:val="single" w:sz="4" w:space="0" w:color="000000"/>
            </w:tcBorders>
            <w:vAlign w:val="top"/>
          </w:tcPr>
          <w:p>
            <w:pPr>
              <w:pStyle w:val="TableText"/>
              <w:spacing w:before="211" w:line="219" w:lineRule="auto"/>
              <w:ind w:left="266"/>
              <w:rPr>
                <w:sz w:val="19"/>
                <w:szCs w:val="19"/>
              </w:rPr>
            </w:pPr>
            <w:r>
              <w:rPr>
                <w:spacing w:val="-2"/>
                <w:sz w:val="19"/>
                <w:szCs w:val="19"/>
              </w:rPr>
              <w:t>净资产折股</w:t>
            </w:r>
          </w:p>
        </w:tc>
      </w:tr>
      <w:tr>
        <w:tblPrEx>
          <w:tblW w:w="8689" w:type="dxa"/>
          <w:tblInd w:w="280" w:type="dxa"/>
          <w:tblLayout w:type="fixed"/>
          <w:tblCellMar>
            <w:top w:w="0" w:type="dxa"/>
            <w:left w:w="0" w:type="dxa"/>
            <w:bottom w:w="0" w:type="dxa"/>
            <w:right w:w="0" w:type="dxa"/>
          </w:tblCellMar>
        </w:tblPrEx>
        <w:trPr>
          <w:trHeight w:val="345"/>
        </w:trPr>
        <w:tc>
          <w:tcPr>
            <w:tcW w:w="2880" w:type="dxa"/>
            <w:tcBorders>
              <w:top w:val="single" w:sz="4" w:space="0" w:color="000000"/>
              <w:bottom w:val="single" w:sz="4" w:space="0" w:color="000000"/>
            </w:tcBorders>
            <w:vAlign w:val="top"/>
          </w:tcPr>
          <w:p>
            <w:pPr>
              <w:pStyle w:val="TableText"/>
              <w:spacing w:before="88" w:line="221" w:lineRule="auto"/>
              <w:ind w:left="200"/>
              <w:rPr>
                <w:sz w:val="19"/>
                <w:szCs w:val="19"/>
              </w:rPr>
            </w:pPr>
            <w:r>
              <w:rPr>
                <w:spacing w:val="-5"/>
                <w:sz w:val="19"/>
                <w:szCs w:val="19"/>
              </w:rPr>
              <w:t>合</w:t>
            </w:r>
            <w:r>
              <w:rPr>
                <w:spacing w:val="8"/>
                <w:sz w:val="19"/>
                <w:szCs w:val="19"/>
              </w:rPr>
              <w:t xml:space="preserve"> </w:t>
            </w:r>
            <w:r>
              <w:rPr>
                <w:spacing w:val="-5"/>
                <w:sz w:val="19"/>
                <w:szCs w:val="19"/>
              </w:rPr>
              <w:t>计</w:t>
            </w:r>
          </w:p>
        </w:tc>
        <w:tc>
          <w:tcPr>
            <w:tcW w:w="1656" w:type="dxa"/>
            <w:tcBorders>
              <w:top w:val="single" w:sz="4" w:space="0" w:color="000000"/>
              <w:bottom w:val="single" w:sz="4" w:space="0" w:color="000000"/>
            </w:tcBorders>
            <w:vAlign w:val="top"/>
          </w:tcPr>
          <w:p>
            <w:pPr>
              <w:pStyle w:val="TableText"/>
              <w:spacing w:before="111" w:line="183" w:lineRule="auto"/>
              <w:ind w:left="292"/>
              <w:rPr>
                <w:sz w:val="19"/>
                <w:szCs w:val="19"/>
              </w:rPr>
            </w:pPr>
            <w:r>
              <w:rPr>
                <w:b/>
                <w:bCs/>
                <w:spacing w:val="-3"/>
                <w:sz w:val="19"/>
                <w:szCs w:val="19"/>
              </w:rPr>
              <w:t>85,600,000.00</w:t>
            </w:r>
          </w:p>
        </w:tc>
        <w:tc>
          <w:tcPr>
            <w:tcW w:w="2868" w:type="dxa"/>
            <w:tcBorders>
              <w:top w:val="single" w:sz="4" w:space="0" w:color="000000"/>
              <w:bottom w:val="single" w:sz="4" w:space="0" w:color="000000"/>
            </w:tcBorders>
            <w:vAlign w:val="top"/>
          </w:tcPr>
          <w:p>
            <w:pPr>
              <w:pStyle w:val="TableText"/>
              <w:spacing w:before="111" w:line="185" w:lineRule="auto"/>
              <w:ind w:left="116"/>
              <w:rPr>
                <w:sz w:val="19"/>
                <w:szCs w:val="19"/>
              </w:rPr>
            </w:pPr>
            <w:r>
              <w:rPr>
                <w:b/>
                <w:bCs/>
                <w:spacing w:val="-3"/>
                <w:sz w:val="19"/>
                <w:szCs w:val="19"/>
              </w:rPr>
              <w:t>85,600,000.00</w:t>
            </w:r>
            <w:r>
              <w:rPr>
                <w:spacing w:val="7"/>
                <w:sz w:val="19"/>
                <w:szCs w:val="19"/>
              </w:rPr>
              <w:t xml:space="preserve">       </w:t>
            </w:r>
            <w:r>
              <w:rPr>
                <w:spacing w:val="-3"/>
                <w:position w:val="-1"/>
                <w:sz w:val="19"/>
                <w:szCs w:val="19"/>
              </w:rPr>
              <w:t>100.00</w:t>
            </w:r>
          </w:p>
        </w:tc>
        <w:tc>
          <w:tcPr>
            <w:tcW w:w="1285" w:type="dxa"/>
            <w:tcBorders>
              <w:top w:val="single" w:sz="4" w:space="0" w:color="000000"/>
              <w:bottom w:val="single" w:sz="4" w:space="0" w:color="000000"/>
            </w:tcBorders>
            <w:vAlign w:val="top"/>
          </w:tcPr>
          <w:p/>
        </w:tc>
      </w:tr>
    </w:tbl>
    <w:p>
      <w:pPr>
        <w:spacing w:before="171" w:line="241" w:lineRule="auto"/>
        <w:ind w:left="369" w:right="1097"/>
        <w:jc w:val="both"/>
        <w:rPr>
          <w:rFonts w:ascii="仿宋" w:eastAsia="仿宋" w:hAnsi="仿宋" w:cs="仿宋"/>
          <w:sz w:val="22"/>
          <w:szCs w:val="22"/>
        </w:rPr>
      </w:pPr>
      <w:r>
        <w:rPr>
          <w:rFonts w:ascii="仿宋" w:eastAsia="仿宋" w:hAnsi="仿宋" w:cs="仿宋"/>
          <w:spacing w:val="11"/>
          <w:sz w:val="22"/>
          <w:szCs w:val="22"/>
        </w:rPr>
        <w:t>2021年9月22日，本公司2021年第四次临时股东大会审议通</w:t>
      </w:r>
      <w:r>
        <w:rPr>
          <w:rFonts w:ascii="仿宋" w:eastAsia="仿宋" w:hAnsi="仿宋" w:cs="仿宋"/>
          <w:spacing w:val="10"/>
          <w:sz w:val="22"/>
          <w:szCs w:val="22"/>
        </w:rPr>
        <w:t>过《关于增加公司注册资</w:t>
      </w:r>
      <w:r>
        <w:rPr>
          <w:rFonts w:ascii="仿宋" w:eastAsia="仿宋" w:hAnsi="仿宋" w:cs="仿宋"/>
          <w:sz w:val="22"/>
          <w:szCs w:val="22"/>
        </w:rPr>
        <w:t xml:space="preserve"> </w:t>
      </w:r>
      <w:r>
        <w:rPr>
          <w:rFonts w:ascii="仿宋" w:eastAsia="仿宋" w:hAnsi="仿宋" w:cs="仿宋"/>
          <w:spacing w:val="9"/>
          <w:sz w:val="22"/>
          <w:szCs w:val="22"/>
        </w:rPr>
        <w:t>本及修订&lt;公司章程&gt;的议案》,同意江苏走泉大亚林工产业基金(有限合伙)</w:t>
      </w:r>
      <w:r>
        <w:rPr>
          <w:rFonts w:ascii="仿宋" w:eastAsia="仿宋" w:hAnsi="仿宋" w:cs="仿宋"/>
          <w:spacing w:val="8"/>
          <w:sz w:val="22"/>
          <w:szCs w:val="22"/>
        </w:rPr>
        <w:t>增资4,600</w:t>
      </w:r>
      <w:r>
        <w:rPr>
          <w:rFonts w:ascii="仿宋" w:eastAsia="仿宋" w:hAnsi="仿宋" w:cs="仿宋"/>
          <w:sz w:val="22"/>
          <w:szCs w:val="22"/>
        </w:rPr>
        <w:t xml:space="preserve"> </w:t>
      </w:r>
      <w:r>
        <w:rPr>
          <w:rFonts w:ascii="仿宋" w:eastAsia="仿宋" w:hAnsi="仿宋" w:cs="仿宋"/>
          <w:spacing w:val="-1"/>
          <w:sz w:val="22"/>
          <w:szCs w:val="22"/>
        </w:rPr>
        <w:t>万元，其中291.6741</w:t>
      </w:r>
      <w:r>
        <w:rPr>
          <w:rFonts w:ascii="仿宋" w:eastAsia="仿宋" w:hAnsi="仿宋" w:cs="仿宋"/>
          <w:spacing w:val="-33"/>
          <w:sz w:val="22"/>
          <w:szCs w:val="22"/>
        </w:rPr>
        <w:t xml:space="preserve"> </w:t>
      </w:r>
      <w:r>
        <w:rPr>
          <w:rFonts w:ascii="仿宋" w:eastAsia="仿宋" w:hAnsi="仿宋" w:cs="仿宋"/>
          <w:spacing w:val="-1"/>
          <w:sz w:val="22"/>
          <w:szCs w:val="22"/>
        </w:rPr>
        <w:t>万元计入股本，剩余4,308.3259</w:t>
      </w:r>
      <w:r>
        <w:rPr>
          <w:rFonts w:ascii="仿宋" w:eastAsia="仿宋" w:hAnsi="仿宋" w:cs="仿宋"/>
          <w:spacing w:val="-23"/>
          <w:sz w:val="22"/>
          <w:szCs w:val="22"/>
        </w:rPr>
        <w:t xml:space="preserve"> </w:t>
      </w:r>
      <w:r>
        <w:rPr>
          <w:rFonts w:ascii="仿宋" w:eastAsia="仿宋" w:hAnsi="仿宋" w:cs="仿宋"/>
          <w:spacing w:val="-1"/>
          <w:sz w:val="22"/>
          <w:szCs w:val="22"/>
        </w:rPr>
        <w:t>万元计入资本公积；同意宁</w:t>
      </w:r>
      <w:r>
        <w:rPr>
          <w:rFonts w:ascii="仿宋" w:eastAsia="仿宋" w:hAnsi="仿宋" w:cs="仿宋"/>
          <w:spacing w:val="-2"/>
          <w:sz w:val="22"/>
          <w:szCs w:val="22"/>
        </w:rPr>
        <w:t>波正海</w:t>
      </w:r>
      <w:r>
        <w:rPr>
          <w:rFonts w:ascii="仿宋" w:eastAsia="仿宋" w:hAnsi="仿宋" w:cs="仿宋"/>
          <w:sz w:val="22"/>
          <w:szCs w:val="22"/>
        </w:rPr>
        <w:t xml:space="preserve"> </w:t>
      </w:r>
      <w:r>
        <w:rPr>
          <w:rFonts w:ascii="仿宋" w:eastAsia="仿宋" w:hAnsi="仿宋" w:cs="仿宋"/>
          <w:spacing w:val="8"/>
          <w:sz w:val="22"/>
          <w:szCs w:val="22"/>
        </w:rPr>
        <w:t>聚锐创业投资合伙企业(有限合伙)增资1,000万</w:t>
      </w:r>
      <w:r>
        <w:rPr>
          <w:rFonts w:ascii="仿宋" w:eastAsia="仿宋" w:hAnsi="仿宋" w:cs="仿宋"/>
          <w:spacing w:val="7"/>
          <w:sz w:val="22"/>
          <w:szCs w:val="22"/>
        </w:rPr>
        <w:t>元，其中63.4074万元计入股本，剩余</w:t>
      </w:r>
      <w:r>
        <w:rPr>
          <w:rFonts w:ascii="仿宋" w:eastAsia="仿宋" w:hAnsi="仿宋" w:cs="仿宋"/>
          <w:sz w:val="22"/>
          <w:szCs w:val="22"/>
        </w:rPr>
        <w:t xml:space="preserve"> </w:t>
      </w:r>
      <w:r>
        <w:rPr>
          <w:rFonts w:ascii="仿宋" w:eastAsia="仿宋" w:hAnsi="仿宋" w:cs="仿宋"/>
          <w:spacing w:val="-4"/>
          <w:sz w:val="22"/>
          <w:szCs w:val="22"/>
        </w:rPr>
        <w:t>936.5926万元计入资本公积。</w:t>
      </w:r>
    </w:p>
    <w:p>
      <w:pPr>
        <w:spacing w:before="230" w:line="219" w:lineRule="auto"/>
        <w:ind w:left="369"/>
        <w:rPr>
          <w:rFonts w:ascii="仿宋" w:eastAsia="仿宋" w:hAnsi="仿宋" w:cs="仿宋"/>
          <w:sz w:val="22"/>
          <w:szCs w:val="22"/>
        </w:rPr>
      </w:pPr>
      <w:r>
        <w:rPr>
          <w:rFonts w:ascii="仿宋" w:eastAsia="仿宋" w:hAnsi="仿宋" w:cs="仿宋"/>
          <w:spacing w:val="4"/>
          <w:sz w:val="22"/>
          <w:szCs w:val="22"/>
        </w:rPr>
        <w:t>本次股权转让及增资后，各股东出资情况如下</w:t>
      </w:r>
    </w:p>
    <w:p>
      <w:pPr>
        <w:pStyle w:val="BodyText"/>
        <w:spacing w:line="266" w:lineRule="auto"/>
      </w:pPr>
    </w:p>
    <w:p>
      <w:pPr>
        <w:pStyle w:val="BodyText"/>
        <w:spacing w:line="266" w:lineRule="auto"/>
      </w:pPr>
    </w:p>
    <w:p>
      <w:pPr>
        <w:pStyle w:val="BodyText"/>
        <w:spacing w:line="267" w:lineRule="auto"/>
      </w:pPr>
    </w:p>
    <w:p>
      <w:pPr>
        <w:pStyle w:val="BodyText"/>
        <w:spacing w:line="267" w:lineRule="auto"/>
      </w:pPr>
    </w:p>
    <w:p>
      <w:pPr>
        <w:pStyle w:val="BodyText"/>
        <w:spacing w:line="267" w:lineRule="auto"/>
      </w:pPr>
    </w:p>
    <w:p>
      <w:pPr>
        <w:spacing w:before="50" w:line="184" w:lineRule="auto"/>
        <w:ind w:left="4539"/>
        <w:rPr>
          <w:rFonts w:ascii="宋体" w:eastAsia="宋体" w:hAnsi="宋体" w:cs="宋体"/>
          <w:sz w:val="15"/>
          <w:szCs w:val="15"/>
        </w:rPr>
      </w:pPr>
      <w:r>
        <w:rPr>
          <w:rFonts w:ascii="宋体" w:eastAsia="宋体" w:hAnsi="宋体" w:cs="宋体"/>
          <w:spacing w:val="-5"/>
          <w:sz w:val="15"/>
          <w:szCs w:val="15"/>
        </w:rPr>
        <w:t>12</w:t>
      </w:r>
    </w:p>
    <w:p>
      <w:pPr>
        <w:pStyle w:val="BodyText"/>
        <w:spacing w:line="313" w:lineRule="auto"/>
      </w:pPr>
    </w:p>
    <w:p>
      <w:pPr>
        <w:pStyle w:val="BodyText"/>
        <w:spacing w:line="313" w:lineRule="auto"/>
      </w:pPr>
    </w:p>
    <w:p>
      <w:pPr>
        <w:spacing w:before="59" w:line="184" w:lineRule="auto"/>
        <w:ind w:left="4140"/>
        <w:rPr>
          <w:rFonts w:ascii="宋体" w:eastAsia="宋体" w:hAnsi="宋体" w:cs="宋体"/>
          <w:sz w:val="18"/>
          <w:szCs w:val="18"/>
        </w:rPr>
      </w:pPr>
      <w:r>
        <w:rPr>
          <w:rFonts w:ascii="宋体" w:eastAsia="宋体" w:hAnsi="宋体" w:cs="宋体"/>
          <w:spacing w:val="-5"/>
          <w:sz w:val="18"/>
          <w:szCs w:val="18"/>
        </w:rPr>
        <w:t>3-2-3-14</w:t>
      </w:r>
    </w:p>
    <w:p>
      <w:pPr>
        <w:spacing w:line="184" w:lineRule="auto"/>
        <w:rPr>
          <w:rFonts w:ascii="宋体" w:eastAsia="宋体" w:hAnsi="宋体" w:cs="宋体"/>
          <w:sz w:val="18"/>
          <w:szCs w:val="18"/>
        </w:rPr>
        <w:sectPr>
          <w:headerReference w:type="default" r:id="rId15"/>
          <w:pgSz w:w="11900" w:h="16820"/>
          <w:pgMar w:top="400" w:right="409" w:bottom="0" w:left="1509" w:header="0" w:footer="0" w:gutter="0"/>
          <w:pgNumType w:start="16"/>
          <w:cols w:num="1" w:space="720"/>
        </w:sectPr>
      </w:pPr>
    </w:p>
    <w:p>
      <w:pPr>
        <w:pStyle w:val="BodyText"/>
        <w:spacing w:line="293" w:lineRule="auto"/>
      </w:pPr>
      <w:r>
        <w:pict>
          <v:rect id="_x0000_s1039" o:spid="_x0000_s1038" style="width:448pt;height:1.05pt;margin-top:112.5pt;margin-left:74.95pt;mso-height-relative:page;mso-position-horizontal-relative:page;mso-position-vertical-relative:page;mso-width-relative:page;position:absolute;z-index:251671552" coordsize="21600,21600" o:allowincell="f" filled="t" fillcolor="black" stroked="f"/>
        </w:pict>
      </w:r>
    </w:p>
    <w:p>
      <w:pPr>
        <w:pStyle w:val="BodyText"/>
        <w:spacing w:line="293" w:lineRule="auto"/>
      </w:pPr>
    </w:p>
    <w:p>
      <w:pPr>
        <w:pStyle w:val="BodyText"/>
        <w:spacing w:line="294" w:lineRule="auto"/>
      </w:pPr>
    </w:p>
    <w:p>
      <w:pPr>
        <w:spacing w:before="72" w:line="222" w:lineRule="auto"/>
        <w:rPr>
          <w:rFonts w:ascii="仿宋" w:eastAsia="仿宋" w:hAnsi="仿宋" w:cs="仿宋"/>
          <w:sz w:val="22"/>
          <w:szCs w:val="22"/>
        </w:rPr>
      </w:pPr>
      <w:r>
        <w:rPr>
          <w:rFonts w:ascii="仿宋" w:eastAsia="仿宋" w:hAnsi="仿宋" w:cs="仿宋"/>
          <w:spacing w:val="2"/>
          <w:sz w:val="22"/>
          <w:szCs w:val="22"/>
        </w:rPr>
        <w:t>美新科技股份有限公司</w:t>
      </w:r>
    </w:p>
    <w:p>
      <w:pPr>
        <w:spacing w:before="22" w:line="220" w:lineRule="auto"/>
        <w:rPr>
          <w:rFonts w:ascii="仿宋" w:eastAsia="仿宋" w:hAnsi="仿宋" w:cs="仿宋"/>
          <w:sz w:val="22"/>
          <w:szCs w:val="22"/>
        </w:rPr>
      </w:pPr>
      <w:r>
        <w:rPr>
          <w:rFonts w:ascii="仿宋" w:eastAsia="仿宋" w:hAnsi="仿宋" w:cs="仿宋"/>
          <w:spacing w:val="3"/>
          <w:sz w:val="22"/>
          <w:szCs w:val="22"/>
        </w:rPr>
        <w:t>盈利预测的编制基础、假设和编制说明</w:t>
      </w:r>
    </w:p>
    <w:p>
      <w:pPr>
        <w:spacing w:before="38" w:line="221" w:lineRule="auto"/>
        <w:rPr>
          <w:rFonts w:ascii="仿宋" w:eastAsia="仿宋" w:hAnsi="仿宋" w:cs="仿宋"/>
          <w:sz w:val="22"/>
          <w:szCs w:val="22"/>
        </w:rPr>
      </w:pPr>
      <w:r>
        <w:rPr>
          <w:rFonts w:ascii="仿宋" w:eastAsia="仿宋" w:hAnsi="仿宋" w:cs="仿宋"/>
          <w:spacing w:val="11"/>
          <w:sz w:val="22"/>
          <w:szCs w:val="22"/>
        </w:rPr>
        <w:t>2023年度(除特别注明外，金额单位为人民币万元)</w:t>
      </w:r>
    </w:p>
    <w:p>
      <w:pPr>
        <w:spacing w:before="4"/>
      </w:pPr>
    </w:p>
    <w:tbl>
      <w:tblPr>
        <w:tblStyle w:val="TableNormal010"/>
        <w:tblW w:w="8669" w:type="dxa"/>
        <w:tblInd w:w="300" w:type="dxa"/>
        <w:tblBorders>
          <w:top w:val="nil"/>
          <w:left w:val="nil"/>
          <w:bottom w:val="nil"/>
          <w:right w:val="nil"/>
          <w:insideH w:val="nil"/>
          <w:insideV w:val="nil"/>
        </w:tblBorders>
        <w:tblLayout w:type="fixed"/>
        <w:tblCellMar>
          <w:top w:w="0" w:type="dxa"/>
          <w:left w:w="0" w:type="dxa"/>
          <w:bottom w:w="0" w:type="dxa"/>
          <w:right w:w="0" w:type="dxa"/>
        </w:tblCellMar>
      </w:tblPr>
      <w:tblGrid>
        <w:gridCol w:w="3973"/>
        <w:gridCol w:w="1476"/>
        <w:gridCol w:w="1564"/>
        <w:gridCol w:w="1656"/>
      </w:tblGrid>
      <w:tr>
        <w:tblPrEx>
          <w:tblW w:w="8669" w:type="dxa"/>
          <w:tblInd w:w="300" w:type="dxa"/>
          <w:tblBorders>
            <w:top w:val="nil"/>
            <w:left w:val="nil"/>
            <w:bottom w:val="nil"/>
            <w:right w:val="nil"/>
            <w:insideH w:val="nil"/>
            <w:insideV w:val="nil"/>
          </w:tblBorders>
          <w:tblLayout w:type="fixed"/>
          <w:tblCellMar>
            <w:top w:w="0" w:type="dxa"/>
            <w:left w:w="0" w:type="dxa"/>
            <w:bottom w:w="0" w:type="dxa"/>
            <w:right w:w="0" w:type="dxa"/>
          </w:tblCellMar>
        </w:tblPrEx>
        <w:trPr>
          <w:trHeight w:val="371"/>
        </w:trPr>
        <w:tc>
          <w:tcPr>
            <w:tcW w:w="3973" w:type="dxa"/>
            <w:tcBorders>
              <w:top w:val="single" w:sz="4" w:space="0" w:color="000000"/>
            </w:tcBorders>
            <w:vAlign w:val="top"/>
          </w:tcPr>
          <w:p>
            <w:pPr>
              <w:pStyle w:val="TableText"/>
              <w:spacing w:before="120" w:line="219" w:lineRule="auto"/>
              <w:ind w:left="162"/>
              <w:rPr>
                <w:sz w:val="19"/>
                <w:szCs w:val="19"/>
              </w:rPr>
            </w:pPr>
            <w:r>
              <w:rPr>
                <w:b/>
                <w:bCs/>
                <w:spacing w:val="-4"/>
                <w:sz w:val="19"/>
                <w:szCs w:val="19"/>
              </w:rPr>
              <w:t>股东名称</w:t>
            </w:r>
          </w:p>
        </w:tc>
        <w:tc>
          <w:tcPr>
            <w:tcW w:w="1476" w:type="dxa"/>
            <w:tcBorders>
              <w:top w:val="single" w:sz="4" w:space="0" w:color="000000"/>
            </w:tcBorders>
            <w:vAlign w:val="top"/>
          </w:tcPr>
          <w:p>
            <w:pPr>
              <w:pStyle w:val="TableText"/>
              <w:spacing w:before="121" w:line="219" w:lineRule="auto"/>
              <w:ind w:left="906"/>
              <w:rPr>
                <w:sz w:val="19"/>
                <w:szCs w:val="19"/>
              </w:rPr>
            </w:pPr>
            <w:r>
              <w:rPr>
                <w:spacing w:val="-2"/>
                <w:sz w:val="19"/>
                <w:szCs w:val="19"/>
              </w:rPr>
              <w:t>股本</w:t>
            </w:r>
          </w:p>
        </w:tc>
        <w:tc>
          <w:tcPr>
            <w:tcW w:w="1564" w:type="dxa"/>
            <w:tcBorders>
              <w:top w:val="single" w:sz="4" w:space="0" w:color="000000"/>
            </w:tcBorders>
            <w:vAlign w:val="top"/>
          </w:tcPr>
          <w:p>
            <w:pPr>
              <w:pStyle w:val="TableText"/>
              <w:spacing w:before="122" w:line="219" w:lineRule="auto"/>
              <w:ind w:left="71"/>
              <w:rPr>
                <w:sz w:val="19"/>
                <w:szCs w:val="19"/>
              </w:rPr>
            </w:pPr>
            <w:r>
              <w:rPr>
                <w:spacing w:val="-14"/>
                <w:sz w:val="19"/>
                <w:szCs w:val="19"/>
              </w:rPr>
              <w:t>持</w:t>
            </w:r>
            <w:r>
              <w:rPr>
                <w:spacing w:val="-38"/>
                <w:sz w:val="19"/>
                <w:szCs w:val="19"/>
              </w:rPr>
              <w:t xml:space="preserve"> </w:t>
            </w:r>
            <w:r>
              <w:rPr>
                <w:spacing w:val="-14"/>
                <w:sz w:val="19"/>
                <w:szCs w:val="19"/>
              </w:rPr>
              <w:t>股</w:t>
            </w:r>
            <w:r>
              <w:rPr>
                <w:spacing w:val="-23"/>
                <w:sz w:val="19"/>
                <w:szCs w:val="19"/>
              </w:rPr>
              <w:t xml:space="preserve"> </w:t>
            </w:r>
            <w:r>
              <w:rPr>
                <w:spacing w:val="-14"/>
                <w:sz w:val="19"/>
                <w:szCs w:val="19"/>
              </w:rPr>
              <w:t>比</w:t>
            </w:r>
            <w:r>
              <w:rPr>
                <w:spacing w:val="-43"/>
                <w:sz w:val="19"/>
                <w:szCs w:val="19"/>
              </w:rPr>
              <w:t xml:space="preserve"> </w:t>
            </w:r>
            <w:r>
              <w:rPr>
                <w:spacing w:val="-14"/>
                <w:sz w:val="19"/>
                <w:szCs w:val="19"/>
              </w:rPr>
              <w:t>例 (</w:t>
            </w:r>
            <w:r>
              <w:rPr>
                <w:spacing w:val="-48"/>
                <w:sz w:val="19"/>
                <w:szCs w:val="19"/>
              </w:rPr>
              <w:t xml:space="preserve"> </w:t>
            </w:r>
            <w:r>
              <w:rPr>
                <w:spacing w:val="-14"/>
                <w:sz w:val="19"/>
                <w:szCs w:val="19"/>
              </w:rPr>
              <w:t>%</w:t>
            </w:r>
            <w:r>
              <w:rPr>
                <w:spacing w:val="-43"/>
                <w:sz w:val="19"/>
                <w:szCs w:val="19"/>
              </w:rPr>
              <w:t xml:space="preserve"> </w:t>
            </w:r>
            <w:r>
              <w:rPr>
                <w:spacing w:val="-14"/>
                <w:sz w:val="19"/>
                <w:szCs w:val="19"/>
              </w:rPr>
              <w:t>)</w:t>
            </w:r>
          </w:p>
        </w:tc>
        <w:tc>
          <w:tcPr>
            <w:tcW w:w="1656" w:type="dxa"/>
            <w:tcBorders>
              <w:top w:val="single" w:sz="4" w:space="0" w:color="000000"/>
            </w:tcBorders>
            <w:vAlign w:val="top"/>
          </w:tcPr>
          <w:p>
            <w:pPr>
              <w:pStyle w:val="TableText"/>
              <w:spacing w:before="101" w:line="221" w:lineRule="auto"/>
              <w:ind w:left="829"/>
              <w:rPr>
                <w:sz w:val="19"/>
                <w:szCs w:val="19"/>
              </w:rPr>
            </w:pPr>
            <w:r>
              <w:rPr>
                <w:b/>
                <w:bCs/>
                <w:spacing w:val="-2"/>
                <w:sz w:val="19"/>
                <w:szCs w:val="19"/>
              </w:rPr>
              <w:t>出资方式</w:t>
            </w:r>
          </w:p>
        </w:tc>
      </w:tr>
      <w:tr>
        <w:tblPrEx>
          <w:tblW w:w="8669" w:type="dxa"/>
          <w:tblInd w:w="300" w:type="dxa"/>
          <w:tblLayout w:type="fixed"/>
          <w:tblCellMar>
            <w:top w:w="0" w:type="dxa"/>
            <w:left w:w="0" w:type="dxa"/>
            <w:bottom w:w="0" w:type="dxa"/>
            <w:right w:w="0" w:type="dxa"/>
          </w:tblCellMar>
        </w:tblPrEx>
        <w:trPr>
          <w:trHeight w:val="349"/>
        </w:trPr>
        <w:tc>
          <w:tcPr>
            <w:tcW w:w="3973" w:type="dxa"/>
            <w:vAlign w:val="top"/>
          </w:tcPr>
          <w:p>
            <w:pPr>
              <w:pStyle w:val="TableText"/>
              <w:spacing w:before="92" w:line="220" w:lineRule="auto"/>
              <w:ind w:left="160"/>
              <w:rPr>
                <w:sz w:val="19"/>
                <w:szCs w:val="19"/>
              </w:rPr>
            </w:pPr>
            <w:r>
              <w:rPr>
                <w:spacing w:val="2"/>
                <w:sz w:val="19"/>
                <w:szCs w:val="19"/>
              </w:rPr>
              <w:t>新兴亚洲投资有限公司</w:t>
            </w:r>
          </w:p>
        </w:tc>
        <w:tc>
          <w:tcPr>
            <w:tcW w:w="1476" w:type="dxa"/>
            <w:vAlign w:val="top"/>
          </w:tcPr>
          <w:p>
            <w:pPr>
              <w:pStyle w:val="TableText"/>
              <w:spacing w:before="117" w:line="184" w:lineRule="auto"/>
              <w:ind w:left="216"/>
              <w:rPr>
                <w:sz w:val="19"/>
                <w:szCs w:val="19"/>
              </w:rPr>
            </w:pPr>
            <w:r>
              <w:rPr>
                <w:spacing w:val="-3"/>
                <w:sz w:val="19"/>
                <w:szCs w:val="19"/>
              </w:rPr>
              <w:t>42.803,571.00</w:t>
            </w:r>
          </w:p>
        </w:tc>
        <w:tc>
          <w:tcPr>
            <w:tcW w:w="1564" w:type="dxa"/>
            <w:vAlign w:val="top"/>
          </w:tcPr>
          <w:p>
            <w:pPr>
              <w:pStyle w:val="TableText"/>
              <w:spacing w:before="149" w:line="184" w:lineRule="auto"/>
              <w:ind w:left="830"/>
              <w:rPr>
                <w:sz w:val="19"/>
                <w:szCs w:val="19"/>
              </w:rPr>
            </w:pPr>
            <w:r>
              <w:rPr>
                <w:spacing w:val="-1"/>
                <w:sz w:val="19"/>
                <w:szCs w:val="19"/>
              </w:rPr>
              <w:t>48.0125</w:t>
            </w:r>
          </w:p>
        </w:tc>
        <w:tc>
          <w:tcPr>
            <w:tcW w:w="1656" w:type="dxa"/>
            <w:vAlign w:val="top"/>
          </w:tcPr>
          <w:p>
            <w:pPr>
              <w:pStyle w:val="TableText"/>
              <w:spacing w:before="62" w:line="219" w:lineRule="auto"/>
              <w:ind w:left="63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295"/>
        </w:trPr>
        <w:tc>
          <w:tcPr>
            <w:tcW w:w="3973" w:type="dxa"/>
            <w:vAlign w:val="top"/>
          </w:tcPr>
          <w:p>
            <w:pPr>
              <w:pStyle w:val="TableText"/>
              <w:spacing w:before="62" w:line="216" w:lineRule="auto"/>
              <w:ind w:left="160"/>
              <w:rPr>
                <w:sz w:val="19"/>
                <w:szCs w:val="19"/>
              </w:rPr>
            </w:pPr>
            <w:r>
              <w:rPr>
                <w:spacing w:val="2"/>
                <w:sz w:val="19"/>
                <w:szCs w:val="19"/>
              </w:rPr>
              <w:t>江苏走泉大亚林工产业基金(有限合伙)</w:t>
            </w:r>
          </w:p>
        </w:tc>
        <w:tc>
          <w:tcPr>
            <w:tcW w:w="1476" w:type="dxa"/>
            <w:vAlign w:val="top"/>
          </w:tcPr>
          <w:p>
            <w:pPr>
              <w:pStyle w:val="TableText"/>
              <w:spacing w:before="109" w:line="171" w:lineRule="auto"/>
              <w:ind w:left="256"/>
              <w:rPr>
                <w:sz w:val="19"/>
                <w:szCs w:val="19"/>
              </w:rPr>
            </w:pPr>
            <w:r>
              <w:rPr>
                <w:spacing w:val="-6"/>
                <w:sz w:val="19"/>
                <w:szCs w:val="19"/>
              </w:rPr>
              <w:t>14,345,313.00</w:t>
            </w:r>
          </w:p>
        </w:tc>
        <w:tc>
          <w:tcPr>
            <w:tcW w:w="1564" w:type="dxa"/>
            <w:vAlign w:val="top"/>
          </w:tcPr>
          <w:p>
            <w:pPr>
              <w:pStyle w:val="TableText"/>
              <w:spacing w:before="91" w:line="184" w:lineRule="auto"/>
              <w:ind w:left="781"/>
              <w:rPr>
                <w:sz w:val="19"/>
                <w:szCs w:val="19"/>
              </w:rPr>
            </w:pPr>
            <w:r>
              <w:rPr>
                <w:spacing w:val="-1"/>
                <w:sz w:val="19"/>
                <w:szCs w:val="19"/>
              </w:rPr>
              <w:t>16.0911</w:t>
            </w:r>
          </w:p>
        </w:tc>
        <w:tc>
          <w:tcPr>
            <w:tcW w:w="1656" w:type="dxa"/>
            <w:vAlign w:val="top"/>
          </w:tcPr>
          <w:p>
            <w:pPr>
              <w:pStyle w:val="TableText"/>
              <w:spacing w:before="61" w:line="217" w:lineRule="auto"/>
              <w:ind w:left="88"/>
              <w:rPr>
                <w:sz w:val="19"/>
                <w:szCs w:val="19"/>
              </w:rPr>
            </w:pPr>
            <w:r>
              <w:rPr>
                <w:spacing w:val="1"/>
                <w:sz w:val="19"/>
                <w:szCs w:val="19"/>
              </w:rPr>
              <w:t>净资产折股、货币</w:t>
            </w:r>
          </w:p>
        </w:tc>
      </w:tr>
      <w:tr>
        <w:tblPrEx>
          <w:tblW w:w="8669" w:type="dxa"/>
          <w:tblInd w:w="300" w:type="dxa"/>
          <w:tblLayout w:type="fixed"/>
          <w:tblCellMar>
            <w:top w:w="0" w:type="dxa"/>
            <w:left w:w="0" w:type="dxa"/>
            <w:bottom w:w="0" w:type="dxa"/>
            <w:right w:w="0" w:type="dxa"/>
          </w:tblCellMar>
        </w:tblPrEx>
        <w:trPr>
          <w:trHeight w:val="550"/>
        </w:trPr>
        <w:tc>
          <w:tcPr>
            <w:tcW w:w="3973" w:type="dxa"/>
            <w:vAlign w:val="top"/>
          </w:tcPr>
          <w:p>
            <w:pPr>
              <w:pStyle w:val="TableText"/>
              <w:spacing w:before="27" w:line="249" w:lineRule="auto"/>
              <w:ind w:left="159" w:right="135" w:hanging="19"/>
              <w:rPr>
                <w:sz w:val="19"/>
                <w:szCs w:val="19"/>
              </w:rPr>
            </w:pPr>
            <w:r>
              <w:rPr>
                <w:spacing w:val="-1"/>
                <w:sz w:val="19"/>
                <w:szCs w:val="19"/>
              </w:rPr>
              <w:t>深圳西博肆号新技术创业投资合伙企业(有限</w:t>
            </w:r>
            <w:r>
              <w:rPr>
                <w:spacing w:val="11"/>
                <w:sz w:val="19"/>
                <w:szCs w:val="19"/>
              </w:rPr>
              <w:t xml:space="preserve"> </w:t>
            </w:r>
            <w:r>
              <w:rPr>
                <w:spacing w:val="12"/>
                <w:sz w:val="19"/>
                <w:szCs w:val="19"/>
              </w:rPr>
              <w:t>合伙)</w:t>
            </w:r>
          </w:p>
        </w:tc>
        <w:tc>
          <w:tcPr>
            <w:tcW w:w="1476" w:type="dxa"/>
            <w:vAlign w:val="top"/>
          </w:tcPr>
          <w:p>
            <w:pPr>
              <w:pStyle w:val="TableText"/>
              <w:spacing w:before="214" w:line="183" w:lineRule="auto"/>
              <w:ind w:left="147"/>
              <w:rPr>
                <w:sz w:val="19"/>
                <w:szCs w:val="19"/>
              </w:rPr>
            </w:pPr>
            <w:r>
              <w:rPr>
                <w:spacing w:val="-1"/>
                <w:sz w:val="19"/>
                <w:szCs w:val="19"/>
              </w:rPr>
              <w:t>6,400,000.00</w:t>
            </w:r>
          </w:p>
        </w:tc>
        <w:tc>
          <w:tcPr>
            <w:tcW w:w="1564" w:type="dxa"/>
            <w:vAlign w:val="top"/>
          </w:tcPr>
          <w:p>
            <w:pPr>
              <w:pStyle w:val="TableText"/>
              <w:spacing w:before="235" w:line="184" w:lineRule="auto"/>
              <w:ind w:left="900"/>
              <w:rPr>
                <w:sz w:val="19"/>
                <w:szCs w:val="19"/>
              </w:rPr>
            </w:pPr>
            <w:r>
              <w:rPr>
                <w:spacing w:val="-2"/>
                <w:sz w:val="19"/>
                <w:szCs w:val="19"/>
              </w:rPr>
              <w:t>7.1788</w:t>
            </w:r>
          </w:p>
        </w:tc>
        <w:tc>
          <w:tcPr>
            <w:tcW w:w="1656" w:type="dxa"/>
            <w:vAlign w:val="top"/>
          </w:tcPr>
          <w:p>
            <w:pPr>
              <w:pStyle w:val="TableText"/>
              <w:spacing w:before="178" w:line="219" w:lineRule="auto"/>
              <w:ind w:left="64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310"/>
        </w:trPr>
        <w:tc>
          <w:tcPr>
            <w:tcW w:w="3973" w:type="dxa"/>
            <w:vAlign w:val="top"/>
          </w:tcPr>
          <w:p>
            <w:pPr>
              <w:pStyle w:val="TableText"/>
              <w:spacing w:before="57" w:line="219" w:lineRule="auto"/>
              <w:ind w:left="160"/>
              <w:rPr>
                <w:sz w:val="19"/>
                <w:szCs w:val="19"/>
              </w:rPr>
            </w:pPr>
            <w:r>
              <w:rPr>
                <w:spacing w:val="1"/>
                <w:sz w:val="19"/>
                <w:szCs w:val="19"/>
              </w:rPr>
              <w:t>张家港保税区梵创产业发展有限公司</w:t>
            </w:r>
          </w:p>
        </w:tc>
        <w:tc>
          <w:tcPr>
            <w:tcW w:w="1476" w:type="dxa"/>
            <w:vAlign w:val="top"/>
          </w:tcPr>
          <w:p>
            <w:pPr>
              <w:pStyle w:val="TableText"/>
              <w:spacing w:before="94" w:line="183" w:lineRule="auto"/>
              <w:ind w:left="147"/>
              <w:rPr>
                <w:sz w:val="19"/>
                <w:szCs w:val="19"/>
              </w:rPr>
            </w:pPr>
            <w:r>
              <w:rPr>
                <w:spacing w:val="-1"/>
                <w:sz w:val="19"/>
                <w:szCs w:val="19"/>
              </w:rPr>
              <w:t>6,400,000.00</w:t>
            </w:r>
          </w:p>
        </w:tc>
        <w:tc>
          <w:tcPr>
            <w:tcW w:w="1564" w:type="dxa"/>
            <w:vAlign w:val="top"/>
          </w:tcPr>
          <w:p>
            <w:pPr>
              <w:pStyle w:val="TableText"/>
              <w:spacing w:before="95" w:line="184" w:lineRule="auto"/>
              <w:ind w:left="910"/>
              <w:rPr>
                <w:sz w:val="19"/>
                <w:szCs w:val="19"/>
              </w:rPr>
            </w:pPr>
            <w:r>
              <w:rPr>
                <w:spacing w:val="-2"/>
                <w:sz w:val="19"/>
                <w:szCs w:val="19"/>
              </w:rPr>
              <w:t>7.1788</w:t>
            </w:r>
          </w:p>
        </w:tc>
        <w:tc>
          <w:tcPr>
            <w:tcW w:w="1656" w:type="dxa"/>
            <w:vAlign w:val="top"/>
          </w:tcPr>
          <w:p>
            <w:pPr>
              <w:pStyle w:val="TableText"/>
              <w:spacing w:before="48" w:line="219" w:lineRule="auto"/>
              <w:ind w:left="64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310"/>
        </w:trPr>
        <w:tc>
          <w:tcPr>
            <w:tcW w:w="3973" w:type="dxa"/>
            <w:vAlign w:val="top"/>
          </w:tcPr>
          <w:p>
            <w:pPr>
              <w:pStyle w:val="TableText"/>
              <w:spacing w:before="84" w:line="209" w:lineRule="auto"/>
              <w:ind w:left="160"/>
              <w:rPr>
                <w:sz w:val="19"/>
                <w:szCs w:val="19"/>
              </w:rPr>
            </w:pPr>
            <w:r>
              <w:rPr>
                <w:spacing w:val="-2"/>
                <w:sz w:val="19"/>
                <w:szCs w:val="19"/>
              </w:rPr>
              <w:t>汪忠远</w:t>
            </w:r>
          </w:p>
        </w:tc>
        <w:tc>
          <w:tcPr>
            <w:tcW w:w="1476" w:type="dxa"/>
            <w:vAlign w:val="top"/>
          </w:tcPr>
          <w:p>
            <w:pPr>
              <w:pStyle w:val="TableText"/>
              <w:spacing w:before="93" w:line="184" w:lineRule="auto"/>
              <w:ind w:left="337"/>
              <w:rPr>
                <w:sz w:val="19"/>
                <w:szCs w:val="19"/>
              </w:rPr>
            </w:pPr>
            <w:r>
              <w:rPr>
                <w:spacing w:val="-5"/>
                <w:sz w:val="19"/>
                <w:szCs w:val="19"/>
              </w:rPr>
              <w:t>3,190,000.00</w:t>
            </w:r>
          </w:p>
        </w:tc>
        <w:tc>
          <w:tcPr>
            <w:tcW w:w="1564" w:type="dxa"/>
            <w:vAlign w:val="top"/>
          </w:tcPr>
          <w:p>
            <w:pPr>
              <w:pStyle w:val="TableText"/>
              <w:spacing w:before="116" w:line="178" w:lineRule="auto"/>
              <w:ind w:left="910"/>
              <w:rPr>
                <w:sz w:val="19"/>
                <w:szCs w:val="19"/>
              </w:rPr>
            </w:pPr>
            <w:r>
              <w:rPr>
                <w:spacing w:val="-2"/>
                <w:sz w:val="19"/>
                <w:szCs w:val="19"/>
              </w:rPr>
              <w:t>3.5782</w:t>
            </w:r>
          </w:p>
        </w:tc>
        <w:tc>
          <w:tcPr>
            <w:tcW w:w="1656" w:type="dxa"/>
            <w:vAlign w:val="top"/>
          </w:tcPr>
          <w:p>
            <w:pPr>
              <w:pStyle w:val="TableText"/>
              <w:spacing w:before="57" w:line="219" w:lineRule="auto"/>
              <w:ind w:left="64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320"/>
        </w:trPr>
        <w:tc>
          <w:tcPr>
            <w:tcW w:w="3973" w:type="dxa"/>
            <w:vAlign w:val="top"/>
          </w:tcPr>
          <w:p>
            <w:pPr>
              <w:pStyle w:val="TableText"/>
              <w:spacing w:before="68" w:line="219" w:lineRule="auto"/>
              <w:ind w:left="160"/>
              <w:rPr>
                <w:sz w:val="19"/>
                <w:szCs w:val="19"/>
              </w:rPr>
            </w:pPr>
            <w:r>
              <w:rPr>
                <w:spacing w:val="6"/>
                <w:sz w:val="19"/>
                <w:szCs w:val="19"/>
              </w:rPr>
              <w:t>郑小明</w:t>
            </w:r>
          </w:p>
        </w:tc>
        <w:tc>
          <w:tcPr>
            <w:tcW w:w="1476" w:type="dxa"/>
            <w:vAlign w:val="top"/>
          </w:tcPr>
          <w:p>
            <w:pPr>
              <w:pStyle w:val="TableText"/>
              <w:spacing w:before="104" w:line="183" w:lineRule="auto"/>
              <w:ind w:left="337"/>
              <w:rPr>
                <w:sz w:val="19"/>
                <w:szCs w:val="19"/>
              </w:rPr>
            </w:pPr>
            <w:r>
              <w:rPr>
                <w:spacing w:val="-5"/>
                <w:sz w:val="19"/>
                <w:szCs w:val="19"/>
              </w:rPr>
              <w:t>2,400,000.00</w:t>
            </w:r>
          </w:p>
        </w:tc>
        <w:tc>
          <w:tcPr>
            <w:tcW w:w="1564" w:type="dxa"/>
            <w:vAlign w:val="top"/>
          </w:tcPr>
          <w:p>
            <w:pPr>
              <w:pStyle w:val="TableText"/>
              <w:spacing w:before="115" w:line="184" w:lineRule="auto"/>
              <w:ind w:left="900"/>
              <w:rPr>
                <w:sz w:val="19"/>
                <w:szCs w:val="19"/>
              </w:rPr>
            </w:pPr>
            <w:r>
              <w:rPr>
                <w:spacing w:val="-2"/>
                <w:sz w:val="19"/>
                <w:szCs w:val="19"/>
              </w:rPr>
              <w:t>2.6921</w:t>
            </w:r>
          </w:p>
        </w:tc>
        <w:tc>
          <w:tcPr>
            <w:tcW w:w="1656" w:type="dxa"/>
            <w:vAlign w:val="top"/>
          </w:tcPr>
          <w:p>
            <w:pPr>
              <w:pStyle w:val="TableText"/>
              <w:spacing w:before="48" w:line="219" w:lineRule="auto"/>
              <w:ind w:left="64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320"/>
        </w:trPr>
        <w:tc>
          <w:tcPr>
            <w:tcW w:w="3973" w:type="dxa"/>
            <w:vAlign w:val="top"/>
          </w:tcPr>
          <w:p>
            <w:pPr>
              <w:pStyle w:val="TableText"/>
              <w:spacing w:before="67" w:line="219" w:lineRule="auto"/>
              <w:ind w:left="160"/>
              <w:rPr>
                <w:sz w:val="19"/>
                <w:szCs w:val="19"/>
              </w:rPr>
            </w:pPr>
            <w:r>
              <w:rPr>
                <w:spacing w:val="3"/>
                <w:sz w:val="19"/>
                <w:szCs w:val="19"/>
              </w:rPr>
              <w:t>隽临环球有限公司</w:t>
            </w:r>
          </w:p>
        </w:tc>
        <w:tc>
          <w:tcPr>
            <w:tcW w:w="1476" w:type="dxa"/>
            <w:vAlign w:val="top"/>
          </w:tcPr>
          <w:p>
            <w:pPr>
              <w:pStyle w:val="TableText"/>
              <w:spacing w:before="104" w:line="183" w:lineRule="auto"/>
              <w:ind w:left="147"/>
              <w:rPr>
                <w:sz w:val="19"/>
                <w:szCs w:val="19"/>
              </w:rPr>
            </w:pPr>
            <w:r>
              <w:rPr>
                <w:spacing w:val="-1"/>
                <w:sz w:val="19"/>
                <w:szCs w:val="19"/>
              </w:rPr>
              <w:t>2,250,000.00</w:t>
            </w:r>
          </w:p>
        </w:tc>
        <w:tc>
          <w:tcPr>
            <w:tcW w:w="1564" w:type="dxa"/>
            <w:vAlign w:val="top"/>
          </w:tcPr>
          <w:p>
            <w:pPr>
              <w:pStyle w:val="TableText"/>
              <w:spacing w:before="126" w:line="178" w:lineRule="auto"/>
              <w:ind w:left="890"/>
              <w:rPr>
                <w:sz w:val="19"/>
                <w:szCs w:val="19"/>
              </w:rPr>
            </w:pPr>
            <w:r>
              <w:rPr>
                <w:spacing w:val="-2"/>
                <w:sz w:val="19"/>
                <w:szCs w:val="19"/>
              </w:rPr>
              <w:t>2.5238</w:t>
            </w:r>
          </w:p>
        </w:tc>
        <w:tc>
          <w:tcPr>
            <w:tcW w:w="1656" w:type="dxa"/>
            <w:vAlign w:val="top"/>
          </w:tcPr>
          <w:p>
            <w:pPr>
              <w:pStyle w:val="TableText"/>
              <w:spacing w:before="58" w:line="219" w:lineRule="auto"/>
              <w:ind w:left="63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319"/>
        </w:trPr>
        <w:tc>
          <w:tcPr>
            <w:tcW w:w="3973" w:type="dxa"/>
            <w:vAlign w:val="top"/>
          </w:tcPr>
          <w:p>
            <w:pPr>
              <w:pStyle w:val="TableText"/>
              <w:spacing w:before="66" w:line="219" w:lineRule="auto"/>
              <w:ind w:left="160"/>
              <w:rPr>
                <w:sz w:val="19"/>
                <w:szCs w:val="19"/>
              </w:rPr>
            </w:pPr>
            <w:r>
              <w:rPr>
                <w:spacing w:val="2"/>
                <w:sz w:val="19"/>
                <w:szCs w:val="19"/>
              </w:rPr>
              <w:t>惠州恒信通投资管理合伙企业(有限合伙)</w:t>
            </w:r>
          </w:p>
        </w:tc>
        <w:tc>
          <w:tcPr>
            <w:tcW w:w="1476" w:type="dxa"/>
            <w:vAlign w:val="top"/>
          </w:tcPr>
          <w:p>
            <w:pPr>
              <w:pStyle w:val="TableText"/>
              <w:spacing w:before="103" w:line="184" w:lineRule="auto"/>
              <w:ind w:left="147"/>
              <w:rPr>
                <w:sz w:val="19"/>
                <w:szCs w:val="19"/>
              </w:rPr>
            </w:pPr>
            <w:r>
              <w:rPr>
                <w:spacing w:val="-2"/>
                <w:sz w:val="19"/>
                <w:szCs w:val="19"/>
              </w:rPr>
              <w:t>1,200,000.00</w:t>
            </w:r>
          </w:p>
        </w:tc>
        <w:tc>
          <w:tcPr>
            <w:tcW w:w="1564" w:type="dxa"/>
            <w:vAlign w:val="top"/>
          </w:tcPr>
          <w:p>
            <w:pPr>
              <w:pStyle w:val="TableText"/>
              <w:spacing w:before="70" w:line="222" w:lineRule="auto"/>
              <w:ind w:left="890"/>
              <w:rPr>
                <w:sz w:val="19"/>
                <w:szCs w:val="19"/>
              </w:rPr>
            </w:pPr>
            <w:r>
              <w:rPr>
                <w:spacing w:val="-4"/>
                <w:sz w:val="19"/>
                <w:szCs w:val="19"/>
              </w:rPr>
              <w:t>1.346(</w:t>
            </w:r>
          </w:p>
        </w:tc>
        <w:tc>
          <w:tcPr>
            <w:tcW w:w="1656" w:type="dxa"/>
            <w:vAlign w:val="top"/>
          </w:tcPr>
          <w:p>
            <w:pPr>
              <w:pStyle w:val="TableText"/>
              <w:spacing w:before="58" w:line="219" w:lineRule="auto"/>
              <w:ind w:left="63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320"/>
        </w:trPr>
        <w:tc>
          <w:tcPr>
            <w:tcW w:w="3973" w:type="dxa"/>
            <w:vAlign w:val="top"/>
          </w:tcPr>
          <w:p>
            <w:pPr>
              <w:pStyle w:val="TableText"/>
              <w:spacing w:before="67" w:line="219" w:lineRule="auto"/>
              <w:ind w:left="160"/>
              <w:rPr>
                <w:sz w:val="19"/>
                <w:szCs w:val="19"/>
              </w:rPr>
            </w:pPr>
            <w:r>
              <w:rPr>
                <w:spacing w:val="2"/>
                <w:sz w:val="19"/>
                <w:szCs w:val="19"/>
              </w:rPr>
              <w:t>惠州天达投资管理合伙企业(有限合伙)</w:t>
            </w:r>
          </w:p>
        </w:tc>
        <w:tc>
          <w:tcPr>
            <w:tcW w:w="1476" w:type="dxa"/>
            <w:vAlign w:val="top"/>
          </w:tcPr>
          <w:p>
            <w:pPr>
              <w:pStyle w:val="TableText"/>
              <w:spacing w:before="114" w:line="184" w:lineRule="auto"/>
              <w:ind w:left="147"/>
              <w:rPr>
                <w:sz w:val="19"/>
                <w:szCs w:val="19"/>
              </w:rPr>
            </w:pPr>
            <w:r>
              <w:rPr>
                <w:spacing w:val="-2"/>
                <w:sz w:val="19"/>
                <w:szCs w:val="19"/>
              </w:rPr>
              <w:t>1,160,000.00</w:t>
            </w:r>
          </w:p>
        </w:tc>
        <w:tc>
          <w:tcPr>
            <w:tcW w:w="1564" w:type="dxa"/>
            <w:vAlign w:val="top"/>
          </w:tcPr>
          <w:p>
            <w:pPr>
              <w:pStyle w:val="TableText"/>
              <w:spacing w:before="126" w:line="178" w:lineRule="auto"/>
              <w:ind w:left="900"/>
              <w:rPr>
                <w:sz w:val="19"/>
                <w:szCs w:val="19"/>
              </w:rPr>
            </w:pPr>
            <w:r>
              <w:rPr>
                <w:spacing w:val="-3"/>
                <w:sz w:val="19"/>
                <w:szCs w:val="19"/>
              </w:rPr>
              <w:t>1.3012</w:t>
            </w:r>
          </w:p>
        </w:tc>
        <w:tc>
          <w:tcPr>
            <w:tcW w:w="1656" w:type="dxa"/>
            <w:vAlign w:val="top"/>
          </w:tcPr>
          <w:p>
            <w:pPr>
              <w:pStyle w:val="TableText"/>
              <w:spacing w:before="59" w:line="219" w:lineRule="auto"/>
              <w:ind w:left="63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325"/>
        </w:trPr>
        <w:tc>
          <w:tcPr>
            <w:tcW w:w="3973" w:type="dxa"/>
            <w:vAlign w:val="top"/>
          </w:tcPr>
          <w:p>
            <w:pPr>
              <w:pStyle w:val="TableText"/>
              <w:spacing w:before="69" w:line="219" w:lineRule="auto"/>
              <w:ind w:left="160"/>
              <w:rPr>
                <w:sz w:val="19"/>
                <w:szCs w:val="19"/>
              </w:rPr>
            </w:pPr>
            <w:r>
              <w:rPr>
                <w:spacing w:val="2"/>
                <w:sz w:val="19"/>
                <w:szCs w:val="19"/>
              </w:rPr>
              <w:t>上海素值企业管理咨询中心(有限合伙)</w:t>
            </w:r>
          </w:p>
        </w:tc>
        <w:tc>
          <w:tcPr>
            <w:tcW w:w="1476" w:type="dxa"/>
            <w:vAlign w:val="top"/>
          </w:tcPr>
          <w:p>
            <w:pPr>
              <w:pStyle w:val="TableText"/>
              <w:spacing w:before="114" w:line="184" w:lineRule="auto"/>
              <w:ind w:left="147"/>
              <w:rPr>
                <w:sz w:val="19"/>
                <w:szCs w:val="19"/>
              </w:rPr>
            </w:pPr>
            <w:r>
              <w:rPr>
                <w:spacing w:val="-2"/>
                <w:sz w:val="19"/>
                <w:szCs w:val="19"/>
              </w:rPr>
              <w:t>1,142,857.00</w:t>
            </w:r>
          </w:p>
        </w:tc>
        <w:tc>
          <w:tcPr>
            <w:tcW w:w="1564" w:type="dxa"/>
            <w:vAlign w:val="top"/>
          </w:tcPr>
          <w:p>
            <w:pPr>
              <w:pStyle w:val="TableText"/>
              <w:spacing w:before="126" w:line="183" w:lineRule="auto"/>
              <w:ind w:left="900"/>
              <w:rPr>
                <w:sz w:val="19"/>
                <w:szCs w:val="19"/>
              </w:rPr>
            </w:pPr>
            <w:r>
              <w:rPr>
                <w:spacing w:val="-3"/>
                <w:sz w:val="19"/>
                <w:szCs w:val="19"/>
              </w:rPr>
              <w:t>1.2819</w:t>
            </w:r>
          </w:p>
        </w:tc>
        <w:tc>
          <w:tcPr>
            <w:tcW w:w="1656" w:type="dxa"/>
            <w:vAlign w:val="top"/>
          </w:tcPr>
          <w:p>
            <w:pPr>
              <w:pStyle w:val="TableText"/>
              <w:spacing w:before="49" w:line="219" w:lineRule="auto"/>
              <w:ind w:left="63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319"/>
        </w:trPr>
        <w:tc>
          <w:tcPr>
            <w:tcW w:w="3973" w:type="dxa"/>
            <w:vAlign w:val="top"/>
          </w:tcPr>
          <w:p>
            <w:pPr>
              <w:pStyle w:val="TableText"/>
              <w:spacing w:before="54" w:line="219" w:lineRule="auto"/>
              <w:ind w:left="160"/>
              <w:rPr>
                <w:sz w:val="19"/>
                <w:szCs w:val="19"/>
              </w:rPr>
            </w:pPr>
            <w:r>
              <w:rPr>
                <w:spacing w:val="6"/>
                <w:sz w:val="19"/>
                <w:szCs w:val="19"/>
              </w:rPr>
              <w:t>史伟</w:t>
            </w:r>
          </w:p>
        </w:tc>
        <w:tc>
          <w:tcPr>
            <w:tcW w:w="1476" w:type="dxa"/>
            <w:vAlign w:val="top"/>
          </w:tcPr>
          <w:p>
            <w:pPr>
              <w:pStyle w:val="TableText"/>
              <w:spacing w:before="99" w:line="184" w:lineRule="auto"/>
              <w:ind w:left="147"/>
              <w:rPr>
                <w:sz w:val="19"/>
                <w:szCs w:val="19"/>
              </w:rPr>
            </w:pPr>
            <w:r>
              <w:rPr>
                <w:spacing w:val="-2"/>
                <w:sz w:val="19"/>
                <w:szCs w:val="19"/>
              </w:rPr>
              <w:t>1,120,000.00</w:t>
            </w:r>
          </w:p>
        </w:tc>
        <w:tc>
          <w:tcPr>
            <w:tcW w:w="1564" w:type="dxa"/>
            <w:vAlign w:val="top"/>
          </w:tcPr>
          <w:p>
            <w:pPr>
              <w:pStyle w:val="TableText"/>
              <w:spacing w:before="111" w:line="184" w:lineRule="auto"/>
              <w:ind w:left="900"/>
              <w:rPr>
                <w:sz w:val="19"/>
                <w:szCs w:val="19"/>
              </w:rPr>
            </w:pPr>
            <w:r>
              <w:rPr>
                <w:spacing w:val="-3"/>
                <w:sz w:val="19"/>
                <w:szCs w:val="19"/>
              </w:rPr>
              <w:t>1.2563</w:t>
            </w:r>
          </w:p>
        </w:tc>
        <w:tc>
          <w:tcPr>
            <w:tcW w:w="1656" w:type="dxa"/>
            <w:vAlign w:val="top"/>
          </w:tcPr>
          <w:p>
            <w:pPr>
              <w:pStyle w:val="TableText"/>
              <w:spacing w:before="63" w:line="219" w:lineRule="auto"/>
              <w:ind w:left="63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314"/>
        </w:trPr>
        <w:tc>
          <w:tcPr>
            <w:tcW w:w="3973" w:type="dxa"/>
            <w:vAlign w:val="top"/>
          </w:tcPr>
          <w:p>
            <w:pPr>
              <w:pStyle w:val="TableText"/>
              <w:spacing w:before="65" w:line="219" w:lineRule="auto"/>
              <w:ind w:left="160"/>
              <w:rPr>
                <w:sz w:val="19"/>
                <w:szCs w:val="19"/>
              </w:rPr>
            </w:pPr>
            <w:r>
              <w:rPr>
                <w:spacing w:val="6"/>
                <w:sz w:val="19"/>
                <w:szCs w:val="19"/>
              </w:rPr>
              <w:t>吴启明</w:t>
            </w:r>
          </w:p>
        </w:tc>
        <w:tc>
          <w:tcPr>
            <w:tcW w:w="1476" w:type="dxa"/>
            <w:vAlign w:val="top"/>
          </w:tcPr>
          <w:p>
            <w:pPr>
              <w:pStyle w:val="TableText"/>
              <w:spacing w:before="101" w:line="183" w:lineRule="auto"/>
              <w:ind w:left="337"/>
              <w:rPr>
                <w:sz w:val="19"/>
                <w:szCs w:val="19"/>
              </w:rPr>
            </w:pPr>
            <w:r>
              <w:rPr>
                <w:spacing w:val="-1"/>
                <w:sz w:val="19"/>
                <w:szCs w:val="19"/>
              </w:rPr>
              <w:t>880,000.00</w:t>
            </w:r>
          </w:p>
        </w:tc>
        <w:tc>
          <w:tcPr>
            <w:tcW w:w="1564" w:type="dxa"/>
            <w:vAlign w:val="top"/>
          </w:tcPr>
          <w:p>
            <w:pPr>
              <w:pStyle w:val="TableText"/>
              <w:spacing w:before="122" w:line="176" w:lineRule="auto"/>
              <w:ind w:left="890"/>
              <w:rPr>
                <w:sz w:val="19"/>
                <w:szCs w:val="19"/>
              </w:rPr>
            </w:pPr>
            <w:r>
              <w:rPr>
                <w:spacing w:val="-2"/>
                <w:sz w:val="19"/>
                <w:szCs w:val="19"/>
              </w:rPr>
              <w:t>0.9871</w:t>
            </w:r>
          </w:p>
        </w:tc>
        <w:tc>
          <w:tcPr>
            <w:tcW w:w="1656" w:type="dxa"/>
            <w:vAlign w:val="top"/>
          </w:tcPr>
          <w:p>
            <w:pPr>
              <w:pStyle w:val="TableText"/>
              <w:spacing w:before="65" w:line="219" w:lineRule="auto"/>
              <w:ind w:left="63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315"/>
        </w:trPr>
        <w:tc>
          <w:tcPr>
            <w:tcW w:w="3973" w:type="dxa"/>
            <w:vAlign w:val="top"/>
          </w:tcPr>
          <w:p>
            <w:pPr>
              <w:pStyle w:val="TableText"/>
              <w:spacing w:before="69" w:line="219" w:lineRule="auto"/>
              <w:ind w:left="160"/>
              <w:rPr>
                <w:sz w:val="19"/>
                <w:szCs w:val="19"/>
              </w:rPr>
            </w:pPr>
            <w:r>
              <w:rPr>
                <w:spacing w:val="2"/>
                <w:sz w:val="19"/>
                <w:szCs w:val="19"/>
              </w:rPr>
              <w:t>惠州市天演投资管理合伙企业(有限合伙)</w:t>
            </w:r>
          </w:p>
        </w:tc>
        <w:tc>
          <w:tcPr>
            <w:tcW w:w="1476" w:type="dxa"/>
            <w:vAlign w:val="top"/>
          </w:tcPr>
          <w:p>
            <w:pPr>
              <w:pStyle w:val="TableText"/>
              <w:spacing w:before="107" w:line="183" w:lineRule="auto"/>
              <w:ind w:left="337"/>
              <w:rPr>
                <w:sz w:val="19"/>
                <w:szCs w:val="19"/>
              </w:rPr>
            </w:pPr>
            <w:r>
              <w:rPr>
                <w:spacing w:val="-1"/>
                <w:sz w:val="19"/>
                <w:szCs w:val="19"/>
              </w:rPr>
              <w:t>800,000.00</w:t>
            </w:r>
          </w:p>
        </w:tc>
        <w:tc>
          <w:tcPr>
            <w:tcW w:w="1564" w:type="dxa"/>
            <w:vAlign w:val="top"/>
          </w:tcPr>
          <w:p>
            <w:pPr>
              <w:pStyle w:val="TableText"/>
              <w:spacing w:before="130" w:line="170" w:lineRule="auto"/>
              <w:ind w:left="900"/>
              <w:rPr>
                <w:sz w:val="19"/>
                <w:szCs w:val="19"/>
              </w:rPr>
            </w:pPr>
            <w:r>
              <w:rPr>
                <w:spacing w:val="-2"/>
                <w:sz w:val="19"/>
                <w:szCs w:val="19"/>
              </w:rPr>
              <w:t>0.8974</w:t>
            </w:r>
          </w:p>
        </w:tc>
        <w:tc>
          <w:tcPr>
            <w:tcW w:w="1656" w:type="dxa"/>
            <w:vAlign w:val="top"/>
          </w:tcPr>
          <w:p>
            <w:pPr>
              <w:pStyle w:val="TableText"/>
              <w:spacing w:before="61" w:line="219" w:lineRule="auto"/>
              <w:ind w:left="63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334"/>
        </w:trPr>
        <w:tc>
          <w:tcPr>
            <w:tcW w:w="3973" w:type="dxa"/>
            <w:vAlign w:val="top"/>
          </w:tcPr>
          <w:p>
            <w:pPr>
              <w:pStyle w:val="TableText"/>
              <w:spacing w:before="74" w:line="219" w:lineRule="auto"/>
              <w:ind w:left="160"/>
              <w:rPr>
                <w:sz w:val="19"/>
                <w:szCs w:val="19"/>
              </w:rPr>
            </w:pPr>
            <w:r>
              <w:rPr>
                <w:spacing w:val="1"/>
                <w:sz w:val="19"/>
                <w:szCs w:val="19"/>
              </w:rPr>
              <w:t>惠州市亨信生物科技有限公司</w:t>
            </w:r>
          </w:p>
        </w:tc>
        <w:tc>
          <w:tcPr>
            <w:tcW w:w="1476" w:type="dxa"/>
            <w:vAlign w:val="top"/>
          </w:tcPr>
          <w:p>
            <w:pPr>
              <w:pStyle w:val="TableText"/>
              <w:spacing w:before="122" w:line="183" w:lineRule="auto"/>
              <w:ind w:left="337"/>
              <w:rPr>
                <w:sz w:val="19"/>
                <w:szCs w:val="19"/>
              </w:rPr>
            </w:pPr>
            <w:r>
              <w:rPr>
                <w:spacing w:val="-1"/>
                <w:sz w:val="19"/>
                <w:szCs w:val="19"/>
              </w:rPr>
              <w:t>800,000.00</w:t>
            </w:r>
          </w:p>
        </w:tc>
        <w:tc>
          <w:tcPr>
            <w:tcW w:w="1564" w:type="dxa"/>
            <w:vAlign w:val="top"/>
          </w:tcPr>
          <w:p>
            <w:pPr>
              <w:pStyle w:val="TableText"/>
              <w:spacing w:before="134" w:line="183" w:lineRule="auto"/>
              <w:ind w:left="900"/>
              <w:rPr>
                <w:sz w:val="19"/>
                <w:szCs w:val="19"/>
              </w:rPr>
            </w:pPr>
            <w:r>
              <w:rPr>
                <w:spacing w:val="-2"/>
                <w:sz w:val="19"/>
                <w:szCs w:val="19"/>
              </w:rPr>
              <w:t>0.8974</w:t>
            </w:r>
          </w:p>
        </w:tc>
        <w:tc>
          <w:tcPr>
            <w:tcW w:w="1656" w:type="dxa"/>
            <w:vAlign w:val="top"/>
          </w:tcPr>
          <w:p>
            <w:pPr>
              <w:pStyle w:val="TableText"/>
              <w:spacing w:before="56" w:line="219" w:lineRule="auto"/>
              <w:ind w:left="63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300"/>
        </w:trPr>
        <w:tc>
          <w:tcPr>
            <w:tcW w:w="3973" w:type="dxa"/>
            <w:vAlign w:val="top"/>
          </w:tcPr>
          <w:p>
            <w:pPr>
              <w:pStyle w:val="TableText"/>
              <w:spacing w:before="71" w:line="212" w:lineRule="auto"/>
              <w:ind w:left="160"/>
              <w:rPr>
                <w:sz w:val="19"/>
                <w:szCs w:val="19"/>
              </w:rPr>
            </w:pPr>
            <w:r>
              <w:rPr>
                <w:spacing w:val="2"/>
                <w:sz w:val="19"/>
                <w:szCs w:val="19"/>
              </w:rPr>
              <w:t>东莞市浩烨贸易有限公司</w:t>
            </w:r>
          </w:p>
        </w:tc>
        <w:tc>
          <w:tcPr>
            <w:tcW w:w="1476" w:type="dxa"/>
            <w:vAlign w:val="top"/>
          </w:tcPr>
          <w:p>
            <w:pPr>
              <w:pStyle w:val="TableText"/>
              <w:spacing w:before="88" w:line="183" w:lineRule="auto"/>
              <w:ind w:left="337"/>
              <w:rPr>
                <w:sz w:val="19"/>
                <w:szCs w:val="19"/>
              </w:rPr>
            </w:pPr>
            <w:r>
              <w:rPr>
                <w:spacing w:val="-2"/>
                <w:sz w:val="19"/>
                <w:szCs w:val="19"/>
              </w:rPr>
              <w:t>740,000.00</w:t>
            </w:r>
          </w:p>
        </w:tc>
        <w:tc>
          <w:tcPr>
            <w:tcW w:w="1564" w:type="dxa"/>
            <w:vAlign w:val="top"/>
          </w:tcPr>
          <w:p>
            <w:pPr>
              <w:pStyle w:val="TableText"/>
              <w:spacing w:before="120" w:line="165" w:lineRule="auto"/>
              <w:ind w:left="890"/>
              <w:rPr>
                <w:sz w:val="19"/>
                <w:szCs w:val="19"/>
              </w:rPr>
            </w:pPr>
            <w:r>
              <w:rPr>
                <w:spacing w:val="-2"/>
                <w:sz w:val="19"/>
                <w:szCs w:val="19"/>
              </w:rPr>
              <w:t>0.8301</w:t>
            </w:r>
          </w:p>
        </w:tc>
        <w:tc>
          <w:tcPr>
            <w:tcW w:w="1656" w:type="dxa"/>
            <w:vAlign w:val="top"/>
          </w:tcPr>
          <w:p>
            <w:pPr>
              <w:pStyle w:val="TableText"/>
              <w:spacing w:before="61" w:line="219" w:lineRule="auto"/>
              <w:ind w:left="63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344"/>
        </w:trPr>
        <w:tc>
          <w:tcPr>
            <w:tcW w:w="3973" w:type="dxa"/>
            <w:vAlign w:val="top"/>
          </w:tcPr>
          <w:p>
            <w:pPr>
              <w:pStyle w:val="TableText"/>
              <w:spacing w:before="72" w:line="219" w:lineRule="auto"/>
              <w:ind w:left="129"/>
              <w:rPr>
                <w:sz w:val="19"/>
                <w:szCs w:val="19"/>
              </w:rPr>
            </w:pPr>
            <w:r>
              <w:rPr>
                <w:spacing w:val="2"/>
                <w:sz w:val="19"/>
                <w:szCs w:val="19"/>
              </w:rPr>
              <w:t>宁波正海聚锐创业投资合伙企业(有限合伙)</w:t>
            </w:r>
          </w:p>
        </w:tc>
        <w:tc>
          <w:tcPr>
            <w:tcW w:w="1476" w:type="dxa"/>
            <w:vAlign w:val="top"/>
          </w:tcPr>
          <w:p>
            <w:pPr>
              <w:pStyle w:val="TableText"/>
              <w:spacing w:before="118" w:line="183" w:lineRule="auto"/>
              <w:ind w:left="337"/>
              <w:rPr>
                <w:sz w:val="19"/>
                <w:szCs w:val="19"/>
              </w:rPr>
            </w:pPr>
            <w:r>
              <w:rPr>
                <w:spacing w:val="-1"/>
                <w:sz w:val="19"/>
                <w:szCs w:val="19"/>
              </w:rPr>
              <w:t>634,074.00</w:t>
            </w:r>
          </w:p>
        </w:tc>
        <w:tc>
          <w:tcPr>
            <w:tcW w:w="1564" w:type="dxa"/>
            <w:vAlign w:val="top"/>
          </w:tcPr>
          <w:p>
            <w:pPr>
              <w:pStyle w:val="TableText"/>
              <w:spacing w:before="149" w:line="179" w:lineRule="auto"/>
              <w:ind w:left="910"/>
              <w:rPr>
                <w:sz w:val="19"/>
                <w:szCs w:val="19"/>
              </w:rPr>
            </w:pPr>
            <w:r>
              <w:rPr>
                <w:spacing w:val="-2"/>
                <w:sz w:val="19"/>
                <w:szCs w:val="19"/>
              </w:rPr>
              <w:t>0.7112</w:t>
            </w:r>
          </w:p>
        </w:tc>
        <w:tc>
          <w:tcPr>
            <w:tcW w:w="1656" w:type="dxa"/>
            <w:vAlign w:val="top"/>
          </w:tcPr>
          <w:p>
            <w:pPr>
              <w:pStyle w:val="TableText"/>
              <w:spacing w:before="50" w:line="219" w:lineRule="auto"/>
              <w:ind w:left="1207"/>
              <w:rPr>
                <w:sz w:val="19"/>
                <w:szCs w:val="19"/>
              </w:rPr>
            </w:pPr>
            <w:r>
              <w:rPr>
                <w:spacing w:val="11"/>
                <w:sz w:val="19"/>
                <w:szCs w:val="19"/>
              </w:rPr>
              <w:t>货币</w:t>
            </w:r>
          </w:p>
        </w:tc>
      </w:tr>
      <w:tr>
        <w:tblPrEx>
          <w:tblW w:w="8669" w:type="dxa"/>
          <w:tblInd w:w="300" w:type="dxa"/>
          <w:tblLayout w:type="fixed"/>
          <w:tblCellMar>
            <w:top w:w="0" w:type="dxa"/>
            <w:left w:w="0" w:type="dxa"/>
            <w:bottom w:w="0" w:type="dxa"/>
            <w:right w:w="0" w:type="dxa"/>
          </w:tblCellMar>
        </w:tblPrEx>
        <w:trPr>
          <w:trHeight w:val="319"/>
        </w:trPr>
        <w:tc>
          <w:tcPr>
            <w:tcW w:w="3973" w:type="dxa"/>
            <w:vAlign w:val="top"/>
          </w:tcPr>
          <w:p>
            <w:pPr>
              <w:pStyle w:val="TableText"/>
              <w:spacing w:before="68" w:line="219" w:lineRule="auto"/>
              <w:ind w:left="160"/>
              <w:rPr>
                <w:sz w:val="19"/>
                <w:szCs w:val="19"/>
              </w:rPr>
            </w:pPr>
            <w:r>
              <w:rPr>
                <w:spacing w:val="8"/>
                <w:sz w:val="19"/>
                <w:szCs w:val="19"/>
              </w:rPr>
              <w:t>梁卫山</w:t>
            </w:r>
          </w:p>
        </w:tc>
        <w:tc>
          <w:tcPr>
            <w:tcW w:w="1476" w:type="dxa"/>
            <w:vAlign w:val="top"/>
          </w:tcPr>
          <w:p>
            <w:pPr>
              <w:pStyle w:val="TableText"/>
              <w:spacing w:before="94" w:line="183" w:lineRule="auto"/>
              <w:ind w:left="337"/>
              <w:rPr>
                <w:sz w:val="19"/>
                <w:szCs w:val="19"/>
              </w:rPr>
            </w:pPr>
            <w:r>
              <w:rPr>
                <w:spacing w:val="-1"/>
                <w:sz w:val="19"/>
                <w:szCs w:val="19"/>
              </w:rPr>
              <w:t>600,000.00</w:t>
            </w:r>
          </w:p>
        </w:tc>
        <w:tc>
          <w:tcPr>
            <w:tcW w:w="1564" w:type="dxa"/>
            <w:vAlign w:val="top"/>
          </w:tcPr>
          <w:p>
            <w:pPr>
              <w:pStyle w:val="TableText"/>
              <w:spacing w:before="126" w:line="177" w:lineRule="auto"/>
              <w:ind w:left="900"/>
              <w:rPr>
                <w:sz w:val="19"/>
                <w:szCs w:val="19"/>
              </w:rPr>
            </w:pPr>
            <w:r>
              <w:rPr>
                <w:spacing w:val="-2"/>
                <w:sz w:val="19"/>
                <w:szCs w:val="19"/>
              </w:rPr>
              <w:t>0.6730</w:t>
            </w:r>
          </w:p>
        </w:tc>
        <w:tc>
          <w:tcPr>
            <w:tcW w:w="1656" w:type="dxa"/>
            <w:vAlign w:val="top"/>
          </w:tcPr>
          <w:p>
            <w:pPr>
              <w:pStyle w:val="TableText"/>
              <w:spacing w:before="68" w:line="219" w:lineRule="auto"/>
              <w:ind w:left="63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305"/>
        </w:trPr>
        <w:tc>
          <w:tcPr>
            <w:tcW w:w="3973" w:type="dxa"/>
            <w:vAlign w:val="top"/>
          </w:tcPr>
          <w:p>
            <w:pPr>
              <w:pStyle w:val="TableText"/>
              <w:spacing w:before="68" w:line="219" w:lineRule="auto"/>
              <w:ind w:left="160"/>
              <w:rPr>
                <w:sz w:val="19"/>
                <w:szCs w:val="19"/>
              </w:rPr>
            </w:pPr>
            <w:r>
              <w:rPr>
                <w:spacing w:val="-2"/>
                <w:sz w:val="19"/>
                <w:szCs w:val="19"/>
              </w:rPr>
              <w:t>黄俊鸿</w:t>
            </w:r>
          </w:p>
        </w:tc>
        <w:tc>
          <w:tcPr>
            <w:tcW w:w="1476" w:type="dxa"/>
            <w:vAlign w:val="top"/>
          </w:tcPr>
          <w:p>
            <w:pPr>
              <w:pStyle w:val="TableText"/>
              <w:spacing w:before="105" w:line="183" w:lineRule="auto"/>
              <w:ind w:left="337"/>
              <w:rPr>
                <w:sz w:val="19"/>
                <w:szCs w:val="19"/>
              </w:rPr>
            </w:pPr>
            <w:r>
              <w:rPr>
                <w:spacing w:val="-2"/>
                <w:sz w:val="19"/>
                <w:szCs w:val="19"/>
              </w:rPr>
              <w:t>500,000.00</w:t>
            </w:r>
          </w:p>
        </w:tc>
        <w:tc>
          <w:tcPr>
            <w:tcW w:w="1564" w:type="dxa"/>
            <w:vAlign w:val="top"/>
          </w:tcPr>
          <w:p>
            <w:pPr>
              <w:pStyle w:val="TableText"/>
              <w:spacing w:before="117" w:line="172" w:lineRule="auto"/>
              <w:ind w:left="890"/>
              <w:rPr>
                <w:sz w:val="19"/>
                <w:szCs w:val="19"/>
              </w:rPr>
            </w:pPr>
            <w:r>
              <w:rPr>
                <w:spacing w:val="-2"/>
                <w:sz w:val="19"/>
                <w:szCs w:val="19"/>
              </w:rPr>
              <w:t>0.5608</w:t>
            </w:r>
          </w:p>
        </w:tc>
        <w:tc>
          <w:tcPr>
            <w:tcW w:w="1656" w:type="dxa"/>
            <w:vAlign w:val="top"/>
          </w:tcPr>
          <w:p>
            <w:pPr>
              <w:pStyle w:val="TableText"/>
              <w:spacing w:before="78" w:line="210" w:lineRule="auto"/>
              <w:ind w:left="63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325"/>
        </w:trPr>
        <w:tc>
          <w:tcPr>
            <w:tcW w:w="3973" w:type="dxa"/>
            <w:vAlign w:val="top"/>
          </w:tcPr>
          <w:p>
            <w:pPr>
              <w:pStyle w:val="TableText"/>
              <w:spacing w:before="52" w:line="219" w:lineRule="auto"/>
              <w:ind w:left="160"/>
              <w:rPr>
                <w:sz w:val="19"/>
                <w:szCs w:val="19"/>
              </w:rPr>
            </w:pPr>
            <w:r>
              <w:rPr>
                <w:spacing w:val="2"/>
                <w:sz w:val="19"/>
                <w:szCs w:val="19"/>
              </w:rPr>
              <w:t>惠州市本盛投资管理合伙企业(有限合伙)</w:t>
            </w:r>
          </w:p>
        </w:tc>
        <w:tc>
          <w:tcPr>
            <w:tcW w:w="1476" w:type="dxa"/>
            <w:vAlign w:val="top"/>
          </w:tcPr>
          <w:p>
            <w:pPr>
              <w:pStyle w:val="TableText"/>
              <w:spacing w:before="120" w:line="183" w:lineRule="auto"/>
              <w:ind w:left="337"/>
              <w:rPr>
                <w:sz w:val="19"/>
                <w:szCs w:val="19"/>
              </w:rPr>
            </w:pPr>
            <w:r>
              <w:rPr>
                <w:spacing w:val="-2"/>
                <w:sz w:val="19"/>
                <w:szCs w:val="19"/>
              </w:rPr>
              <w:t>500,000.00</w:t>
            </w:r>
          </w:p>
        </w:tc>
        <w:tc>
          <w:tcPr>
            <w:tcW w:w="1564" w:type="dxa"/>
            <w:vAlign w:val="top"/>
          </w:tcPr>
          <w:p>
            <w:pPr>
              <w:pStyle w:val="TableText"/>
              <w:spacing w:before="132" w:line="177" w:lineRule="auto"/>
              <w:ind w:left="890"/>
              <w:rPr>
                <w:sz w:val="19"/>
                <w:szCs w:val="19"/>
              </w:rPr>
            </w:pPr>
            <w:r>
              <w:rPr>
                <w:spacing w:val="-2"/>
                <w:sz w:val="19"/>
                <w:szCs w:val="19"/>
              </w:rPr>
              <w:t>0.5608</w:t>
            </w:r>
          </w:p>
        </w:tc>
        <w:tc>
          <w:tcPr>
            <w:tcW w:w="1656" w:type="dxa"/>
            <w:vAlign w:val="top"/>
          </w:tcPr>
          <w:p>
            <w:pPr>
              <w:pStyle w:val="TableText"/>
              <w:spacing w:before="73" w:line="219" w:lineRule="auto"/>
              <w:ind w:left="63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325"/>
        </w:trPr>
        <w:tc>
          <w:tcPr>
            <w:tcW w:w="3973" w:type="dxa"/>
            <w:vAlign w:val="top"/>
          </w:tcPr>
          <w:p>
            <w:pPr>
              <w:pStyle w:val="TableText"/>
              <w:spacing w:before="58" w:line="219" w:lineRule="auto"/>
              <w:ind w:left="160"/>
              <w:rPr>
                <w:sz w:val="19"/>
                <w:szCs w:val="19"/>
              </w:rPr>
            </w:pPr>
            <w:r>
              <w:rPr>
                <w:spacing w:val="-2"/>
                <w:sz w:val="19"/>
                <w:szCs w:val="19"/>
              </w:rPr>
              <w:t>林倩倩</w:t>
            </w:r>
          </w:p>
        </w:tc>
        <w:tc>
          <w:tcPr>
            <w:tcW w:w="1476" w:type="dxa"/>
            <w:vAlign w:val="top"/>
          </w:tcPr>
          <w:p>
            <w:pPr>
              <w:pStyle w:val="TableText"/>
              <w:spacing w:before="115" w:line="183" w:lineRule="auto"/>
              <w:ind w:left="337"/>
              <w:rPr>
                <w:sz w:val="19"/>
                <w:szCs w:val="19"/>
              </w:rPr>
            </w:pPr>
            <w:r>
              <w:rPr>
                <w:spacing w:val="-1"/>
                <w:sz w:val="19"/>
                <w:szCs w:val="19"/>
              </w:rPr>
              <w:t>490,000.00</w:t>
            </w:r>
          </w:p>
        </w:tc>
        <w:tc>
          <w:tcPr>
            <w:tcW w:w="1564" w:type="dxa"/>
            <w:vAlign w:val="top"/>
          </w:tcPr>
          <w:p>
            <w:pPr>
              <w:pStyle w:val="TableText"/>
              <w:spacing w:before="137" w:line="172" w:lineRule="auto"/>
              <w:ind w:left="890"/>
              <w:rPr>
                <w:sz w:val="19"/>
                <w:szCs w:val="19"/>
              </w:rPr>
            </w:pPr>
            <w:r>
              <w:rPr>
                <w:spacing w:val="-2"/>
                <w:sz w:val="19"/>
                <w:szCs w:val="19"/>
              </w:rPr>
              <w:t>0.5496</w:t>
            </w:r>
          </w:p>
        </w:tc>
        <w:tc>
          <w:tcPr>
            <w:tcW w:w="1656" w:type="dxa"/>
            <w:vAlign w:val="top"/>
          </w:tcPr>
          <w:p>
            <w:pPr>
              <w:pStyle w:val="TableText"/>
              <w:spacing w:before="69" w:line="219" w:lineRule="auto"/>
              <w:ind w:left="63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320"/>
        </w:trPr>
        <w:tc>
          <w:tcPr>
            <w:tcW w:w="3973" w:type="dxa"/>
            <w:vAlign w:val="top"/>
          </w:tcPr>
          <w:p>
            <w:pPr>
              <w:pStyle w:val="TableText"/>
              <w:spacing w:before="74" w:line="220" w:lineRule="auto"/>
              <w:ind w:left="160"/>
              <w:rPr>
                <w:sz w:val="19"/>
                <w:szCs w:val="19"/>
              </w:rPr>
            </w:pPr>
            <w:r>
              <w:rPr>
                <w:spacing w:val="-2"/>
                <w:sz w:val="19"/>
                <w:szCs w:val="19"/>
              </w:rPr>
              <w:t>鲍泽民</w:t>
            </w:r>
          </w:p>
        </w:tc>
        <w:tc>
          <w:tcPr>
            <w:tcW w:w="1476" w:type="dxa"/>
            <w:vAlign w:val="top"/>
          </w:tcPr>
          <w:p>
            <w:pPr>
              <w:pStyle w:val="TableText"/>
              <w:spacing w:before="120" w:line="183" w:lineRule="auto"/>
              <w:ind w:left="337"/>
              <w:rPr>
                <w:sz w:val="19"/>
                <w:szCs w:val="19"/>
              </w:rPr>
            </w:pPr>
            <w:r>
              <w:rPr>
                <w:spacing w:val="-1"/>
                <w:sz w:val="19"/>
                <w:szCs w:val="19"/>
              </w:rPr>
              <w:t>290,000.00</w:t>
            </w:r>
          </w:p>
        </w:tc>
        <w:tc>
          <w:tcPr>
            <w:tcW w:w="1564" w:type="dxa"/>
            <w:vAlign w:val="top"/>
          </w:tcPr>
          <w:p>
            <w:pPr>
              <w:pStyle w:val="TableText"/>
              <w:spacing w:before="132" w:line="172" w:lineRule="auto"/>
              <w:ind w:left="900"/>
              <w:rPr>
                <w:sz w:val="19"/>
                <w:szCs w:val="19"/>
              </w:rPr>
            </w:pPr>
            <w:r>
              <w:rPr>
                <w:spacing w:val="-2"/>
                <w:sz w:val="19"/>
                <w:szCs w:val="19"/>
              </w:rPr>
              <w:t>0.3253</w:t>
            </w:r>
          </w:p>
        </w:tc>
        <w:tc>
          <w:tcPr>
            <w:tcW w:w="1656" w:type="dxa"/>
            <w:vAlign w:val="top"/>
          </w:tcPr>
          <w:p>
            <w:pPr>
              <w:pStyle w:val="TableText"/>
              <w:spacing w:before="63" w:line="219" w:lineRule="auto"/>
              <w:ind w:left="63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318"/>
        </w:trPr>
        <w:tc>
          <w:tcPr>
            <w:tcW w:w="3973" w:type="dxa"/>
            <w:vAlign w:val="top"/>
          </w:tcPr>
          <w:p>
            <w:pPr>
              <w:pStyle w:val="TableText"/>
              <w:spacing w:before="64" w:line="219" w:lineRule="auto"/>
              <w:ind w:left="160"/>
              <w:rPr>
                <w:sz w:val="19"/>
                <w:szCs w:val="19"/>
              </w:rPr>
            </w:pPr>
            <w:r>
              <w:rPr>
                <w:spacing w:val="-2"/>
                <w:sz w:val="19"/>
                <w:szCs w:val="19"/>
              </w:rPr>
              <w:t>林楚琛</w:t>
            </w:r>
          </w:p>
        </w:tc>
        <w:tc>
          <w:tcPr>
            <w:tcW w:w="1476" w:type="dxa"/>
            <w:vAlign w:val="top"/>
          </w:tcPr>
          <w:p>
            <w:pPr>
              <w:pStyle w:val="TableText"/>
              <w:spacing w:before="100" w:line="183" w:lineRule="auto"/>
              <w:ind w:left="337"/>
              <w:rPr>
                <w:sz w:val="19"/>
                <w:szCs w:val="19"/>
              </w:rPr>
            </w:pPr>
            <w:r>
              <w:rPr>
                <w:spacing w:val="-1"/>
                <w:sz w:val="19"/>
                <w:szCs w:val="19"/>
              </w:rPr>
              <w:t>205,000.00</w:t>
            </w:r>
          </w:p>
        </w:tc>
        <w:tc>
          <w:tcPr>
            <w:tcW w:w="1564" w:type="dxa"/>
            <w:vAlign w:val="top"/>
          </w:tcPr>
          <w:p>
            <w:pPr>
              <w:pStyle w:val="TableText"/>
              <w:spacing w:before="133" w:line="170" w:lineRule="auto"/>
              <w:ind w:left="900"/>
              <w:rPr>
                <w:sz w:val="19"/>
                <w:szCs w:val="19"/>
              </w:rPr>
            </w:pPr>
            <w:r>
              <w:rPr>
                <w:spacing w:val="-2"/>
                <w:sz w:val="19"/>
                <w:szCs w:val="19"/>
              </w:rPr>
              <w:t>0.2299</w:t>
            </w:r>
          </w:p>
        </w:tc>
        <w:tc>
          <w:tcPr>
            <w:tcW w:w="1656" w:type="dxa"/>
            <w:vAlign w:val="top"/>
          </w:tcPr>
          <w:p>
            <w:pPr>
              <w:pStyle w:val="TableText"/>
              <w:spacing w:before="53" w:line="219" w:lineRule="auto"/>
              <w:ind w:left="63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316"/>
        </w:trPr>
        <w:tc>
          <w:tcPr>
            <w:tcW w:w="3973" w:type="dxa"/>
            <w:vAlign w:val="top"/>
          </w:tcPr>
          <w:p>
            <w:pPr>
              <w:pStyle w:val="TableText"/>
              <w:spacing w:before="64" w:line="219" w:lineRule="auto"/>
              <w:ind w:left="119"/>
              <w:rPr>
                <w:sz w:val="19"/>
                <w:szCs w:val="19"/>
              </w:rPr>
            </w:pPr>
            <w:r>
              <w:rPr>
                <w:spacing w:val="2"/>
                <w:sz w:val="19"/>
                <w:szCs w:val="19"/>
              </w:rPr>
              <w:t>惠州市信天达投资管理合伙企业(有限合伙)</w:t>
            </w:r>
          </w:p>
        </w:tc>
        <w:tc>
          <w:tcPr>
            <w:tcW w:w="1476" w:type="dxa"/>
            <w:vAlign w:val="top"/>
          </w:tcPr>
          <w:p>
            <w:pPr>
              <w:pStyle w:val="TableText"/>
              <w:spacing w:before="111" w:line="184" w:lineRule="auto"/>
              <w:ind w:left="337"/>
              <w:rPr>
                <w:sz w:val="19"/>
                <w:szCs w:val="19"/>
              </w:rPr>
            </w:pPr>
            <w:r>
              <w:rPr>
                <w:spacing w:val="-3"/>
                <w:sz w:val="19"/>
                <w:szCs w:val="19"/>
              </w:rPr>
              <w:t>150,000.00</w:t>
            </w:r>
          </w:p>
        </w:tc>
        <w:tc>
          <w:tcPr>
            <w:tcW w:w="1564" w:type="dxa"/>
            <w:vAlign w:val="top"/>
          </w:tcPr>
          <w:p>
            <w:pPr>
              <w:pStyle w:val="TableText"/>
              <w:spacing w:before="134" w:line="167" w:lineRule="auto"/>
              <w:ind w:left="900"/>
              <w:rPr>
                <w:sz w:val="19"/>
                <w:szCs w:val="19"/>
              </w:rPr>
            </w:pPr>
            <w:r>
              <w:rPr>
                <w:spacing w:val="-2"/>
                <w:sz w:val="19"/>
                <w:szCs w:val="19"/>
              </w:rPr>
              <w:t>0.1683</w:t>
            </w:r>
          </w:p>
        </w:tc>
        <w:tc>
          <w:tcPr>
            <w:tcW w:w="1656" w:type="dxa"/>
            <w:vAlign w:val="top"/>
          </w:tcPr>
          <w:p>
            <w:pPr>
              <w:pStyle w:val="TableText"/>
              <w:spacing w:before="85" w:line="214" w:lineRule="auto"/>
              <w:ind w:left="63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320"/>
        </w:trPr>
        <w:tc>
          <w:tcPr>
            <w:tcW w:w="3973" w:type="dxa"/>
            <w:vAlign w:val="top"/>
          </w:tcPr>
          <w:p>
            <w:pPr>
              <w:pStyle w:val="TableText"/>
              <w:spacing w:before="79" w:line="219" w:lineRule="auto"/>
              <w:ind w:left="160"/>
              <w:rPr>
                <w:sz w:val="19"/>
                <w:szCs w:val="19"/>
              </w:rPr>
            </w:pPr>
            <w:r>
              <w:rPr>
                <w:spacing w:val="-2"/>
                <w:sz w:val="19"/>
                <w:szCs w:val="19"/>
              </w:rPr>
              <w:t>林翠君</w:t>
            </w:r>
          </w:p>
        </w:tc>
        <w:tc>
          <w:tcPr>
            <w:tcW w:w="1476" w:type="dxa"/>
            <w:vAlign w:val="top"/>
          </w:tcPr>
          <w:p>
            <w:pPr>
              <w:pStyle w:val="TableText"/>
              <w:spacing w:before="115" w:line="184" w:lineRule="auto"/>
              <w:ind w:left="337"/>
              <w:rPr>
                <w:sz w:val="19"/>
                <w:szCs w:val="19"/>
              </w:rPr>
            </w:pPr>
            <w:r>
              <w:rPr>
                <w:spacing w:val="-3"/>
                <w:sz w:val="19"/>
                <w:szCs w:val="19"/>
              </w:rPr>
              <w:t>100,000.00</w:t>
            </w:r>
          </w:p>
        </w:tc>
        <w:tc>
          <w:tcPr>
            <w:tcW w:w="1564" w:type="dxa"/>
            <w:vAlign w:val="top"/>
          </w:tcPr>
          <w:p>
            <w:pPr>
              <w:pStyle w:val="TableText"/>
              <w:spacing w:before="138" w:line="167" w:lineRule="auto"/>
              <w:ind w:left="900"/>
              <w:rPr>
                <w:sz w:val="19"/>
                <w:szCs w:val="19"/>
              </w:rPr>
            </w:pPr>
            <w:r>
              <w:rPr>
                <w:spacing w:val="-2"/>
                <w:sz w:val="19"/>
                <w:szCs w:val="19"/>
              </w:rPr>
              <w:t>0.1122</w:t>
            </w:r>
          </w:p>
        </w:tc>
        <w:tc>
          <w:tcPr>
            <w:tcW w:w="1656" w:type="dxa"/>
            <w:vAlign w:val="top"/>
          </w:tcPr>
          <w:p>
            <w:pPr>
              <w:pStyle w:val="TableText"/>
              <w:spacing w:before="59" w:line="219" w:lineRule="auto"/>
              <w:ind w:left="63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293"/>
        </w:trPr>
        <w:tc>
          <w:tcPr>
            <w:tcW w:w="3973" w:type="dxa"/>
            <w:tcBorders>
              <w:bottom w:val="single" w:sz="4" w:space="0" w:color="000000"/>
            </w:tcBorders>
            <w:vAlign w:val="top"/>
          </w:tcPr>
          <w:p>
            <w:pPr>
              <w:pStyle w:val="TableText"/>
              <w:spacing w:before="68" w:line="208" w:lineRule="auto"/>
              <w:ind w:left="89"/>
              <w:rPr>
                <w:sz w:val="19"/>
                <w:szCs w:val="19"/>
              </w:rPr>
            </w:pPr>
            <w:r>
              <w:rPr>
                <w:spacing w:val="2"/>
                <w:sz w:val="19"/>
                <w:szCs w:val="19"/>
              </w:rPr>
              <w:t>惠州市鑫意诚投资管理合伙企业(有限合伙)</w:t>
            </w:r>
          </w:p>
        </w:tc>
        <w:tc>
          <w:tcPr>
            <w:tcW w:w="1476" w:type="dxa"/>
            <w:tcBorders>
              <w:bottom w:val="single" w:sz="4" w:space="0" w:color="000000"/>
            </w:tcBorders>
            <w:vAlign w:val="top"/>
          </w:tcPr>
          <w:p>
            <w:pPr>
              <w:pStyle w:val="TableText"/>
              <w:spacing w:before="126" w:line="156" w:lineRule="exact"/>
              <w:ind w:left="427"/>
              <w:rPr>
                <w:sz w:val="19"/>
                <w:szCs w:val="19"/>
              </w:rPr>
            </w:pPr>
            <w:r>
              <w:rPr>
                <w:spacing w:val="-2"/>
                <w:position w:val="-1"/>
                <w:sz w:val="19"/>
                <w:szCs w:val="19"/>
              </w:rPr>
              <w:t>50,000.00</w:t>
            </w:r>
          </w:p>
        </w:tc>
        <w:tc>
          <w:tcPr>
            <w:tcW w:w="1564" w:type="dxa"/>
            <w:tcBorders>
              <w:bottom w:val="single" w:sz="4" w:space="0" w:color="000000"/>
            </w:tcBorders>
            <w:vAlign w:val="top"/>
          </w:tcPr>
          <w:p>
            <w:pPr>
              <w:pStyle w:val="TableText"/>
              <w:spacing w:before="138" w:line="144" w:lineRule="exact"/>
              <w:ind w:left="890"/>
              <w:rPr>
                <w:sz w:val="19"/>
                <w:szCs w:val="19"/>
              </w:rPr>
            </w:pPr>
            <w:r>
              <w:rPr>
                <w:spacing w:val="-2"/>
                <w:position w:val="-2"/>
                <w:sz w:val="19"/>
                <w:szCs w:val="19"/>
              </w:rPr>
              <w:t>0.0561</w:t>
            </w:r>
          </w:p>
        </w:tc>
        <w:tc>
          <w:tcPr>
            <w:tcW w:w="1656" w:type="dxa"/>
            <w:tcBorders>
              <w:bottom w:val="single" w:sz="4" w:space="0" w:color="000000"/>
            </w:tcBorders>
            <w:vAlign w:val="top"/>
          </w:tcPr>
          <w:p>
            <w:pPr>
              <w:pStyle w:val="TableText"/>
              <w:spacing w:before="59" w:line="217" w:lineRule="auto"/>
              <w:ind w:left="637"/>
              <w:rPr>
                <w:sz w:val="19"/>
                <w:szCs w:val="19"/>
              </w:rPr>
            </w:pPr>
            <w:r>
              <w:rPr>
                <w:spacing w:val="-2"/>
                <w:sz w:val="19"/>
                <w:szCs w:val="19"/>
              </w:rPr>
              <w:t>净资产折股</w:t>
            </w:r>
          </w:p>
        </w:tc>
      </w:tr>
      <w:tr>
        <w:tblPrEx>
          <w:tblW w:w="8669" w:type="dxa"/>
          <w:tblInd w:w="300" w:type="dxa"/>
          <w:tblLayout w:type="fixed"/>
          <w:tblCellMar>
            <w:top w:w="0" w:type="dxa"/>
            <w:left w:w="0" w:type="dxa"/>
            <w:bottom w:w="0" w:type="dxa"/>
            <w:right w:w="0" w:type="dxa"/>
          </w:tblCellMar>
        </w:tblPrEx>
        <w:trPr>
          <w:trHeight w:val="354"/>
        </w:trPr>
        <w:tc>
          <w:tcPr>
            <w:tcW w:w="3973" w:type="dxa"/>
            <w:tcBorders>
              <w:top w:val="single" w:sz="4" w:space="0" w:color="000000"/>
              <w:bottom w:val="single" w:sz="4" w:space="0" w:color="000000"/>
            </w:tcBorders>
            <w:vAlign w:val="top"/>
          </w:tcPr>
          <w:p>
            <w:pPr>
              <w:pStyle w:val="TableText"/>
              <w:spacing w:before="87" w:line="221" w:lineRule="auto"/>
              <w:ind w:left="160"/>
              <w:rPr>
                <w:sz w:val="19"/>
                <w:szCs w:val="19"/>
              </w:rPr>
            </w:pPr>
            <w:r>
              <w:rPr>
                <w:spacing w:val="-5"/>
                <w:sz w:val="19"/>
                <w:szCs w:val="19"/>
              </w:rPr>
              <w:t>合</w:t>
            </w:r>
            <w:r>
              <w:rPr>
                <w:spacing w:val="8"/>
                <w:sz w:val="19"/>
                <w:szCs w:val="19"/>
              </w:rPr>
              <w:t xml:space="preserve"> </w:t>
            </w:r>
            <w:r>
              <w:rPr>
                <w:spacing w:val="-5"/>
                <w:sz w:val="19"/>
                <w:szCs w:val="19"/>
              </w:rPr>
              <w:t>计</w:t>
            </w:r>
          </w:p>
        </w:tc>
        <w:tc>
          <w:tcPr>
            <w:tcW w:w="1476" w:type="dxa"/>
            <w:tcBorders>
              <w:top w:val="single" w:sz="4" w:space="0" w:color="000000"/>
              <w:bottom w:val="single" w:sz="4" w:space="0" w:color="000000"/>
            </w:tcBorders>
            <w:vAlign w:val="top"/>
          </w:tcPr>
          <w:p>
            <w:pPr>
              <w:pStyle w:val="TableText"/>
              <w:spacing w:before="109" w:line="184" w:lineRule="auto"/>
              <w:ind w:left="209"/>
              <w:rPr>
                <w:sz w:val="19"/>
                <w:szCs w:val="19"/>
              </w:rPr>
            </w:pPr>
            <w:r>
              <w:rPr>
                <w:b/>
                <w:bCs/>
                <w:spacing w:val="-5"/>
                <w:sz w:val="19"/>
                <w:szCs w:val="19"/>
              </w:rPr>
              <w:t>89,150,815.00</w:t>
            </w:r>
          </w:p>
        </w:tc>
        <w:tc>
          <w:tcPr>
            <w:tcW w:w="1564" w:type="dxa"/>
            <w:tcBorders>
              <w:top w:val="single" w:sz="4" w:space="0" w:color="000000"/>
              <w:bottom w:val="single" w:sz="4" w:space="0" w:color="000000"/>
            </w:tcBorders>
            <w:vAlign w:val="top"/>
          </w:tcPr>
          <w:p>
            <w:pPr>
              <w:pStyle w:val="TableText"/>
              <w:spacing w:before="132" w:line="184" w:lineRule="auto"/>
              <w:ind w:left="883"/>
              <w:rPr>
                <w:sz w:val="19"/>
                <w:szCs w:val="19"/>
              </w:rPr>
            </w:pPr>
            <w:r>
              <w:rPr>
                <w:b/>
                <w:bCs/>
                <w:spacing w:val="-5"/>
                <w:sz w:val="19"/>
                <w:szCs w:val="19"/>
              </w:rPr>
              <w:t>100.00</w:t>
            </w:r>
          </w:p>
        </w:tc>
        <w:tc>
          <w:tcPr>
            <w:tcW w:w="1656" w:type="dxa"/>
            <w:tcBorders>
              <w:top w:val="single" w:sz="4" w:space="0" w:color="000000"/>
              <w:bottom w:val="single" w:sz="4" w:space="0" w:color="000000"/>
            </w:tcBorders>
            <w:vAlign w:val="top"/>
          </w:tcPr>
          <w:p/>
        </w:tc>
      </w:tr>
    </w:tbl>
    <w:p>
      <w:pPr>
        <w:spacing w:before="152" w:line="232" w:lineRule="auto"/>
        <w:ind w:left="379" w:right="1106"/>
        <w:rPr>
          <w:rFonts w:ascii="仿宋" w:eastAsia="仿宋" w:hAnsi="仿宋" w:cs="仿宋"/>
          <w:sz w:val="22"/>
          <w:szCs w:val="22"/>
        </w:rPr>
      </w:pPr>
      <w:r>
        <w:rPr>
          <w:rFonts w:ascii="仿宋" w:eastAsia="仿宋" w:hAnsi="仿宋" w:cs="仿宋"/>
          <w:spacing w:val="3"/>
          <w:sz w:val="22"/>
          <w:szCs w:val="22"/>
        </w:rPr>
        <w:t>本公司建立了股东大会、董事会、监事会的法人治理结构，目前设总经理办公室、营销</w:t>
      </w:r>
      <w:r>
        <w:rPr>
          <w:rFonts w:ascii="仿宋" w:eastAsia="仿宋" w:hAnsi="仿宋" w:cs="仿宋"/>
          <w:spacing w:val="8"/>
          <w:sz w:val="22"/>
          <w:szCs w:val="22"/>
        </w:rPr>
        <w:t xml:space="preserve"> </w:t>
      </w:r>
      <w:r>
        <w:rPr>
          <w:rFonts w:ascii="仿宋" w:eastAsia="仿宋" w:hAnsi="仿宋" w:cs="仿宋"/>
          <w:spacing w:val="1"/>
          <w:sz w:val="22"/>
          <w:szCs w:val="22"/>
        </w:rPr>
        <w:t>部、生产部、财务部等部门。</w:t>
      </w:r>
    </w:p>
    <w:p>
      <w:pPr>
        <w:spacing w:before="255" w:line="228" w:lineRule="auto"/>
        <w:ind w:left="379" w:right="1114"/>
        <w:rPr>
          <w:rFonts w:ascii="仿宋" w:eastAsia="仿宋" w:hAnsi="仿宋" w:cs="仿宋"/>
          <w:sz w:val="22"/>
          <w:szCs w:val="22"/>
        </w:rPr>
      </w:pPr>
      <w:r>
        <w:rPr>
          <w:rFonts w:ascii="仿宋" w:eastAsia="仿宋" w:hAnsi="仿宋" w:cs="仿宋"/>
          <w:spacing w:val="12"/>
          <w:sz w:val="22"/>
          <w:szCs w:val="22"/>
        </w:rPr>
        <w:t>本公司业务性质和主要经营活动(经营范围):从事环保型</w:t>
      </w:r>
      <w:r>
        <w:rPr>
          <w:rFonts w:ascii="仿宋" w:eastAsia="仿宋" w:hAnsi="仿宋" w:cs="仿宋"/>
          <w:spacing w:val="11"/>
          <w:sz w:val="22"/>
          <w:szCs w:val="22"/>
        </w:rPr>
        <w:t>复合材料塑木型材制品的研</w:t>
      </w:r>
      <w:r>
        <w:rPr>
          <w:rFonts w:ascii="仿宋" w:eastAsia="仿宋" w:hAnsi="仿宋" w:cs="仿宋"/>
          <w:sz w:val="22"/>
          <w:szCs w:val="22"/>
        </w:rPr>
        <w:t xml:space="preserve"> </w:t>
      </w:r>
      <w:r>
        <w:rPr>
          <w:rFonts w:ascii="仿宋" w:eastAsia="仿宋" w:hAnsi="仿宋" w:cs="仿宋"/>
          <w:spacing w:val="-6"/>
          <w:sz w:val="22"/>
          <w:szCs w:val="22"/>
        </w:rPr>
        <w:t>发、生产及销售。</w:t>
      </w:r>
    </w:p>
    <w:p>
      <w:pPr>
        <w:spacing w:before="243" w:line="220" w:lineRule="auto"/>
        <w:ind w:left="93"/>
        <w:rPr>
          <w:rFonts w:ascii="仿宋" w:eastAsia="仿宋" w:hAnsi="仿宋" w:cs="仿宋"/>
          <w:sz w:val="22"/>
          <w:szCs w:val="22"/>
        </w:rPr>
      </w:pPr>
      <w:r>
        <w:rPr>
          <w:rFonts w:ascii="仿宋" w:eastAsia="仿宋" w:hAnsi="仿宋" w:cs="仿宋"/>
          <w:b/>
          <w:bCs/>
          <w:spacing w:val="7"/>
          <w:sz w:val="22"/>
          <w:szCs w:val="22"/>
        </w:rPr>
        <w:t>(二)公司主要会计政策、会计估计和合并财务报表编制方法</w:t>
      </w:r>
    </w:p>
    <w:p>
      <w:pPr>
        <w:spacing w:before="251" w:line="462" w:lineRule="exact"/>
        <w:ind w:left="379"/>
        <w:rPr>
          <w:rFonts w:ascii="仿宋" w:eastAsia="仿宋" w:hAnsi="仿宋" w:cs="仿宋"/>
          <w:sz w:val="22"/>
          <w:szCs w:val="22"/>
        </w:rPr>
      </w:pPr>
      <w:r>
        <w:rPr>
          <w:rFonts w:ascii="仿宋" w:eastAsia="仿宋" w:hAnsi="仿宋" w:cs="仿宋"/>
          <w:spacing w:val="5"/>
          <w:position w:val="18"/>
          <w:sz w:val="22"/>
          <w:szCs w:val="22"/>
        </w:rPr>
        <w:t>本公司根据自身生产经营特点，确定固定资产折旧、无形资产摊销以及收入确认政策。</w:t>
      </w:r>
    </w:p>
    <w:p>
      <w:pPr>
        <w:spacing w:before="1" w:line="222" w:lineRule="auto"/>
        <w:rPr>
          <w:rFonts w:ascii="仿宋" w:eastAsia="仿宋" w:hAnsi="仿宋" w:cs="仿宋"/>
          <w:sz w:val="22"/>
          <w:szCs w:val="22"/>
        </w:rPr>
      </w:pPr>
      <w:r>
        <w:rPr>
          <w:rFonts w:ascii="仿宋" w:eastAsia="仿宋" w:hAnsi="仿宋" w:cs="仿宋"/>
          <w:spacing w:val="-1"/>
          <w:sz w:val="22"/>
          <w:szCs w:val="22"/>
        </w:rPr>
        <w:t>1、</w:t>
      </w:r>
      <w:r>
        <w:rPr>
          <w:rFonts w:ascii="仿宋" w:eastAsia="仿宋" w:hAnsi="仿宋" w:cs="仿宋"/>
          <w:spacing w:val="-59"/>
          <w:sz w:val="22"/>
          <w:szCs w:val="22"/>
        </w:rPr>
        <w:t xml:space="preserve"> </w:t>
      </w:r>
      <w:r>
        <w:rPr>
          <w:rFonts w:ascii="仿宋" w:eastAsia="仿宋" w:hAnsi="仿宋" w:cs="仿宋"/>
          <w:spacing w:val="-1"/>
          <w:sz w:val="22"/>
          <w:szCs w:val="22"/>
        </w:rPr>
        <w:t>遵循企业会计准则的声明</w:t>
      </w:r>
    </w:p>
    <w:p>
      <w:pPr>
        <w:pStyle w:val="BodyText"/>
        <w:spacing w:line="256" w:lineRule="auto"/>
      </w:pPr>
    </w:p>
    <w:p>
      <w:pPr>
        <w:pStyle w:val="BodyText"/>
        <w:spacing w:line="257" w:lineRule="auto"/>
      </w:pPr>
    </w:p>
    <w:p>
      <w:pPr>
        <w:pStyle w:val="BodyText"/>
        <w:spacing w:line="257" w:lineRule="auto"/>
      </w:pPr>
    </w:p>
    <w:p>
      <w:pPr>
        <w:pStyle w:val="BodyText"/>
        <w:spacing w:line="257" w:lineRule="auto"/>
      </w:pPr>
    </w:p>
    <w:p>
      <w:pPr>
        <w:spacing w:before="45" w:line="184" w:lineRule="auto"/>
        <w:ind w:left="4539"/>
        <w:rPr>
          <w:rFonts w:ascii="宋体" w:eastAsia="宋体" w:hAnsi="宋体" w:cs="宋体"/>
          <w:sz w:val="14"/>
          <w:szCs w:val="14"/>
        </w:rPr>
      </w:pPr>
      <w:r>
        <w:rPr>
          <w:rFonts w:ascii="宋体" w:eastAsia="宋体" w:hAnsi="宋体" w:cs="宋体"/>
          <w:spacing w:val="-4"/>
          <w:sz w:val="14"/>
          <w:szCs w:val="14"/>
        </w:rPr>
        <w:t>13</w:t>
      </w:r>
    </w:p>
    <w:p>
      <w:pPr>
        <w:pStyle w:val="BodyText"/>
        <w:spacing w:line="304" w:lineRule="auto"/>
      </w:pPr>
    </w:p>
    <w:p>
      <w:pPr>
        <w:pStyle w:val="BodyText"/>
        <w:spacing w:line="305" w:lineRule="auto"/>
      </w:pPr>
    </w:p>
    <w:p>
      <w:pPr>
        <w:spacing w:before="63" w:line="184" w:lineRule="auto"/>
        <w:ind w:left="4130"/>
        <w:rPr>
          <w:rFonts w:ascii="宋体" w:eastAsia="宋体" w:hAnsi="宋体" w:cs="宋体"/>
          <w:sz w:val="19"/>
          <w:szCs w:val="19"/>
        </w:rPr>
      </w:pPr>
      <w:r>
        <w:rPr>
          <w:rFonts w:ascii="宋体" w:eastAsia="宋体" w:hAnsi="宋体" w:cs="宋体"/>
          <w:spacing w:val="-5"/>
          <w:sz w:val="19"/>
          <w:szCs w:val="19"/>
        </w:rPr>
        <w:t>3-2-3-15</w:t>
      </w:r>
    </w:p>
    <w:p>
      <w:pPr>
        <w:spacing w:line="184" w:lineRule="auto"/>
        <w:rPr>
          <w:rFonts w:ascii="宋体" w:eastAsia="宋体" w:hAnsi="宋体" w:cs="宋体"/>
          <w:sz w:val="19"/>
          <w:szCs w:val="19"/>
        </w:rPr>
        <w:sectPr>
          <w:headerReference w:type="default" r:id="rId16"/>
          <w:pgSz w:w="11900" w:h="16820"/>
          <w:pgMar w:top="400" w:right="429" w:bottom="0" w:left="1499" w:header="0" w:footer="0" w:gutter="0"/>
          <w:pgNumType w:start="17"/>
          <w:cols w:num="1" w:space="720"/>
        </w:sectPr>
      </w:pPr>
    </w:p>
    <w:p>
      <w:pPr>
        <w:pStyle w:val="BodyText"/>
        <w:spacing w:line="306" w:lineRule="auto"/>
      </w:pPr>
    </w:p>
    <w:p>
      <w:pPr>
        <w:pStyle w:val="BodyText"/>
        <w:spacing w:line="307" w:lineRule="auto"/>
      </w:pPr>
    </w:p>
    <w:p>
      <w:pPr>
        <w:pStyle w:val="BodyText"/>
        <w:spacing w:line="307" w:lineRule="auto"/>
      </w:pPr>
    </w:p>
    <w:p>
      <w:pPr>
        <w:spacing w:before="71" w:line="222" w:lineRule="auto"/>
        <w:ind w:left="9"/>
        <w:rPr>
          <w:rFonts w:ascii="仿宋" w:eastAsia="仿宋" w:hAnsi="仿宋" w:cs="仿宋"/>
          <w:sz w:val="22"/>
          <w:szCs w:val="22"/>
        </w:rPr>
      </w:pPr>
      <w:r>
        <w:rPr>
          <w:rFonts w:ascii="仿宋" w:eastAsia="仿宋" w:hAnsi="仿宋" w:cs="仿宋"/>
          <w:spacing w:val="1"/>
          <w:sz w:val="22"/>
          <w:szCs w:val="22"/>
        </w:rPr>
        <w:t>美新科技股份有限公司</w:t>
      </w:r>
    </w:p>
    <w:p>
      <w:pPr>
        <w:spacing w:before="32" w:line="220" w:lineRule="auto"/>
        <w:ind w:left="9"/>
        <w:rPr>
          <w:rFonts w:ascii="仿宋" w:eastAsia="仿宋" w:hAnsi="仿宋" w:cs="仿宋"/>
          <w:sz w:val="22"/>
          <w:szCs w:val="22"/>
        </w:rPr>
      </w:pPr>
      <w:r>
        <w:rPr>
          <w:rFonts w:ascii="仿宋" w:eastAsia="仿宋" w:hAnsi="仿宋" w:cs="仿宋"/>
          <w:spacing w:val="3"/>
          <w:sz w:val="22"/>
          <w:szCs w:val="22"/>
        </w:rPr>
        <w:t>盈利预测的编制基础、假设和编制说明</w:t>
      </w:r>
    </w:p>
    <w:p>
      <w:pPr>
        <w:spacing w:before="28" w:line="221" w:lineRule="auto"/>
        <w:ind w:left="9"/>
        <w:rPr>
          <w:rFonts w:ascii="仿宋" w:eastAsia="仿宋" w:hAnsi="仿宋" w:cs="仿宋"/>
          <w:sz w:val="22"/>
          <w:szCs w:val="22"/>
        </w:rPr>
      </w:pPr>
      <w:r>
        <w:rPr>
          <w:rFonts w:ascii="仿宋" w:eastAsia="仿宋" w:hAnsi="仿宋" w:cs="仿宋"/>
          <w:spacing w:val="11"/>
          <w:sz w:val="22"/>
          <w:szCs w:val="22"/>
        </w:rPr>
        <w:t>2023年度(除特别注明外，金额单位为人民币万元)</w:t>
      </w:r>
    </w:p>
    <w:p>
      <w:pPr>
        <w:spacing w:before="41" w:line="20" w:lineRule="exact"/>
      </w:pPr>
    </w:p>
    <w:p>
      <w:pPr>
        <w:spacing w:before="265" w:line="223" w:lineRule="auto"/>
        <w:ind w:left="399" w:right="1125"/>
        <w:rPr>
          <w:rFonts w:ascii="仿宋" w:eastAsia="仿宋" w:hAnsi="仿宋" w:cs="仿宋"/>
          <w:sz w:val="22"/>
          <w:szCs w:val="22"/>
        </w:rPr>
      </w:pPr>
      <w:r>
        <w:rPr>
          <w:rFonts w:ascii="仿宋" w:eastAsia="仿宋" w:hAnsi="仿宋" w:cs="仿宋"/>
          <w:spacing w:val="7"/>
          <w:sz w:val="22"/>
          <w:szCs w:val="22"/>
        </w:rPr>
        <w:t>本审核报告符合企业会计准则的要求，真实、完整地反映了本公司2022年度、2023年</w:t>
      </w:r>
      <w:r>
        <w:rPr>
          <w:rFonts w:ascii="仿宋" w:eastAsia="仿宋" w:hAnsi="仿宋" w:cs="仿宋"/>
          <w:spacing w:val="16"/>
          <w:sz w:val="22"/>
          <w:szCs w:val="22"/>
        </w:rPr>
        <w:t xml:space="preserve"> </w:t>
      </w:r>
      <w:r>
        <w:rPr>
          <w:rFonts w:ascii="仿宋" w:eastAsia="仿宋" w:hAnsi="仿宋" w:cs="仿宋"/>
          <w:spacing w:val="-7"/>
          <w:sz w:val="22"/>
          <w:szCs w:val="22"/>
        </w:rPr>
        <w:t>的合并经营成果。</w:t>
      </w:r>
    </w:p>
    <w:p>
      <w:pPr>
        <w:spacing w:before="251" w:line="222" w:lineRule="auto"/>
        <w:ind w:left="9"/>
        <w:rPr>
          <w:rFonts w:ascii="仿宋" w:eastAsia="仿宋" w:hAnsi="仿宋" w:cs="仿宋"/>
          <w:sz w:val="22"/>
          <w:szCs w:val="22"/>
        </w:rPr>
      </w:pPr>
      <w:r>
        <w:rPr>
          <w:rFonts w:ascii="仿宋" w:eastAsia="仿宋" w:hAnsi="仿宋" w:cs="仿宋"/>
          <w:spacing w:val="2"/>
          <w:sz w:val="22"/>
          <w:szCs w:val="22"/>
        </w:rPr>
        <w:t>2、会计期间</w:t>
      </w:r>
    </w:p>
    <w:p>
      <w:pPr>
        <w:spacing w:before="245" w:line="471" w:lineRule="exact"/>
        <w:ind w:left="399"/>
        <w:rPr>
          <w:rFonts w:ascii="仿宋" w:eastAsia="仿宋" w:hAnsi="仿宋" w:cs="仿宋"/>
          <w:sz w:val="22"/>
          <w:szCs w:val="22"/>
        </w:rPr>
      </w:pPr>
      <w:r>
        <w:rPr>
          <w:rFonts w:ascii="仿宋" w:eastAsia="仿宋" w:hAnsi="仿宋" w:cs="仿宋"/>
          <w:spacing w:val="15"/>
          <w:position w:val="19"/>
          <w:sz w:val="22"/>
          <w:szCs w:val="22"/>
        </w:rPr>
        <w:t>本公司会计期间采用公历年度，即每年自1月1日起至12月31日</w:t>
      </w:r>
      <w:r>
        <w:rPr>
          <w:rFonts w:ascii="仿宋" w:eastAsia="仿宋" w:hAnsi="仿宋" w:cs="仿宋"/>
          <w:spacing w:val="14"/>
          <w:position w:val="19"/>
          <w:sz w:val="22"/>
          <w:szCs w:val="22"/>
        </w:rPr>
        <w:t>止。</w:t>
      </w:r>
    </w:p>
    <w:p>
      <w:pPr>
        <w:spacing w:line="223" w:lineRule="auto"/>
        <w:ind w:left="9"/>
        <w:rPr>
          <w:rFonts w:ascii="仿宋" w:eastAsia="仿宋" w:hAnsi="仿宋" w:cs="仿宋"/>
          <w:sz w:val="22"/>
          <w:szCs w:val="22"/>
        </w:rPr>
      </w:pPr>
      <w:r>
        <w:rPr>
          <w:rFonts w:ascii="仿宋" w:eastAsia="仿宋" w:hAnsi="仿宋" w:cs="仿宋"/>
          <w:spacing w:val="-3"/>
          <w:sz w:val="22"/>
          <w:szCs w:val="22"/>
        </w:rPr>
        <w:t>3、营业周期</w:t>
      </w:r>
    </w:p>
    <w:p>
      <w:pPr>
        <w:spacing w:before="233" w:line="489" w:lineRule="exact"/>
        <w:ind w:left="399"/>
        <w:rPr>
          <w:rFonts w:ascii="仿宋" w:eastAsia="仿宋" w:hAnsi="仿宋" w:cs="仿宋"/>
          <w:sz w:val="22"/>
          <w:szCs w:val="22"/>
        </w:rPr>
      </w:pPr>
      <w:r>
        <w:rPr>
          <w:rFonts w:ascii="仿宋" w:eastAsia="仿宋" w:hAnsi="仿宋" w:cs="仿宋"/>
          <w:spacing w:val="8"/>
          <w:position w:val="20"/>
          <w:sz w:val="22"/>
          <w:szCs w:val="22"/>
        </w:rPr>
        <w:t>本公司的营业周期为12个月。</w:t>
      </w:r>
    </w:p>
    <w:p>
      <w:pPr>
        <w:spacing w:before="1" w:line="221" w:lineRule="auto"/>
        <w:ind w:left="9"/>
        <w:rPr>
          <w:rFonts w:ascii="仿宋" w:eastAsia="仿宋" w:hAnsi="仿宋" w:cs="仿宋"/>
          <w:sz w:val="22"/>
          <w:szCs w:val="22"/>
        </w:rPr>
      </w:pPr>
      <w:r>
        <w:rPr>
          <w:rFonts w:ascii="仿宋" w:eastAsia="仿宋" w:hAnsi="仿宋" w:cs="仿宋"/>
          <w:spacing w:val="-3"/>
          <w:sz w:val="22"/>
          <w:szCs w:val="22"/>
        </w:rPr>
        <w:t>4、记账本位币</w:t>
      </w:r>
    </w:p>
    <w:p>
      <w:pPr>
        <w:spacing w:before="244" w:line="237" w:lineRule="auto"/>
        <w:ind w:left="399" w:right="1100"/>
        <w:jc w:val="both"/>
        <w:rPr>
          <w:rFonts w:ascii="仿宋" w:eastAsia="仿宋" w:hAnsi="仿宋" w:cs="仿宋"/>
          <w:sz w:val="22"/>
          <w:szCs w:val="22"/>
        </w:rPr>
      </w:pPr>
      <w:r>
        <w:rPr>
          <w:rFonts w:ascii="仿宋" w:eastAsia="仿宋" w:hAnsi="仿宋" w:cs="仿宋"/>
          <w:spacing w:val="2"/>
          <w:sz w:val="22"/>
          <w:szCs w:val="22"/>
        </w:rPr>
        <w:t>本公司及境内子公司以人民币为记账本位币。本公司之境外子公司根据其经营所处的主</w:t>
      </w:r>
      <w:r>
        <w:rPr>
          <w:rFonts w:ascii="仿宋" w:eastAsia="仿宋" w:hAnsi="仿宋" w:cs="仿宋"/>
          <w:spacing w:val="11"/>
          <w:sz w:val="22"/>
          <w:szCs w:val="22"/>
        </w:rPr>
        <w:t xml:space="preserve"> </w:t>
      </w:r>
      <w:r>
        <w:rPr>
          <w:rFonts w:ascii="仿宋" w:eastAsia="仿宋" w:hAnsi="仿宋" w:cs="仿宋"/>
          <w:spacing w:val="3"/>
          <w:sz w:val="22"/>
          <w:szCs w:val="22"/>
        </w:rPr>
        <w:t>要经济环境中的货币确定美元或港币为其记账本位币。本公司编制本财务</w:t>
      </w:r>
      <w:r>
        <w:rPr>
          <w:rFonts w:ascii="仿宋" w:eastAsia="仿宋" w:hAnsi="仿宋" w:cs="仿宋"/>
          <w:spacing w:val="2"/>
          <w:sz w:val="22"/>
          <w:szCs w:val="22"/>
        </w:rPr>
        <w:t>报表时所采用</w:t>
      </w:r>
      <w:r>
        <w:rPr>
          <w:rFonts w:ascii="仿宋" w:eastAsia="仿宋" w:hAnsi="仿宋" w:cs="仿宋"/>
          <w:sz w:val="22"/>
          <w:szCs w:val="22"/>
        </w:rPr>
        <w:t xml:space="preserve"> </w:t>
      </w:r>
      <w:r>
        <w:rPr>
          <w:rFonts w:ascii="仿宋" w:eastAsia="仿宋" w:hAnsi="仿宋" w:cs="仿宋"/>
          <w:spacing w:val="-7"/>
          <w:sz w:val="22"/>
          <w:szCs w:val="22"/>
        </w:rPr>
        <w:t>的货币为人民币。</w:t>
      </w:r>
    </w:p>
    <w:p>
      <w:pPr>
        <w:spacing w:before="253" w:line="490" w:lineRule="exact"/>
        <w:ind w:left="9"/>
        <w:rPr>
          <w:rFonts w:ascii="仿宋" w:eastAsia="仿宋" w:hAnsi="仿宋" w:cs="仿宋"/>
          <w:sz w:val="22"/>
          <w:szCs w:val="22"/>
        </w:rPr>
      </w:pPr>
      <w:r>
        <w:rPr>
          <w:rFonts w:ascii="仿宋" w:eastAsia="仿宋" w:hAnsi="仿宋" w:cs="仿宋"/>
          <w:spacing w:val="1"/>
          <w:position w:val="20"/>
          <w:sz w:val="22"/>
          <w:szCs w:val="22"/>
        </w:rPr>
        <w:t>5、</w:t>
      </w:r>
      <w:r>
        <w:rPr>
          <w:rFonts w:ascii="仿宋" w:eastAsia="仿宋" w:hAnsi="仿宋" w:cs="仿宋"/>
          <w:spacing w:val="-37"/>
          <w:position w:val="20"/>
          <w:sz w:val="22"/>
          <w:szCs w:val="22"/>
        </w:rPr>
        <w:t xml:space="preserve"> </w:t>
      </w:r>
      <w:r>
        <w:rPr>
          <w:rFonts w:ascii="仿宋" w:eastAsia="仿宋" w:hAnsi="仿宋" w:cs="仿宋"/>
          <w:spacing w:val="1"/>
          <w:position w:val="20"/>
          <w:sz w:val="22"/>
          <w:szCs w:val="22"/>
        </w:rPr>
        <w:t>同一控制下和非同一控制下企业合并的会</w:t>
      </w:r>
      <w:r>
        <w:rPr>
          <w:rFonts w:ascii="仿宋" w:eastAsia="仿宋" w:hAnsi="仿宋" w:cs="仿宋"/>
          <w:position w:val="20"/>
          <w:sz w:val="22"/>
          <w:szCs w:val="22"/>
        </w:rPr>
        <w:t>计处理方法</w:t>
      </w:r>
    </w:p>
    <w:p>
      <w:pPr>
        <w:spacing w:line="220" w:lineRule="auto"/>
        <w:ind w:left="139"/>
        <w:rPr>
          <w:rFonts w:ascii="仿宋" w:eastAsia="仿宋" w:hAnsi="仿宋" w:cs="仿宋"/>
          <w:sz w:val="22"/>
          <w:szCs w:val="22"/>
        </w:rPr>
      </w:pPr>
      <w:r>
        <w:rPr>
          <w:rFonts w:ascii="仿宋" w:eastAsia="仿宋" w:hAnsi="仿宋" w:cs="仿宋"/>
          <w:spacing w:val="9"/>
          <w:sz w:val="22"/>
          <w:szCs w:val="22"/>
        </w:rPr>
        <w:t>(1)同一控制下的企业合并</w:t>
      </w:r>
    </w:p>
    <w:p>
      <w:pPr>
        <w:spacing w:before="248" w:line="235" w:lineRule="auto"/>
        <w:ind w:left="399" w:right="1104"/>
        <w:jc w:val="both"/>
        <w:rPr>
          <w:rFonts w:ascii="仿宋" w:eastAsia="仿宋" w:hAnsi="仿宋" w:cs="仿宋"/>
          <w:sz w:val="22"/>
          <w:szCs w:val="22"/>
        </w:rPr>
      </w:pPr>
      <w:r>
        <w:rPr>
          <w:rFonts w:ascii="仿宋" w:eastAsia="仿宋" w:hAnsi="仿宋" w:cs="仿宋"/>
          <w:spacing w:val="2"/>
          <w:sz w:val="22"/>
          <w:szCs w:val="22"/>
        </w:rPr>
        <w:t>对于同一控制下的企业合并，合并方在合并中取得的被合并方的资产、负债，</w:t>
      </w:r>
      <w:r>
        <w:rPr>
          <w:rFonts w:ascii="仿宋" w:eastAsia="仿宋" w:hAnsi="仿宋" w:cs="仿宋"/>
          <w:spacing w:val="1"/>
          <w:sz w:val="22"/>
          <w:szCs w:val="22"/>
        </w:rPr>
        <w:t>按合并日</w:t>
      </w:r>
      <w:r>
        <w:rPr>
          <w:rFonts w:ascii="仿宋" w:eastAsia="仿宋" w:hAnsi="仿宋" w:cs="仿宋"/>
          <w:sz w:val="22"/>
          <w:szCs w:val="22"/>
        </w:rPr>
        <w:t xml:space="preserve"> </w:t>
      </w:r>
      <w:r>
        <w:rPr>
          <w:rFonts w:ascii="仿宋" w:eastAsia="仿宋" w:hAnsi="仿宋" w:cs="仿宋"/>
          <w:spacing w:val="3"/>
          <w:sz w:val="22"/>
          <w:szCs w:val="22"/>
        </w:rPr>
        <w:t>被合并方在最终控制方合并财务报表中的账面价值计量。合并对</w:t>
      </w:r>
      <w:r>
        <w:rPr>
          <w:rFonts w:ascii="仿宋" w:eastAsia="仿宋" w:hAnsi="仿宋" w:cs="仿宋"/>
          <w:spacing w:val="2"/>
          <w:sz w:val="22"/>
          <w:szCs w:val="22"/>
        </w:rPr>
        <w:t>价的账面价值与合并中</w:t>
      </w:r>
      <w:r>
        <w:rPr>
          <w:rFonts w:ascii="仿宋" w:eastAsia="仿宋" w:hAnsi="仿宋" w:cs="仿宋"/>
          <w:sz w:val="22"/>
          <w:szCs w:val="22"/>
        </w:rPr>
        <w:t xml:space="preserve"> </w:t>
      </w:r>
      <w:r>
        <w:rPr>
          <w:rFonts w:ascii="仿宋" w:eastAsia="仿宋" w:hAnsi="仿宋" w:cs="仿宋"/>
          <w:spacing w:val="3"/>
          <w:sz w:val="22"/>
          <w:szCs w:val="22"/>
        </w:rPr>
        <w:t>取得的净资产账面价值的差额调整资本公积，资本公积不足冲减的，调整留存收</w:t>
      </w:r>
      <w:r>
        <w:rPr>
          <w:rFonts w:ascii="仿宋" w:eastAsia="仿宋" w:hAnsi="仿宋" w:cs="仿宋"/>
          <w:spacing w:val="2"/>
          <w:sz w:val="22"/>
          <w:szCs w:val="22"/>
        </w:rPr>
        <w:t>益。</w:t>
      </w:r>
    </w:p>
    <w:p>
      <w:pPr>
        <w:spacing w:before="230" w:line="220" w:lineRule="auto"/>
        <w:ind w:left="399"/>
        <w:rPr>
          <w:rFonts w:ascii="仿宋" w:eastAsia="仿宋" w:hAnsi="仿宋" w:cs="仿宋"/>
          <w:sz w:val="22"/>
          <w:szCs w:val="22"/>
        </w:rPr>
      </w:pPr>
      <w:r>
        <w:rPr>
          <w:rFonts w:ascii="仿宋" w:eastAsia="仿宋" w:hAnsi="仿宋" w:cs="仿宋"/>
          <w:spacing w:val="3"/>
          <w:sz w:val="22"/>
          <w:szCs w:val="22"/>
        </w:rPr>
        <w:t>通过多次交易分步实现同一控制下的企业合并</w:t>
      </w:r>
    </w:p>
    <w:p>
      <w:pPr>
        <w:spacing w:before="248" w:line="237" w:lineRule="auto"/>
        <w:ind w:left="399" w:right="919"/>
        <w:jc w:val="both"/>
        <w:rPr>
          <w:rFonts w:ascii="仿宋" w:eastAsia="仿宋" w:hAnsi="仿宋" w:cs="仿宋"/>
          <w:sz w:val="22"/>
          <w:szCs w:val="22"/>
        </w:rPr>
      </w:pPr>
      <w:r>
        <w:rPr>
          <w:rFonts w:ascii="仿宋" w:eastAsia="仿宋" w:hAnsi="仿宋" w:cs="仿宋"/>
          <w:spacing w:val="2"/>
          <w:sz w:val="22"/>
          <w:szCs w:val="22"/>
        </w:rPr>
        <w:t>在个别财务报表中，以合并日持股比例计算的合并日应享有被合并方净资产在最终控制  方合并财务报表中的账面价值的份额作为该项投资的初始投资成本；初始投资成本与合</w:t>
      </w:r>
      <w:r>
        <w:rPr>
          <w:rFonts w:ascii="仿宋" w:eastAsia="仿宋" w:hAnsi="仿宋" w:cs="仿宋"/>
          <w:spacing w:val="1"/>
          <w:sz w:val="22"/>
          <w:szCs w:val="22"/>
        </w:rPr>
        <w:t xml:space="preserve">   </w:t>
      </w:r>
      <w:r>
        <w:rPr>
          <w:rFonts w:ascii="仿宋" w:eastAsia="仿宋" w:hAnsi="仿宋" w:cs="仿宋"/>
          <w:spacing w:val="2"/>
          <w:sz w:val="22"/>
          <w:szCs w:val="22"/>
        </w:rPr>
        <w:t>并前持有投资的账面价值加上合并日新支付对价的账面价值之和的差</w:t>
      </w:r>
      <w:r>
        <w:rPr>
          <w:rFonts w:ascii="仿宋" w:eastAsia="仿宋" w:hAnsi="仿宋" w:cs="仿宋"/>
          <w:spacing w:val="1"/>
          <w:sz w:val="22"/>
          <w:szCs w:val="22"/>
        </w:rPr>
        <w:t>额，调整资本公积，</w:t>
      </w:r>
      <w:r>
        <w:rPr>
          <w:rFonts w:ascii="仿宋" w:eastAsia="仿宋" w:hAnsi="仿宋" w:cs="仿宋"/>
          <w:sz w:val="22"/>
          <w:szCs w:val="22"/>
        </w:rPr>
        <w:t xml:space="preserve"> </w:t>
      </w:r>
      <w:r>
        <w:rPr>
          <w:rFonts w:ascii="仿宋" w:eastAsia="仿宋" w:hAnsi="仿宋" w:cs="仿宋"/>
          <w:spacing w:val="1"/>
          <w:sz w:val="22"/>
          <w:szCs w:val="22"/>
        </w:rPr>
        <w:t>资本公积不足冲减的，调整留存收益。</w:t>
      </w:r>
    </w:p>
    <w:p>
      <w:pPr>
        <w:spacing w:before="238"/>
        <w:ind w:left="399" w:right="1069"/>
        <w:jc w:val="both"/>
        <w:rPr>
          <w:rFonts w:ascii="仿宋" w:eastAsia="仿宋" w:hAnsi="仿宋" w:cs="仿宋"/>
          <w:sz w:val="22"/>
          <w:szCs w:val="22"/>
        </w:rPr>
      </w:pPr>
      <w:r>
        <w:rPr>
          <w:rFonts w:ascii="仿宋" w:eastAsia="仿宋" w:hAnsi="仿宋" w:cs="仿宋"/>
          <w:spacing w:val="3"/>
          <w:sz w:val="22"/>
          <w:szCs w:val="22"/>
        </w:rPr>
        <w:t>在合并财务报表中，合并方在合并中取得的被合并方的资产、负债，按合并日在最</w:t>
      </w:r>
      <w:r>
        <w:rPr>
          <w:rFonts w:ascii="仿宋" w:eastAsia="仿宋" w:hAnsi="仿宋" w:cs="仿宋"/>
          <w:spacing w:val="2"/>
          <w:sz w:val="22"/>
          <w:szCs w:val="22"/>
        </w:rPr>
        <w:t>终控</w:t>
      </w:r>
      <w:r>
        <w:rPr>
          <w:rFonts w:ascii="仿宋" w:eastAsia="仿宋" w:hAnsi="仿宋" w:cs="仿宋"/>
          <w:sz w:val="22"/>
          <w:szCs w:val="22"/>
        </w:rPr>
        <w:t xml:space="preserve"> </w:t>
      </w:r>
      <w:r>
        <w:rPr>
          <w:rFonts w:ascii="仿宋" w:eastAsia="仿宋" w:hAnsi="仿宋" w:cs="仿宋"/>
          <w:spacing w:val="2"/>
          <w:sz w:val="22"/>
          <w:szCs w:val="22"/>
        </w:rPr>
        <w:t>制方合并财务报表中的账面价值计量；合并前持有投资的账面价值加上合并日新支付对</w:t>
      </w:r>
      <w:r>
        <w:rPr>
          <w:rFonts w:ascii="仿宋" w:eastAsia="仿宋" w:hAnsi="仿宋" w:cs="仿宋"/>
          <w:spacing w:val="8"/>
          <w:sz w:val="22"/>
          <w:szCs w:val="22"/>
        </w:rPr>
        <w:t xml:space="preserve"> </w:t>
      </w:r>
      <w:r>
        <w:rPr>
          <w:rFonts w:ascii="仿宋" w:eastAsia="仿宋" w:hAnsi="仿宋" w:cs="仿宋"/>
          <w:spacing w:val="2"/>
          <w:sz w:val="22"/>
          <w:szCs w:val="22"/>
        </w:rPr>
        <w:t>价的账面价值之和，与合并中取得的净资产账面价值的差额，调整资本公积，资本公积</w:t>
      </w:r>
      <w:r>
        <w:rPr>
          <w:rFonts w:ascii="仿宋" w:eastAsia="仿宋" w:hAnsi="仿宋" w:cs="仿宋"/>
          <w:spacing w:val="12"/>
          <w:sz w:val="22"/>
          <w:szCs w:val="22"/>
        </w:rPr>
        <w:t xml:space="preserve"> </w:t>
      </w:r>
      <w:r>
        <w:rPr>
          <w:rFonts w:ascii="仿宋" w:eastAsia="仿宋" w:hAnsi="仿宋" w:cs="仿宋"/>
          <w:spacing w:val="4"/>
          <w:sz w:val="22"/>
          <w:szCs w:val="22"/>
        </w:rPr>
        <w:t>不足冲减的，调整留存收益。合并方在取得被合并方控制</w:t>
      </w:r>
      <w:r>
        <w:rPr>
          <w:rFonts w:ascii="仿宋" w:eastAsia="仿宋" w:hAnsi="仿宋" w:cs="仿宋"/>
          <w:spacing w:val="3"/>
          <w:sz w:val="22"/>
          <w:szCs w:val="22"/>
        </w:rPr>
        <w:t>权之前持有的长期股权投资，</w:t>
      </w:r>
      <w:r>
        <w:rPr>
          <w:rFonts w:ascii="仿宋" w:eastAsia="仿宋" w:hAnsi="仿宋" w:cs="仿宋"/>
          <w:sz w:val="22"/>
          <w:szCs w:val="22"/>
        </w:rPr>
        <w:t xml:space="preserve"> </w:t>
      </w:r>
      <w:r>
        <w:rPr>
          <w:rFonts w:ascii="仿宋" w:eastAsia="仿宋" w:hAnsi="仿宋" w:cs="仿宋"/>
          <w:spacing w:val="8"/>
          <w:sz w:val="22"/>
          <w:szCs w:val="22"/>
        </w:rPr>
        <w:t>在取得原股权之日与合并方和被合并方同处于同一方最终控制之日孰晚日起</w:t>
      </w:r>
      <w:r>
        <w:rPr>
          <w:rFonts w:ascii="仿宋" w:eastAsia="仿宋" w:hAnsi="仿宋" w:cs="仿宋"/>
          <w:spacing w:val="7"/>
          <w:sz w:val="22"/>
          <w:szCs w:val="22"/>
        </w:rPr>
        <w:t>至合并日</w:t>
      </w:r>
      <w:r>
        <w:rPr>
          <w:rFonts w:ascii="仿宋" w:eastAsia="仿宋" w:hAnsi="仿宋" w:cs="仿宋"/>
          <w:sz w:val="22"/>
          <w:szCs w:val="22"/>
        </w:rPr>
        <w:t xml:space="preserve"> </w:t>
      </w:r>
      <w:r>
        <w:rPr>
          <w:rFonts w:ascii="仿宋" w:eastAsia="仿宋" w:hAnsi="仿宋" w:cs="仿宋"/>
          <w:spacing w:val="3"/>
          <w:sz w:val="22"/>
          <w:szCs w:val="22"/>
        </w:rPr>
        <w:t>之间已确认有关损益、其他综合收益和其他所有者权益变动，应分别</w:t>
      </w:r>
      <w:r>
        <w:rPr>
          <w:rFonts w:ascii="仿宋" w:eastAsia="仿宋" w:hAnsi="仿宋" w:cs="仿宋"/>
          <w:spacing w:val="2"/>
          <w:sz w:val="22"/>
          <w:szCs w:val="22"/>
        </w:rPr>
        <w:t>冲减比较报表期间</w:t>
      </w:r>
      <w:r>
        <w:rPr>
          <w:rFonts w:ascii="仿宋" w:eastAsia="仿宋" w:hAnsi="仿宋" w:cs="仿宋"/>
          <w:sz w:val="22"/>
          <w:szCs w:val="22"/>
        </w:rPr>
        <w:t xml:space="preserve"> </w:t>
      </w:r>
      <w:r>
        <w:rPr>
          <w:rFonts w:ascii="仿宋" w:eastAsia="仿宋" w:hAnsi="仿宋" w:cs="仿宋"/>
          <w:spacing w:val="-1"/>
          <w:sz w:val="22"/>
          <w:szCs w:val="22"/>
        </w:rPr>
        <w:t>的期初留存收益或当期损益。</w:t>
      </w:r>
    </w:p>
    <w:p>
      <w:pPr>
        <w:spacing w:before="250" w:line="220" w:lineRule="auto"/>
        <w:ind w:left="119"/>
        <w:rPr>
          <w:rFonts w:ascii="仿宋" w:eastAsia="仿宋" w:hAnsi="仿宋" w:cs="仿宋"/>
          <w:sz w:val="22"/>
          <w:szCs w:val="22"/>
        </w:rPr>
      </w:pPr>
      <w:r>
        <w:rPr>
          <w:rFonts w:ascii="仿宋" w:eastAsia="仿宋" w:hAnsi="仿宋" w:cs="仿宋"/>
          <w:spacing w:val="10"/>
          <w:sz w:val="22"/>
          <w:szCs w:val="22"/>
        </w:rPr>
        <w:t>(2)非同一控制下的企业合并</w:t>
      </w:r>
    </w:p>
    <w:p>
      <w:pPr>
        <w:spacing w:before="256" w:line="231" w:lineRule="auto"/>
        <w:ind w:left="399" w:right="1090"/>
        <w:jc w:val="both"/>
        <w:rPr>
          <w:rFonts w:ascii="仿宋" w:eastAsia="仿宋" w:hAnsi="仿宋" w:cs="仿宋"/>
          <w:sz w:val="22"/>
          <w:szCs w:val="22"/>
        </w:rPr>
      </w:pPr>
      <w:r>
        <w:rPr>
          <w:rFonts w:ascii="仿宋" w:eastAsia="仿宋" w:hAnsi="仿宋" w:cs="仿宋"/>
          <w:spacing w:val="2"/>
          <w:sz w:val="22"/>
          <w:szCs w:val="22"/>
        </w:rPr>
        <w:t>对于非同一控制下的企业合并，合并成本为购买日为取得对被购买方的控制权而付出的</w:t>
      </w:r>
      <w:r>
        <w:rPr>
          <w:rFonts w:ascii="仿宋" w:eastAsia="仿宋" w:hAnsi="仿宋" w:cs="仿宋"/>
          <w:spacing w:val="14"/>
          <w:sz w:val="22"/>
          <w:szCs w:val="22"/>
        </w:rPr>
        <w:t xml:space="preserve"> </w:t>
      </w:r>
      <w:r>
        <w:rPr>
          <w:rFonts w:ascii="仿宋" w:eastAsia="仿宋" w:hAnsi="仿宋" w:cs="仿宋"/>
          <w:spacing w:val="3"/>
          <w:sz w:val="22"/>
          <w:szCs w:val="22"/>
        </w:rPr>
        <w:t>资产、发生或承担的负债以及发行的权益性证券的公允价值。在购买日，取得的被购买</w:t>
      </w:r>
      <w:r>
        <w:rPr>
          <w:rFonts w:ascii="仿宋" w:eastAsia="仿宋" w:hAnsi="仿宋" w:cs="仿宋"/>
          <w:spacing w:val="4"/>
          <w:sz w:val="22"/>
          <w:szCs w:val="22"/>
        </w:rPr>
        <w:t xml:space="preserve"> 方的资产、负债及或有负债按公允价值确认</w:t>
      </w:r>
    </w:p>
    <w:p>
      <w:pPr>
        <w:pStyle w:val="BodyText"/>
      </w:pPr>
    </w:p>
    <w:p>
      <w:pPr>
        <w:pStyle w:val="BodyText"/>
      </w:pPr>
    </w:p>
    <w:p>
      <w:pPr>
        <w:pStyle w:val="BodyText"/>
      </w:pPr>
    </w:p>
    <w:p>
      <w:pPr>
        <w:pStyle w:val="BodyText"/>
      </w:pPr>
    </w:p>
    <w:p>
      <w:pPr>
        <w:spacing w:before="46" w:line="184" w:lineRule="auto"/>
        <w:ind w:left="4559"/>
        <w:rPr>
          <w:rFonts w:ascii="宋体" w:eastAsia="宋体" w:hAnsi="宋体" w:cs="宋体"/>
          <w:sz w:val="14"/>
          <w:szCs w:val="14"/>
        </w:rPr>
      </w:pPr>
      <w:r>
        <w:rPr>
          <w:rFonts w:ascii="宋体" w:eastAsia="宋体" w:hAnsi="宋体" w:cs="宋体"/>
          <w:spacing w:val="-4"/>
          <w:sz w:val="14"/>
          <w:szCs w:val="14"/>
        </w:rPr>
        <w:t>14</w:t>
      </w:r>
    </w:p>
    <w:p>
      <w:pPr>
        <w:pStyle w:val="BodyText"/>
        <w:spacing w:line="295" w:lineRule="auto"/>
      </w:pPr>
    </w:p>
    <w:p>
      <w:pPr>
        <w:pStyle w:val="BodyText"/>
        <w:spacing w:line="295" w:lineRule="auto"/>
      </w:pPr>
    </w:p>
    <w:p>
      <w:pPr>
        <w:spacing w:before="59" w:line="184" w:lineRule="auto"/>
        <w:ind w:left="4150"/>
        <w:rPr>
          <w:rFonts w:ascii="宋体" w:eastAsia="宋体" w:hAnsi="宋体" w:cs="宋体"/>
          <w:sz w:val="18"/>
          <w:szCs w:val="18"/>
        </w:rPr>
      </w:pPr>
      <w:r>
        <w:rPr>
          <w:rFonts w:ascii="宋体" w:eastAsia="宋体" w:hAnsi="宋体" w:cs="宋体"/>
          <w:spacing w:val="-4"/>
          <w:sz w:val="18"/>
          <w:szCs w:val="18"/>
        </w:rPr>
        <w:t>3-2-3-16</w:t>
      </w:r>
    </w:p>
    <w:p>
      <w:pPr>
        <w:spacing w:line="184" w:lineRule="auto"/>
        <w:rPr>
          <w:rFonts w:ascii="宋体" w:eastAsia="宋体" w:hAnsi="宋体" w:cs="宋体"/>
          <w:sz w:val="18"/>
          <w:szCs w:val="18"/>
        </w:rPr>
        <w:sectPr>
          <w:headerReference w:type="default" r:id="rId17"/>
          <w:pgSz w:w="11900" w:h="16820"/>
          <w:pgMar w:top="400" w:right="439" w:bottom="0" w:left="1489" w:header="0" w:footer="0" w:gutter="0"/>
          <w:pgNumType w:start="18"/>
          <w:cols w:num="1" w:space="720"/>
        </w:sectPr>
      </w:pPr>
    </w:p>
    <w:p>
      <w:pPr>
        <w:pStyle w:val="BodyText"/>
        <w:spacing w:line="293" w:lineRule="auto"/>
      </w:pPr>
    </w:p>
    <w:p>
      <w:pPr>
        <w:pStyle w:val="BodyText"/>
        <w:spacing w:line="293" w:lineRule="auto"/>
      </w:pPr>
    </w:p>
    <w:p>
      <w:pPr>
        <w:pStyle w:val="BodyText"/>
        <w:spacing w:line="294" w:lineRule="auto"/>
      </w:pPr>
    </w:p>
    <w:p>
      <w:pPr>
        <w:spacing w:before="72" w:line="222" w:lineRule="auto"/>
        <w:ind w:left="39"/>
        <w:rPr>
          <w:rFonts w:ascii="仿宋" w:eastAsia="仿宋" w:hAnsi="仿宋" w:cs="仿宋"/>
          <w:sz w:val="22"/>
          <w:szCs w:val="22"/>
        </w:rPr>
      </w:pPr>
      <w:r>
        <w:rPr>
          <w:rFonts w:ascii="仿宋" w:eastAsia="仿宋" w:hAnsi="仿宋" w:cs="仿宋"/>
          <w:spacing w:val="2"/>
          <w:sz w:val="22"/>
          <w:szCs w:val="22"/>
        </w:rPr>
        <w:t>美新科技股份有限公司</w:t>
      </w:r>
    </w:p>
    <w:p>
      <w:pPr>
        <w:spacing w:before="22" w:line="220" w:lineRule="auto"/>
        <w:ind w:left="39"/>
        <w:rPr>
          <w:rFonts w:ascii="仿宋" w:eastAsia="仿宋" w:hAnsi="仿宋" w:cs="仿宋"/>
          <w:sz w:val="22"/>
          <w:szCs w:val="22"/>
        </w:rPr>
      </w:pPr>
      <w:r>
        <w:rPr>
          <w:rFonts w:ascii="仿宋" w:eastAsia="仿宋" w:hAnsi="仿宋" w:cs="仿宋"/>
          <w:spacing w:val="2"/>
          <w:sz w:val="22"/>
          <w:szCs w:val="22"/>
        </w:rPr>
        <w:t>盈利预测的编制基础、假设和编制说明</w:t>
      </w:r>
    </w:p>
    <w:p>
      <w:pPr>
        <w:spacing w:before="48" w:line="221" w:lineRule="auto"/>
        <w:ind w:left="39"/>
        <w:rPr>
          <w:rFonts w:ascii="仿宋" w:eastAsia="仿宋" w:hAnsi="仿宋" w:cs="仿宋"/>
          <w:sz w:val="22"/>
          <w:szCs w:val="22"/>
        </w:rPr>
      </w:pPr>
      <w:r>
        <w:rPr>
          <w:rFonts w:ascii="仿宋" w:eastAsia="仿宋" w:hAnsi="仿宋" w:cs="仿宋"/>
          <w:spacing w:val="11"/>
          <w:sz w:val="22"/>
          <w:szCs w:val="22"/>
        </w:rPr>
        <w:t>2023年度(除特别注明外，金额单位为人民币万元)</w:t>
      </w:r>
    </w:p>
    <w:p>
      <w:pPr>
        <w:spacing w:before="41" w:line="20" w:lineRule="exact"/>
      </w:pPr>
    </w:p>
    <w:p>
      <w:pPr>
        <w:spacing w:before="275" w:line="237" w:lineRule="auto"/>
        <w:ind w:left="419" w:right="979"/>
        <w:jc w:val="both"/>
        <w:rPr>
          <w:rFonts w:ascii="仿宋" w:eastAsia="仿宋" w:hAnsi="仿宋" w:cs="仿宋"/>
          <w:sz w:val="22"/>
          <w:szCs w:val="22"/>
        </w:rPr>
      </w:pPr>
      <w:r>
        <w:rPr>
          <w:rFonts w:ascii="仿宋" w:eastAsia="仿宋" w:hAnsi="仿宋" w:cs="仿宋"/>
          <w:spacing w:val="1"/>
          <w:sz w:val="22"/>
          <w:szCs w:val="22"/>
        </w:rPr>
        <w:t>对合并成本大于合并中取得的被购买方可辨认净资产公允价值份额</w:t>
      </w:r>
      <w:r>
        <w:rPr>
          <w:rFonts w:ascii="仿宋" w:eastAsia="仿宋" w:hAnsi="仿宋" w:cs="仿宋"/>
          <w:sz w:val="22"/>
          <w:szCs w:val="22"/>
        </w:rPr>
        <w:t xml:space="preserve">的差额，确认为商誉， </w:t>
      </w:r>
      <w:r>
        <w:rPr>
          <w:rFonts w:ascii="仿宋" w:eastAsia="仿宋" w:hAnsi="仿宋" w:cs="仿宋"/>
          <w:spacing w:val="3"/>
          <w:sz w:val="22"/>
          <w:szCs w:val="22"/>
        </w:rPr>
        <w:t>按成本扣除累计减值准备进行后续计量；对</w:t>
      </w:r>
      <w:r>
        <w:rPr>
          <w:rFonts w:ascii="仿宋" w:eastAsia="仿宋" w:hAnsi="仿宋" w:cs="仿宋"/>
          <w:spacing w:val="2"/>
          <w:sz w:val="22"/>
          <w:szCs w:val="22"/>
        </w:rPr>
        <w:t>合并成本小于合并中取得的被购买方可辨认</w:t>
      </w:r>
      <w:r>
        <w:rPr>
          <w:rFonts w:ascii="仿宋" w:eastAsia="仿宋" w:hAnsi="仿宋" w:cs="仿宋"/>
          <w:sz w:val="22"/>
          <w:szCs w:val="22"/>
        </w:rPr>
        <w:t xml:space="preserve">  </w:t>
      </w:r>
      <w:r>
        <w:rPr>
          <w:rFonts w:ascii="仿宋" w:eastAsia="仿宋" w:hAnsi="仿宋" w:cs="仿宋"/>
          <w:spacing w:val="2"/>
          <w:sz w:val="22"/>
          <w:szCs w:val="22"/>
        </w:rPr>
        <w:t>净资产公允价值份额的差额，经复核后计入当期损益。</w:t>
      </w:r>
    </w:p>
    <w:p>
      <w:pPr>
        <w:spacing w:before="222" w:line="220" w:lineRule="auto"/>
        <w:ind w:left="419"/>
        <w:rPr>
          <w:rFonts w:ascii="仿宋" w:eastAsia="仿宋" w:hAnsi="仿宋" w:cs="仿宋"/>
          <w:sz w:val="22"/>
          <w:szCs w:val="22"/>
        </w:rPr>
      </w:pPr>
      <w:r>
        <w:rPr>
          <w:rFonts w:ascii="仿宋" w:eastAsia="仿宋" w:hAnsi="仿宋" w:cs="仿宋"/>
          <w:spacing w:val="4"/>
          <w:sz w:val="22"/>
          <w:szCs w:val="22"/>
        </w:rPr>
        <w:t>通过多次交易分步实现非同一控制下的企业</w:t>
      </w:r>
      <w:r>
        <w:rPr>
          <w:rFonts w:ascii="仿宋" w:eastAsia="仿宋" w:hAnsi="仿宋" w:cs="仿宋"/>
          <w:spacing w:val="3"/>
          <w:sz w:val="22"/>
          <w:szCs w:val="22"/>
        </w:rPr>
        <w:t>合并</w:t>
      </w:r>
    </w:p>
    <w:p>
      <w:pPr>
        <w:spacing w:before="224"/>
        <w:ind w:left="419" w:right="1107"/>
        <w:jc w:val="both"/>
        <w:rPr>
          <w:rFonts w:ascii="仿宋" w:eastAsia="仿宋" w:hAnsi="仿宋" w:cs="仿宋"/>
          <w:sz w:val="22"/>
          <w:szCs w:val="22"/>
        </w:rPr>
      </w:pPr>
      <w:r>
        <w:rPr>
          <w:rFonts w:ascii="仿宋" w:eastAsia="仿宋" w:hAnsi="仿宋" w:cs="仿宋"/>
          <w:spacing w:val="2"/>
          <w:sz w:val="22"/>
          <w:szCs w:val="22"/>
        </w:rPr>
        <w:t>在个别财务报表中，以购买日之前所持被购买方的股权投资的账面价值与购买日新增投</w:t>
      </w:r>
      <w:r>
        <w:rPr>
          <w:rFonts w:ascii="仿宋" w:eastAsia="仿宋" w:hAnsi="仿宋" w:cs="仿宋"/>
          <w:spacing w:val="18"/>
          <w:sz w:val="22"/>
          <w:szCs w:val="22"/>
        </w:rPr>
        <w:t xml:space="preserve"> </w:t>
      </w:r>
      <w:r>
        <w:rPr>
          <w:rFonts w:ascii="仿宋" w:eastAsia="仿宋" w:hAnsi="仿宋" w:cs="仿宋"/>
          <w:spacing w:val="2"/>
          <w:sz w:val="22"/>
          <w:szCs w:val="22"/>
        </w:rPr>
        <w:t>资成本之和，作为该项投资的初始投资成本。购买日之前持有的股权投资因采用权益法</w:t>
      </w:r>
      <w:r>
        <w:rPr>
          <w:rFonts w:ascii="仿宋" w:eastAsia="仿宋" w:hAnsi="仿宋" w:cs="仿宋"/>
          <w:spacing w:val="17"/>
          <w:sz w:val="22"/>
          <w:szCs w:val="22"/>
        </w:rPr>
        <w:t xml:space="preserve"> </w:t>
      </w:r>
      <w:r>
        <w:rPr>
          <w:rFonts w:ascii="仿宋" w:eastAsia="仿宋" w:hAnsi="仿宋" w:cs="仿宋"/>
          <w:spacing w:val="3"/>
          <w:sz w:val="22"/>
          <w:szCs w:val="22"/>
        </w:rPr>
        <w:t>核算而确认的其他综合收益，购买日对这部分其他综合收益不作处理，在处置该项投资</w:t>
      </w:r>
      <w:r>
        <w:rPr>
          <w:rFonts w:ascii="仿宋" w:eastAsia="仿宋" w:hAnsi="仿宋" w:cs="仿宋"/>
          <w:spacing w:val="8"/>
          <w:sz w:val="22"/>
          <w:szCs w:val="22"/>
        </w:rPr>
        <w:t xml:space="preserve"> </w:t>
      </w:r>
      <w:r>
        <w:rPr>
          <w:rFonts w:ascii="仿宋" w:eastAsia="仿宋" w:hAnsi="仿宋" w:cs="仿宋"/>
          <w:spacing w:val="3"/>
          <w:sz w:val="22"/>
          <w:szCs w:val="22"/>
        </w:rPr>
        <w:t>时采用与被投资单位直接处置相关资产或负债</w:t>
      </w:r>
      <w:r>
        <w:rPr>
          <w:rFonts w:ascii="仿宋" w:eastAsia="仿宋" w:hAnsi="仿宋" w:cs="仿宋"/>
          <w:spacing w:val="2"/>
          <w:sz w:val="22"/>
          <w:szCs w:val="22"/>
        </w:rPr>
        <w:t>相同的基础进行会计处理；因被投资方除</w:t>
      </w:r>
      <w:r>
        <w:rPr>
          <w:rFonts w:ascii="仿宋" w:eastAsia="仿宋" w:hAnsi="仿宋" w:cs="仿宋"/>
          <w:sz w:val="22"/>
          <w:szCs w:val="22"/>
        </w:rPr>
        <w:t xml:space="preserve"> </w:t>
      </w:r>
      <w:r>
        <w:rPr>
          <w:rFonts w:ascii="仿宋" w:eastAsia="仿宋" w:hAnsi="仿宋" w:cs="仿宋"/>
          <w:spacing w:val="3"/>
          <w:sz w:val="22"/>
          <w:szCs w:val="22"/>
        </w:rPr>
        <w:t>净损益、其他综合收益和利润分配以外的其</w:t>
      </w:r>
      <w:r>
        <w:rPr>
          <w:rFonts w:ascii="仿宋" w:eastAsia="仿宋" w:hAnsi="仿宋" w:cs="仿宋"/>
          <w:spacing w:val="2"/>
          <w:sz w:val="22"/>
          <w:szCs w:val="22"/>
        </w:rPr>
        <w:t>他所有者权益变动而确认的所有者权益，在</w:t>
      </w:r>
      <w:r>
        <w:rPr>
          <w:rFonts w:ascii="仿宋" w:eastAsia="仿宋" w:hAnsi="仿宋" w:cs="仿宋"/>
          <w:sz w:val="22"/>
          <w:szCs w:val="22"/>
        </w:rPr>
        <w:t xml:space="preserve"> </w:t>
      </w:r>
      <w:r>
        <w:rPr>
          <w:rFonts w:ascii="仿宋" w:eastAsia="仿宋" w:hAnsi="仿宋" w:cs="仿宋"/>
          <w:spacing w:val="2"/>
          <w:sz w:val="22"/>
          <w:szCs w:val="22"/>
        </w:rPr>
        <w:t>处置该项投资时转入处置期间的当期损益。购买日之前持有的股权投资采用公允价值计</w:t>
      </w:r>
      <w:r>
        <w:rPr>
          <w:rFonts w:ascii="仿宋" w:eastAsia="仿宋" w:hAnsi="仿宋" w:cs="仿宋"/>
          <w:spacing w:val="18"/>
          <w:sz w:val="22"/>
          <w:szCs w:val="22"/>
        </w:rPr>
        <w:t xml:space="preserve"> </w:t>
      </w:r>
      <w:r>
        <w:rPr>
          <w:rFonts w:ascii="仿宋" w:eastAsia="仿宋" w:hAnsi="仿宋" w:cs="仿宋"/>
          <w:spacing w:val="2"/>
          <w:sz w:val="22"/>
          <w:szCs w:val="22"/>
        </w:rPr>
        <w:t>量的，原计入其他综合收益的累计公允价值变动在改按成本法核算时转入留存收益。</w:t>
      </w:r>
    </w:p>
    <w:p>
      <w:pPr>
        <w:spacing w:before="247" w:line="241" w:lineRule="auto"/>
        <w:ind w:left="419" w:right="949"/>
        <w:jc w:val="both"/>
        <w:rPr>
          <w:rFonts w:ascii="仿宋" w:eastAsia="仿宋" w:hAnsi="仿宋" w:cs="仿宋"/>
          <w:sz w:val="22"/>
          <w:szCs w:val="22"/>
        </w:rPr>
      </w:pPr>
      <w:r>
        <w:rPr>
          <w:rFonts w:ascii="仿宋" w:eastAsia="仿宋" w:hAnsi="仿宋" w:cs="仿宋"/>
          <w:spacing w:val="2"/>
          <w:sz w:val="22"/>
          <w:szCs w:val="22"/>
        </w:rPr>
        <w:t>在合并财务报表中，合并成本为购买日支付的对价与购买日之前已经持有的被购买方的  股权在购买日的公允价值之和。对于购买日之前已经持有的被购买方的股权，按照该股  权在购买日的公允价值进行重新计量，公允价</w:t>
      </w:r>
      <w:r>
        <w:rPr>
          <w:rFonts w:ascii="仿宋" w:eastAsia="仿宋" w:hAnsi="仿宋" w:cs="仿宋"/>
          <w:spacing w:val="1"/>
          <w:sz w:val="22"/>
          <w:szCs w:val="22"/>
        </w:rPr>
        <w:t>值与其账面价值之间的差额计入当期收益；</w:t>
      </w:r>
      <w:r>
        <w:rPr>
          <w:rFonts w:ascii="仿宋" w:eastAsia="仿宋" w:hAnsi="仿宋" w:cs="仿宋"/>
          <w:sz w:val="22"/>
          <w:szCs w:val="22"/>
        </w:rPr>
        <w:t xml:space="preserve"> </w:t>
      </w:r>
      <w:r>
        <w:rPr>
          <w:rFonts w:ascii="仿宋" w:eastAsia="仿宋" w:hAnsi="仿宋" w:cs="仿宋"/>
          <w:spacing w:val="2"/>
          <w:sz w:val="22"/>
          <w:szCs w:val="22"/>
        </w:rPr>
        <w:t xml:space="preserve">购买日之前已经持有的被购买方的股权涉及其他综合收益、其他所有者权益变动转为购  买日当期收益，由于被投资方重新计量设定收益计划净负债或净资产变动而产生的其他  </w:t>
      </w:r>
      <w:r>
        <w:rPr>
          <w:rFonts w:ascii="仿宋" w:eastAsia="仿宋" w:hAnsi="仿宋" w:cs="仿宋"/>
          <w:spacing w:val="3"/>
          <w:sz w:val="22"/>
          <w:szCs w:val="22"/>
        </w:rPr>
        <w:t>综合收益除外.</w:t>
      </w:r>
    </w:p>
    <w:p>
      <w:pPr>
        <w:spacing w:before="251" w:line="220" w:lineRule="auto"/>
        <w:ind w:left="129"/>
        <w:rPr>
          <w:rFonts w:ascii="仿宋" w:eastAsia="仿宋" w:hAnsi="仿宋" w:cs="仿宋"/>
          <w:sz w:val="22"/>
          <w:szCs w:val="22"/>
        </w:rPr>
      </w:pPr>
      <w:r>
        <w:rPr>
          <w:rFonts w:ascii="仿宋" w:eastAsia="仿宋" w:hAnsi="仿宋" w:cs="仿宋"/>
          <w:spacing w:val="8"/>
          <w:sz w:val="22"/>
          <w:szCs w:val="22"/>
        </w:rPr>
        <w:t>(3)企业合并中有关交易费用的处理</w:t>
      </w:r>
    </w:p>
    <w:p>
      <w:pPr>
        <w:spacing w:before="247" w:line="236" w:lineRule="auto"/>
        <w:ind w:left="419" w:right="1134"/>
        <w:jc w:val="both"/>
        <w:rPr>
          <w:rFonts w:ascii="仿宋" w:eastAsia="仿宋" w:hAnsi="仿宋" w:cs="仿宋"/>
          <w:sz w:val="22"/>
          <w:szCs w:val="22"/>
        </w:rPr>
      </w:pPr>
      <w:r>
        <w:rPr>
          <w:rFonts w:ascii="仿宋" w:eastAsia="仿宋" w:hAnsi="仿宋" w:cs="仿宋"/>
          <w:spacing w:val="6"/>
          <w:sz w:val="22"/>
          <w:szCs w:val="22"/>
        </w:rPr>
        <w:t>为进行企业合并发生的审计、法律服务、评估咨询等中介费用以及其他相关</w:t>
      </w:r>
      <w:r>
        <w:rPr>
          <w:rFonts w:ascii="仿宋" w:eastAsia="仿宋" w:hAnsi="仿宋" w:cs="仿宋"/>
          <w:spacing w:val="5"/>
          <w:sz w:val="22"/>
          <w:szCs w:val="22"/>
        </w:rPr>
        <w:t>管理费用</w:t>
      </w:r>
      <w:r>
        <w:rPr>
          <w:rFonts w:ascii="仿宋" w:eastAsia="仿宋" w:hAnsi="仿宋" w:cs="仿宋"/>
          <w:sz w:val="22"/>
          <w:szCs w:val="22"/>
        </w:rPr>
        <w:t xml:space="preserve">  </w:t>
      </w:r>
      <w:r>
        <w:rPr>
          <w:rFonts w:ascii="仿宋" w:eastAsia="仿宋" w:hAnsi="仿宋" w:cs="仿宋"/>
          <w:spacing w:val="2"/>
          <w:sz w:val="22"/>
          <w:szCs w:val="22"/>
        </w:rPr>
        <w:t>于发生时计入当期损益。作为合并对价发行的权益性证券或债务性证券的交易费用，计</w:t>
      </w:r>
      <w:r>
        <w:rPr>
          <w:rFonts w:ascii="仿宋" w:eastAsia="仿宋" w:hAnsi="仿宋" w:cs="仿宋"/>
          <w:spacing w:val="18"/>
          <w:sz w:val="22"/>
          <w:szCs w:val="22"/>
        </w:rPr>
        <w:t xml:space="preserve"> </w:t>
      </w:r>
      <w:r>
        <w:rPr>
          <w:rFonts w:ascii="仿宋" w:eastAsia="仿宋" w:hAnsi="仿宋" w:cs="仿宋"/>
          <w:spacing w:val="-1"/>
          <w:sz w:val="22"/>
          <w:szCs w:val="22"/>
        </w:rPr>
        <w:t>入权益性证券或债务性证券的初始确认金额，</w:t>
      </w:r>
    </w:p>
    <w:p>
      <w:pPr>
        <w:spacing w:before="237" w:line="494" w:lineRule="exact"/>
        <w:ind w:left="39"/>
        <w:rPr>
          <w:rFonts w:ascii="仿宋" w:eastAsia="仿宋" w:hAnsi="仿宋" w:cs="仿宋"/>
          <w:sz w:val="22"/>
          <w:szCs w:val="22"/>
        </w:rPr>
      </w:pPr>
      <w:r>
        <w:rPr>
          <w:rFonts w:ascii="仿宋" w:eastAsia="仿宋" w:hAnsi="仿宋" w:cs="仿宋"/>
          <w:spacing w:val="1"/>
          <w:position w:val="21"/>
          <w:sz w:val="22"/>
          <w:szCs w:val="22"/>
        </w:rPr>
        <w:t>6、合并财务报表编制方法</w:t>
      </w:r>
    </w:p>
    <w:p>
      <w:pPr>
        <w:spacing w:before="1" w:line="219" w:lineRule="auto"/>
        <w:ind w:left="129"/>
        <w:rPr>
          <w:rFonts w:ascii="宋体" w:eastAsia="宋体" w:hAnsi="宋体" w:cs="宋体"/>
          <w:sz w:val="22"/>
          <w:szCs w:val="22"/>
        </w:rPr>
      </w:pPr>
      <w:r>
        <w:rPr>
          <w:rFonts w:ascii="宋体" w:eastAsia="宋体" w:hAnsi="宋体" w:cs="宋体"/>
          <w:spacing w:val="11"/>
          <w:sz w:val="22"/>
          <w:szCs w:val="22"/>
        </w:rPr>
        <w:t>(1)合并范围</w:t>
      </w:r>
    </w:p>
    <w:p>
      <w:pPr>
        <w:spacing w:before="253" w:line="239" w:lineRule="auto"/>
        <w:ind w:left="419" w:right="1114"/>
        <w:jc w:val="both"/>
        <w:rPr>
          <w:rFonts w:ascii="仿宋" w:eastAsia="仿宋" w:hAnsi="仿宋" w:cs="仿宋"/>
          <w:sz w:val="22"/>
          <w:szCs w:val="22"/>
        </w:rPr>
      </w:pPr>
      <w:r>
        <w:rPr>
          <w:rFonts w:ascii="仿宋" w:eastAsia="仿宋" w:hAnsi="仿宋" w:cs="仿宋"/>
          <w:spacing w:val="2"/>
          <w:sz w:val="22"/>
          <w:szCs w:val="22"/>
        </w:rPr>
        <w:t>合并财务报表的合并范围以控制为基础予以确定。控制，是指本公司拥有对被投资单位</w:t>
      </w:r>
      <w:r>
        <w:rPr>
          <w:rFonts w:ascii="仿宋" w:eastAsia="仿宋" w:hAnsi="仿宋" w:cs="仿宋"/>
          <w:spacing w:val="17"/>
          <w:sz w:val="22"/>
          <w:szCs w:val="22"/>
        </w:rPr>
        <w:t xml:space="preserve"> </w:t>
      </w:r>
      <w:r>
        <w:rPr>
          <w:rFonts w:ascii="仿宋" w:eastAsia="仿宋" w:hAnsi="仿宋" w:cs="仿宋"/>
          <w:spacing w:val="3"/>
          <w:sz w:val="22"/>
          <w:szCs w:val="22"/>
        </w:rPr>
        <w:t>的权力，通过参与被投资单位的相关活动而享有可变回报，并且有能力运用对被投资单</w:t>
      </w:r>
      <w:r>
        <w:rPr>
          <w:rFonts w:ascii="仿宋" w:eastAsia="仿宋" w:hAnsi="仿宋" w:cs="仿宋"/>
          <w:sz w:val="22"/>
          <w:szCs w:val="22"/>
        </w:rPr>
        <w:t xml:space="preserve"> </w:t>
      </w:r>
      <w:r>
        <w:rPr>
          <w:rFonts w:ascii="仿宋" w:eastAsia="仿宋" w:hAnsi="仿宋" w:cs="仿宋"/>
          <w:spacing w:val="6"/>
          <w:sz w:val="22"/>
          <w:szCs w:val="22"/>
        </w:rPr>
        <w:t>位的权力影响其回报金额。子公司，是指被本公司控制的主体(含企业、被投</w:t>
      </w:r>
      <w:r>
        <w:rPr>
          <w:rFonts w:ascii="仿宋" w:eastAsia="仿宋" w:hAnsi="仿宋" w:cs="仿宋"/>
          <w:spacing w:val="5"/>
          <w:sz w:val="22"/>
          <w:szCs w:val="22"/>
        </w:rPr>
        <w:t>资单位中</w:t>
      </w:r>
      <w:r>
        <w:rPr>
          <w:rFonts w:ascii="仿宋" w:eastAsia="仿宋" w:hAnsi="仿宋" w:cs="仿宋"/>
          <w:sz w:val="22"/>
          <w:szCs w:val="22"/>
        </w:rPr>
        <w:t xml:space="preserve"> </w:t>
      </w:r>
      <w:r>
        <w:rPr>
          <w:rFonts w:ascii="仿宋" w:eastAsia="仿宋" w:hAnsi="仿宋" w:cs="仿宋"/>
          <w:spacing w:val="-1"/>
          <w:sz w:val="22"/>
          <w:szCs w:val="22"/>
        </w:rPr>
        <w:t>可分割的部分、结构化主体等)。</w:t>
      </w:r>
    </w:p>
    <w:p>
      <w:pPr>
        <w:spacing w:before="222" w:line="220" w:lineRule="auto"/>
        <w:ind w:left="129"/>
        <w:rPr>
          <w:rFonts w:ascii="仿宋" w:eastAsia="仿宋" w:hAnsi="仿宋" w:cs="仿宋"/>
          <w:sz w:val="22"/>
          <w:szCs w:val="22"/>
        </w:rPr>
      </w:pPr>
      <w:r>
        <w:rPr>
          <w:rFonts w:ascii="仿宋" w:eastAsia="仿宋" w:hAnsi="仿宋" w:cs="仿宋"/>
          <w:spacing w:val="10"/>
          <w:sz w:val="22"/>
          <w:szCs w:val="22"/>
        </w:rPr>
        <w:t>(2)合并财务报表的编制方法</w:t>
      </w:r>
    </w:p>
    <w:p>
      <w:pPr>
        <w:spacing w:before="246" w:line="237" w:lineRule="auto"/>
        <w:ind w:left="419" w:right="1113"/>
        <w:jc w:val="both"/>
        <w:rPr>
          <w:rFonts w:ascii="仿宋" w:eastAsia="仿宋" w:hAnsi="仿宋" w:cs="仿宋"/>
          <w:sz w:val="22"/>
          <w:szCs w:val="22"/>
        </w:rPr>
      </w:pPr>
      <w:r>
        <w:rPr>
          <w:rFonts w:ascii="仿宋" w:eastAsia="仿宋" w:hAnsi="仿宋" w:cs="仿宋"/>
          <w:spacing w:val="1"/>
          <w:sz w:val="22"/>
          <w:szCs w:val="22"/>
        </w:rPr>
        <w:t>合并财务报表以本公司和子公司的财务报表为基础，根据</w:t>
      </w:r>
      <w:r>
        <w:rPr>
          <w:rFonts w:ascii="仿宋" w:eastAsia="仿宋" w:hAnsi="仿宋" w:cs="仿宋"/>
          <w:sz w:val="22"/>
          <w:szCs w:val="22"/>
        </w:rPr>
        <w:t xml:space="preserve">其他有关资料，由本公司编制 </w:t>
      </w:r>
      <w:r>
        <w:rPr>
          <w:rFonts w:ascii="仿宋" w:eastAsia="仿宋" w:hAnsi="仿宋" w:cs="仿宋"/>
          <w:spacing w:val="3"/>
          <w:sz w:val="22"/>
          <w:szCs w:val="22"/>
        </w:rPr>
        <w:t>在编制合并财务报表时，本公司和子公司的会计政策和会计期间要求保持一致，公司间</w:t>
      </w:r>
      <w:r>
        <w:rPr>
          <w:rFonts w:ascii="仿宋" w:eastAsia="仿宋" w:hAnsi="仿宋" w:cs="仿宋"/>
          <w:spacing w:val="1"/>
          <w:sz w:val="22"/>
          <w:szCs w:val="22"/>
        </w:rPr>
        <w:t xml:space="preserve"> </w:t>
      </w:r>
      <w:r>
        <w:rPr>
          <w:rFonts w:ascii="仿宋" w:eastAsia="仿宋" w:hAnsi="仿宋" w:cs="仿宋"/>
          <w:spacing w:val="-1"/>
          <w:sz w:val="22"/>
          <w:szCs w:val="22"/>
        </w:rPr>
        <w:t>的重大交易和往来余额予以抵销。</w:t>
      </w:r>
    </w:p>
    <w:p>
      <w:pPr>
        <w:spacing w:before="243" w:line="236" w:lineRule="auto"/>
        <w:ind w:left="419" w:right="1113"/>
        <w:jc w:val="both"/>
        <w:rPr>
          <w:rFonts w:ascii="仿宋" w:eastAsia="仿宋" w:hAnsi="仿宋" w:cs="仿宋"/>
          <w:sz w:val="22"/>
          <w:szCs w:val="22"/>
        </w:rPr>
      </w:pPr>
      <w:r>
        <w:rPr>
          <w:rFonts w:ascii="仿宋" w:eastAsia="仿宋" w:hAnsi="仿宋" w:cs="仿宋"/>
          <w:spacing w:val="3"/>
          <w:sz w:val="22"/>
          <w:szCs w:val="22"/>
        </w:rPr>
        <w:t>在报告期内因同一控制下企业合并增加的子公司以及业务，视同该子公司以及业务自同</w:t>
      </w:r>
      <w:r>
        <w:rPr>
          <w:rFonts w:ascii="仿宋" w:eastAsia="仿宋" w:hAnsi="仿宋" w:cs="仿宋"/>
          <w:spacing w:val="1"/>
          <w:sz w:val="22"/>
          <w:szCs w:val="22"/>
        </w:rPr>
        <w:t xml:space="preserve"> </w:t>
      </w:r>
      <w:r>
        <w:rPr>
          <w:rFonts w:ascii="仿宋" w:eastAsia="仿宋" w:hAnsi="仿宋" w:cs="仿宋"/>
          <w:spacing w:val="3"/>
          <w:sz w:val="22"/>
          <w:szCs w:val="22"/>
        </w:rPr>
        <w:t>受最终控制方控制之日起纳入本公司的合并范围，将其</w:t>
      </w:r>
      <w:r>
        <w:rPr>
          <w:rFonts w:ascii="仿宋" w:eastAsia="仿宋" w:hAnsi="仿宋" w:cs="仿宋"/>
          <w:spacing w:val="2"/>
          <w:sz w:val="22"/>
          <w:szCs w:val="22"/>
        </w:rPr>
        <w:t>自同受最终控制方控制之日起的</w:t>
      </w:r>
      <w:r>
        <w:rPr>
          <w:rFonts w:ascii="仿宋" w:eastAsia="仿宋" w:hAnsi="仿宋" w:cs="仿宋"/>
          <w:sz w:val="22"/>
          <w:szCs w:val="22"/>
        </w:rPr>
        <w:t xml:space="preserve"> </w:t>
      </w:r>
      <w:r>
        <w:rPr>
          <w:rFonts w:ascii="仿宋" w:eastAsia="仿宋" w:hAnsi="仿宋" w:cs="仿宋"/>
          <w:spacing w:val="2"/>
          <w:sz w:val="22"/>
          <w:szCs w:val="22"/>
        </w:rPr>
        <w:t>经营成果、现金流量分别纳入合并利润表、合并现金流量表中。</w:t>
      </w:r>
    </w:p>
    <w:p>
      <w:pPr>
        <w:pStyle w:val="BodyText"/>
        <w:spacing w:line="342" w:lineRule="auto"/>
      </w:pPr>
    </w:p>
    <w:p>
      <w:pPr>
        <w:pStyle w:val="BodyText"/>
        <w:spacing w:line="342" w:lineRule="auto"/>
      </w:pPr>
    </w:p>
    <w:p>
      <w:pPr>
        <w:spacing w:before="46" w:line="184" w:lineRule="auto"/>
        <w:ind w:left="4579"/>
        <w:rPr>
          <w:rFonts w:ascii="宋体" w:eastAsia="宋体" w:hAnsi="宋体" w:cs="宋体"/>
          <w:sz w:val="14"/>
          <w:szCs w:val="14"/>
        </w:rPr>
      </w:pPr>
      <w:r>
        <w:rPr>
          <w:rFonts w:ascii="宋体" w:eastAsia="宋体" w:hAnsi="宋体" w:cs="宋体"/>
          <w:spacing w:val="-4"/>
          <w:sz w:val="14"/>
          <w:szCs w:val="14"/>
        </w:rPr>
        <w:t>15</w:t>
      </w:r>
    </w:p>
    <w:p>
      <w:pPr>
        <w:pStyle w:val="BodyText"/>
        <w:spacing w:line="284" w:lineRule="auto"/>
      </w:pPr>
    </w:p>
    <w:p>
      <w:pPr>
        <w:pStyle w:val="BodyText"/>
        <w:spacing w:line="284" w:lineRule="auto"/>
      </w:pPr>
    </w:p>
    <w:p>
      <w:pPr>
        <w:spacing w:before="72" w:line="184" w:lineRule="auto"/>
        <w:ind w:left="4150"/>
        <w:rPr>
          <w:rFonts w:ascii="宋体" w:eastAsia="宋体" w:hAnsi="宋体" w:cs="宋体"/>
          <w:sz w:val="22"/>
          <w:szCs w:val="22"/>
        </w:rPr>
      </w:pPr>
      <w:r>
        <w:rPr>
          <w:rFonts w:ascii="宋体" w:eastAsia="宋体" w:hAnsi="宋体" w:cs="宋体"/>
          <w:spacing w:val="-20"/>
          <w:sz w:val="22"/>
          <w:szCs w:val="22"/>
        </w:rPr>
        <w:t>3-2-3-17</w:t>
      </w:r>
    </w:p>
    <w:p>
      <w:pPr>
        <w:spacing w:line="184" w:lineRule="auto"/>
        <w:rPr>
          <w:rFonts w:ascii="宋体" w:eastAsia="宋体" w:hAnsi="宋体" w:cs="宋体"/>
          <w:sz w:val="22"/>
          <w:szCs w:val="22"/>
        </w:rPr>
        <w:sectPr>
          <w:headerReference w:type="default" r:id="rId18"/>
          <w:pgSz w:w="11900" w:h="16820"/>
          <w:pgMar w:top="400" w:right="389" w:bottom="0" w:left="1499" w:header="0" w:footer="0" w:gutter="0"/>
          <w:pgNumType w:start="19"/>
          <w:cols w:num="1" w:space="720"/>
        </w:sectPr>
      </w:pPr>
    </w:p>
    <w:p>
      <w:pPr>
        <w:pStyle w:val="BodyText"/>
        <w:spacing w:line="300" w:lineRule="auto"/>
      </w:pPr>
    </w:p>
    <w:p>
      <w:pPr>
        <w:pStyle w:val="BodyText"/>
        <w:spacing w:line="300" w:lineRule="auto"/>
      </w:pPr>
    </w:p>
    <w:p>
      <w:pPr>
        <w:pStyle w:val="BodyText"/>
        <w:spacing w:line="300" w:lineRule="auto"/>
      </w:pPr>
    </w:p>
    <w:p>
      <w:pPr>
        <w:spacing w:before="72" w:line="222" w:lineRule="auto"/>
        <w:ind w:left="29"/>
        <w:rPr>
          <w:rFonts w:ascii="仿宋" w:eastAsia="仿宋" w:hAnsi="仿宋" w:cs="仿宋"/>
          <w:sz w:val="22"/>
          <w:szCs w:val="22"/>
        </w:rPr>
      </w:pPr>
      <w:r>
        <w:rPr>
          <w:rFonts w:ascii="仿宋" w:eastAsia="仿宋" w:hAnsi="仿宋" w:cs="仿宋"/>
          <w:spacing w:val="1"/>
          <w:sz w:val="22"/>
          <w:szCs w:val="22"/>
        </w:rPr>
        <w:t>美新科技股份有限公司</w:t>
      </w:r>
    </w:p>
    <w:p>
      <w:pPr>
        <w:spacing w:before="12" w:line="220" w:lineRule="auto"/>
        <w:ind w:left="29"/>
        <w:rPr>
          <w:rFonts w:ascii="仿宋" w:eastAsia="仿宋" w:hAnsi="仿宋" w:cs="仿宋"/>
          <w:sz w:val="22"/>
          <w:szCs w:val="22"/>
        </w:rPr>
      </w:pPr>
      <w:r>
        <w:rPr>
          <w:rFonts w:ascii="仿宋" w:eastAsia="仿宋" w:hAnsi="仿宋" w:cs="仿宋"/>
          <w:spacing w:val="3"/>
          <w:sz w:val="22"/>
          <w:szCs w:val="22"/>
        </w:rPr>
        <w:t>盈利预测的编制基础、假设和编制说明</w:t>
      </w:r>
    </w:p>
    <w:p>
      <w:pPr>
        <w:spacing w:before="48" w:line="221" w:lineRule="auto"/>
        <w:ind w:left="29"/>
        <w:rPr>
          <w:rFonts w:ascii="仿宋" w:eastAsia="仿宋" w:hAnsi="仿宋" w:cs="仿宋"/>
          <w:sz w:val="22"/>
          <w:szCs w:val="22"/>
        </w:rPr>
      </w:pPr>
      <w:r>
        <w:rPr>
          <w:rFonts w:ascii="仿宋" w:eastAsia="仿宋" w:hAnsi="仿宋" w:cs="仿宋"/>
          <w:spacing w:val="12"/>
          <w:sz w:val="22"/>
          <w:szCs w:val="22"/>
        </w:rPr>
        <w:t>2023年度(除特别注明外，金额单位为人民币万</w:t>
      </w:r>
      <w:r>
        <w:rPr>
          <w:rFonts w:ascii="仿宋" w:eastAsia="仿宋" w:hAnsi="仿宋" w:cs="仿宋"/>
          <w:spacing w:val="11"/>
          <w:sz w:val="22"/>
          <w:szCs w:val="22"/>
        </w:rPr>
        <w:t>元)</w:t>
      </w:r>
    </w:p>
    <w:p>
      <w:pPr>
        <w:spacing w:before="51" w:line="20" w:lineRule="exact"/>
      </w:pPr>
    </w:p>
    <w:p>
      <w:pPr>
        <w:spacing w:before="253" w:line="245" w:lineRule="auto"/>
        <w:ind w:left="369" w:right="1131"/>
        <w:rPr>
          <w:rFonts w:ascii="仿宋" w:eastAsia="仿宋" w:hAnsi="仿宋" w:cs="仿宋"/>
          <w:sz w:val="22"/>
          <w:szCs w:val="22"/>
        </w:rPr>
      </w:pPr>
      <w:r>
        <w:rPr>
          <w:rFonts w:ascii="仿宋" w:eastAsia="仿宋" w:hAnsi="仿宋" w:cs="仿宋"/>
          <w:spacing w:val="-3"/>
          <w:sz w:val="22"/>
          <w:szCs w:val="22"/>
        </w:rPr>
        <w:t>在报告期内因非同一控制下企业合并增加的子公司以及业务，将该子公司以及业务自购买</w:t>
      </w:r>
      <w:r>
        <w:rPr>
          <w:rFonts w:ascii="仿宋" w:eastAsia="仿宋" w:hAnsi="仿宋" w:cs="仿宋"/>
          <w:spacing w:val="4"/>
          <w:sz w:val="22"/>
          <w:szCs w:val="22"/>
        </w:rPr>
        <w:t xml:space="preserve"> </w:t>
      </w:r>
      <w:r>
        <w:rPr>
          <w:rFonts w:ascii="仿宋" w:eastAsia="仿宋" w:hAnsi="仿宋" w:cs="仿宋"/>
          <w:spacing w:val="-5"/>
          <w:sz w:val="22"/>
          <w:szCs w:val="22"/>
        </w:rPr>
        <w:t>日至报告期末的收入、费用、利润纳入合并利润表，将其现金流</w:t>
      </w:r>
      <w:r>
        <w:rPr>
          <w:rFonts w:ascii="仿宋" w:eastAsia="仿宋" w:hAnsi="仿宋" w:cs="仿宋"/>
          <w:spacing w:val="-6"/>
          <w:sz w:val="22"/>
          <w:szCs w:val="22"/>
        </w:rPr>
        <w:t>量纳入合并现金流量表。</w:t>
      </w:r>
    </w:p>
    <w:p>
      <w:pPr>
        <w:spacing w:before="208" w:line="237" w:lineRule="auto"/>
        <w:ind w:left="369" w:right="1137"/>
        <w:jc w:val="both"/>
        <w:rPr>
          <w:rFonts w:ascii="仿宋" w:eastAsia="仿宋" w:hAnsi="仿宋" w:cs="仿宋"/>
          <w:sz w:val="22"/>
          <w:szCs w:val="22"/>
        </w:rPr>
      </w:pPr>
      <w:r>
        <w:rPr>
          <w:rFonts w:ascii="仿宋" w:eastAsia="仿宋" w:hAnsi="仿宋" w:cs="仿宋"/>
          <w:spacing w:val="2"/>
          <w:sz w:val="22"/>
          <w:szCs w:val="22"/>
        </w:rPr>
        <w:t>子公司的股东权益中不属于本公司所拥有的部分，作为少数股东权益在合并资产负债表</w:t>
      </w:r>
      <w:r>
        <w:rPr>
          <w:rFonts w:ascii="仿宋" w:eastAsia="仿宋" w:hAnsi="仿宋" w:cs="仿宋"/>
          <w:spacing w:val="10"/>
          <w:sz w:val="22"/>
          <w:szCs w:val="22"/>
        </w:rPr>
        <w:t xml:space="preserve"> </w:t>
      </w:r>
      <w:r>
        <w:rPr>
          <w:rFonts w:ascii="仿宋" w:eastAsia="仿宋" w:hAnsi="仿宋" w:cs="仿宋"/>
          <w:spacing w:val="2"/>
          <w:sz w:val="22"/>
          <w:szCs w:val="22"/>
        </w:rPr>
        <w:t>中股东权益项下单独列示；子公司当期净损益中属于少数股东权益的份额，在合并利润</w:t>
      </w:r>
      <w:r>
        <w:rPr>
          <w:rFonts w:ascii="仿宋" w:eastAsia="仿宋" w:hAnsi="仿宋" w:cs="仿宋"/>
          <w:spacing w:val="16"/>
          <w:sz w:val="22"/>
          <w:szCs w:val="22"/>
        </w:rPr>
        <w:t xml:space="preserve"> </w:t>
      </w:r>
      <w:r>
        <w:rPr>
          <w:rFonts w:ascii="仿宋" w:eastAsia="仿宋" w:hAnsi="仿宋" w:cs="仿宋"/>
          <w:spacing w:val="3"/>
          <w:sz w:val="22"/>
          <w:szCs w:val="22"/>
        </w:rPr>
        <w:t>表中净利润项目下以“少数股东损益”项目列示。少数股</w:t>
      </w:r>
      <w:r>
        <w:rPr>
          <w:rFonts w:ascii="仿宋" w:eastAsia="仿宋" w:hAnsi="仿宋" w:cs="仿宋"/>
          <w:spacing w:val="2"/>
          <w:sz w:val="22"/>
          <w:szCs w:val="22"/>
        </w:rPr>
        <w:t>东分担的子公司的亏损超过了</w:t>
      </w:r>
      <w:r>
        <w:rPr>
          <w:rFonts w:ascii="仿宋" w:eastAsia="仿宋" w:hAnsi="仿宋" w:cs="仿宋"/>
          <w:sz w:val="22"/>
          <w:szCs w:val="22"/>
        </w:rPr>
        <w:t xml:space="preserve"> </w:t>
      </w:r>
      <w:r>
        <w:rPr>
          <w:rFonts w:ascii="仿宋" w:eastAsia="仿宋" w:hAnsi="仿宋" w:cs="仿宋"/>
          <w:spacing w:val="2"/>
          <w:sz w:val="22"/>
          <w:szCs w:val="22"/>
        </w:rPr>
        <w:t>少数股东在该子公司期初所有者权益中所享有的份额，其余额仍冲减少数股东权益。</w:t>
      </w:r>
    </w:p>
    <w:p>
      <w:pPr>
        <w:spacing w:before="242" w:line="222" w:lineRule="auto"/>
        <w:ind w:left="130"/>
        <w:rPr>
          <w:rFonts w:ascii="仿宋" w:eastAsia="仿宋" w:hAnsi="仿宋" w:cs="仿宋"/>
          <w:sz w:val="22"/>
          <w:szCs w:val="22"/>
        </w:rPr>
      </w:pPr>
      <w:r>
        <w:rPr>
          <w:rFonts w:ascii="仿宋" w:eastAsia="仿宋" w:hAnsi="仿宋" w:cs="仿宋"/>
          <w:spacing w:val="9"/>
          <w:sz w:val="22"/>
          <w:szCs w:val="22"/>
        </w:rPr>
        <w:t>(3)购买子公司少数股东股权</w:t>
      </w:r>
    </w:p>
    <w:p>
      <w:pPr>
        <w:spacing w:before="235" w:line="238" w:lineRule="auto"/>
        <w:ind w:left="369" w:right="1151"/>
        <w:jc w:val="both"/>
        <w:rPr>
          <w:rFonts w:ascii="仿宋" w:eastAsia="仿宋" w:hAnsi="仿宋" w:cs="仿宋"/>
          <w:sz w:val="22"/>
          <w:szCs w:val="22"/>
        </w:rPr>
      </w:pPr>
      <w:r>
        <w:rPr>
          <w:rFonts w:ascii="仿宋" w:eastAsia="仿宋" w:hAnsi="仿宋" w:cs="仿宋"/>
          <w:spacing w:val="8"/>
          <w:sz w:val="22"/>
          <w:szCs w:val="22"/>
        </w:rPr>
        <w:t>因购买少数股权新取得的长期股权投资成本与按</w:t>
      </w:r>
      <w:r>
        <w:rPr>
          <w:rFonts w:ascii="仿宋" w:eastAsia="仿宋" w:hAnsi="仿宋" w:cs="仿宋"/>
          <w:spacing w:val="7"/>
          <w:sz w:val="22"/>
          <w:szCs w:val="22"/>
        </w:rPr>
        <w:t>照新增持股比例计算应享有子公司自</w:t>
      </w:r>
      <w:r>
        <w:rPr>
          <w:rFonts w:ascii="仿宋" w:eastAsia="仿宋" w:hAnsi="仿宋" w:cs="仿宋"/>
          <w:sz w:val="22"/>
          <w:szCs w:val="22"/>
        </w:rPr>
        <w:t xml:space="preserve"> </w:t>
      </w:r>
      <w:r>
        <w:rPr>
          <w:rFonts w:ascii="仿宋" w:eastAsia="仿宋" w:hAnsi="仿宋" w:cs="仿宋"/>
          <w:spacing w:val="2"/>
          <w:sz w:val="22"/>
          <w:szCs w:val="22"/>
        </w:rPr>
        <w:t>购买日或合并日开始持续计算的净资产份额之间的差额，以及</w:t>
      </w:r>
      <w:r>
        <w:rPr>
          <w:rFonts w:ascii="仿宋" w:eastAsia="仿宋" w:hAnsi="仿宋" w:cs="仿宋"/>
          <w:spacing w:val="1"/>
          <w:sz w:val="22"/>
          <w:szCs w:val="22"/>
        </w:rPr>
        <w:t>在不丧失控制权的情况下</w:t>
      </w:r>
      <w:r>
        <w:rPr>
          <w:rFonts w:ascii="仿宋" w:eastAsia="仿宋" w:hAnsi="仿宋" w:cs="仿宋"/>
          <w:sz w:val="22"/>
          <w:szCs w:val="22"/>
        </w:rPr>
        <w:t xml:space="preserve"> </w:t>
      </w:r>
      <w:r>
        <w:rPr>
          <w:rFonts w:ascii="仿宋" w:eastAsia="仿宋" w:hAnsi="仿宋" w:cs="仿宋"/>
          <w:spacing w:val="8"/>
          <w:sz w:val="22"/>
          <w:szCs w:val="22"/>
        </w:rPr>
        <w:t>因部分处置对子公司的股权投资而取得的处置价款与处置长期股权投资相对应享有子</w:t>
      </w:r>
      <w:r>
        <w:rPr>
          <w:rFonts w:ascii="仿宋" w:eastAsia="仿宋" w:hAnsi="仿宋" w:cs="仿宋"/>
          <w:spacing w:val="7"/>
          <w:sz w:val="22"/>
          <w:szCs w:val="22"/>
        </w:rPr>
        <w:t xml:space="preserve"> </w:t>
      </w:r>
      <w:r>
        <w:rPr>
          <w:rFonts w:ascii="仿宋" w:eastAsia="仿宋" w:hAnsi="仿宋" w:cs="仿宋"/>
          <w:spacing w:val="2"/>
          <w:sz w:val="22"/>
          <w:szCs w:val="22"/>
        </w:rPr>
        <w:t>公司自购买日或合并日开始持续计算的净资产份额之间的差额，均调整合并资产负债表</w:t>
      </w:r>
      <w:r>
        <w:rPr>
          <w:rFonts w:ascii="仿宋" w:eastAsia="仿宋" w:hAnsi="仿宋" w:cs="仿宋"/>
          <w:spacing w:val="11"/>
          <w:sz w:val="22"/>
          <w:szCs w:val="22"/>
        </w:rPr>
        <w:t xml:space="preserve"> </w:t>
      </w:r>
      <w:r>
        <w:rPr>
          <w:rFonts w:ascii="仿宋" w:eastAsia="仿宋" w:hAnsi="仿宋" w:cs="仿宋"/>
          <w:sz w:val="22"/>
          <w:szCs w:val="22"/>
        </w:rPr>
        <w:t>中的资本公积，资本公积不足冲减的，调整留存收益。</w:t>
      </w:r>
    </w:p>
    <w:p>
      <w:pPr>
        <w:spacing w:before="240" w:line="222" w:lineRule="auto"/>
        <w:ind w:left="130"/>
        <w:rPr>
          <w:rFonts w:ascii="仿宋" w:eastAsia="仿宋" w:hAnsi="仿宋" w:cs="仿宋"/>
          <w:sz w:val="22"/>
          <w:szCs w:val="22"/>
        </w:rPr>
      </w:pPr>
      <w:r>
        <w:rPr>
          <w:rFonts w:ascii="仿宋" w:eastAsia="仿宋" w:hAnsi="仿宋" w:cs="仿宋"/>
          <w:spacing w:val="9"/>
          <w:sz w:val="22"/>
          <w:szCs w:val="22"/>
        </w:rPr>
        <w:t>(4)丧失子公司控制权的处理</w:t>
      </w:r>
    </w:p>
    <w:p>
      <w:pPr>
        <w:spacing w:before="265" w:line="232" w:lineRule="auto"/>
        <w:ind w:left="369" w:right="1151"/>
        <w:jc w:val="both"/>
        <w:rPr>
          <w:rFonts w:ascii="仿宋" w:eastAsia="仿宋" w:hAnsi="仿宋" w:cs="仿宋"/>
          <w:sz w:val="22"/>
          <w:szCs w:val="22"/>
        </w:rPr>
      </w:pPr>
      <w:r>
        <w:rPr>
          <w:rFonts w:ascii="仿宋" w:eastAsia="仿宋" w:hAnsi="仿宋" w:cs="仿宋"/>
          <w:spacing w:val="2"/>
          <w:sz w:val="22"/>
          <w:szCs w:val="22"/>
        </w:rPr>
        <w:t>因处置部分股权投资或其他原因丧失了对原有子公司控制权的，剩余股权按照其在丧失</w:t>
      </w:r>
      <w:r>
        <w:rPr>
          <w:rFonts w:ascii="仿宋" w:eastAsia="仿宋" w:hAnsi="仿宋" w:cs="仿宋"/>
          <w:spacing w:val="7"/>
          <w:sz w:val="22"/>
          <w:szCs w:val="22"/>
        </w:rPr>
        <w:t xml:space="preserve"> </w:t>
      </w:r>
      <w:r>
        <w:rPr>
          <w:rFonts w:ascii="仿宋" w:eastAsia="仿宋" w:hAnsi="仿宋" w:cs="仿宋"/>
          <w:spacing w:val="2"/>
          <w:sz w:val="22"/>
          <w:szCs w:val="22"/>
        </w:rPr>
        <w:t>控制权日的公允价值进行重新计量；处置股权取得的对价与剩余股权公允价值之和，减</w:t>
      </w:r>
      <w:r>
        <w:rPr>
          <w:rFonts w:ascii="仿宋" w:eastAsia="仿宋" w:hAnsi="仿宋" w:cs="仿宋"/>
          <w:spacing w:val="11"/>
          <w:sz w:val="22"/>
          <w:szCs w:val="22"/>
        </w:rPr>
        <w:t xml:space="preserve"> </w:t>
      </w:r>
      <w:r>
        <w:rPr>
          <w:rFonts w:ascii="仿宋" w:eastAsia="仿宋" w:hAnsi="仿宋" w:cs="仿宋"/>
          <w:spacing w:val="8"/>
          <w:sz w:val="22"/>
          <w:szCs w:val="22"/>
        </w:rPr>
        <w:t xml:space="preserve">去按原持股比例计算应享有原有子公司自购买日开始持续计算的净资产账面价值的份 </w:t>
      </w:r>
      <w:r>
        <w:rPr>
          <w:rFonts w:ascii="仿宋" w:eastAsia="仿宋" w:hAnsi="仿宋" w:cs="仿宋"/>
          <w:spacing w:val="2"/>
          <w:sz w:val="22"/>
          <w:szCs w:val="22"/>
        </w:rPr>
        <w:t>额与商誉之和，形成的差额计入丧失控制权当期的投资收益。</w:t>
      </w:r>
    </w:p>
    <w:p>
      <w:pPr>
        <w:spacing w:before="263" w:line="233" w:lineRule="auto"/>
        <w:ind w:left="369" w:right="1152"/>
        <w:rPr>
          <w:rFonts w:ascii="仿宋" w:eastAsia="仿宋" w:hAnsi="仿宋" w:cs="仿宋"/>
          <w:sz w:val="22"/>
          <w:szCs w:val="22"/>
        </w:rPr>
      </w:pPr>
      <w:r>
        <w:rPr>
          <w:rFonts w:ascii="仿宋" w:eastAsia="仿宋" w:hAnsi="仿宋" w:cs="仿宋"/>
          <w:spacing w:val="2"/>
          <w:sz w:val="22"/>
          <w:szCs w:val="22"/>
        </w:rPr>
        <w:t>与原有子公司的股权投资相关的其他综合收益等，在丧失控制权时转入当期损益，由于</w:t>
      </w:r>
      <w:r>
        <w:rPr>
          <w:rFonts w:ascii="仿宋" w:eastAsia="仿宋" w:hAnsi="仿宋" w:cs="仿宋"/>
          <w:spacing w:val="10"/>
          <w:sz w:val="22"/>
          <w:szCs w:val="22"/>
        </w:rPr>
        <w:t xml:space="preserve"> </w:t>
      </w:r>
      <w:r>
        <w:rPr>
          <w:rFonts w:ascii="仿宋" w:eastAsia="仿宋" w:hAnsi="仿宋" w:cs="仿宋"/>
          <w:spacing w:val="2"/>
          <w:sz w:val="22"/>
          <w:szCs w:val="22"/>
        </w:rPr>
        <w:t>被投资方重新计量设定收益计划净负债或净资产变</w:t>
      </w:r>
      <w:r>
        <w:rPr>
          <w:rFonts w:ascii="仿宋" w:eastAsia="仿宋" w:hAnsi="仿宋" w:cs="仿宋"/>
          <w:spacing w:val="1"/>
          <w:sz w:val="22"/>
          <w:szCs w:val="22"/>
        </w:rPr>
        <w:t>动而产生的其他综合收益除外。</w:t>
      </w:r>
    </w:p>
    <w:p>
      <w:pPr>
        <w:spacing w:before="219" w:line="222" w:lineRule="auto"/>
        <w:ind w:left="9"/>
        <w:rPr>
          <w:rFonts w:ascii="仿宋" w:eastAsia="仿宋" w:hAnsi="仿宋" w:cs="仿宋"/>
          <w:sz w:val="22"/>
          <w:szCs w:val="22"/>
        </w:rPr>
      </w:pPr>
      <w:r>
        <w:rPr>
          <w:rFonts w:ascii="仿宋" w:eastAsia="仿宋" w:hAnsi="仿宋" w:cs="仿宋"/>
          <w:spacing w:val="1"/>
          <w:sz w:val="22"/>
          <w:szCs w:val="22"/>
        </w:rPr>
        <w:t>7、</w:t>
      </w:r>
      <w:r>
        <w:rPr>
          <w:rFonts w:ascii="仿宋" w:eastAsia="仿宋" w:hAnsi="仿宋" w:cs="仿宋"/>
          <w:spacing w:val="-48"/>
          <w:sz w:val="22"/>
          <w:szCs w:val="22"/>
        </w:rPr>
        <w:t xml:space="preserve"> </w:t>
      </w:r>
      <w:r>
        <w:rPr>
          <w:rFonts w:ascii="仿宋" w:eastAsia="仿宋" w:hAnsi="仿宋" w:cs="仿宋"/>
          <w:spacing w:val="1"/>
          <w:sz w:val="22"/>
          <w:szCs w:val="22"/>
        </w:rPr>
        <w:t>合营安排的分类及共同经营的会计处理方法</w:t>
      </w:r>
    </w:p>
    <w:p>
      <w:pPr>
        <w:spacing w:before="254" w:line="221" w:lineRule="auto"/>
        <w:ind w:left="369" w:right="1137"/>
        <w:rPr>
          <w:rFonts w:ascii="仿宋" w:eastAsia="仿宋" w:hAnsi="仿宋" w:cs="仿宋"/>
          <w:sz w:val="22"/>
          <w:szCs w:val="22"/>
        </w:rPr>
      </w:pPr>
      <w:r>
        <w:rPr>
          <w:rFonts w:ascii="仿宋" w:eastAsia="仿宋" w:hAnsi="仿宋" w:cs="仿宋"/>
          <w:spacing w:val="3"/>
          <w:sz w:val="22"/>
          <w:szCs w:val="22"/>
        </w:rPr>
        <w:t>合营安排，是指一项由两个或两个以上的参与方共同控制</w:t>
      </w:r>
      <w:r>
        <w:rPr>
          <w:rFonts w:ascii="仿宋" w:eastAsia="仿宋" w:hAnsi="仿宋" w:cs="仿宋"/>
          <w:spacing w:val="2"/>
          <w:sz w:val="22"/>
          <w:szCs w:val="22"/>
        </w:rPr>
        <w:t>的安排。本公司合营安排分为</w:t>
      </w:r>
      <w:r>
        <w:rPr>
          <w:rFonts w:ascii="仿宋" w:eastAsia="仿宋" w:hAnsi="仿宋" w:cs="仿宋"/>
          <w:sz w:val="22"/>
          <w:szCs w:val="22"/>
        </w:rPr>
        <w:t xml:space="preserve"> </w:t>
      </w:r>
      <w:r>
        <w:rPr>
          <w:rFonts w:ascii="仿宋" w:eastAsia="仿宋" w:hAnsi="仿宋" w:cs="仿宋"/>
          <w:spacing w:val="-1"/>
          <w:sz w:val="22"/>
          <w:szCs w:val="22"/>
        </w:rPr>
        <w:t>共同经营和合营企业。</w:t>
      </w:r>
    </w:p>
    <w:p>
      <w:pPr>
        <w:spacing w:before="235" w:line="224" w:lineRule="auto"/>
        <w:ind w:left="130"/>
        <w:rPr>
          <w:rFonts w:ascii="仿宋" w:eastAsia="仿宋" w:hAnsi="仿宋" w:cs="仿宋"/>
          <w:sz w:val="22"/>
          <w:szCs w:val="22"/>
        </w:rPr>
      </w:pPr>
      <w:r>
        <w:rPr>
          <w:rFonts w:ascii="仿宋" w:eastAsia="仿宋" w:hAnsi="仿宋" w:cs="仿宋"/>
          <w:spacing w:val="16"/>
          <w:sz w:val="22"/>
          <w:szCs w:val="22"/>
        </w:rPr>
        <w:t>(1)共同经营</w:t>
      </w:r>
    </w:p>
    <w:p>
      <w:pPr>
        <w:spacing w:before="250" w:line="221" w:lineRule="auto"/>
        <w:ind w:left="369"/>
        <w:rPr>
          <w:rFonts w:ascii="仿宋" w:eastAsia="仿宋" w:hAnsi="仿宋" w:cs="仿宋"/>
          <w:sz w:val="22"/>
          <w:szCs w:val="22"/>
        </w:rPr>
      </w:pPr>
      <w:r>
        <w:rPr>
          <w:rFonts w:ascii="仿宋" w:eastAsia="仿宋" w:hAnsi="仿宋" w:cs="仿宋"/>
          <w:spacing w:val="1"/>
          <w:sz w:val="22"/>
          <w:szCs w:val="22"/>
        </w:rPr>
        <w:t>共同经营是指本公司享有该安排相关资产且承担该安排相关负债</w:t>
      </w:r>
      <w:r>
        <w:rPr>
          <w:rFonts w:ascii="仿宋" w:eastAsia="仿宋" w:hAnsi="仿宋" w:cs="仿宋"/>
          <w:sz w:val="22"/>
          <w:szCs w:val="22"/>
        </w:rPr>
        <w:t>的合营安排。</w:t>
      </w:r>
    </w:p>
    <w:p>
      <w:pPr>
        <w:spacing w:before="226" w:line="224" w:lineRule="auto"/>
        <w:ind w:left="369" w:right="1134"/>
        <w:rPr>
          <w:rFonts w:ascii="仿宋" w:eastAsia="仿宋" w:hAnsi="仿宋" w:cs="仿宋"/>
          <w:sz w:val="22"/>
          <w:szCs w:val="22"/>
        </w:rPr>
      </w:pPr>
      <w:r>
        <w:rPr>
          <w:rFonts w:ascii="仿宋" w:eastAsia="仿宋" w:hAnsi="仿宋" w:cs="仿宋"/>
          <w:spacing w:val="3"/>
          <w:sz w:val="22"/>
          <w:szCs w:val="22"/>
        </w:rPr>
        <w:t>本公司确认与共同经营中利益份额相关的下列项目，并按照相关</w:t>
      </w:r>
      <w:r>
        <w:rPr>
          <w:rFonts w:ascii="仿宋" w:eastAsia="仿宋" w:hAnsi="仿宋" w:cs="仿宋"/>
          <w:spacing w:val="2"/>
          <w:sz w:val="22"/>
          <w:szCs w:val="22"/>
        </w:rPr>
        <w:t>企业会计准则的规定进</w:t>
      </w:r>
      <w:r>
        <w:rPr>
          <w:rFonts w:ascii="仿宋" w:eastAsia="仿宋" w:hAnsi="仿宋" w:cs="仿宋"/>
          <w:sz w:val="22"/>
          <w:szCs w:val="22"/>
        </w:rPr>
        <w:t xml:space="preserve"> </w:t>
      </w:r>
      <w:r>
        <w:rPr>
          <w:rFonts w:ascii="仿宋" w:eastAsia="仿宋" w:hAnsi="仿宋" w:cs="仿宋"/>
          <w:spacing w:val="-6"/>
          <w:sz w:val="22"/>
          <w:szCs w:val="22"/>
        </w:rPr>
        <w:t>行会计处理：</w:t>
      </w:r>
    </w:p>
    <w:p>
      <w:pPr>
        <w:spacing w:before="267" w:line="490" w:lineRule="exact"/>
        <w:ind w:left="369"/>
        <w:rPr>
          <w:rFonts w:ascii="仿宋" w:eastAsia="仿宋" w:hAnsi="仿宋" w:cs="仿宋"/>
          <w:sz w:val="22"/>
          <w:szCs w:val="22"/>
        </w:rPr>
      </w:pPr>
      <w:r>
        <w:rPr>
          <w:rFonts w:ascii="宋体" w:eastAsia="宋体" w:hAnsi="宋体" w:cs="宋体"/>
          <w:position w:val="20"/>
          <w:sz w:val="22"/>
          <w:szCs w:val="22"/>
        </w:rPr>
        <w:t>A、</w:t>
      </w:r>
      <w:r>
        <w:rPr>
          <w:rFonts w:ascii="宋体" w:eastAsia="宋体" w:hAnsi="宋体" w:cs="宋体"/>
          <w:spacing w:val="-12"/>
          <w:position w:val="20"/>
          <w:sz w:val="22"/>
          <w:szCs w:val="22"/>
        </w:rPr>
        <w:t xml:space="preserve"> </w:t>
      </w:r>
      <w:r>
        <w:rPr>
          <w:rFonts w:ascii="仿宋" w:eastAsia="仿宋" w:hAnsi="仿宋" w:cs="仿宋"/>
          <w:position w:val="20"/>
          <w:sz w:val="22"/>
          <w:szCs w:val="22"/>
        </w:rPr>
        <w:t>确认单独所持有的资产，以及按其份额确认共同持有的资产；</w:t>
      </w:r>
    </w:p>
    <w:p>
      <w:pPr>
        <w:spacing w:before="1" w:line="220" w:lineRule="auto"/>
        <w:ind w:left="369"/>
        <w:rPr>
          <w:rFonts w:ascii="仿宋" w:eastAsia="仿宋" w:hAnsi="仿宋" w:cs="仿宋"/>
          <w:sz w:val="22"/>
          <w:szCs w:val="22"/>
        </w:rPr>
      </w:pPr>
      <w:r>
        <w:rPr>
          <w:rFonts w:ascii="宋体" w:eastAsia="宋体" w:hAnsi="宋体" w:cs="宋体"/>
          <w:spacing w:val="-1"/>
          <w:sz w:val="22"/>
          <w:szCs w:val="22"/>
        </w:rPr>
        <w:t>B、</w:t>
      </w:r>
      <w:r>
        <w:rPr>
          <w:rFonts w:ascii="宋体" w:eastAsia="宋体" w:hAnsi="宋体" w:cs="宋体"/>
          <w:spacing w:val="-32"/>
          <w:sz w:val="22"/>
          <w:szCs w:val="22"/>
        </w:rPr>
        <w:t xml:space="preserve"> </w:t>
      </w:r>
      <w:r>
        <w:rPr>
          <w:rFonts w:ascii="仿宋" w:eastAsia="仿宋" w:hAnsi="仿宋" w:cs="仿宋"/>
          <w:spacing w:val="-1"/>
          <w:sz w:val="22"/>
          <w:szCs w:val="22"/>
        </w:rPr>
        <w:t>确认单独所承担的负债，以及按其份额确认共同承担的负债；</w:t>
      </w:r>
    </w:p>
    <w:p>
      <w:pPr>
        <w:spacing w:before="247" w:line="490" w:lineRule="exact"/>
        <w:ind w:left="369"/>
        <w:rPr>
          <w:rFonts w:ascii="仿宋" w:eastAsia="仿宋" w:hAnsi="仿宋" w:cs="仿宋"/>
          <w:sz w:val="22"/>
          <w:szCs w:val="22"/>
        </w:rPr>
      </w:pPr>
      <w:r>
        <w:rPr>
          <w:rFonts w:ascii="宋体" w:eastAsia="宋体" w:hAnsi="宋体" w:cs="宋体"/>
          <w:position w:val="20"/>
          <w:sz w:val="22"/>
          <w:szCs w:val="22"/>
        </w:rPr>
        <w:t>C、</w:t>
      </w:r>
      <w:r>
        <w:rPr>
          <w:rFonts w:ascii="宋体" w:eastAsia="宋体" w:hAnsi="宋体" w:cs="宋体"/>
          <w:spacing w:val="-21"/>
          <w:position w:val="20"/>
          <w:sz w:val="22"/>
          <w:szCs w:val="22"/>
        </w:rPr>
        <w:t xml:space="preserve"> </w:t>
      </w:r>
      <w:r>
        <w:rPr>
          <w:rFonts w:ascii="仿宋" w:eastAsia="仿宋" w:hAnsi="仿宋" w:cs="仿宋"/>
          <w:position w:val="20"/>
          <w:sz w:val="22"/>
          <w:szCs w:val="22"/>
        </w:rPr>
        <w:t>确认出售其享有的共同经营产出份额所产生的收入；</w:t>
      </w:r>
    </w:p>
    <w:p>
      <w:pPr>
        <w:spacing w:before="1" w:line="220" w:lineRule="auto"/>
        <w:ind w:left="369"/>
        <w:rPr>
          <w:rFonts w:ascii="仿宋" w:eastAsia="仿宋" w:hAnsi="仿宋" w:cs="仿宋"/>
          <w:sz w:val="22"/>
          <w:szCs w:val="22"/>
        </w:rPr>
      </w:pPr>
      <w:r>
        <w:rPr>
          <w:rFonts w:ascii="Times New Roman" w:eastAsia="Times New Roman" w:hAnsi="Times New Roman" w:cs="Times New Roman"/>
          <w:sz w:val="22"/>
          <w:szCs w:val="22"/>
        </w:rPr>
        <w:t>D</w:t>
      </w:r>
      <w:r>
        <w:rPr>
          <w:rFonts w:ascii="宋体" w:eastAsia="宋体" w:hAnsi="宋体" w:cs="宋体"/>
          <w:sz w:val="22"/>
          <w:szCs w:val="22"/>
        </w:rPr>
        <w:t>、</w:t>
      </w:r>
      <w:r>
        <w:rPr>
          <w:rFonts w:ascii="仿宋" w:eastAsia="仿宋" w:hAnsi="仿宋" w:cs="仿宋"/>
          <w:sz w:val="22"/>
          <w:szCs w:val="22"/>
        </w:rPr>
        <w:t>按其份额确认共同经营因出售产出所产生的收入；</w:t>
      </w:r>
    </w:p>
    <w:p>
      <w:pPr>
        <w:spacing w:before="236" w:line="221" w:lineRule="auto"/>
        <w:ind w:left="369"/>
        <w:rPr>
          <w:rFonts w:ascii="仿宋" w:eastAsia="仿宋" w:hAnsi="仿宋" w:cs="仿宋"/>
          <w:sz w:val="22"/>
          <w:szCs w:val="22"/>
        </w:rPr>
      </w:pPr>
      <w:r>
        <w:rPr>
          <w:rFonts w:ascii="Times New Roman" w:eastAsia="Times New Roman" w:hAnsi="Times New Roman" w:cs="Times New Roman"/>
          <w:spacing w:val="2"/>
          <w:sz w:val="22"/>
          <w:szCs w:val="22"/>
        </w:rPr>
        <w:t>E</w:t>
      </w:r>
      <w:r>
        <w:rPr>
          <w:rFonts w:ascii="Times New Roman" w:eastAsia="Times New Roman" w:hAnsi="Times New Roman" w:cs="Times New Roman"/>
          <w:spacing w:val="-23"/>
          <w:sz w:val="22"/>
          <w:szCs w:val="22"/>
        </w:rPr>
        <w:t xml:space="preserve"> </w:t>
      </w:r>
      <w:r>
        <w:rPr>
          <w:rFonts w:ascii="宋体" w:eastAsia="宋体" w:hAnsi="宋体" w:cs="宋体"/>
          <w:spacing w:val="2"/>
          <w:sz w:val="22"/>
          <w:szCs w:val="22"/>
        </w:rPr>
        <w:t>、</w:t>
      </w:r>
      <w:r>
        <w:rPr>
          <w:rFonts w:ascii="仿宋" w:eastAsia="仿宋" w:hAnsi="仿宋" w:cs="仿宋"/>
          <w:spacing w:val="2"/>
          <w:sz w:val="22"/>
          <w:szCs w:val="22"/>
        </w:rPr>
        <w:t>确认单独所发生的费用，以及按其份额确认共同经营发生的费用。</w:t>
      </w:r>
    </w:p>
    <w:p>
      <w:pPr>
        <w:pStyle w:val="BodyText"/>
        <w:spacing w:line="266" w:lineRule="auto"/>
      </w:pPr>
    </w:p>
    <w:p>
      <w:pPr>
        <w:pStyle w:val="BodyText"/>
        <w:spacing w:line="267" w:lineRule="auto"/>
      </w:pPr>
    </w:p>
    <w:p>
      <w:pPr>
        <w:spacing w:before="50" w:line="184" w:lineRule="auto"/>
        <w:ind w:left="4539"/>
        <w:rPr>
          <w:rFonts w:ascii="宋体" w:eastAsia="宋体" w:hAnsi="宋体" w:cs="宋体"/>
          <w:sz w:val="15"/>
          <w:szCs w:val="15"/>
        </w:rPr>
      </w:pPr>
      <w:r>
        <w:rPr>
          <w:rFonts w:ascii="宋体" w:eastAsia="宋体" w:hAnsi="宋体" w:cs="宋体"/>
          <w:spacing w:val="-5"/>
          <w:sz w:val="15"/>
          <w:szCs w:val="15"/>
        </w:rPr>
        <w:t>16</w:t>
      </w:r>
    </w:p>
    <w:p>
      <w:pPr>
        <w:pStyle w:val="BodyText"/>
        <w:spacing w:line="298" w:lineRule="auto"/>
      </w:pPr>
    </w:p>
    <w:p>
      <w:pPr>
        <w:pStyle w:val="BodyText"/>
        <w:spacing w:line="299" w:lineRule="auto"/>
      </w:pPr>
    </w:p>
    <w:p>
      <w:pPr>
        <w:spacing w:before="58" w:line="184" w:lineRule="auto"/>
        <w:ind w:left="4130"/>
        <w:rPr>
          <w:rFonts w:ascii="宋体" w:eastAsia="宋体" w:hAnsi="宋体" w:cs="宋体"/>
          <w:sz w:val="18"/>
          <w:szCs w:val="18"/>
        </w:rPr>
      </w:pPr>
      <w:r>
        <w:rPr>
          <w:rFonts w:ascii="宋体" w:eastAsia="宋体" w:hAnsi="宋体" w:cs="宋体"/>
          <w:spacing w:val="-2"/>
          <w:sz w:val="18"/>
          <w:szCs w:val="18"/>
        </w:rPr>
        <w:t>3-2-3-18</w:t>
      </w:r>
    </w:p>
    <w:p>
      <w:pPr>
        <w:spacing w:line="184" w:lineRule="auto"/>
        <w:rPr>
          <w:rFonts w:ascii="宋体" w:eastAsia="宋体" w:hAnsi="宋体" w:cs="宋体"/>
          <w:sz w:val="18"/>
          <w:szCs w:val="18"/>
        </w:rPr>
        <w:sectPr>
          <w:headerReference w:type="default" r:id="rId19"/>
          <w:pgSz w:w="11900" w:h="16820"/>
          <w:pgMar w:top="400" w:right="419" w:bottom="0" w:left="1509" w:header="0" w:footer="0" w:gutter="0"/>
          <w:pgNumType w:start="20"/>
          <w:cols w:num="1" w:space="720"/>
        </w:sectPr>
      </w:pPr>
    </w:p>
    <w:p>
      <w:pPr>
        <w:pStyle w:val="BodyText"/>
        <w:spacing w:line="300" w:lineRule="auto"/>
      </w:pPr>
    </w:p>
    <w:p>
      <w:pPr>
        <w:pStyle w:val="BodyText"/>
        <w:spacing w:line="300" w:lineRule="auto"/>
      </w:pPr>
    </w:p>
    <w:p>
      <w:pPr>
        <w:pStyle w:val="BodyText"/>
        <w:spacing w:line="300" w:lineRule="auto"/>
      </w:pPr>
    </w:p>
    <w:p>
      <w:pPr>
        <w:spacing w:before="72" w:line="222" w:lineRule="auto"/>
        <w:ind w:left="79"/>
        <w:rPr>
          <w:rFonts w:ascii="仿宋" w:eastAsia="仿宋" w:hAnsi="仿宋" w:cs="仿宋"/>
          <w:sz w:val="22"/>
          <w:szCs w:val="22"/>
        </w:rPr>
      </w:pPr>
      <w:r>
        <w:rPr>
          <w:rFonts w:ascii="仿宋" w:eastAsia="仿宋" w:hAnsi="仿宋" w:cs="仿宋"/>
          <w:spacing w:val="2"/>
          <w:sz w:val="22"/>
          <w:szCs w:val="22"/>
        </w:rPr>
        <w:t>美新科技股份有限公司</w:t>
      </w:r>
    </w:p>
    <w:p>
      <w:pPr>
        <w:spacing w:before="32" w:line="220" w:lineRule="auto"/>
        <w:ind w:left="69"/>
        <w:rPr>
          <w:rFonts w:ascii="仿宋" w:eastAsia="仿宋" w:hAnsi="仿宋" w:cs="仿宋"/>
          <w:sz w:val="22"/>
          <w:szCs w:val="22"/>
        </w:rPr>
      </w:pPr>
      <w:r>
        <w:rPr>
          <w:rFonts w:ascii="仿宋" w:eastAsia="仿宋" w:hAnsi="仿宋" w:cs="仿宋"/>
          <w:spacing w:val="3"/>
          <w:sz w:val="22"/>
          <w:szCs w:val="22"/>
        </w:rPr>
        <w:t>盈利预测的编制基础、假设和编制说明</w:t>
      </w:r>
    </w:p>
    <w:p>
      <w:pPr>
        <w:spacing w:before="28" w:line="221" w:lineRule="auto"/>
        <w:ind w:left="19"/>
        <w:rPr>
          <w:rFonts w:ascii="仿宋" w:eastAsia="仿宋" w:hAnsi="仿宋" w:cs="仿宋"/>
          <w:sz w:val="22"/>
          <w:szCs w:val="22"/>
        </w:rPr>
      </w:pPr>
      <w:r>
        <w:rPr>
          <w:rFonts w:ascii="仿宋" w:eastAsia="仿宋" w:hAnsi="仿宋" w:cs="仿宋"/>
          <w:spacing w:val="11"/>
          <w:sz w:val="22"/>
          <w:szCs w:val="22"/>
        </w:rPr>
        <w:t>2023年度(除特别注明外，金额单位为人民币万元)</w:t>
      </w:r>
    </w:p>
    <w:p>
      <w:pPr>
        <w:spacing w:before="41" w:line="20" w:lineRule="exact"/>
      </w:pPr>
    </w:p>
    <w:p>
      <w:pPr>
        <w:spacing w:before="248" w:line="224" w:lineRule="auto"/>
        <w:ind w:left="129"/>
        <w:rPr>
          <w:rFonts w:ascii="仿宋" w:eastAsia="仿宋" w:hAnsi="仿宋" w:cs="仿宋"/>
          <w:sz w:val="22"/>
          <w:szCs w:val="22"/>
        </w:rPr>
      </w:pPr>
      <w:r>
        <w:rPr>
          <w:rFonts w:ascii="仿宋" w:eastAsia="仿宋" w:hAnsi="仿宋" w:cs="仿宋"/>
          <w:spacing w:val="13"/>
          <w:sz w:val="22"/>
          <w:szCs w:val="22"/>
        </w:rPr>
        <w:t>(2)合营企业</w:t>
      </w:r>
    </w:p>
    <w:p>
      <w:pPr>
        <w:spacing w:before="252" w:line="222" w:lineRule="auto"/>
        <w:ind w:left="409"/>
        <w:rPr>
          <w:rFonts w:ascii="仿宋" w:eastAsia="仿宋" w:hAnsi="仿宋" w:cs="仿宋"/>
          <w:sz w:val="22"/>
          <w:szCs w:val="22"/>
        </w:rPr>
      </w:pPr>
      <w:r>
        <w:rPr>
          <w:rFonts w:ascii="仿宋" w:eastAsia="仿宋" w:hAnsi="仿宋" w:cs="仿宋"/>
          <w:spacing w:val="3"/>
          <w:sz w:val="22"/>
          <w:szCs w:val="22"/>
        </w:rPr>
        <w:t>合营企业是指本公司仅对该安排的净资产享有权利的</w:t>
      </w:r>
      <w:r>
        <w:rPr>
          <w:rFonts w:ascii="仿宋" w:eastAsia="仿宋" w:hAnsi="仿宋" w:cs="仿宋"/>
          <w:spacing w:val="2"/>
          <w:sz w:val="22"/>
          <w:szCs w:val="22"/>
        </w:rPr>
        <w:t>合营安排。</w:t>
      </w:r>
    </w:p>
    <w:p>
      <w:pPr>
        <w:spacing w:before="243" w:line="460" w:lineRule="exact"/>
        <w:ind w:left="409"/>
        <w:rPr>
          <w:rFonts w:ascii="仿宋" w:eastAsia="仿宋" w:hAnsi="仿宋" w:cs="仿宋"/>
          <w:sz w:val="22"/>
          <w:szCs w:val="22"/>
        </w:rPr>
      </w:pPr>
      <w:r>
        <w:rPr>
          <w:rFonts w:ascii="仿宋" w:eastAsia="仿宋" w:hAnsi="仿宋" w:cs="仿宋"/>
          <w:spacing w:val="3"/>
          <w:position w:val="18"/>
          <w:sz w:val="22"/>
          <w:szCs w:val="22"/>
        </w:rPr>
        <w:t>本公司按照长期股权投资有关权益法核算的规定对合营企业的投资进行会计处理。</w:t>
      </w:r>
    </w:p>
    <w:p>
      <w:pPr>
        <w:spacing w:before="1" w:line="220" w:lineRule="auto"/>
        <w:ind w:left="19"/>
        <w:rPr>
          <w:rFonts w:ascii="仿宋" w:eastAsia="仿宋" w:hAnsi="仿宋" w:cs="仿宋"/>
          <w:sz w:val="22"/>
          <w:szCs w:val="22"/>
        </w:rPr>
      </w:pPr>
      <w:r>
        <w:rPr>
          <w:rFonts w:ascii="仿宋" w:eastAsia="仿宋" w:hAnsi="仿宋" w:cs="仿宋"/>
          <w:sz w:val="22"/>
          <w:szCs w:val="22"/>
        </w:rPr>
        <w:t>8、</w:t>
      </w:r>
      <w:r>
        <w:rPr>
          <w:rFonts w:ascii="仿宋" w:eastAsia="仿宋" w:hAnsi="仿宋" w:cs="仿宋"/>
          <w:spacing w:val="-38"/>
          <w:sz w:val="22"/>
          <w:szCs w:val="22"/>
        </w:rPr>
        <w:t xml:space="preserve"> </w:t>
      </w:r>
      <w:r>
        <w:rPr>
          <w:rFonts w:ascii="仿宋" w:eastAsia="仿宋" w:hAnsi="仿宋" w:cs="仿宋"/>
          <w:sz w:val="22"/>
          <w:szCs w:val="22"/>
        </w:rPr>
        <w:t>现金及现金等价物的确定标准</w:t>
      </w:r>
    </w:p>
    <w:p>
      <w:pPr>
        <w:spacing w:before="254" w:line="231" w:lineRule="auto"/>
        <w:ind w:left="409" w:right="1124"/>
        <w:rPr>
          <w:rFonts w:ascii="仿宋" w:eastAsia="仿宋" w:hAnsi="仿宋" w:cs="仿宋"/>
          <w:sz w:val="22"/>
          <w:szCs w:val="22"/>
        </w:rPr>
      </w:pPr>
      <w:r>
        <w:rPr>
          <w:rFonts w:ascii="仿宋" w:eastAsia="仿宋" w:hAnsi="仿宋" w:cs="仿宋"/>
          <w:spacing w:val="2"/>
          <w:sz w:val="22"/>
          <w:szCs w:val="22"/>
        </w:rPr>
        <w:t>现金是指库存现金以及可以随时用于支付的存款。现金等价物，是指本公司持有的期限</w:t>
      </w:r>
      <w:r>
        <w:rPr>
          <w:rFonts w:ascii="仿宋" w:eastAsia="仿宋" w:hAnsi="仿宋" w:cs="仿宋"/>
          <w:spacing w:val="8"/>
          <w:sz w:val="22"/>
          <w:szCs w:val="22"/>
        </w:rPr>
        <w:t xml:space="preserve"> </w:t>
      </w:r>
      <w:r>
        <w:rPr>
          <w:rFonts w:ascii="仿宋" w:eastAsia="仿宋" w:hAnsi="仿宋" w:cs="仿宋"/>
          <w:spacing w:val="2"/>
          <w:sz w:val="22"/>
          <w:szCs w:val="22"/>
        </w:rPr>
        <w:t>短、流动性强、易于转换为已知金额现金、价值变动风险很小的投资。</w:t>
      </w:r>
    </w:p>
    <w:p>
      <w:pPr>
        <w:spacing w:before="232" w:line="492" w:lineRule="exact"/>
        <w:ind w:left="19"/>
        <w:rPr>
          <w:rFonts w:ascii="仿宋" w:eastAsia="仿宋" w:hAnsi="仿宋" w:cs="仿宋"/>
          <w:sz w:val="22"/>
          <w:szCs w:val="22"/>
        </w:rPr>
      </w:pPr>
      <w:r>
        <w:rPr>
          <w:rFonts w:ascii="仿宋" w:eastAsia="仿宋" w:hAnsi="仿宋" w:cs="仿宋"/>
          <w:position w:val="20"/>
          <w:sz w:val="22"/>
          <w:szCs w:val="22"/>
        </w:rPr>
        <w:t>9、</w:t>
      </w:r>
      <w:r>
        <w:rPr>
          <w:rFonts w:ascii="仿宋" w:eastAsia="仿宋" w:hAnsi="仿宋" w:cs="仿宋"/>
          <w:spacing w:val="-44"/>
          <w:position w:val="20"/>
          <w:sz w:val="22"/>
          <w:szCs w:val="22"/>
        </w:rPr>
        <w:t xml:space="preserve"> </w:t>
      </w:r>
      <w:r>
        <w:rPr>
          <w:rFonts w:ascii="仿宋" w:eastAsia="仿宋" w:hAnsi="仿宋" w:cs="仿宋"/>
          <w:position w:val="20"/>
          <w:sz w:val="22"/>
          <w:szCs w:val="22"/>
        </w:rPr>
        <w:t>外币业务和外币报表折算</w:t>
      </w:r>
    </w:p>
    <w:p>
      <w:pPr>
        <w:spacing w:line="222" w:lineRule="auto"/>
        <w:ind w:left="129"/>
        <w:rPr>
          <w:rFonts w:ascii="仿宋" w:eastAsia="仿宋" w:hAnsi="仿宋" w:cs="仿宋"/>
          <w:sz w:val="22"/>
          <w:szCs w:val="22"/>
        </w:rPr>
      </w:pPr>
      <w:r>
        <w:rPr>
          <w:rFonts w:ascii="仿宋" w:eastAsia="仿宋" w:hAnsi="仿宋" w:cs="仿宋"/>
          <w:spacing w:val="16"/>
          <w:sz w:val="22"/>
          <w:szCs w:val="22"/>
        </w:rPr>
        <w:t>(1)外币业务</w:t>
      </w:r>
    </w:p>
    <w:p>
      <w:pPr>
        <w:spacing w:before="254" w:line="221" w:lineRule="auto"/>
        <w:ind w:left="409"/>
        <w:rPr>
          <w:rFonts w:ascii="仿宋" w:eastAsia="仿宋" w:hAnsi="仿宋" w:cs="仿宋"/>
          <w:sz w:val="22"/>
          <w:szCs w:val="22"/>
        </w:rPr>
      </w:pPr>
      <w:r>
        <w:rPr>
          <w:rFonts w:ascii="仿宋" w:eastAsia="仿宋" w:hAnsi="仿宋" w:cs="仿宋"/>
          <w:spacing w:val="3"/>
          <w:sz w:val="22"/>
          <w:szCs w:val="22"/>
        </w:rPr>
        <w:t>本公司发生外币业务，按交易发生日的即期汇率折算为</w:t>
      </w:r>
      <w:r>
        <w:rPr>
          <w:rFonts w:ascii="仿宋" w:eastAsia="仿宋" w:hAnsi="仿宋" w:cs="仿宋"/>
          <w:spacing w:val="2"/>
          <w:sz w:val="22"/>
          <w:szCs w:val="22"/>
        </w:rPr>
        <w:t>记账本位币金额。</w:t>
      </w:r>
    </w:p>
    <w:p>
      <w:pPr>
        <w:spacing w:before="235" w:line="233" w:lineRule="auto"/>
        <w:ind w:left="409" w:right="1079"/>
        <w:jc w:val="both"/>
        <w:rPr>
          <w:rFonts w:ascii="仿宋" w:eastAsia="仿宋" w:hAnsi="仿宋" w:cs="仿宋"/>
          <w:sz w:val="22"/>
          <w:szCs w:val="22"/>
        </w:rPr>
      </w:pPr>
      <w:r>
        <w:rPr>
          <w:rFonts w:ascii="仿宋" w:eastAsia="仿宋" w:hAnsi="仿宋" w:cs="仿宋"/>
          <w:spacing w:val="2"/>
          <w:sz w:val="22"/>
          <w:szCs w:val="22"/>
        </w:rPr>
        <w:t>资产负债表日，对外币货币性项目，采用资产负债表日</w:t>
      </w:r>
      <w:r>
        <w:rPr>
          <w:rFonts w:ascii="仿宋" w:eastAsia="仿宋" w:hAnsi="仿宋" w:cs="仿宋"/>
          <w:spacing w:val="1"/>
          <w:sz w:val="22"/>
          <w:szCs w:val="22"/>
        </w:rPr>
        <w:t>即期汇率折算。因资产负债表日</w:t>
      </w:r>
      <w:r>
        <w:rPr>
          <w:rFonts w:ascii="仿宋" w:eastAsia="仿宋" w:hAnsi="仿宋" w:cs="仿宋"/>
          <w:sz w:val="22"/>
          <w:szCs w:val="22"/>
        </w:rPr>
        <w:t xml:space="preserve"> </w:t>
      </w:r>
      <w:r>
        <w:rPr>
          <w:rFonts w:ascii="仿宋" w:eastAsia="仿宋" w:hAnsi="仿宋" w:cs="仿宋"/>
          <w:spacing w:val="2"/>
          <w:sz w:val="22"/>
          <w:szCs w:val="22"/>
        </w:rPr>
        <w:t>即期汇率与初始确认时或者前一资产负债表日即期汇率不同而产生的汇兑差额，计入当</w:t>
      </w:r>
      <w:r>
        <w:rPr>
          <w:rFonts w:ascii="仿宋" w:eastAsia="仿宋" w:hAnsi="仿宋" w:cs="仿宋"/>
          <w:spacing w:val="10"/>
          <w:sz w:val="22"/>
          <w:szCs w:val="22"/>
        </w:rPr>
        <w:t xml:space="preserve"> </w:t>
      </w:r>
      <w:r>
        <w:rPr>
          <w:rFonts w:ascii="仿宋" w:eastAsia="仿宋" w:hAnsi="仿宋" w:cs="仿宋"/>
          <w:spacing w:val="3"/>
          <w:sz w:val="22"/>
          <w:szCs w:val="22"/>
        </w:rPr>
        <w:t>期损益；对以历史成本计量的外币非货币性项目，仍采用交易发生日的即期汇率折算；</w:t>
      </w:r>
      <w:r>
        <w:rPr>
          <w:rFonts w:ascii="仿宋" w:eastAsia="仿宋" w:hAnsi="仿宋" w:cs="仿宋"/>
          <w:spacing w:val="15"/>
          <w:sz w:val="22"/>
          <w:szCs w:val="22"/>
        </w:rPr>
        <w:t xml:space="preserve"> </w:t>
      </w:r>
      <w:r>
        <w:rPr>
          <w:rFonts w:ascii="仿宋" w:eastAsia="仿宋" w:hAnsi="仿宋" w:cs="仿宋"/>
          <w:spacing w:val="2"/>
          <w:sz w:val="22"/>
          <w:szCs w:val="22"/>
        </w:rPr>
        <w:t>对以公允价值计量的外币非货币性项目，采用公允价值确定日的即期汇率折算，折算后</w:t>
      </w:r>
      <w:r>
        <w:rPr>
          <w:rFonts w:ascii="仿宋" w:eastAsia="仿宋" w:hAnsi="仿宋" w:cs="仿宋"/>
          <w:spacing w:val="11"/>
          <w:sz w:val="22"/>
          <w:szCs w:val="22"/>
        </w:rPr>
        <w:t xml:space="preserve"> </w:t>
      </w:r>
      <w:r>
        <w:rPr>
          <w:rFonts w:ascii="仿宋" w:eastAsia="仿宋" w:hAnsi="仿宋" w:cs="仿宋"/>
          <w:spacing w:val="2"/>
          <w:sz w:val="22"/>
          <w:szCs w:val="22"/>
        </w:rPr>
        <w:t>的记账本位币金额与原记账本位币金额的差额，根据非货币性项目的性质计入当期损益</w:t>
      </w:r>
      <w:r>
        <w:rPr>
          <w:rFonts w:ascii="仿宋" w:eastAsia="仿宋" w:hAnsi="仿宋" w:cs="仿宋"/>
          <w:spacing w:val="8"/>
          <w:sz w:val="22"/>
          <w:szCs w:val="22"/>
        </w:rPr>
        <w:t xml:space="preserve"> </w:t>
      </w:r>
      <w:r>
        <w:rPr>
          <w:rFonts w:ascii="仿宋" w:eastAsia="仿宋" w:hAnsi="仿宋" w:cs="仿宋"/>
          <w:spacing w:val="-14"/>
          <w:sz w:val="22"/>
          <w:szCs w:val="22"/>
        </w:rPr>
        <w:t>或其他综合收益。。</w:t>
      </w:r>
    </w:p>
    <w:p>
      <w:pPr>
        <w:spacing w:before="275" w:line="221" w:lineRule="auto"/>
        <w:ind w:left="129"/>
        <w:rPr>
          <w:rFonts w:ascii="仿宋" w:eastAsia="仿宋" w:hAnsi="仿宋" w:cs="仿宋"/>
          <w:sz w:val="22"/>
          <w:szCs w:val="22"/>
        </w:rPr>
      </w:pPr>
      <w:r>
        <w:rPr>
          <w:rFonts w:ascii="仿宋" w:eastAsia="仿宋" w:hAnsi="仿宋" w:cs="仿宋"/>
          <w:spacing w:val="13"/>
          <w:sz w:val="22"/>
          <w:szCs w:val="22"/>
        </w:rPr>
        <w:t>(2)外币财务报表的折算</w:t>
      </w:r>
    </w:p>
    <w:p>
      <w:pPr>
        <w:spacing w:before="258" w:line="230" w:lineRule="auto"/>
        <w:ind w:left="409" w:right="1124"/>
        <w:jc w:val="both"/>
        <w:rPr>
          <w:rFonts w:ascii="仿宋" w:eastAsia="仿宋" w:hAnsi="仿宋" w:cs="仿宋"/>
          <w:sz w:val="22"/>
          <w:szCs w:val="22"/>
        </w:rPr>
      </w:pPr>
      <w:r>
        <w:rPr>
          <w:rFonts w:ascii="仿宋" w:eastAsia="仿宋" w:hAnsi="仿宋" w:cs="仿宋"/>
          <w:spacing w:val="2"/>
          <w:sz w:val="22"/>
          <w:szCs w:val="22"/>
        </w:rPr>
        <w:t>资产负债表日，对境外子公司外币财务报表进行折算时，资产负债表中的资产和负债项</w:t>
      </w:r>
      <w:r>
        <w:rPr>
          <w:rFonts w:ascii="仿宋" w:eastAsia="仿宋" w:hAnsi="仿宋" w:cs="仿宋"/>
          <w:spacing w:val="9"/>
          <w:sz w:val="22"/>
          <w:szCs w:val="22"/>
        </w:rPr>
        <w:t xml:space="preserve"> </w:t>
      </w:r>
      <w:r>
        <w:rPr>
          <w:rFonts w:ascii="仿宋" w:eastAsia="仿宋" w:hAnsi="仿宋" w:cs="仿宋"/>
          <w:spacing w:val="2"/>
          <w:sz w:val="22"/>
          <w:szCs w:val="22"/>
        </w:rPr>
        <w:t>目，采用资产负债表日的即期汇率折算，股东权益项目除“未分</w:t>
      </w:r>
      <w:r>
        <w:rPr>
          <w:rFonts w:ascii="仿宋" w:eastAsia="仿宋" w:hAnsi="仿宋" w:cs="仿宋"/>
          <w:spacing w:val="1"/>
          <w:sz w:val="22"/>
          <w:szCs w:val="22"/>
        </w:rPr>
        <w:t>配利润”外，其他项目</w:t>
      </w:r>
      <w:r>
        <w:rPr>
          <w:rFonts w:ascii="仿宋" w:eastAsia="仿宋" w:hAnsi="仿宋" w:cs="仿宋"/>
          <w:sz w:val="22"/>
          <w:szCs w:val="22"/>
        </w:rPr>
        <w:t xml:space="preserve"> </w:t>
      </w:r>
      <w:r>
        <w:rPr>
          <w:rFonts w:ascii="仿宋" w:eastAsia="仿宋" w:hAnsi="仿宋" w:cs="仿宋"/>
          <w:spacing w:val="1"/>
          <w:sz w:val="22"/>
          <w:szCs w:val="22"/>
        </w:rPr>
        <w:t>采用发生日的即期汇率折算。</w:t>
      </w:r>
    </w:p>
    <w:p>
      <w:pPr>
        <w:spacing w:before="259" w:line="227" w:lineRule="auto"/>
        <w:ind w:left="409" w:right="1090"/>
        <w:rPr>
          <w:rFonts w:ascii="仿宋" w:eastAsia="仿宋" w:hAnsi="仿宋" w:cs="仿宋"/>
          <w:sz w:val="22"/>
          <w:szCs w:val="22"/>
        </w:rPr>
      </w:pPr>
      <w:r>
        <w:rPr>
          <w:rFonts w:ascii="仿宋" w:eastAsia="仿宋" w:hAnsi="仿宋" w:cs="仿宋"/>
          <w:spacing w:val="3"/>
          <w:sz w:val="22"/>
          <w:szCs w:val="22"/>
        </w:rPr>
        <w:t>利润表中的收入和费用项目，采用按照系统合理的方法确定的、与交易发生日即期汇率</w:t>
      </w:r>
      <w:r>
        <w:rPr>
          <w:rFonts w:ascii="仿宋" w:eastAsia="仿宋" w:hAnsi="仿宋" w:cs="仿宋"/>
          <w:spacing w:val="5"/>
          <w:sz w:val="22"/>
          <w:szCs w:val="22"/>
        </w:rPr>
        <w:t xml:space="preserve"> </w:t>
      </w:r>
      <w:r>
        <w:rPr>
          <w:rFonts w:ascii="仿宋" w:eastAsia="仿宋" w:hAnsi="仿宋" w:cs="仿宋"/>
          <w:spacing w:val="-5"/>
          <w:sz w:val="22"/>
          <w:szCs w:val="22"/>
        </w:rPr>
        <w:t>近似的汇率折算。</w:t>
      </w:r>
    </w:p>
    <w:p>
      <w:pPr>
        <w:spacing w:before="258" w:line="230" w:lineRule="auto"/>
        <w:ind w:left="409" w:right="1114"/>
        <w:jc w:val="both"/>
        <w:rPr>
          <w:rFonts w:ascii="仿宋" w:eastAsia="仿宋" w:hAnsi="仿宋" w:cs="仿宋"/>
          <w:sz w:val="22"/>
          <w:szCs w:val="22"/>
        </w:rPr>
      </w:pPr>
      <w:r>
        <w:rPr>
          <w:rFonts w:ascii="仿宋" w:eastAsia="仿宋" w:hAnsi="仿宋" w:cs="仿宋"/>
          <w:spacing w:val="2"/>
          <w:sz w:val="22"/>
          <w:szCs w:val="22"/>
        </w:rPr>
        <w:t>现金流量表所有项目均按照系统合理的方法确定的、与现金流量发生日即期汇率近似的</w:t>
      </w:r>
      <w:r>
        <w:rPr>
          <w:rFonts w:ascii="仿宋" w:eastAsia="仿宋" w:hAnsi="仿宋" w:cs="仿宋"/>
          <w:spacing w:val="14"/>
          <w:sz w:val="22"/>
          <w:szCs w:val="22"/>
        </w:rPr>
        <w:t xml:space="preserve"> </w:t>
      </w:r>
      <w:r>
        <w:rPr>
          <w:rFonts w:ascii="仿宋" w:eastAsia="仿宋" w:hAnsi="仿宋" w:cs="仿宋"/>
          <w:spacing w:val="2"/>
          <w:sz w:val="22"/>
          <w:szCs w:val="22"/>
        </w:rPr>
        <w:t>汇率折算。汇率变动对现金的影响额作为调节项目，在现金流量表中单独列示“汇率变</w:t>
      </w:r>
      <w:r>
        <w:rPr>
          <w:rFonts w:ascii="仿宋" w:eastAsia="仿宋" w:hAnsi="仿宋" w:cs="仿宋"/>
          <w:spacing w:val="18"/>
          <w:sz w:val="22"/>
          <w:szCs w:val="22"/>
        </w:rPr>
        <w:t xml:space="preserve"> </w:t>
      </w:r>
      <w:r>
        <w:rPr>
          <w:rFonts w:ascii="仿宋" w:eastAsia="仿宋" w:hAnsi="仿宋" w:cs="仿宋"/>
          <w:spacing w:val="1"/>
          <w:sz w:val="22"/>
          <w:szCs w:val="22"/>
        </w:rPr>
        <w:t>动对现金及现金等价物的影响”项目反映。</w:t>
      </w:r>
    </w:p>
    <w:p>
      <w:pPr>
        <w:spacing w:before="255" w:line="223" w:lineRule="auto"/>
        <w:ind w:left="409" w:right="1123"/>
        <w:rPr>
          <w:rFonts w:ascii="仿宋" w:eastAsia="仿宋" w:hAnsi="仿宋" w:cs="仿宋"/>
          <w:sz w:val="22"/>
          <w:szCs w:val="22"/>
        </w:rPr>
      </w:pPr>
      <w:r>
        <w:rPr>
          <w:rFonts w:ascii="仿宋" w:eastAsia="仿宋" w:hAnsi="仿宋" w:cs="仿宋"/>
          <w:spacing w:val="2"/>
          <w:sz w:val="22"/>
          <w:szCs w:val="22"/>
        </w:rPr>
        <w:t>由于财务报表折算而产生的差额，在资产负债表股东权益项目下的“其他综合收益”项</w:t>
      </w:r>
      <w:r>
        <w:rPr>
          <w:rFonts w:ascii="仿宋" w:eastAsia="仿宋" w:hAnsi="仿宋" w:cs="仿宋"/>
          <w:spacing w:val="9"/>
          <w:sz w:val="22"/>
          <w:szCs w:val="22"/>
        </w:rPr>
        <w:t xml:space="preserve"> </w:t>
      </w:r>
      <w:r>
        <w:rPr>
          <w:rFonts w:ascii="仿宋" w:eastAsia="仿宋" w:hAnsi="仿宋" w:cs="仿宋"/>
          <w:spacing w:val="-16"/>
          <w:sz w:val="22"/>
          <w:szCs w:val="22"/>
        </w:rPr>
        <w:t>目反映。</w:t>
      </w:r>
    </w:p>
    <w:p>
      <w:pPr>
        <w:spacing w:before="270" w:line="230" w:lineRule="auto"/>
        <w:ind w:left="409" w:right="1144"/>
        <w:rPr>
          <w:rFonts w:ascii="仿宋" w:eastAsia="仿宋" w:hAnsi="仿宋" w:cs="仿宋"/>
          <w:sz w:val="22"/>
          <w:szCs w:val="22"/>
        </w:rPr>
      </w:pPr>
      <w:r>
        <w:rPr>
          <w:rFonts w:ascii="仿宋" w:eastAsia="仿宋" w:hAnsi="仿宋" w:cs="仿宋"/>
          <w:spacing w:val="2"/>
          <w:sz w:val="22"/>
          <w:szCs w:val="22"/>
        </w:rPr>
        <w:t>处置境外经营并丧失控制权时，将资产负债表中项目下列示</w:t>
      </w:r>
      <w:r>
        <w:rPr>
          <w:rFonts w:ascii="仿宋" w:eastAsia="仿宋" w:hAnsi="仿宋" w:cs="仿宋"/>
          <w:spacing w:val="1"/>
          <w:sz w:val="22"/>
          <w:szCs w:val="22"/>
        </w:rPr>
        <w:t>的、与该境外经营相关的外</w:t>
      </w:r>
      <w:r>
        <w:rPr>
          <w:rFonts w:ascii="仿宋" w:eastAsia="仿宋" w:hAnsi="仿宋" w:cs="仿宋"/>
          <w:sz w:val="22"/>
          <w:szCs w:val="22"/>
        </w:rPr>
        <w:t xml:space="preserve"> </w:t>
      </w:r>
      <w:r>
        <w:rPr>
          <w:rFonts w:ascii="仿宋" w:eastAsia="仿宋" w:hAnsi="仿宋" w:cs="仿宋"/>
          <w:spacing w:val="2"/>
          <w:sz w:val="22"/>
          <w:szCs w:val="22"/>
        </w:rPr>
        <w:t>币报表折算差额，全部或按处置该境外经营的比例转入处置当期损益。</w:t>
      </w:r>
    </w:p>
    <w:p>
      <w:pPr>
        <w:spacing w:before="207" w:line="224" w:lineRule="auto"/>
        <w:ind w:left="19"/>
        <w:rPr>
          <w:rFonts w:ascii="仿宋" w:eastAsia="仿宋" w:hAnsi="仿宋" w:cs="仿宋"/>
          <w:sz w:val="22"/>
          <w:szCs w:val="22"/>
        </w:rPr>
      </w:pPr>
      <w:r>
        <w:rPr>
          <w:rFonts w:ascii="仿宋" w:eastAsia="仿宋" w:hAnsi="仿宋" w:cs="仿宋"/>
          <w:spacing w:val="-3"/>
          <w:sz w:val="22"/>
          <w:szCs w:val="22"/>
        </w:rPr>
        <w:t>10、金融工具</w:t>
      </w:r>
    </w:p>
    <w:p>
      <w:pPr>
        <w:spacing w:before="267" w:line="220" w:lineRule="auto"/>
        <w:ind w:left="409"/>
        <w:rPr>
          <w:rFonts w:ascii="仿宋" w:eastAsia="仿宋" w:hAnsi="仿宋" w:cs="仿宋"/>
          <w:sz w:val="22"/>
          <w:szCs w:val="22"/>
        </w:rPr>
      </w:pPr>
      <w:r>
        <w:rPr>
          <w:rFonts w:ascii="仿宋" w:eastAsia="仿宋" w:hAnsi="仿宋" w:cs="仿宋"/>
          <w:spacing w:val="3"/>
          <w:sz w:val="22"/>
          <w:szCs w:val="22"/>
        </w:rPr>
        <w:t>金融工具，是指形成一方的金融资产，并形成其他方的金融负债或权益工具的合</w:t>
      </w:r>
      <w:r>
        <w:rPr>
          <w:rFonts w:ascii="仿宋" w:eastAsia="仿宋" w:hAnsi="仿宋" w:cs="仿宋"/>
          <w:spacing w:val="2"/>
          <w:sz w:val="22"/>
          <w:szCs w:val="22"/>
        </w:rPr>
        <w:t>同。</w:t>
      </w:r>
    </w:p>
    <w:p>
      <w:pPr>
        <w:pStyle w:val="BodyText"/>
        <w:spacing w:line="271" w:lineRule="auto"/>
      </w:pPr>
    </w:p>
    <w:p>
      <w:pPr>
        <w:pStyle w:val="BodyText"/>
        <w:spacing w:line="271" w:lineRule="auto"/>
      </w:pPr>
    </w:p>
    <w:p>
      <w:pPr>
        <w:pStyle w:val="BodyText"/>
        <w:spacing w:line="271" w:lineRule="auto"/>
      </w:pPr>
    </w:p>
    <w:p>
      <w:pPr>
        <w:spacing w:before="49" w:line="184" w:lineRule="auto"/>
        <w:ind w:left="4559"/>
        <w:rPr>
          <w:rFonts w:ascii="宋体" w:eastAsia="宋体" w:hAnsi="宋体" w:cs="宋体"/>
          <w:sz w:val="15"/>
          <w:szCs w:val="15"/>
        </w:rPr>
      </w:pPr>
      <w:r>
        <w:rPr>
          <w:rFonts w:ascii="宋体" w:eastAsia="宋体" w:hAnsi="宋体" w:cs="宋体"/>
          <w:spacing w:val="-5"/>
          <w:sz w:val="15"/>
          <w:szCs w:val="15"/>
        </w:rPr>
        <w:t>17</w:t>
      </w:r>
    </w:p>
    <w:p>
      <w:pPr>
        <w:pStyle w:val="BodyText"/>
        <w:spacing w:line="278" w:lineRule="auto"/>
      </w:pPr>
    </w:p>
    <w:p>
      <w:pPr>
        <w:pStyle w:val="BodyText"/>
        <w:spacing w:line="278" w:lineRule="auto"/>
      </w:pPr>
    </w:p>
    <w:p>
      <w:pPr>
        <w:spacing w:before="72" w:line="184" w:lineRule="auto"/>
        <w:ind w:left="4140"/>
        <w:rPr>
          <w:rFonts w:ascii="宋体" w:eastAsia="宋体" w:hAnsi="宋体" w:cs="宋体"/>
          <w:sz w:val="22"/>
          <w:szCs w:val="22"/>
        </w:rPr>
      </w:pPr>
      <w:r>
        <w:rPr>
          <w:rFonts w:ascii="宋体" w:eastAsia="宋体" w:hAnsi="宋体" w:cs="宋体"/>
          <w:spacing w:val="-18"/>
          <w:sz w:val="22"/>
          <w:szCs w:val="22"/>
        </w:rPr>
        <w:t>3-2-3-19</w:t>
      </w:r>
    </w:p>
    <w:p>
      <w:pPr>
        <w:spacing w:line="184" w:lineRule="auto"/>
        <w:rPr>
          <w:rFonts w:ascii="宋体" w:eastAsia="宋体" w:hAnsi="宋体" w:cs="宋体"/>
          <w:sz w:val="22"/>
          <w:szCs w:val="22"/>
        </w:rPr>
        <w:sectPr>
          <w:headerReference w:type="default" r:id="rId20"/>
          <w:pgSz w:w="11900" w:h="16820"/>
          <w:pgMar w:top="400" w:right="419" w:bottom="0" w:left="1499" w:header="0" w:footer="0" w:gutter="0"/>
          <w:pgNumType w:start="21"/>
          <w:cols w:num="1" w:space="720"/>
        </w:sectPr>
      </w:pPr>
    </w:p>
    <w:p>
      <w:pPr>
        <w:pStyle w:val="BodyText"/>
        <w:spacing w:line="300" w:lineRule="auto"/>
      </w:pPr>
    </w:p>
    <w:p>
      <w:pPr>
        <w:pStyle w:val="BodyText"/>
        <w:spacing w:line="300" w:lineRule="auto"/>
      </w:pPr>
    </w:p>
    <w:p>
      <w:pPr>
        <w:pStyle w:val="BodyText"/>
        <w:spacing w:line="300" w:lineRule="auto"/>
      </w:pPr>
    </w:p>
    <w:p>
      <w:pPr>
        <w:spacing w:before="72" w:line="222" w:lineRule="auto"/>
        <w:ind w:left="49"/>
        <w:rPr>
          <w:rFonts w:ascii="仿宋" w:eastAsia="仿宋" w:hAnsi="仿宋" w:cs="仿宋"/>
          <w:sz w:val="22"/>
          <w:szCs w:val="22"/>
        </w:rPr>
      </w:pPr>
      <w:r>
        <w:rPr>
          <w:rFonts w:ascii="仿宋" w:eastAsia="仿宋" w:hAnsi="仿宋" w:cs="仿宋"/>
          <w:spacing w:val="2"/>
          <w:sz w:val="22"/>
          <w:szCs w:val="22"/>
        </w:rPr>
        <w:t>美新科技股份有限公司</w:t>
      </w:r>
    </w:p>
    <w:p>
      <w:pPr>
        <w:spacing w:before="12" w:line="220" w:lineRule="auto"/>
        <w:ind w:left="49"/>
        <w:rPr>
          <w:rFonts w:ascii="仿宋" w:eastAsia="仿宋" w:hAnsi="仿宋" w:cs="仿宋"/>
          <w:sz w:val="22"/>
          <w:szCs w:val="22"/>
        </w:rPr>
      </w:pPr>
      <w:r>
        <w:rPr>
          <w:rFonts w:ascii="仿宋" w:eastAsia="仿宋" w:hAnsi="仿宋" w:cs="仿宋"/>
          <w:spacing w:val="2"/>
          <w:sz w:val="22"/>
          <w:szCs w:val="22"/>
        </w:rPr>
        <w:t>盈利预测的编制基础、假设和编制说明</w:t>
      </w:r>
    </w:p>
    <w:p>
      <w:pPr>
        <w:spacing w:before="48" w:line="221" w:lineRule="auto"/>
        <w:ind w:left="49"/>
        <w:rPr>
          <w:rFonts w:ascii="仿宋" w:eastAsia="仿宋" w:hAnsi="仿宋" w:cs="仿宋"/>
          <w:sz w:val="22"/>
          <w:szCs w:val="22"/>
        </w:rPr>
      </w:pPr>
      <w:r>
        <w:rPr>
          <w:rFonts w:ascii="仿宋" w:eastAsia="仿宋" w:hAnsi="仿宋" w:cs="仿宋"/>
          <w:spacing w:val="11"/>
          <w:sz w:val="22"/>
          <w:szCs w:val="22"/>
        </w:rPr>
        <w:t>2023年度(除特别注明外，金额单位为人民币万元)</w:t>
      </w:r>
    </w:p>
    <w:p>
      <w:pPr>
        <w:spacing w:before="31" w:line="20" w:lineRule="exact"/>
      </w:pPr>
    </w:p>
    <w:p>
      <w:pPr>
        <w:spacing w:before="258" w:line="223" w:lineRule="auto"/>
        <w:ind w:left="150"/>
        <w:rPr>
          <w:rFonts w:ascii="仿宋" w:eastAsia="仿宋" w:hAnsi="仿宋" w:cs="仿宋"/>
          <w:sz w:val="22"/>
          <w:szCs w:val="22"/>
        </w:rPr>
      </w:pPr>
      <w:r>
        <w:rPr>
          <w:rFonts w:ascii="仿宋" w:eastAsia="仿宋" w:hAnsi="仿宋" w:cs="仿宋"/>
          <w:spacing w:val="10"/>
          <w:sz w:val="22"/>
          <w:szCs w:val="22"/>
        </w:rPr>
        <w:t>(1)金融工具的确认和终止确认</w:t>
      </w:r>
    </w:p>
    <w:p>
      <w:pPr>
        <w:spacing w:before="241" w:line="492" w:lineRule="exact"/>
        <w:ind w:left="399"/>
        <w:rPr>
          <w:rFonts w:ascii="仿宋" w:eastAsia="仿宋" w:hAnsi="仿宋" w:cs="仿宋"/>
          <w:sz w:val="22"/>
          <w:szCs w:val="22"/>
        </w:rPr>
      </w:pPr>
      <w:r>
        <w:rPr>
          <w:rFonts w:ascii="仿宋" w:eastAsia="仿宋" w:hAnsi="仿宋" w:cs="仿宋"/>
          <w:spacing w:val="2"/>
          <w:position w:val="20"/>
          <w:sz w:val="22"/>
          <w:szCs w:val="22"/>
        </w:rPr>
        <w:t>本公司于成为金融工具合同的一方时确认一项金融资产或金融负债。</w:t>
      </w:r>
    </w:p>
    <w:p>
      <w:pPr>
        <w:spacing w:line="222" w:lineRule="auto"/>
        <w:ind w:left="399"/>
        <w:rPr>
          <w:rFonts w:ascii="仿宋" w:eastAsia="仿宋" w:hAnsi="仿宋" w:cs="仿宋"/>
          <w:sz w:val="22"/>
          <w:szCs w:val="22"/>
        </w:rPr>
      </w:pPr>
      <w:r>
        <w:rPr>
          <w:rFonts w:ascii="仿宋" w:eastAsia="仿宋" w:hAnsi="仿宋" w:cs="仿宋"/>
          <w:sz w:val="22"/>
          <w:szCs w:val="22"/>
        </w:rPr>
        <w:t>金融资产满足下列条件之一的，终止确认：</w:t>
      </w:r>
    </w:p>
    <w:p>
      <w:pPr>
        <w:spacing w:before="234" w:line="222" w:lineRule="auto"/>
        <w:ind w:left="399"/>
        <w:rPr>
          <w:rFonts w:ascii="仿宋" w:eastAsia="仿宋" w:hAnsi="仿宋" w:cs="仿宋"/>
          <w:sz w:val="22"/>
          <w:szCs w:val="22"/>
        </w:rPr>
      </w:pPr>
      <w:r>
        <w:rPr>
          <w:rFonts w:ascii="仿宋" w:eastAsia="仿宋" w:hAnsi="仿宋" w:cs="仿宋"/>
          <w:spacing w:val="-3"/>
          <w:sz w:val="22"/>
          <w:szCs w:val="22"/>
        </w:rPr>
        <w:t>①</w:t>
      </w:r>
      <w:r>
        <w:rPr>
          <w:rFonts w:ascii="仿宋" w:eastAsia="仿宋" w:hAnsi="仿宋" w:cs="仿宋"/>
          <w:spacing w:val="50"/>
          <w:sz w:val="22"/>
          <w:szCs w:val="22"/>
        </w:rPr>
        <w:t xml:space="preserve"> </w:t>
      </w:r>
      <w:r>
        <w:rPr>
          <w:rFonts w:ascii="仿宋" w:eastAsia="仿宋" w:hAnsi="仿宋" w:cs="仿宋"/>
          <w:spacing w:val="-3"/>
          <w:sz w:val="22"/>
          <w:szCs w:val="22"/>
        </w:rPr>
        <w:t>收取该金融资产现金流量的合同权利终止；</w:t>
      </w:r>
    </w:p>
    <w:p>
      <w:pPr>
        <w:spacing w:before="222" w:line="219" w:lineRule="auto"/>
        <w:ind w:left="399"/>
        <w:rPr>
          <w:rFonts w:ascii="仿宋" w:eastAsia="仿宋" w:hAnsi="仿宋" w:cs="仿宋"/>
          <w:sz w:val="22"/>
          <w:szCs w:val="22"/>
        </w:rPr>
      </w:pPr>
      <w:r>
        <w:rPr>
          <w:rFonts w:ascii="仿宋" w:eastAsia="仿宋" w:hAnsi="仿宋" w:cs="仿宋"/>
          <w:spacing w:val="1"/>
          <w:sz w:val="22"/>
          <w:szCs w:val="22"/>
        </w:rPr>
        <w:t>② 该金融资产已转移，且符合下述金融资产转移的终止确认条件。</w:t>
      </w:r>
    </w:p>
    <w:p>
      <w:pPr>
        <w:spacing w:before="251" w:line="221" w:lineRule="auto"/>
        <w:ind w:left="399"/>
        <w:rPr>
          <w:rFonts w:ascii="仿宋" w:eastAsia="仿宋" w:hAnsi="仿宋" w:cs="仿宋"/>
          <w:sz w:val="22"/>
          <w:szCs w:val="22"/>
        </w:rPr>
      </w:pPr>
      <w:r>
        <w:rPr>
          <w:rFonts w:ascii="仿宋" w:eastAsia="仿宋" w:hAnsi="仿宋" w:cs="仿宋"/>
          <w:spacing w:val="3"/>
          <w:sz w:val="22"/>
          <w:szCs w:val="22"/>
        </w:rPr>
        <w:t>金融负债的现时义务全部或部分已经解除的，</w:t>
      </w:r>
      <w:r>
        <w:rPr>
          <w:rFonts w:ascii="仿宋" w:eastAsia="仿宋" w:hAnsi="仿宋" w:cs="仿宋"/>
          <w:spacing w:val="2"/>
          <w:sz w:val="22"/>
          <w:szCs w:val="22"/>
        </w:rPr>
        <w:t>终止确认该金融负债或其一部分。本公司</w:t>
      </w:r>
    </w:p>
    <w:p>
      <w:pPr>
        <w:spacing w:before="27" w:line="236" w:lineRule="auto"/>
        <w:ind w:left="399" w:right="1104" w:firstLine="120"/>
        <w:jc w:val="both"/>
        <w:rPr>
          <w:rFonts w:ascii="仿宋" w:eastAsia="仿宋" w:hAnsi="仿宋" w:cs="仿宋"/>
          <w:sz w:val="22"/>
          <w:szCs w:val="22"/>
        </w:rPr>
      </w:pPr>
      <w:r>
        <w:rPr>
          <w:rFonts w:ascii="仿宋" w:eastAsia="仿宋" w:hAnsi="仿宋" w:cs="仿宋"/>
          <w:spacing w:val="6"/>
          <w:sz w:val="22"/>
          <w:szCs w:val="22"/>
        </w:rPr>
        <w:t>(债务人)与债权人之间签订协议，以承担新金融负债</w:t>
      </w:r>
      <w:r>
        <w:rPr>
          <w:rFonts w:ascii="仿宋" w:eastAsia="仿宋" w:hAnsi="仿宋" w:cs="仿宋"/>
          <w:spacing w:val="5"/>
          <w:sz w:val="22"/>
          <w:szCs w:val="22"/>
        </w:rPr>
        <w:t>方式替换现存金融负债，且新金</w:t>
      </w:r>
      <w:r>
        <w:rPr>
          <w:rFonts w:ascii="仿宋" w:eastAsia="仿宋" w:hAnsi="仿宋" w:cs="仿宋"/>
          <w:sz w:val="22"/>
          <w:szCs w:val="22"/>
        </w:rPr>
        <w:t xml:space="preserve"> </w:t>
      </w:r>
      <w:r>
        <w:rPr>
          <w:rFonts w:ascii="仿宋" w:eastAsia="仿宋" w:hAnsi="仿宋" w:cs="仿宋"/>
          <w:spacing w:val="2"/>
          <w:sz w:val="22"/>
          <w:szCs w:val="22"/>
        </w:rPr>
        <w:t>融负债与现存金融负债的合同条款实质上不同的，终止确认现存金融负债，并同时确认</w:t>
      </w:r>
      <w:r>
        <w:rPr>
          <w:rFonts w:ascii="仿宋" w:eastAsia="仿宋" w:hAnsi="仿宋" w:cs="仿宋"/>
          <w:sz w:val="22"/>
          <w:szCs w:val="22"/>
        </w:rPr>
        <w:t xml:space="preserve"> </w:t>
      </w:r>
      <w:r>
        <w:rPr>
          <w:rFonts w:ascii="仿宋" w:eastAsia="仿宋" w:hAnsi="仿宋" w:cs="仿宋"/>
          <w:spacing w:val="-6"/>
          <w:sz w:val="22"/>
          <w:szCs w:val="22"/>
        </w:rPr>
        <w:t>新金融负债。</w:t>
      </w:r>
    </w:p>
    <w:p>
      <w:pPr>
        <w:spacing w:before="237" w:line="501" w:lineRule="exact"/>
        <w:ind w:left="399"/>
        <w:rPr>
          <w:rFonts w:ascii="仿宋" w:eastAsia="仿宋" w:hAnsi="仿宋" w:cs="仿宋"/>
          <w:sz w:val="22"/>
          <w:szCs w:val="22"/>
        </w:rPr>
      </w:pPr>
      <w:r>
        <w:rPr>
          <w:rFonts w:ascii="仿宋" w:eastAsia="仿宋" w:hAnsi="仿宋" w:cs="仿宋"/>
          <w:spacing w:val="2"/>
          <w:position w:val="21"/>
          <w:sz w:val="22"/>
          <w:szCs w:val="22"/>
        </w:rPr>
        <w:t>以常规方式买卖金融资产，按交易日进行会计确认和终止确认。</w:t>
      </w:r>
    </w:p>
    <w:p>
      <w:pPr>
        <w:spacing w:before="1" w:line="222" w:lineRule="auto"/>
        <w:ind w:left="160"/>
        <w:rPr>
          <w:rFonts w:ascii="仿宋" w:eastAsia="仿宋" w:hAnsi="仿宋" w:cs="仿宋"/>
          <w:sz w:val="22"/>
          <w:szCs w:val="22"/>
        </w:rPr>
      </w:pPr>
      <w:r>
        <w:rPr>
          <w:rFonts w:ascii="仿宋" w:eastAsia="仿宋" w:hAnsi="仿宋" w:cs="仿宋"/>
          <w:spacing w:val="11"/>
          <w:sz w:val="22"/>
          <w:szCs w:val="22"/>
        </w:rPr>
        <w:t>(2)金融资产分类和计量</w:t>
      </w:r>
    </w:p>
    <w:p>
      <w:pPr>
        <w:spacing w:before="231" w:line="237" w:lineRule="auto"/>
        <w:ind w:left="399" w:right="1103"/>
        <w:jc w:val="both"/>
        <w:rPr>
          <w:rFonts w:ascii="仿宋" w:eastAsia="仿宋" w:hAnsi="仿宋" w:cs="仿宋"/>
          <w:sz w:val="22"/>
          <w:szCs w:val="22"/>
        </w:rPr>
      </w:pPr>
      <w:r>
        <w:rPr>
          <w:rFonts w:ascii="仿宋" w:eastAsia="仿宋" w:hAnsi="仿宋" w:cs="仿宋"/>
          <w:spacing w:val="3"/>
          <w:sz w:val="22"/>
          <w:szCs w:val="22"/>
        </w:rPr>
        <w:t>本公司在初始确认时根据管理金融资产的业务模式和金融资产的合同现金流量特征，将</w:t>
      </w:r>
      <w:r>
        <w:rPr>
          <w:rFonts w:ascii="仿宋" w:eastAsia="仿宋" w:hAnsi="仿宋" w:cs="仿宋"/>
          <w:spacing w:val="1"/>
          <w:sz w:val="22"/>
          <w:szCs w:val="22"/>
        </w:rPr>
        <w:t xml:space="preserve"> </w:t>
      </w:r>
      <w:r>
        <w:rPr>
          <w:rFonts w:ascii="仿宋" w:eastAsia="仿宋" w:hAnsi="仿宋" w:cs="仿宋"/>
          <w:spacing w:val="3"/>
          <w:sz w:val="22"/>
          <w:szCs w:val="22"/>
        </w:rPr>
        <w:t>金融资产分为以下三类：以摊余成本计量的金融资产、以公允价值计量且其变动计入其</w:t>
      </w:r>
      <w:r>
        <w:rPr>
          <w:rFonts w:ascii="仿宋" w:eastAsia="仿宋" w:hAnsi="仿宋" w:cs="仿宋"/>
          <w:sz w:val="22"/>
          <w:szCs w:val="22"/>
        </w:rPr>
        <w:t xml:space="preserve"> </w:t>
      </w:r>
      <w:r>
        <w:rPr>
          <w:rFonts w:ascii="仿宋" w:eastAsia="仿宋" w:hAnsi="仿宋" w:cs="仿宋"/>
          <w:spacing w:val="3"/>
          <w:sz w:val="22"/>
          <w:szCs w:val="22"/>
        </w:rPr>
        <w:t>他综合收益的金融资产、以公允价值计量且其变动计入当期损益的金</w:t>
      </w:r>
      <w:r>
        <w:rPr>
          <w:rFonts w:ascii="仿宋" w:eastAsia="仿宋" w:hAnsi="仿宋" w:cs="仿宋"/>
          <w:spacing w:val="2"/>
          <w:sz w:val="22"/>
          <w:szCs w:val="22"/>
        </w:rPr>
        <w:t>融资产。</w:t>
      </w:r>
    </w:p>
    <w:p>
      <w:pPr>
        <w:spacing w:before="244" w:line="222" w:lineRule="auto"/>
        <w:ind w:left="403"/>
        <w:rPr>
          <w:rFonts w:ascii="仿宋" w:eastAsia="仿宋" w:hAnsi="仿宋" w:cs="仿宋"/>
          <w:sz w:val="22"/>
          <w:szCs w:val="22"/>
        </w:rPr>
      </w:pPr>
      <w:r>
        <w:rPr>
          <w:rFonts w:ascii="仿宋" w:eastAsia="仿宋" w:hAnsi="仿宋" w:cs="仿宋"/>
          <w:b/>
          <w:bCs/>
          <w:spacing w:val="-2"/>
          <w:sz w:val="22"/>
          <w:szCs w:val="22"/>
        </w:rPr>
        <w:t>以摊余成本计量的金融资产</w:t>
      </w:r>
    </w:p>
    <w:p>
      <w:pPr>
        <w:spacing w:before="216" w:line="238" w:lineRule="auto"/>
        <w:ind w:left="399" w:right="1104"/>
        <w:rPr>
          <w:rFonts w:ascii="仿宋" w:eastAsia="仿宋" w:hAnsi="仿宋" w:cs="仿宋"/>
          <w:sz w:val="22"/>
          <w:szCs w:val="22"/>
        </w:rPr>
      </w:pPr>
      <w:r>
        <w:rPr>
          <w:rFonts w:ascii="仿宋" w:eastAsia="仿宋" w:hAnsi="仿宋" w:cs="仿宋"/>
          <w:spacing w:val="9"/>
          <w:sz w:val="22"/>
          <w:szCs w:val="22"/>
        </w:rPr>
        <w:t>本公司将同时符合下列条件且未被指定为以公允价值计量且其变动计入当期损益的金</w:t>
      </w:r>
      <w:r>
        <w:rPr>
          <w:rFonts w:ascii="仿宋" w:eastAsia="仿宋" w:hAnsi="仿宋" w:cs="仿宋"/>
          <w:spacing w:val="1"/>
          <w:sz w:val="22"/>
          <w:szCs w:val="22"/>
        </w:rPr>
        <w:t xml:space="preserve"> </w:t>
      </w:r>
      <w:r>
        <w:rPr>
          <w:rFonts w:ascii="仿宋" w:eastAsia="仿宋" w:hAnsi="仿宋" w:cs="仿宋"/>
          <w:sz w:val="22"/>
          <w:szCs w:val="22"/>
        </w:rPr>
        <w:t>融资产，分类为以摊余成本计量的金融资产：</w:t>
      </w:r>
    </w:p>
    <w:p>
      <w:pPr>
        <w:spacing w:before="245" w:line="222" w:lineRule="auto"/>
        <w:ind w:left="399"/>
        <w:rPr>
          <w:rFonts w:ascii="仿宋" w:eastAsia="仿宋" w:hAnsi="仿宋" w:cs="仿宋"/>
          <w:sz w:val="22"/>
          <w:szCs w:val="22"/>
        </w:rPr>
      </w:pPr>
      <w:r>
        <w:rPr>
          <w:rFonts w:ascii="仿宋" w:eastAsia="仿宋" w:hAnsi="仿宋" w:cs="仿宋"/>
          <w:sz w:val="22"/>
          <w:szCs w:val="22"/>
        </w:rPr>
        <w:t>·  本公司管理该金融资产的业务模式是以收取合同现金流量为目标；</w:t>
      </w:r>
    </w:p>
    <w:p>
      <w:pPr>
        <w:spacing w:before="201" w:line="243" w:lineRule="auto"/>
        <w:ind w:left="399" w:right="1145"/>
        <w:rPr>
          <w:rFonts w:ascii="仿宋" w:eastAsia="仿宋" w:hAnsi="仿宋" w:cs="仿宋"/>
          <w:sz w:val="22"/>
          <w:szCs w:val="22"/>
        </w:rPr>
      </w:pPr>
      <w:r>
        <w:rPr>
          <w:rFonts w:ascii="仿宋" w:eastAsia="仿宋" w:hAnsi="仿宋" w:cs="仿宋"/>
          <w:spacing w:val="2"/>
          <w:sz w:val="22"/>
          <w:szCs w:val="22"/>
        </w:rPr>
        <w:t>·  该金融资产的合同条款规定，在特定日期产生的现金流量，仅为对本金</w:t>
      </w:r>
      <w:r>
        <w:rPr>
          <w:rFonts w:ascii="仿宋" w:eastAsia="仿宋" w:hAnsi="仿宋" w:cs="仿宋"/>
          <w:spacing w:val="1"/>
          <w:sz w:val="22"/>
          <w:szCs w:val="22"/>
        </w:rPr>
        <w:t>和以未偿付</w:t>
      </w:r>
      <w:r>
        <w:rPr>
          <w:rFonts w:ascii="仿宋" w:eastAsia="仿宋" w:hAnsi="仿宋" w:cs="仿宋"/>
          <w:sz w:val="22"/>
          <w:szCs w:val="22"/>
        </w:rPr>
        <w:t xml:space="preserve"> </w:t>
      </w:r>
      <w:r>
        <w:rPr>
          <w:rFonts w:ascii="仿宋" w:eastAsia="仿宋" w:hAnsi="仿宋" w:cs="仿宋"/>
          <w:spacing w:val="2"/>
          <w:sz w:val="22"/>
          <w:szCs w:val="22"/>
        </w:rPr>
        <w:t>本金金额为基础的利息的支付。</w:t>
      </w:r>
    </w:p>
    <w:p>
      <w:pPr>
        <w:spacing w:before="226" w:line="236" w:lineRule="auto"/>
        <w:ind w:left="399" w:right="1099"/>
        <w:jc w:val="both"/>
        <w:rPr>
          <w:rFonts w:ascii="仿宋" w:eastAsia="仿宋" w:hAnsi="仿宋" w:cs="仿宋"/>
          <w:sz w:val="22"/>
          <w:szCs w:val="22"/>
        </w:rPr>
      </w:pPr>
      <w:r>
        <w:rPr>
          <w:rFonts w:ascii="仿宋" w:eastAsia="仿宋" w:hAnsi="仿宋" w:cs="仿宋"/>
          <w:spacing w:val="3"/>
          <w:sz w:val="22"/>
          <w:szCs w:val="22"/>
        </w:rPr>
        <w:t>初始确认后，对于该类金融资产采用实际利率法以摊余成本计量。以摊余成本计量且不</w:t>
      </w:r>
      <w:r>
        <w:rPr>
          <w:rFonts w:ascii="仿宋" w:eastAsia="仿宋" w:hAnsi="仿宋" w:cs="仿宋"/>
          <w:spacing w:val="5"/>
          <w:sz w:val="22"/>
          <w:szCs w:val="22"/>
        </w:rPr>
        <w:t xml:space="preserve"> </w:t>
      </w:r>
      <w:r>
        <w:rPr>
          <w:rFonts w:ascii="仿宋" w:eastAsia="仿宋" w:hAnsi="仿宋" w:cs="仿宋"/>
          <w:spacing w:val="2"/>
          <w:sz w:val="22"/>
          <w:szCs w:val="22"/>
        </w:rPr>
        <w:t>属于任何套期关系的一部分的金融资产所产生的利得或损失，在终止确认、按照实际利</w:t>
      </w:r>
      <w:r>
        <w:rPr>
          <w:rFonts w:ascii="仿宋" w:eastAsia="仿宋" w:hAnsi="仿宋" w:cs="仿宋"/>
          <w:spacing w:val="13"/>
          <w:sz w:val="22"/>
          <w:szCs w:val="22"/>
        </w:rPr>
        <w:t xml:space="preserve"> </w:t>
      </w:r>
      <w:r>
        <w:rPr>
          <w:rFonts w:ascii="仿宋" w:eastAsia="仿宋" w:hAnsi="仿宋" w:cs="仿宋"/>
          <w:spacing w:val="1"/>
          <w:sz w:val="22"/>
          <w:szCs w:val="22"/>
        </w:rPr>
        <w:t>率法摊销或确认减值时，计入当期损益。</w:t>
      </w:r>
    </w:p>
    <w:p>
      <w:pPr>
        <w:spacing w:before="251" w:line="222" w:lineRule="auto"/>
        <w:ind w:left="403"/>
        <w:rPr>
          <w:rFonts w:ascii="仿宋" w:eastAsia="仿宋" w:hAnsi="仿宋" w:cs="仿宋"/>
          <w:sz w:val="22"/>
          <w:szCs w:val="22"/>
        </w:rPr>
      </w:pPr>
      <w:r>
        <w:rPr>
          <w:rFonts w:ascii="仿宋" w:eastAsia="仿宋" w:hAnsi="仿宋" w:cs="仿宋"/>
          <w:b/>
          <w:bCs/>
          <w:spacing w:val="2"/>
          <w:sz w:val="22"/>
          <w:szCs w:val="22"/>
        </w:rPr>
        <w:t>以公允价值计量且其变动计入其他综合收益的金融资产</w:t>
      </w:r>
    </w:p>
    <w:p>
      <w:pPr>
        <w:spacing w:before="247" w:line="229" w:lineRule="auto"/>
        <w:ind w:left="399" w:right="1104"/>
        <w:rPr>
          <w:rFonts w:ascii="仿宋" w:eastAsia="仿宋" w:hAnsi="仿宋" w:cs="仿宋"/>
          <w:sz w:val="22"/>
          <w:szCs w:val="22"/>
        </w:rPr>
      </w:pPr>
      <w:r>
        <w:rPr>
          <w:rFonts w:ascii="仿宋" w:eastAsia="仿宋" w:hAnsi="仿宋" w:cs="仿宋"/>
          <w:spacing w:val="9"/>
          <w:sz w:val="22"/>
          <w:szCs w:val="22"/>
        </w:rPr>
        <w:t>本公司将同时符合下列条件且未被指定为以公允价值计量且其变动计入当期损益的金</w:t>
      </w:r>
      <w:r>
        <w:rPr>
          <w:rFonts w:ascii="仿宋" w:eastAsia="仿宋" w:hAnsi="仿宋" w:cs="仿宋"/>
          <w:spacing w:val="1"/>
          <w:sz w:val="22"/>
          <w:szCs w:val="22"/>
        </w:rPr>
        <w:t xml:space="preserve"> </w:t>
      </w:r>
      <w:r>
        <w:rPr>
          <w:rFonts w:ascii="仿宋" w:eastAsia="仿宋" w:hAnsi="仿宋" w:cs="仿宋"/>
          <w:spacing w:val="2"/>
          <w:sz w:val="22"/>
          <w:szCs w:val="22"/>
        </w:rPr>
        <w:t>融资产，分类为以公允价值计量且其变动计入其他综合收益</w:t>
      </w:r>
      <w:r>
        <w:rPr>
          <w:rFonts w:ascii="仿宋" w:eastAsia="仿宋" w:hAnsi="仿宋" w:cs="仿宋"/>
          <w:spacing w:val="1"/>
          <w:sz w:val="22"/>
          <w:szCs w:val="22"/>
        </w:rPr>
        <w:t>的金融资产：</w:t>
      </w:r>
    </w:p>
    <w:p>
      <w:pPr>
        <w:spacing w:before="224" w:line="234" w:lineRule="auto"/>
        <w:ind w:left="399" w:right="1076"/>
        <w:rPr>
          <w:rFonts w:ascii="仿宋" w:eastAsia="仿宋" w:hAnsi="仿宋" w:cs="仿宋"/>
          <w:sz w:val="22"/>
          <w:szCs w:val="22"/>
        </w:rPr>
      </w:pPr>
      <w:r>
        <w:rPr>
          <w:rFonts w:ascii="仿宋" w:eastAsia="仿宋" w:hAnsi="仿宋" w:cs="仿宋"/>
          <w:spacing w:val="10"/>
          <w:sz w:val="22"/>
          <w:szCs w:val="22"/>
        </w:rPr>
        <w:t>·本公司管理该金融资产的业务模式既以收取合同现金流量为目标</w:t>
      </w:r>
      <w:r>
        <w:rPr>
          <w:rFonts w:ascii="仿宋" w:eastAsia="仿宋" w:hAnsi="仿宋" w:cs="仿宋"/>
          <w:spacing w:val="9"/>
          <w:sz w:val="22"/>
          <w:szCs w:val="22"/>
        </w:rPr>
        <w:t>又以出售该金融资</w:t>
      </w:r>
      <w:r>
        <w:rPr>
          <w:rFonts w:ascii="仿宋" w:eastAsia="仿宋" w:hAnsi="仿宋" w:cs="仿宋"/>
          <w:sz w:val="22"/>
          <w:szCs w:val="22"/>
        </w:rPr>
        <w:t xml:space="preserve"> </w:t>
      </w:r>
      <w:r>
        <w:rPr>
          <w:rFonts w:ascii="仿宋" w:eastAsia="仿宋" w:hAnsi="仿宋" w:cs="仿宋"/>
          <w:spacing w:val="-11"/>
          <w:sz w:val="22"/>
          <w:szCs w:val="22"/>
        </w:rPr>
        <w:t>产为目标；</w:t>
      </w:r>
    </w:p>
    <w:p>
      <w:pPr>
        <w:spacing w:before="231" w:line="239" w:lineRule="auto"/>
        <w:ind w:left="399" w:right="1105"/>
        <w:rPr>
          <w:rFonts w:ascii="仿宋" w:eastAsia="仿宋" w:hAnsi="仿宋" w:cs="仿宋"/>
          <w:sz w:val="22"/>
          <w:szCs w:val="22"/>
        </w:rPr>
      </w:pPr>
      <w:r>
        <w:rPr>
          <w:rFonts w:ascii="仿宋" w:eastAsia="仿宋" w:hAnsi="仿宋" w:cs="仿宋"/>
          <w:spacing w:val="9"/>
          <w:sz w:val="22"/>
          <w:szCs w:val="22"/>
        </w:rPr>
        <w:t>·该金融资产的合同条款规定，在特定日期产生的现金流量，仅为对本金和以未偿付</w:t>
      </w:r>
      <w:r>
        <w:rPr>
          <w:rFonts w:ascii="仿宋" w:eastAsia="仿宋" w:hAnsi="仿宋" w:cs="仿宋"/>
          <w:sz w:val="22"/>
          <w:szCs w:val="22"/>
        </w:rPr>
        <w:t xml:space="preserve"> </w:t>
      </w:r>
      <w:r>
        <w:rPr>
          <w:rFonts w:ascii="仿宋" w:eastAsia="仿宋" w:hAnsi="仿宋" w:cs="仿宋"/>
          <w:spacing w:val="2"/>
          <w:sz w:val="22"/>
          <w:szCs w:val="22"/>
        </w:rPr>
        <w:t>本金金额为基础的利息的支付。</w:t>
      </w:r>
    </w:p>
    <w:p>
      <w:pPr>
        <w:pStyle w:val="BodyText"/>
        <w:spacing w:line="309" w:lineRule="auto"/>
      </w:pPr>
    </w:p>
    <w:p>
      <w:pPr>
        <w:pStyle w:val="BodyText"/>
        <w:spacing w:line="310" w:lineRule="auto"/>
      </w:pPr>
    </w:p>
    <w:p>
      <w:pPr>
        <w:spacing w:before="49" w:line="184" w:lineRule="auto"/>
        <w:ind w:left="4559"/>
        <w:rPr>
          <w:rFonts w:ascii="宋体" w:eastAsia="宋体" w:hAnsi="宋体" w:cs="宋体"/>
          <w:sz w:val="15"/>
          <w:szCs w:val="15"/>
        </w:rPr>
      </w:pPr>
      <w:r>
        <w:rPr>
          <w:rFonts w:ascii="宋体" w:eastAsia="宋体" w:hAnsi="宋体" w:cs="宋体"/>
          <w:spacing w:val="-5"/>
          <w:sz w:val="15"/>
          <w:szCs w:val="15"/>
        </w:rPr>
        <w:t>18</w:t>
      </w:r>
    </w:p>
    <w:p>
      <w:pPr>
        <w:pStyle w:val="BodyText"/>
        <w:spacing w:line="283" w:lineRule="auto"/>
      </w:pPr>
    </w:p>
    <w:p>
      <w:pPr>
        <w:pStyle w:val="BodyText"/>
        <w:spacing w:line="284" w:lineRule="auto"/>
      </w:pPr>
    </w:p>
    <w:p>
      <w:pPr>
        <w:spacing w:before="71" w:line="183" w:lineRule="auto"/>
        <w:ind w:left="4130"/>
        <w:rPr>
          <w:rFonts w:ascii="宋体" w:eastAsia="宋体" w:hAnsi="宋体" w:cs="宋体"/>
          <w:sz w:val="22"/>
          <w:szCs w:val="22"/>
        </w:rPr>
      </w:pPr>
      <w:r>
        <w:rPr>
          <w:rFonts w:ascii="宋体" w:eastAsia="宋体" w:hAnsi="宋体" w:cs="宋体"/>
          <w:color w:val="D56E07"/>
          <w:spacing w:val="-18"/>
          <w:w w:val="96"/>
          <w:sz w:val="22"/>
          <w:szCs w:val="22"/>
        </w:rPr>
        <w:t>3</w:t>
      </w:r>
      <w:r>
        <w:rPr>
          <w:rFonts w:ascii="宋体" w:eastAsia="宋体" w:hAnsi="宋体" w:cs="宋体"/>
          <w:spacing w:val="-18"/>
          <w:w w:val="96"/>
          <w:sz w:val="22"/>
          <w:szCs w:val="22"/>
        </w:rPr>
        <w:t>-2-</w:t>
      </w:r>
      <w:r>
        <w:rPr>
          <w:rFonts w:ascii="宋体" w:eastAsia="宋体" w:hAnsi="宋体" w:cs="宋体"/>
          <w:color w:val="D56E07"/>
          <w:spacing w:val="-18"/>
          <w:w w:val="96"/>
          <w:sz w:val="22"/>
          <w:szCs w:val="22"/>
        </w:rPr>
        <w:t>3</w:t>
      </w:r>
      <w:r>
        <w:rPr>
          <w:rFonts w:ascii="宋体" w:eastAsia="宋体" w:hAnsi="宋体" w:cs="宋体"/>
          <w:spacing w:val="-18"/>
          <w:w w:val="96"/>
          <w:sz w:val="22"/>
          <w:szCs w:val="22"/>
        </w:rPr>
        <w:t>-2</w:t>
      </w:r>
      <w:r>
        <w:rPr>
          <w:rFonts w:ascii="宋体" w:eastAsia="宋体" w:hAnsi="宋体" w:cs="宋体"/>
          <w:color w:val="D56E07"/>
          <w:spacing w:val="-18"/>
          <w:w w:val="96"/>
          <w:sz w:val="22"/>
          <w:szCs w:val="22"/>
        </w:rPr>
        <w:t>0</w:t>
      </w:r>
    </w:p>
    <w:p>
      <w:pPr>
        <w:spacing w:line="183" w:lineRule="auto"/>
        <w:rPr>
          <w:rFonts w:ascii="宋体" w:eastAsia="宋体" w:hAnsi="宋体" w:cs="宋体"/>
          <w:sz w:val="22"/>
          <w:szCs w:val="22"/>
        </w:rPr>
        <w:sectPr>
          <w:headerReference w:type="default" r:id="rId21"/>
          <w:pgSz w:w="11900" w:h="16820"/>
          <w:pgMar w:top="400" w:right="409" w:bottom="0" w:left="1509" w:header="0" w:footer="0" w:gutter="0"/>
          <w:pgNumType w:start="22"/>
          <w:cols w:num="1" w:space="720"/>
        </w:sectPr>
      </w:pPr>
    </w:p>
    <w:p>
      <w:pPr>
        <w:pStyle w:val="BodyText"/>
        <w:spacing w:line="296" w:lineRule="auto"/>
      </w:pPr>
    </w:p>
    <w:p>
      <w:pPr>
        <w:pStyle w:val="BodyText"/>
        <w:spacing w:line="297" w:lineRule="auto"/>
      </w:pPr>
    </w:p>
    <w:p>
      <w:pPr>
        <w:pStyle w:val="BodyText"/>
        <w:spacing w:line="297" w:lineRule="auto"/>
      </w:pPr>
    </w:p>
    <w:p>
      <w:pPr>
        <w:spacing w:before="72" w:line="222" w:lineRule="auto"/>
        <w:ind w:left="19"/>
        <w:rPr>
          <w:rFonts w:ascii="仿宋" w:eastAsia="仿宋" w:hAnsi="仿宋" w:cs="仿宋"/>
          <w:sz w:val="22"/>
          <w:szCs w:val="22"/>
        </w:rPr>
      </w:pPr>
      <w:r>
        <w:rPr>
          <w:rFonts w:ascii="仿宋" w:eastAsia="仿宋" w:hAnsi="仿宋" w:cs="仿宋"/>
          <w:spacing w:val="5"/>
          <w:sz w:val="22"/>
          <w:szCs w:val="22"/>
        </w:rPr>
        <w:t>美新科技股份有限公司</w:t>
      </w:r>
    </w:p>
    <w:p>
      <w:pPr>
        <w:spacing w:before="32" w:line="220" w:lineRule="auto"/>
        <w:ind w:left="19"/>
        <w:rPr>
          <w:rFonts w:ascii="仿宋" w:eastAsia="仿宋" w:hAnsi="仿宋" w:cs="仿宋"/>
          <w:sz w:val="22"/>
          <w:szCs w:val="22"/>
        </w:rPr>
      </w:pPr>
      <w:r>
        <w:rPr>
          <w:rFonts w:ascii="仿宋" w:eastAsia="仿宋" w:hAnsi="仿宋" w:cs="仿宋"/>
          <w:spacing w:val="3"/>
          <w:sz w:val="22"/>
          <w:szCs w:val="22"/>
        </w:rPr>
        <w:t>盈利预测的编制基础、假设和编制说明</w:t>
      </w:r>
    </w:p>
    <w:p>
      <w:pPr>
        <w:spacing w:before="48" w:line="221" w:lineRule="auto"/>
        <w:ind w:left="19"/>
        <w:rPr>
          <w:rFonts w:ascii="仿宋" w:eastAsia="仿宋" w:hAnsi="仿宋" w:cs="仿宋"/>
          <w:sz w:val="22"/>
          <w:szCs w:val="22"/>
        </w:rPr>
      </w:pPr>
      <w:r>
        <w:rPr>
          <w:rFonts w:ascii="仿宋" w:eastAsia="仿宋" w:hAnsi="仿宋" w:cs="仿宋"/>
          <w:spacing w:val="13"/>
          <w:sz w:val="22"/>
          <w:szCs w:val="22"/>
        </w:rPr>
        <w:t>2023年度(除特别注明外，金额单位为人民币万元)</w:t>
      </w:r>
    </w:p>
    <w:p>
      <w:pPr>
        <w:spacing w:before="31" w:line="20" w:lineRule="exact"/>
      </w:pPr>
    </w:p>
    <w:p>
      <w:pPr>
        <w:spacing w:before="263" w:line="233" w:lineRule="auto"/>
        <w:ind w:left="389" w:right="1049"/>
        <w:jc w:val="both"/>
        <w:rPr>
          <w:rFonts w:ascii="仿宋" w:eastAsia="仿宋" w:hAnsi="仿宋" w:cs="仿宋"/>
          <w:sz w:val="22"/>
          <w:szCs w:val="22"/>
        </w:rPr>
      </w:pPr>
      <w:r>
        <w:rPr>
          <w:rFonts w:ascii="仿宋" w:eastAsia="仿宋" w:hAnsi="仿宋" w:cs="仿宋"/>
          <w:spacing w:val="9"/>
          <w:sz w:val="22"/>
          <w:szCs w:val="22"/>
        </w:rPr>
        <w:t>初始确认后，对于该类金融资产以公允价值进行后续计量</w:t>
      </w:r>
      <w:r>
        <w:rPr>
          <w:rFonts w:ascii="仿宋" w:eastAsia="仿宋" w:hAnsi="仿宋" w:cs="仿宋"/>
          <w:spacing w:val="8"/>
          <w:sz w:val="22"/>
          <w:szCs w:val="22"/>
        </w:rPr>
        <w:t xml:space="preserve">。采用实际利率法计算的利 </w:t>
      </w:r>
      <w:r>
        <w:rPr>
          <w:rFonts w:ascii="仿宋" w:eastAsia="仿宋" w:hAnsi="仿宋" w:cs="仿宋"/>
          <w:spacing w:val="11"/>
          <w:sz w:val="22"/>
          <w:szCs w:val="22"/>
        </w:rPr>
        <w:t>息、减值损失或利得及汇兑损益计入当期损益，其他利得或损失计入其他综合收益。</w:t>
      </w:r>
      <w:r>
        <w:rPr>
          <w:rFonts w:ascii="仿宋" w:eastAsia="仿宋" w:hAnsi="仿宋" w:cs="仿宋"/>
          <w:spacing w:val="12"/>
          <w:sz w:val="22"/>
          <w:szCs w:val="22"/>
        </w:rPr>
        <w:t xml:space="preserve"> </w:t>
      </w:r>
      <w:r>
        <w:rPr>
          <w:rFonts w:ascii="仿宋" w:eastAsia="仿宋" w:hAnsi="仿宋" w:cs="仿宋"/>
          <w:spacing w:val="9"/>
          <w:sz w:val="22"/>
          <w:szCs w:val="22"/>
        </w:rPr>
        <w:t>终止确认时，将之前计入其他综合收益的累计利得或损失从其他综合收益中转出，计</w:t>
      </w:r>
      <w:r>
        <w:rPr>
          <w:rFonts w:ascii="仿宋" w:eastAsia="仿宋" w:hAnsi="仿宋" w:cs="仿宋"/>
          <w:spacing w:val="11"/>
          <w:sz w:val="22"/>
          <w:szCs w:val="22"/>
        </w:rPr>
        <w:t xml:space="preserve"> </w:t>
      </w:r>
      <w:r>
        <w:rPr>
          <w:rFonts w:ascii="仿宋" w:eastAsia="仿宋" w:hAnsi="仿宋" w:cs="仿宋"/>
          <w:spacing w:val="-3"/>
          <w:sz w:val="22"/>
          <w:szCs w:val="22"/>
        </w:rPr>
        <w:t>入当期损益。</w:t>
      </w:r>
    </w:p>
    <w:p>
      <w:pPr>
        <w:spacing w:before="260" w:line="222" w:lineRule="auto"/>
        <w:ind w:left="393"/>
        <w:rPr>
          <w:rFonts w:ascii="仿宋" w:eastAsia="仿宋" w:hAnsi="仿宋" w:cs="仿宋"/>
          <w:sz w:val="22"/>
          <w:szCs w:val="22"/>
        </w:rPr>
      </w:pPr>
      <w:r>
        <w:rPr>
          <w:rFonts w:ascii="仿宋" w:eastAsia="仿宋" w:hAnsi="仿宋" w:cs="仿宋"/>
          <w:b/>
          <w:bCs/>
          <w:spacing w:val="2"/>
          <w:sz w:val="22"/>
          <w:szCs w:val="22"/>
        </w:rPr>
        <w:t>以公允价值计量且其变动计入当期损益的金融资产</w:t>
      </w:r>
    </w:p>
    <w:p>
      <w:pPr>
        <w:spacing w:before="229" w:line="239" w:lineRule="auto"/>
        <w:ind w:left="389" w:right="1079"/>
        <w:jc w:val="both"/>
        <w:rPr>
          <w:rFonts w:ascii="仿宋" w:eastAsia="仿宋" w:hAnsi="仿宋" w:cs="仿宋"/>
          <w:sz w:val="22"/>
          <w:szCs w:val="22"/>
        </w:rPr>
      </w:pPr>
      <w:r>
        <w:rPr>
          <w:rFonts w:ascii="仿宋" w:eastAsia="仿宋" w:hAnsi="仿宋" w:cs="仿宋"/>
          <w:spacing w:val="3"/>
          <w:sz w:val="22"/>
          <w:szCs w:val="22"/>
        </w:rPr>
        <w:t>除上述以摊余成本计量和以公允价值计量且其变动计入其他综合收益的金融资产外，本</w:t>
      </w:r>
      <w:r>
        <w:rPr>
          <w:rFonts w:ascii="仿宋" w:eastAsia="仿宋" w:hAnsi="仿宋" w:cs="仿宋"/>
          <w:spacing w:val="8"/>
          <w:sz w:val="22"/>
          <w:szCs w:val="22"/>
        </w:rPr>
        <w:t xml:space="preserve"> </w:t>
      </w:r>
      <w:r>
        <w:rPr>
          <w:rFonts w:ascii="仿宋" w:eastAsia="仿宋" w:hAnsi="仿宋" w:cs="仿宋"/>
          <w:spacing w:val="4"/>
          <w:sz w:val="22"/>
          <w:szCs w:val="22"/>
        </w:rPr>
        <w:t>公司将其余所有的金融资产分类为以公允价值计量且其变动计入当期损益的金融资产。</w:t>
      </w:r>
      <w:r>
        <w:rPr>
          <w:rFonts w:ascii="仿宋" w:eastAsia="仿宋" w:hAnsi="仿宋" w:cs="仿宋"/>
          <w:spacing w:val="17"/>
          <w:sz w:val="22"/>
          <w:szCs w:val="22"/>
        </w:rPr>
        <w:t xml:space="preserve"> </w:t>
      </w:r>
      <w:r>
        <w:rPr>
          <w:rFonts w:ascii="仿宋" w:eastAsia="仿宋" w:hAnsi="仿宋" w:cs="仿宋"/>
          <w:spacing w:val="3"/>
          <w:sz w:val="22"/>
          <w:szCs w:val="22"/>
        </w:rPr>
        <w:t>在初始确认时，为消除或显著减少会计错配，本公司将部分本应以摊余成本计量或以公</w:t>
      </w:r>
      <w:r>
        <w:rPr>
          <w:rFonts w:ascii="仿宋" w:eastAsia="仿宋" w:hAnsi="仿宋" w:cs="仿宋"/>
          <w:spacing w:val="10"/>
          <w:sz w:val="22"/>
          <w:szCs w:val="22"/>
        </w:rPr>
        <w:t xml:space="preserve"> </w:t>
      </w:r>
      <w:r>
        <w:rPr>
          <w:rFonts w:ascii="仿宋" w:eastAsia="仿宋" w:hAnsi="仿宋" w:cs="仿宋"/>
          <w:spacing w:val="9"/>
          <w:sz w:val="22"/>
          <w:szCs w:val="22"/>
        </w:rPr>
        <w:t>允价值计量且其变动计入其他综合收益的金融资产不可撤销地指定为以公</w:t>
      </w:r>
      <w:r>
        <w:rPr>
          <w:rFonts w:ascii="仿宋" w:eastAsia="仿宋" w:hAnsi="仿宋" w:cs="仿宋"/>
          <w:spacing w:val="8"/>
          <w:sz w:val="22"/>
          <w:szCs w:val="22"/>
        </w:rPr>
        <w:t>允价值计量</w:t>
      </w:r>
      <w:r>
        <w:rPr>
          <w:rFonts w:ascii="仿宋" w:eastAsia="仿宋" w:hAnsi="仿宋" w:cs="仿宋"/>
          <w:sz w:val="22"/>
          <w:szCs w:val="22"/>
        </w:rPr>
        <w:t xml:space="preserve"> 且其变动计入当期损益的金融资产。</w:t>
      </w:r>
    </w:p>
    <w:p>
      <w:pPr>
        <w:spacing w:before="262" w:line="234" w:lineRule="auto"/>
        <w:ind w:left="389" w:right="1129"/>
        <w:rPr>
          <w:rFonts w:ascii="仿宋" w:eastAsia="仿宋" w:hAnsi="仿宋" w:cs="仿宋"/>
          <w:sz w:val="22"/>
          <w:szCs w:val="22"/>
        </w:rPr>
      </w:pPr>
      <w:r>
        <w:rPr>
          <w:rFonts w:ascii="仿宋" w:eastAsia="仿宋" w:hAnsi="仿宋" w:cs="仿宋"/>
          <w:spacing w:val="6"/>
          <w:sz w:val="22"/>
          <w:szCs w:val="22"/>
        </w:rPr>
        <w:t>初始确认后，对于该类金融资产以公允价值进行后续计量，产生的利得或损失(包括利</w:t>
      </w:r>
      <w:r>
        <w:rPr>
          <w:rFonts w:ascii="仿宋" w:eastAsia="仿宋" w:hAnsi="仿宋" w:cs="仿宋"/>
          <w:spacing w:val="1"/>
          <w:sz w:val="22"/>
          <w:szCs w:val="22"/>
        </w:rPr>
        <w:t xml:space="preserve"> </w:t>
      </w:r>
      <w:r>
        <w:rPr>
          <w:rFonts w:ascii="仿宋" w:eastAsia="仿宋" w:hAnsi="仿宋" w:cs="仿宋"/>
          <w:spacing w:val="6"/>
          <w:sz w:val="22"/>
          <w:szCs w:val="22"/>
        </w:rPr>
        <w:t>息和股利收入)计入当期损益，除非该金融资产属于套期关系的一部分。</w:t>
      </w:r>
    </w:p>
    <w:p>
      <w:pPr>
        <w:spacing w:before="226" w:line="238" w:lineRule="auto"/>
        <w:ind w:left="389" w:right="1105"/>
        <w:jc w:val="both"/>
        <w:rPr>
          <w:rFonts w:ascii="仿宋" w:eastAsia="仿宋" w:hAnsi="仿宋" w:cs="仿宋"/>
          <w:sz w:val="22"/>
          <w:szCs w:val="22"/>
        </w:rPr>
      </w:pPr>
      <w:r>
        <w:rPr>
          <w:rFonts w:ascii="仿宋" w:eastAsia="仿宋" w:hAnsi="仿宋" w:cs="仿宋"/>
          <w:spacing w:val="4"/>
          <w:sz w:val="22"/>
          <w:szCs w:val="22"/>
        </w:rPr>
        <w:t>管理金融资产的业务模式，是指本公司如何管理金融资产以产生现</w:t>
      </w:r>
      <w:r>
        <w:rPr>
          <w:rFonts w:ascii="仿宋" w:eastAsia="仿宋" w:hAnsi="仿宋" w:cs="仿宋"/>
          <w:spacing w:val="3"/>
          <w:sz w:val="22"/>
          <w:szCs w:val="22"/>
        </w:rPr>
        <w:t>金流量。业务模式决</w:t>
      </w:r>
      <w:r>
        <w:rPr>
          <w:rFonts w:ascii="仿宋" w:eastAsia="仿宋" w:hAnsi="仿宋" w:cs="仿宋"/>
          <w:sz w:val="22"/>
          <w:szCs w:val="22"/>
        </w:rPr>
        <w:t xml:space="preserve"> </w:t>
      </w:r>
      <w:r>
        <w:rPr>
          <w:rFonts w:ascii="仿宋" w:eastAsia="仿宋" w:hAnsi="仿宋" w:cs="仿宋"/>
          <w:spacing w:val="3"/>
          <w:sz w:val="22"/>
          <w:szCs w:val="22"/>
        </w:rPr>
        <w:t>定本公司所管理金融资产现金流量的来源是收取合同现金流量、出售金融资产还是两者</w:t>
      </w:r>
      <w:r>
        <w:rPr>
          <w:rFonts w:ascii="仿宋" w:eastAsia="仿宋" w:hAnsi="仿宋" w:cs="仿宋"/>
          <w:spacing w:val="11"/>
          <w:sz w:val="22"/>
          <w:szCs w:val="22"/>
        </w:rPr>
        <w:t xml:space="preserve"> </w:t>
      </w:r>
      <w:r>
        <w:rPr>
          <w:rFonts w:ascii="仿宋" w:eastAsia="仿宋" w:hAnsi="仿宋" w:cs="仿宋"/>
          <w:spacing w:val="3"/>
          <w:sz w:val="22"/>
          <w:szCs w:val="22"/>
        </w:rPr>
        <w:t>兼有。本公司以客观事实为依据、以关键管理人员决定的对金融资产进行管理的特定业</w:t>
      </w:r>
      <w:r>
        <w:rPr>
          <w:rFonts w:ascii="仿宋" w:eastAsia="仿宋" w:hAnsi="仿宋" w:cs="仿宋"/>
          <w:spacing w:val="9"/>
          <w:sz w:val="22"/>
          <w:szCs w:val="22"/>
        </w:rPr>
        <w:t xml:space="preserve"> </w:t>
      </w:r>
      <w:r>
        <w:rPr>
          <w:rFonts w:ascii="仿宋" w:eastAsia="仿宋" w:hAnsi="仿宋" w:cs="仿宋"/>
          <w:spacing w:val="2"/>
          <w:sz w:val="22"/>
          <w:szCs w:val="22"/>
        </w:rPr>
        <w:t>务目标为基础，确定管理金融资产的业务模式。</w:t>
      </w:r>
    </w:p>
    <w:p>
      <w:pPr>
        <w:spacing w:before="234"/>
        <w:ind w:left="389" w:right="1113"/>
        <w:jc w:val="both"/>
        <w:rPr>
          <w:rFonts w:ascii="仿宋" w:eastAsia="仿宋" w:hAnsi="仿宋" w:cs="仿宋"/>
          <w:sz w:val="22"/>
          <w:szCs w:val="22"/>
        </w:rPr>
      </w:pPr>
      <w:r>
        <w:rPr>
          <w:rFonts w:ascii="仿宋" w:eastAsia="仿宋" w:hAnsi="仿宋" w:cs="仿宋"/>
          <w:spacing w:val="3"/>
          <w:sz w:val="22"/>
          <w:szCs w:val="22"/>
        </w:rPr>
        <w:t>本公司对金融资产的合同现金流量特征进行评估，以确定相关金融资产在特定日期产生</w:t>
      </w:r>
      <w:r>
        <w:rPr>
          <w:rFonts w:ascii="仿宋" w:eastAsia="仿宋" w:hAnsi="仿宋" w:cs="仿宋"/>
          <w:spacing w:val="13"/>
          <w:sz w:val="22"/>
          <w:szCs w:val="22"/>
        </w:rPr>
        <w:t xml:space="preserve"> </w:t>
      </w:r>
      <w:r>
        <w:rPr>
          <w:rFonts w:ascii="仿宋" w:eastAsia="仿宋" w:hAnsi="仿宋" w:cs="仿宋"/>
          <w:spacing w:val="3"/>
          <w:sz w:val="22"/>
          <w:szCs w:val="22"/>
        </w:rPr>
        <w:t>的合同现金流量是否仅为对本金和以未偿付本金金额为基础的利息的支付。其中，本金</w:t>
      </w:r>
      <w:r>
        <w:rPr>
          <w:rFonts w:ascii="仿宋" w:eastAsia="仿宋" w:hAnsi="仿宋" w:cs="仿宋"/>
          <w:spacing w:val="10"/>
          <w:sz w:val="22"/>
          <w:szCs w:val="22"/>
        </w:rPr>
        <w:t xml:space="preserve"> </w:t>
      </w:r>
      <w:r>
        <w:rPr>
          <w:rFonts w:ascii="仿宋" w:eastAsia="仿宋" w:hAnsi="仿宋" w:cs="仿宋"/>
          <w:spacing w:val="3"/>
          <w:sz w:val="22"/>
          <w:szCs w:val="22"/>
        </w:rPr>
        <w:t>是指金融资产在初始确认时的公允价值；利息包括对货币时间价值、与特定时期未偿付</w:t>
      </w:r>
      <w:r>
        <w:rPr>
          <w:rFonts w:ascii="仿宋" w:eastAsia="仿宋" w:hAnsi="仿宋" w:cs="仿宋"/>
          <w:spacing w:val="9"/>
          <w:sz w:val="22"/>
          <w:szCs w:val="22"/>
        </w:rPr>
        <w:t xml:space="preserve"> </w:t>
      </w:r>
      <w:r>
        <w:rPr>
          <w:rFonts w:ascii="仿宋" w:eastAsia="仿宋" w:hAnsi="仿宋" w:cs="仿宋"/>
          <w:spacing w:val="3"/>
          <w:sz w:val="22"/>
          <w:szCs w:val="22"/>
        </w:rPr>
        <w:t>本金金额相关的信用风险、以及其他基本借贷风险、成本和利润的对价。此外，本公司</w:t>
      </w:r>
      <w:r>
        <w:rPr>
          <w:rFonts w:ascii="仿宋" w:eastAsia="仿宋" w:hAnsi="仿宋" w:cs="仿宋"/>
          <w:spacing w:val="11"/>
          <w:sz w:val="22"/>
          <w:szCs w:val="22"/>
        </w:rPr>
        <w:t xml:space="preserve"> </w:t>
      </w:r>
      <w:r>
        <w:rPr>
          <w:rFonts w:ascii="仿宋" w:eastAsia="仿宋" w:hAnsi="仿宋" w:cs="仿宋"/>
          <w:spacing w:val="4"/>
          <w:sz w:val="22"/>
          <w:szCs w:val="22"/>
        </w:rPr>
        <w:t>对可能导致金融资产合同现金流量的时间分布或</w:t>
      </w:r>
      <w:r>
        <w:rPr>
          <w:rFonts w:ascii="仿宋" w:eastAsia="仿宋" w:hAnsi="仿宋" w:cs="仿宋"/>
          <w:spacing w:val="3"/>
          <w:sz w:val="22"/>
          <w:szCs w:val="22"/>
        </w:rPr>
        <w:t>金额发生变更的合同条款进行评估，以</w:t>
      </w:r>
      <w:r>
        <w:rPr>
          <w:rFonts w:ascii="仿宋" w:eastAsia="仿宋" w:hAnsi="仿宋" w:cs="仿宋"/>
          <w:sz w:val="22"/>
          <w:szCs w:val="22"/>
        </w:rPr>
        <w:t xml:space="preserve"> </w:t>
      </w:r>
      <w:r>
        <w:rPr>
          <w:rFonts w:ascii="仿宋" w:eastAsia="仿宋" w:hAnsi="仿宋" w:cs="仿宋"/>
          <w:spacing w:val="2"/>
          <w:sz w:val="22"/>
          <w:szCs w:val="22"/>
        </w:rPr>
        <w:t>确定其是否满足上述合同现金流量特征的要求。</w:t>
      </w:r>
    </w:p>
    <w:p>
      <w:pPr>
        <w:spacing w:before="252" w:line="238" w:lineRule="auto"/>
        <w:ind w:left="389" w:right="1119"/>
        <w:jc w:val="both"/>
        <w:rPr>
          <w:rFonts w:ascii="仿宋" w:eastAsia="仿宋" w:hAnsi="仿宋" w:cs="仿宋"/>
          <w:sz w:val="22"/>
          <w:szCs w:val="22"/>
        </w:rPr>
      </w:pPr>
      <w:r>
        <w:rPr>
          <w:rFonts w:ascii="仿宋" w:eastAsia="仿宋" w:hAnsi="仿宋" w:cs="仿宋"/>
          <w:spacing w:val="3"/>
          <w:sz w:val="22"/>
          <w:szCs w:val="22"/>
        </w:rPr>
        <w:t>仅在本公司改变管理金融资产的业务模式时，所有受影响的相关金融资产在业务模式发</w:t>
      </w:r>
      <w:r>
        <w:rPr>
          <w:rFonts w:ascii="仿宋" w:eastAsia="仿宋" w:hAnsi="仿宋" w:cs="仿宋"/>
          <w:spacing w:val="12"/>
          <w:sz w:val="22"/>
          <w:szCs w:val="22"/>
        </w:rPr>
        <w:t xml:space="preserve"> </w:t>
      </w:r>
      <w:r>
        <w:rPr>
          <w:rFonts w:ascii="仿宋" w:eastAsia="仿宋" w:hAnsi="仿宋" w:cs="仿宋"/>
          <w:spacing w:val="3"/>
          <w:sz w:val="22"/>
          <w:szCs w:val="22"/>
        </w:rPr>
        <w:t>生变更后的首个报告期间的第一天进行重分类，否则金融资产在初始确认后不得进行重</w:t>
      </w:r>
      <w:r>
        <w:rPr>
          <w:rFonts w:ascii="仿宋" w:eastAsia="仿宋" w:hAnsi="仿宋" w:cs="仿宋"/>
          <w:spacing w:val="15"/>
          <w:sz w:val="22"/>
          <w:szCs w:val="22"/>
        </w:rPr>
        <w:t xml:space="preserve"> </w:t>
      </w:r>
      <w:r>
        <w:rPr>
          <w:rFonts w:ascii="仿宋" w:eastAsia="仿宋" w:hAnsi="仿宋" w:cs="仿宋"/>
          <w:spacing w:val="-11"/>
          <w:sz w:val="22"/>
          <w:szCs w:val="22"/>
        </w:rPr>
        <w:t>分类。</w:t>
      </w:r>
    </w:p>
    <w:p>
      <w:pPr>
        <w:spacing w:before="249" w:line="244" w:lineRule="auto"/>
        <w:ind w:left="389" w:right="1118"/>
        <w:jc w:val="both"/>
        <w:rPr>
          <w:rFonts w:ascii="仿宋" w:eastAsia="仿宋" w:hAnsi="仿宋" w:cs="仿宋"/>
          <w:sz w:val="22"/>
          <w:szCs w:val="22"/>
        </w:rPr>
      </w:pPr>
      <w:r>
        <w:rPr>
          <w:rFonts w:ascii="仿宋" w:eastAsia="仿宋" w:hAnsi="仿宋" w:cs="仿宋"/>
          <w:spacing w:val="3"/>
          <w:sz w:val="22"/>
          <w:szCs w:val="22"/>
        </w:rPr>
        <w:t>金融资产在初始确认时以公允价值计量。对于以公允价值计量且其变动计入当期损益的</w:t>
      </w:r>
      <w:r>
        <w:rPr>
          <w:rFonts w:ascii="仿宋" w:eastAsia="仿宋" w:hAnsi="仿宋" w:cs="仿宋"/>
          <w:spacing w:val="16"/>
          <w:sz w:val="22"/>
          <w:szCs w:val="22"/>
        </w:rPr>
        <w:t xml:space="preserve"> </w:t>
      </w:r>
      <w:r>
        <w:rPr>
          <w:rFonts w:ascii="仿宋" w:eastAsia="仿宋" w:hAnsi="仿宋" w:cs="仿宋"/>
          <w:spacing w:val="3"/>
          <w:sz w:val="22"/>
          <w:szCs w:val="22"/>
        </w:rPr>
        <w:t>金融资产，相关交易费用直接计入当期损益；对于其他类别的金融资产，相关交易费用</w:t>
      </w:r>
      <w:r>
        <w:rPr>
          <w:rFonts w:ascii="仿宋" w:eastAsia="仿宋" w:hAnsi="仿宋" w:cs="仿宋"/>
          <w:spacing w:val="14"/>
          <w:sz w:val="22"/>
          <w:szCs w:val="22"/>
        </w:rPr>
        <w:t xml:space="preserve"> </w:t>
      </w:r>
      <w:r>
        <w:rPr>
          <w:rFonts w:ascii="仿宋" w:eastAsia="仿宋" w:hAnsi="仿宋" w:cs="仿宋"/>
          <w:spacing w:val="3"/>
          <w:sz w:val="22"/>
          <w:szCs w:val="22"/>
        </w:rPr>
        <w:t>计入初始确认金额。因销售产品或提供劳务而产生的、未包含或不考虑重大融资成分的</w:t>
      </w:r>
      <w:r>
        <w:rPr>
          <w:rFonts w:ascii="仿宋" w:eastAsia="仿宋" w:hAnsi="仿宋" w:cs="仿宋"/>
          <w:spacing w:val="16"/>
          <w:sz w:val="22"/>
          <w:szCs w:val="22"/>
        </w:rPr>
        <w:t xml:space="preserve"> </w:t>
      </w:r>
      <w:r>
        <w:rPr>
          <w:rFonts w:ascii="仿宋" w:eastAsia="仿宋" w:hAnsi="仿宋" w:cs="仿宋"/>
          <w:spacing w:val="3"/>
          <w:sz w:val="22"/>
          <w:szCs w:val="22"/>
        </w:rPr>
        <w:t>应收账款，本公司按照预期有权收取的对价金额作为初始确认金额。</w:t>
      </w:r>
    </w:p>
    <w:p>
      <w:pPr>
        <w:spacing w:before="198" w:line="221" w:lineRule="auto"/>
        <w:ind w:left="119"/>
        <w:rPr>
          <w:rFonts w:ascii="仿宋" w:eastAsia="仿宋" w:hAnsi="仿宋" w:cs="仿宋"/>
          <w:sz w:val="22"/>
          <w:szCs w:val="22"/>
        </w:rPr>
      </w:pPr>
      <w:r>
        <w:rPr>
          <w:rFonts w:ascii="仿宋" w:eastAsia="仿宋" w:hAnsi="仿宋" w:cs="仿宋"/>
          <w:spacing w:val="14"/>
          <w:sz w:val="22"/>
          <w:szCs w:val="22"/>
        </w:rPr>
        <w:t>(3)金融负债分类和计量</w:t>
      </w:r>
    </w:p>
    <w:p>
      <w:pPr>
        <w:spacing w:before="248" w:line="241" w:lineRule="auto"/>
        <w:ind w:left="389" w:right="1121"/>
        <w:jc w:val="both"/>
        <w:rPr>
          <w:rFonts w:ascii="仿宋" w:eastAsia="仿宋" w:hAnsi="仿宋" w:cs="仿宋"/>
          <w:sz w:val="22"/>
          <w:szCs w:val="22"/>
        </w:rPr>
      </w:pPr>
      <w:r>
        <w:rPr>
          <w:rFonts w:ascii="仿宋" w:eastAsia="仿宋" w:hAnsi="仿宋" w:cs="仿宋"/>
          <w:spacing w:val="3"/>
          <w:sz w:val="22"/>
          <w:szCs w:val="22"/>
        </w:rPr>
        <w:t>本公司的金融负债于初始确认时分类为：以公允价值计量且其变动计入当期损益的金融</w:t>
      </w:r>
      <w:r>
        <w:rPr>
          <w:rFonts w:ascii="仿宋" w:eastAsia="仿宋" w:hAnsi="仿宋" w:cs="仿宋"/>
          <w:spacing w:val="9"/>
          <w:sz w:val="22"/>
          <w:szCs w:val="22"/>
        </w:rPr>
        <w:t xml:space="preserve"> </w:t>
      </w:r>
      <w:r>
        <w:rPr>
          <w:rFonts w:ascii="仿宋" w:eastAsia="仿宋" w:hAnsi="仿宋" w:cs="仿宋"/>
          <w:spacing w:val="3"/>
          <w:sz w:val="22"/>
          <w:szCs w:val="22"/>
        </w:rPr>
        <w:t>负债、以摊余成本计量的金融负债。对于未划分为以公允价值计量且其变动计入当期损</w:t>
      </w:r>
      <w:r>
        <w:rPr>
          <w:rFonts w:ascii="仿宋" w:eastAsia="仿宋" w:hAnsi="仿宋" w:cs="仿宋"/>
          <w:spacing w:val="13"/>
          <w:sz w:val="22"/>
          <w:szCs w:val="22"/>
        </w:rPr>
        <w:t xml:space="preserve"> </w:t>
      </w:r>
      <w:r>
        <w:rPr>
          <w:rFonts w:ascii="仿宋" w:eastAsia="仿宋" w:hAnsi="仿宋" w:cs="仿宋"/>
          <w:spacing w:val="2"/>
          <w:sz w:val="22"/>
          <w:szCs w:val="22"/>
        </w:rPr>
        <w:t>益的金融负债的，相关交易费用计入其初始确认金额。</w:t>
      </w:r>
    </w:p>
    <w:p>
      <w:pPr>
        <w:pStyle w:val="BodyText"/>
        <w:spacing w:line="271" w:lineRule="auto"/>
      </w:pPr>
    </w:p>
    <w:p>
      <w:pPr>
        <w:pStyle w:val="BodyText"/>
        <w:spacing w:line="271" w:lineRule="auto"/>
      </w:pPr>
    </w:p>
    <w:p>
      <w:pPr>
        <w:pStyle w:val="BodyText"/>
        <w:spacing w:line="272" w:lineRule="auto"/>
      </w:pPr>
    </w:p>
    <w:p>
      <w:pPr>
        <w:pStyle w:val="BodyText"/>
        <w:spacing w:line="272" w:lineRule="auto"/>
      </w:pPr>
    </w:p>
    <w:p>
      <w:pPr>
        <w:pStyle w:val="BodyText"/>
        <w:spacing w:line="272" w:lineRule="auto"/>
      </w:pPr>
    </w:p>
    <w:p>
      <w:pPr>
        <w:spacing w:before="49" w:line="184" w:lineRule="auto"/>
        <w:ind w:left="4579"/>
        <w:rPr>
          <w:rFonts w:ascii="宋体" w:eastAsia="宋体" w:hAnsi="宋体" w:cs="宋体"/>
          <w:sz w:val="15"/>
          <w:szCs w:val="15"/>
        </w:rPr>
      </w:pPr>
      <w:r>
        <w:rPr>
          <w:rFonts w:ascii="宋体" w:eastAsia="宋体" w:hAnsi="宋体" w:cs="宋体"/>
          <w:spacing w:val="-5"/>
          <w:sz w:val="15"/>
          <w:szCs w:val="15"/>
        </w:rPr>
        <w:t>19</w:t>
      </w:r>
    </w:p>
    <w:p>
      <w:pPr>
        <w:pStyle w:val="BodyText"/>
        <w:spacing w:line="298" w:lineRule="auto"/>
      </w:pPr>
    </w:p>
    <w:p>
      <w:pPr>
        <w:pStyle w:val="BodyText"/>
        <w:spacing w:line="299" w:lineRule="auto"/>
      </w:pPr>
    </w:p>
    <w:p>
      <w:pPr>
        <w:spacing w:before="59" w:line="184" w:lineRule="auto"/>
        <w:ind w:left="4160"/>
        <w:rPr>
          <w:rFonts w:ascii="宋体" w:eastAsia="宋体" w:hAnsi="宋体" w:cs="宋体"/>
          <w:sz w:val="18"/>
          <w:szCs w:val="18"/>
        </w:rPr>
      </w:pPr>
      <w:r>
        <w:rPr>
          <w:rFonts w:ascii="宋体" w:eastAsia="宋体" w:hAnsi="宋体" w:cs="宋体"/>
          <w:spacing w:val="-2"/>
          <w:sz w:val="18"/>
          <w:szCs w:val="18"/>
        </w:rPr>
        <w:t>3-2-3-21</w:t>
      </w:r>
    </w:p>
    <w:p>
      <w:pPr>
        <w:spacing w:line="184" w:lineRule="auto"/>
        <w:rPr>
          <w:rFonts w:ascii="宋体" w:eastAsia="宋体" w:hAnsi="宋体" w:cs="宋体"/>
          <w:sz w:val="18"/>
          <w:szCs w:val="18"/>
        </w:rPr>
        <w:sectPr>
          <w:headerReference w:type="default" r:id="rId22"/>
          <w:pgSz w:w="11900" w:h="16820"/>
          <w:pgMar w:top="400" w:right="419" w:bottom="0" w:left="1480" w:header="0" w:footer="0" w:gutter="0"/>
          <w:pgNumType w:start="23"/>
          <w:cols w:num="1" w:space="720"/>
        </w:sectPr>
      </w:pPr>
    </w:p>
    <w:p>
      <w:pPr>
        <w:pStyle w:val="BodyText"/>
        <w:spacing w:line="296" w:lineRule="auto"/>
      </w:pPr>
    </w:p>
    <w:p>
      <w:pPr>
        <w:pStyle w:val="BodyText"/>
        <w:spacing w:line="297" w:lineRule="auto"/>
      </w:pPr>
    </w:p>
    <w:p>
      <w:pPr>
        <w:pStyle w:val="BodyText"/>
        <w:spacing w:line="297" w:lineRule="auto"/>
      </w:pPr>
    </w:p>
    <w:p>
      <w:pPr>
        <w:spacing w:before="72" w:line="222" w:lineRule="auto"/>
        <w:ind w:left="39"/>
        <w:rPr>
          <w:rFonts w:ascii="仿宋" w:eastAsia="仿宋" w:hAnsi="仿宋" w:cs="仿宋"/>
          <w:sz w:val="22"/>
          <w:szCs w:val="22"/>
        </w:rPr>
      </w:pPr>
      <w:r>
        <w:rPr>
          <w:rFonts w:ascii="仿宋" w:eastAsia="仿宋" w:hAnsi="仿宋" w:cs="仿宋"/>
          <w:spacing w:val="3"/>
          <w:sz w:val="22"/>
          <w:szCs w:val="22"/>
        </w:rPr>
        <w:t>美新科技股份有限公司</w:t>
      </w:r>
    </w:p>
    <w:p>
      <w:pPr>
        <w:spacing w:before="12" w:line="220" w:lineRule="auto"/>
        <w:ind w:left="39"/>
        <w:rPr>
          <w:rFonts w:ascii="仿宋" w:eastAsia="仿宋" w:hAnsi="仿宋" w:cs="仿宋"/>
          <w:sz w:val="22"/>
          <w:szCs w:val="22"/>
        </w:rPr>
      </w:pPr>
      <w:r>
        <w:rPr>
          <w:rFonts w:ascii="仿宋" w:eastAsia="仿宋" w:hAnsi="仿宋" w:cs="仿宋"/>
          <w:spacing w:val="4"/>
          <w:sz w:val="22"/>
          <w:szCs w:val="22"/>
        </w:rPr>
        <w:t>盈利预测的编制基础、假设和编制说明</w:t>
      </w:r>
    </w:p>
    <w:p>
      <w:pPr>
        <w:spacing w:before="48" w:line="221" w:lineRule="auto"/>
        <w:ind w:left="39"/>
        <w:rPr>
          <w:rFonts w:ascii="仿宋" w:eastAsia="仿宋" w:hAnsi="仿宋" w:cs="仿宋"/>
          <w:sz w:val="22"/>
          <w:szCs w:val="22"/>
        </w:rPr>
      </w:pPr>
      <w:r>
        <w:rPr>
          <w:rFonts w:ascii="仿宋" w:eastAsia="仿宋" w:hAnsi="仿宋" w:cs="仿宋"/>
          <w:spacing w:val="12"/>
          <w:sz w:val="22"/>
          <w:szCs w:val="22"/>
        </w:rPr>
        <w:t>2023年度(除特别注明外，金额单位为人民币万元)</w:t>
      </w:r>
    </w:p>
    <w:p>
      <w:pPr>
        <w:spacing w:before="41" w:line="20" w:lineRule="exact"/>
      </w:pPr>
    </w:p>
    <w:p>
      <w:pPr>
        <w:spacing w:before="262" w:line="221" w:lineRule="auto"/>
        <w:ind w:left="433"/>
        <w:rPr>
          <w:rFonts w:ascii="仿宋" w:eastAsia="仿宋" w:hAnsi="仿宋" w:cs="仿宋"/>
          <w:sz w:val="22"/>
          <w:szCs w:val="22"/>
        </w:rPr>
      </w:pPr>
      <w:r>
        <w:rPr>
          <w:rFonts w:ascii="仿宋" w:eastAsia="仿宋" w:hAnsi="仿宋" w:cs="仿宋"/>
          <w:b/>
          <w:bCs/>
          <w:spacing w:val="2"/>
          <w:sz w:val="22"/>
          <w:szCs w:val="22"/>
        </w:rPr>
        <w:t>以公允价值计量且其变动计入当期损益的金融负债</w:t>
      </w:r>
    </w:p>
    <w:p>
      <w:pPr>
        <w:spacing w:before="240" w:line="232" w:lineRule="auto"/>
        <w:ind w:left="429" w:right="1104"/>
        <w:jc w:val="both"/>
        <w:rPr>
          <w:rFonts w:ascii="仿宋" w:eastAsia="仿宋" w:hAnsi="仿宋" w:cs="仿宋"/>
          <w:sz w:val="22"/>
          <w:szCs w:val="22"/>
        </w:rPr>
      </w:pPr>
      <w:r>
        <w:rPr>
          <w:rFonts w:ascii="仿宋" w:eastAsia="仿宋" w:hAnsi="仿宋" w:cs="仿宋"/>
          <w:spacing w:val="3"/>
          <w:sz w:val="22"/>
          <w:szCs w:val="22"/>
        </w:rPr>
        <w:t>以公允价值计量且其变动计入当期损益的金融负债，包括交易性金融负债和初始确认时</w:t>
      </w:r>
      <w:r>
        <w:rPr>
          <w:rFonts w:ascii="仿宋" w:eastAsia="仿宋" w:hAnsi="仿宋" w:cs="仿宋"/>
          <w:sz w:val="22"/>
          <w:szCs w:val="22"/>
        </w:rPr>
        <w:t xml:space="preserve"> </w:t>
      </w:r>
      <w:r>
        <w:rPr>
          <w:rFonts w:ascii="仿宋" w:eastAsia="仿宋" w:hAnsi="仿宋" w:cs="仿宋"/>
          <w:spacing w:val="4"/>
          <w:sz w:val="22"/>
          <w:szCs w:val="22"/>
        </w:rPr>
        <w:t>指定为以公允价值计量且其变动计入当期损益</w:t>
      </w:r>
      <w:r>
        <w:rPr>
          <w:rFonts w:ascii="仿宋" w:eastAsia="仿宋" w:hAnsi="仿宋" w:cs="仿宋"/>
          <w:spacing w:val="3"/>
          <w:sz w:val="22"/>
          <w:szCs w:val="22"/>
        </w:rPr>
        <w:t>的金融负债。对于此类金融负债，按照公</w:t>
      </w:r>
      <w:r>
        <w:rPr>
          <w:rFonts w:ascii="仿宋" w:eastAsia="仿宋" w:hAnsi="仿宋" w:cs="仿宋"/>
          <w:sz w:val="22"/>
          <w:szCs w:val="22"/>
        </w:rPr>
        <w:t xml:space="preserve"> </w:t>
      </w:r>
      <w:r>
        <w:rPr>
          <w:rFonts w:ascii="仿宋" w:eastAsia="仿宋" w:hAnsi="仿宋" w:cs="仿宋"/>
          <w:spacing w:val="2"/>
          <w:sz w:val="22"/>
          <w:szCs w:val="22"/>
        </w:rPr>
        <w:t xml:space="preserve">允价值进行后续计量，公允价值变动形成的利得或损失以及与该等金融负债相关的股利 </w:t>
      </w:r>
      <w:r>
        <w:rPr>
          <w:rFonts w:ascii="仿宋" w:eastAsia="仿宋" w:hAnsi="仿宋" w:cs="仿宋"/>
          <w:spacing w:val="1"/>
          <w:sz w:val="22"/>
          <w:szCs w:val="22"/>
        </w:rPr>
        <w:t>和利息支出计入当期损益。</w:t>
      </w:r>
    </w:p>
    <w:p>
      <w:pPr>
        <w:spacing w:before="250" w:line="221" w:lineRule="auto"/>
        <w:ind w:left="433"/>
        <w:rPr>
          <w:rFonts w:ascii="仿宋" w:eastAsia="仿宋" w:hAnsi="仿宋" w:cs="仿宋"/>
          <w:sz w:val="22"/>
          <w:szCs w:val="22"/>
        </w:rPr>
      </w:pPr>
      <w:r>
        <w:rPr>
          <w:rFonts w:ascii="仿宋" w:eastAsia="仿宋" w:hAnsi="仿宋" w:cs="仿宋"/>
          <w:b/>
          <w:bCs/>
          <w:spacing w:val="1"/>
          <w:sz w:val="22"/>
          <w:szCs w:val="22"/>
        </w:rPr>
        <w:t>以摊余成本计量的金融负债</w:t>
      </w:r>
    </w:p>
    <w:p>
      <w:pPr>
        <w:spacing w:before="260" w:line="225" w:lineRule="auto"/>
        <w:ind w:left="429" w:right="1106"/>
        <w:rPr>
          <w:rFonts w:ascii="仿宋" w:eastAsia="仿宋" w:hAnsi="仿宋" w:cs="仿宋"/>
          <w:sz w:val="22"/>
          <w:szCs w:val="22"/>
        </w:rPr>
      </w:pPr>
      <w:r>
        <w:rPr>
          <w:rFonts w:ascii="仿宋" w:eastAsia="仿宋" w:hAnsi="仿宋" w:cs="仿宋"/>
          <w:spacing w:val="3"/>
          <w:sz w:val="22"/>
          <w:szCs w:val="22"/>
        </w:rPr>
        <w:t>其他金融负债采用实际利率法，按摊余成本进行后续计量，终止确认或摊销产生的利得</w:t>
      </w:r>
      <w:r>
        <w:rPr>
          <w:rFonts w:ascii="仿宋" w:eastAsia="仿宋" w:hAnsi="仿宋" w:cs="仿宋"/>
          <w:spacing w:val="18"/>
          <w:sz w:val="22"/>
          <w:szCs w:val="22"/>
        </w:rPr>
        <w:t xml:space="preserve"> </w:t>
      </w:r>
      <w:r>
        <w:rPr>
          <w:rFonts w:ascii="仿宋" w:eastAsia="仿宋" w:hAnsi="仿宋" w:cs="仿宋"/>
          <w:spacing w:val="-2"/>
          <w:sz w:val="22"/>
          <w:szCs w:val="22"/>
        </w:rPr>
        <w:t>或损失计入当期损益。</w:t>
      </w:r>
    </w:p>
    <w:p>
      <w:pPr>
        <w:spacing w:before="234" w:line="221" w:lineRule="auto"/>
        <w:ind w:left="149"/>
        <w:rPr>
          <w:rFonts w:ascii="仿宋" w:eastAsia="仿宋" w:hAnsi="仿宋" w:cs="仿宋"/>
          <w:sz w:val="22"/>
          <w:szCs w:val="22"/>
        </w:rPr>
      </w:pPr>
      <w:r>
        <w:rPr>
          <w:rFonts w:ascii="仿宋" w:eastAsia="仿宋" w:hAnsi="仿宋" w:cs="仿宋"/>
          <w:spacing w:val="12"/>
          <w:sz w:val="22"/>
          <w:szCs w:val="22"/>
        </w:rPr>
        <w:t>(4)金融负债与权益工具的区分</w:t>
      </w:r>
    </w:p>
    <w:p>
      <w:pPr>
        <w:spacing w:before="236" w:line="221" w:lineRule="auto"/>
        <w:ind w:left="429"/>
        <w:rPr>
          <w:rFonts w:ascii="仿宋" w:eastAsia="仿宋" w:hAnsi="仿宋" w:cs="仿宋"/>
          <w:sz w:val="22"/>
          <w:szCs w:val="22"/>
        </w:rPr>
      </w:pPr>
      <w:r>
        <w:rPr>
          <w:rFonts w:ascii="仿宋" w:eastAsia="仿宋" w:hAnsi="仿宋" w:cs="仿宋"/>
          <w:spacing w:val="6"/>
          <w:sz w:val="22"/>
          <w:szCs w:val="22"/>
        </w:rPr>
        <w:t>金融负债，是指符合下列条件之一的负债</w:t>
      </w:r>
    </w:p>
    <w:p>
      <w:pPr>
        <w:spacing w:before="237" w:line="222" w:lineRule="auto"/>
        <w:ind w:left="429"/>
        <w:rPr>
          <w:rFonts w:ascii="仿宋" w:eastAsia="仿宋" w:hAnsi="仿宋" w:cs="仿宋"/>
          <w:sz w:val="22"/>
          <w:szCs w:val="22"/>
        </w:rPr>
      </w:pPr>
      <w:r>
        <w:rPr>
          <w:rFonts w:ascii="仿宋" w:eastAsia="仿宋" w:hAnsi="仿宋" w:cs="仿宋"/>
          <w:spacing w:val="2"/>
          <w:sz w:val="22"/>
          <w:szCs w:val="22"/>
        </w:rPr>
        <w:t>①向其他方交付现金或其他金融资产的合同义务。</w:t>
      </w:r>
    </w:p>
    <w:p>
      <w:pPr>
        <w:spacing w:before="234" w:line="219" w:lineRule="auto"/>
        <w:ind w:left="429"/>
        <w:rPr>
          <w:rFonts w:ascii="仿宋" w:eastAsia="仿宋" w:hAnsi="仿宋" w:cs="仿宋"/>
          <w:sz w:val="22"/>
          <w:szCs w:val="22"/>
        </w:rPr>
      </w:pPr>
      <w:r>
        <w:rPr>
          <w:rFonts w:ascii="仿宋" w:eastAsia="仿宋" w:hAnsi="仿宋" w:cs="仿宋"/>
          <w:spacing w:val="3"/>
          <w:sz w:val="22"/>
          <w:szCs w:val="22"/>
        </w:rPr>
        <w:t>②在潜在不利条件下，与其他方交换金融资产或金融负债的合同义务。</w:t>
      </w:r>
    </w:p>
    <w:p>
      <w:pPr>
        <w:spacing w:before="239" w:line="234" w:lineRule="auto"/>
        <w:ind w:left="429" w:right="1103"/>
        <w:rPr>
          <w:rFonts w:ascii="仿宋" w:eastAsia="仿宋" w:hAnsi="仿宋" w:cs="仿宋"/>
          <w:sz w:val="22"/>
          <w:szCs w:val="22"/>
        </w:rPr>
      </w:pPr>
      <w:r>
        <w:rPr>
          <w:rFonts w:ascii="仿宋" w:eastAsia="仿宋" w:hAnsi="仿宋" w:cs="仿宋"/>
          <w:spacing w:val="4"/>
          <w:sz w:val="22"/>
          <w:szCs w:val="22"/>
        </w:rPr>
        <w:t>③将来须用或可用企业自身权益工具进行结算的</w:t>
      </w:r>
      <w:r>
        <w:rPr>
          <w:rFonts w:ascii="仿宋" w:eastAsia="仿宋" w:hAnsi="仿宋" w:cs="仿宋"/>
          <w:spacing w:val="3"/>
          <w:sz w:val="22"/>
          <w:szCs w:val="22"/>
        </w:rPr>
        <w:t>非衍生工具合同，且企业根据该合同将</w:t>
      </w:r>
      <w:r>
        <w:rPr>
          <w:rFonts w:ascii="仿宋" w:eastAsia="仿宋" w:hAnsi="仿宋" w:cs="仿宋"/>
          <w:sz w:val="22"/>
          <w:szCs w:val="22"/>
        </w:rPr>
        <w:t xml:space="preserve"> </w:t>
      </w:r>
      <w:r>
        <w:rPr>
          <w:rFonts w:ascii="仿宋" w:eastAsia="仿宋" w:hAnsi="仿宋" w:cs="仿宋"/>
          <w:spacing w:val="1"/>
          <w:sz w:val="22"/>
          <w:szCs w:val="22"/>
        </w:rPr>
        <w:t>交付可变数量的自身权益工具。</w:t>
      </w:r>
    </w:p>
    <w:p>
      <w:pPr>
        <w:spacing w:before="243" w:line="228" w:lineRule="auto"/>
        <w:ind w:left="429" w:right="1105"/>
        <w:rPr>
          <w:rFonts w:ascii="仿宋" w:eastAsia="仿宋" w:hAnsi="仿宋" w:cs="仿宋"/>
          <w:sz w:val="22"/>
          <w:szCs w:val="22"/>
        </w:rPr>
      </w:pPr>
      <w:r>
        <w:rPr>
          <w:rFonts w:ascii="仿宋" w:eastAsia="仿宋" w:hAnsi="仿宋" w:cs="仿宋"/>
          <w:spacing w:val="4"/>
          <w:sz w:val="22"/>
          <w:szCs w:val="22"/>
        </w:rPr>
        <w:t>④将来须用或可用企业自身权益工具进行结</w:t>
      </w:r>
      <w:r>
        <w:rPr>
          <w:rFonts w:ascii="仿宋" w:eastAsia="仿宋" w:hAnsi="仿宋" w:cs="仿宋"/>
          <w:spacing w:val="3"/>
          <w:sz w:val="22"/>
          <w:szCs w:val="22"/>
        </w:rPr>
        <w:t>算的衍生工具合同，但以固定数量的自身权</w:t>
      </w:r>
      <w:r>
        <w:rPr>
          <w:rFonts w:ascii="仿宋" w:eastAsia="仿宋" w:hAnsi="仿宋" w:cs="仿宋"/>
          <w:sz w:val="22"/>
          <w:szCs w:val="22"/>
        </w:rPr>
        <w:t xml:space="preserve"> </w:t>
      </w:r>
      <w:r>
        <w:rPr>
          <w:rFonts w:ascii="仿宋" w:eastAsia="仿宋" w:hAnsi="仿宋" w:cs="仿宋"/>
          <w:spacing w:val="3"/>
          <w:sz w:val="22"/>
          <w:szCs w:val="22"/>
        </w:rPr>
        <w:t>益工具交换固定金额的现金或其他金融资产的衍生工具合同除外。</w:t>
      </w:r>
    </w:p>
    <w:p>
      <w:pPr>
        <w:spacing w:before="246" w:line="219" w:lineRule="auto"/>
        <w:ind w:left="429"/>
        <w:rPr>
          <w:rFonts w:ascii="仿宋" w:eastAsia="仿宋" w:hAnsi="仿宋" w:cs="仿宋"/>
          <w:sz w:val="22"/>
          <w:szCs w:val="22"/>
        </w:rPr>
      </w:pPr>
      <w:r>
        <w:rPr>
          <w:rFonts w:ascii="仿宋" w:eastAsia="仿宋" w:hAnsi="仿宋" w:cs="仿宋"/>
          <w:spacing w:val="4"/>
          <w:sz w:val="22"/>
          <w:szCs w:val="22"/>
        </w:rPr>
        <w:t>权益工具，是指能证明拥有某个企业在扣除所有负债后的资产中剩余权益的合同。</w:t>
      </w:r>
    </w:p>
    <w:p>
      <w:pPr>
        <w:spacing w:before="241" w:line="232" w:lineRule="auto"/>
        <w:ind w:left="429" w:right="1107"/>
        <w:rPr>
          <w:rFonts w:ascii="仿宋" w:eastAsia="仿宋" w:hAnsi="仿宋" w:cs="仿宋"/>
          <w:sz w:val="22"/>
          <w:szCs w:val="22"/>
        </w:rPr>
      </w:pPr>
      <w:r>
        <w:rPr>
          <w:rFonts w:ascii="仿宋" w:eastAsia="仿宋" w:hAnsi="仿宋" w:cs="仿宋"/>
          <w:spacing w:val="3"/>
          <w:sz w:val="22"/>
          <w:szCs w:val="22"/>
        </w:rPr>
        <w:t>如果本公司不能无条件地避免以交付现金或其他金融资产来履行一项合同义务，则该合</w:t>
      </w:r>
      <w:r>
        <w:rPr>
          <w:rFonts w:ascii="仿宋" w:eastAsia="仿宋" w:hAnsi="仿宋" w:cs="仿宋"/>
          <w:spacing w:val="17"/>
          <w:sz w:val="22"/>
          <w:szCs w:val="22"/>
        </w:rPr>
        <w:t xml:space="preserve"> </w:t>
      </w:r>
      <w:r>
        <w:rPr>
          <w:rFonts w:ascii="仿宋" w:eastAsia="仿宋" w:hAnsi="仿宋" w:cs="仿宋"/>
          <w:sz w:val="22"/>
          <w:szCs w:val="22"/>
        </w:rPr>
        <w:t>同义务符合金融负债的定义。</w:t>
      </w:r>
    </w:p>
    <w:p>
      <w:pPr>
        <w:spacing w:before="215" w:line="238" w:lineRule="auto"/>
        <w:ind w:left="429" w:right="1097"/>
        <w:jc w:val="both"/>
        <w:rPr>
          <w:rFonts w:ascii="仿宋" w:eastAsia="仿宋" w:hAnsi="仿宋" w:cs="仿宋"/>
          <w:sz w:val="22"/>
          <w:szCs w:val="22"/>
        </w:rPr>
      </w:pPr>
      <w:r>
        <w:rPr>
          <w:rFonts w:ascii="仿宋" w:eastAsia="仿宋" w:hAnsi="仿宋" w:cs="仿宋"/>
          <w:spacing w:val="4"/>
          <w:sz w:val="22"/>
          <w:szCs w:val="22"/>
        </w:rPr>
        <w:t>如果一项金融工具须用或可用本公司自身权</w:t>
      </w:r>
      <w:r>
        <w:rPr>
          <w:rFonts w:ascii="仿宋" w:eastAsia="仿宋" w:hAnsi="仿宋" w:cs="仿宋"/>
          <w:spacing w:val="3"/>
          <w:sz w:val="22"/>
          <w:szCs w:val="22"/>
        </w:rPr>
        <w:t>益工具进行结算，需要考虑用于结算该工具</w:t>
      </w:r>
      <w:r>
        <w:rPr>
          <w:rFonts w:ascii="仿宋" w:eastAsia="仿宋" w:hAnsi="仿宋" w:cs="仿宋"/>
          <w:sz w:val="22"/>
          <w:szCs w:val="22"/>
        </w:rPr>
        <w:t xml:space="preserve"> </w:t>
      </w:r>
      <w:r>
        <w:rPr>
          <w:rFonts w:ascii="仿宋" w:eastAsia="仿宋" w:hAnsi="仿宋" w:cs="仿宋"/>
          <w:spacing w:val="4"/>
          <w:sz w:val="22"/>
          <w:szCs w:val="22"/>
        </w:rPr>
        <w:t>的本公司自身权益工具，是作为现金或其他金融资产的替代品</w:t>
      </w:r>
      <w:r>
        <w:rPr>
          <w:rFonts w:ascii="仿宋" w:eastAsia="仿宋" w:hAnsi="仿宋" w:cs="仿宋"/>
          <w:spacing w:val="3"/>
          <w:sz w:val="22"/>
          <w:szCs w:val="22"/>
        </w:rPr>
        <w:t>，还是为了使该工具持有</w:t>
      </w:r>
      <w:r>
        <w:rPr>
          <w:rFonts w:ascii="仿宋" w:eastAsia="仿宋" w:hAnsi="仿宋" w:cs="仿宋"/>
          <w:sz w:val="22"/>
          <w:szCs w:val="22"/>
        </w:rPr>
        <w:t xml:space="preserve"> </w:t>
      </w:r>
      <w:r>
        <w:rPr>
          <w:rFonts w:ascii="仿宋" w:eastAsia="仿宋" w:hAnsi="仿宋" w:cs="仿宋"/>
          <w:spacing w:val="4"/>
          <w:sz w:val="22"/>
          <w:szCs w:val="22"/>
        </w:rPr>
        <w:t>方享有在发行方扣除所有负债后的资产中的剩余权益。如果</w:t>
      </w:r>
      <w:r>
        <w:rPr>
          <w:rFonts w:ascii="仿宋" w:eastAsia="仿宋" w:hAnsi="仿宋" w:cs="仿宋"/>
          <w:spacing w:val="3"/>
          <w:sz w:val="22"/>
          <w:szCs w:val="22"/>
        </w:rPr>
        <w:t>是前者，该工具是本公司的</w:t>
      </w:r>
      <w:r>
        <w:rPr>
          <w:rFonts w:ascii="仿宋" w:eastAsia="仿宋" w:hAnsi="仿宋" w:cs="仿宋"/>
          <w:sz w:val="22"/>
          <w:szCs w:val="22"/>
        </w:rPr>
        <w:t xml:space="preserve"> </w:t>
      </w:r>
      <w:r>
        <w:rPr>
          <w:rFonts w:ascii="仿宋" w:eastAsia="仿宋" w:hAnsi="仿宋" w:cs="仿宋"/>
          <w:spacing w:val="1"/>
          <w:sz w:val="22"/>
          <w:szCs w:val="22"/>
        </w:rPr>
        <w:t>金融负债；如果是后者，该工具是本公司的</w:t>
      </w:r>
      <w:r>
        <w:rPr>
          <w:rFonts w:ascii="仿宋" w:eastAsia="仿宋" w:hAnsi="仿宋" w:cs="仿宋"/>
          <w:sz w:val="22"/>
          <w:szCs w:val="22"/>
        </w:rPr>
        <w:t>权益工具。</w:t>
      </w:r>
    </w:p>
    <w:p>
      <w:pPr>
        <w:spacing w:before="257" w:line="221" w:lineRule="auto"/>
        <w:ind w:left="129"/>
        <w:rPr>
          <w:rFonts w:ascii="仿宋" w:eastAsia="仿宋" w:hAnsi="仿宋" w:cs="仿宋"/>
          <w:sz w:val="22"/>
          <w:szCs w:val="22"/>
        </w:rPr>
      </w:pPr>
      <w:r>
        <w:rPr>
          <w:rFonts w:ascii="仿宋" w:eastAsia="仿宋" w:hAnsi="仿宋" w:cs="仿宋"/>
          <w:spacing w:val="10"/>
          <w:sz w:val="22"/>
          <w:szCs w:val="22"/>
        </w:rPr>
        <w:t>(5)衍生金融工具及嵌入衍生工具</w:t>
      </w:r>
    </w:p>
    <w:p>
      <w:pPr>
        <w:spacing w:before="249" w:line="238" w:lineRule="auto"/>
        <w:ind w:left="429" w:right="1077"/>
        <w:jc w:val="both"/>
        <w:rPr>
          <w:rFonts w:ascii="仿宋" w:eastAsia="仿宋" w:hAnsi="仿宋" w:cs="仿宋"/>
          <w:sz w:val="22"/>
          <w:szCs w:val="22"/>
        </w:rPr>
      </w:pPr>
      <w:r>
        <w:rPr>
          <w:rFonts w:ascii="仿宋" w:eastAsia="仿宋" w:hAnsi="仿宋" w:cs="仿宋"/>
          <w:spacing w:val="4"/>
          <w:sz w:val="22"/>
          <w:szCs w:val="22"/>
        </w:rPr>
        <w:t>本公司衍生金融工具包括远期外汇合约等。初</w:t>
      </w:r>
      <w:r>
        <w:rPr>
          <w:rFonts w:ascii="仿宋" w:eastAsia="仿宋" w:hAnsi="仿宋" w:cs="仿宋"/>
          <w:spacing w:val="3"/>
          <w:sz w:val="22"/>
          <w:szCs w:val="22"/>
        </w:rPr>
        <w:t>始以衍生交易合同签订当日的公允价值进</w:t>
      </w:r>
      <w:r>
        <w:rPr>
          <w:rFonts w:ascii="仿宋" w:eastAsia="仿宋" w:hAnsi="仿宋" w:cs="仿宋"/>
          <w:sz w:val="22"/>
          <w:szCs w:val="22"/>
        </w:rPr>
        <w:t xml:space="preserve"> </w:t>
      </w:r>
      <w:r>
        <w:rPr>
          <w:rFonts w:ascii="仿宋" w:eastAsia="仿宋" w:hAnsi="仿宋" w:cs="仿宋"/>
          <w:spacing w:val="4"/>
          <w:sz w:val="22"/>
          <w:szCs w:val="22"/>
        </w:rPr>
        <w:t>行计量，并以其公允价值进行后续计量。公允价值为正数的衍生金融工具确认为一项资</w:t>
      </w:r>
      <w:r>
        <w:rPr>
          <w:rFonts w:ascii="仿宋" w:eastAsia="仿宋" w:hAnsi="仿宋" w:cs="仿宋"/>
          <w:spacing w:val="9"/>
          <w:sz w:val="22"/>
          <w:szCs w:val="22"/>
        </w:rPr>
        <w:t xml:space="preserve"> </w:t>
      </w:r>
      <w:r>
        <w:rPr>
          <w:rFonts w:ascii="仿宋" w:eastAsia="仿宋" w:hAnsi="仿宋" w:cs="仿宋"/>
          <w:spacing w:val="4"/>
          <w:sz w:val="22"/>
          <w:szCs w:val="22"/>
        </w:rPr>
        <w:t>产，公允价值为负数的确认为一项负债。因公</w:t>
      </w:r>
      <w:r>
        <w:rPr>
          <w:rFonts w:ascii="仿宋" w:eastAsia="仿宋" w:hAnsi="仿宋" w:cs="仿宋"/>
          <w:spacing w:val="3"/>
          <w:sz w:val="22"/>
          <w:szCs w:val="22"/>
        </w:rPr>
        <w:t>允价值变动而产生的任何不符合套期会计</w:t>
      </w:r>
      <w:r>
        <w:rPr>
          <w:rFonts w:ascii="仿宋" w:eastAsia="仿宋" w:hAnsi="仿宋" w:cs="仿宋"/>
          <w:sz w:val="22"/>
          <w:szCs w:val="22"/>
        </w:rPr>
        <w:t xml:space="preserve"> </w:t>
      </w:r>
      <w:r>
        <w:rPr>
          <w:rFonts w:ascii="仿宋" w:eastAsia="仿宋" w:hAnsi="仿宋" w:cs="仿宋"/>
          <w:spacing w:val="2"/>
          <w:sz w:val="22"/>
          <w:szCs w:val="22"/>
        </w:rPr>
        <w:t>规定的利得或损失，直接计入当期损益。</w:t>
      </w:r>
    </w:p>
    <w:p>
      <w:pPr>
        <w:spacing w:before="243" w:line="235" w:lineRule="auto"/>
        <w:ind w:left="429" w:right="1099"/>
        <w:jc w:val="both"/>
        <w:rPr>
          <w:rFonts w:ascii="仿宋" w:eastAsia="仿宋" w:hAnsi="仿宋" w:cs="仿宋"/>
          <w:sz w:val="22"/>
          <w:szCs w:val="22"/>
        </w:rPr>
      </w:pPr>
      <w:r>
        <w:rPr>
          <w:rFonts w:ascii="仿宋" w:eastAsia="仿宋" w:hAnsi="仿宋" w:cs="仿宋"/>
          <w:spacing w:val="4"/>
          <w:sz w:val="22"/>
          <w:szCs w:val="22"/>
        </w:rPr>
        <w:t>对包含嵌入衍生工具的混合工具，如主合同为金融资产</w:t>
      </w:r>
      <w:r>
        <w:rPr>
          <w:rFonts w:ascii="仿宋" w:eastAsia="仿宋" w:hAnsi="仿宋" w:cs="仿宋"/>
          <w:spacing w:val="3"/>
          <w:sz w:val="22"/>
          <w:szCs w:val="22"/>
        </w:rPr>
        <w:t>的，混合工具作为一个整体适用</w:t>
      </w:r>
      <w:r>
        <w:rPr>
          <w:rFonts w:ascii="仿宋" w:eastAsia="仿宋" w:hAnsi="仿宋" w:cs="仿宋"/>
          <w:sz w:val="22"/>
          <w:szCs w:val="22"/>
        </w:rPr>
        <w:t xml:space="preserve"> </w:t>
      </w:r>
      <w:r>
        <w:rPr>
          <w:rFonts w:ascii="仿宋" w:eastAsia="仿宋" w:hAnsi="仿宋" w:cs="仿宋"/>
          <w:spacing w:val="4"/>
          <w:sz w:val="22"/>
          <w:szCs w:val="22"/>
        </w:rPr>
        <w:t>金融资产分类的相关规定。如主合同并非金融资产，且该</w:t>
      </w:r>
      <w:r>
        <w:rPr>
          <w:rFonts w:ascii="仿宋" w:eastAsia="仿宋" w:hAnsi="仿宋" w:cs="仿宋"/>
          <w:spacing w:val="3"/>
          <w:sz w:val="22"/>
          <w:szCs w:val="22"/>
        </w:rPr>
        <w:t>混合工具不是以公允价值计量</w:t>
      </w:r>
      <w:r>
        <w:rPr>
          <w:rFonts w:ascii="仿宋" w:eastAsia="仿宋" w:hAnsi="仿宋" w:cs="仿宋"/>
          <w:sz w:val="22"/>
          <w:szCs w:val="22"/>
        </w:rPr>
        <w:t xml:space="preserve"> </w:t>
      </w:r>
      <w:r>
        <w:rPr>
          <w:rFonts w:ascii="仿宋" w:eastAsia="仿宋" w:hAnsi="仿宋" w:cs="仿宋"/>
          <w:spacing w:val="3"/>
          <w:sz w:val="22"/>
          <w:szCs w:val="22"/>
        </w:rPr>
        <w:t>且其变动计入当期损益进行会计处理，嵌入衍生工具与该主合同在经济特征及风险方面</w:t>
      </w:r>
    </w:p>
    <w:p>
      <w:pPr>
        <w:pStyle w:val="BodyText"/>
        <w:spacing w:line="245" w:lineRule="auto"/>
      </w:pPr>
    </w:p>
    <w:p>
      <w:pPr>
        <w:pStyle w:val="BodyText"/>
        <w:spacing w:line="245" w:lineRule="auto"/>
      </w:pPr>
    </w:p>
    <w:p>
      <w:pPr>
        <w:pStyle w:val="BodyText"/>
        <w:spacing w:line="246" w:lineRule="auto"/>
      </w:pPr>
    </w:p>
    <w:p>
      <w:pPr>
        <w:spacing w:before="49" w:line="183" w:lineRule="auto"/>
        <w:ind w:left="4589"/>
        <w:rPr>
          <w:rFonts w:ascii="宋体" w:eastAsia="宋体" w:hAnsi="宋体" w:cs="宋体"/>
          <w:sz w:val="15"/>
          <w:szCs w:val="15"/>
        </w:rPr>
      </w:pPr>
      <w:r>
        <w:rPr>
          <w:rFonts w:ascii="宋体" w:eastAsia="宋体" w:hAnsi="宋体" w:cs="宋体"/>
          <w:spacing w:val="-2"/>
          <w:sz w:val="15"/>
          <w:szCs w:val="15"/>
        </w:rPr>
        <w:t>20</w:t>
      </w:r>
    </w:p>
    <w:p>
      <w:pPr>
        <w:pStyle w:val="BodyText"/>
        <w:spacing w:line="303" w:lineRule="auto"/>
      </w:pPr>
    </w:p>
    <w:p>
      <w:pPr>
        <w:pStyle w:val="BodyText"/>
        <w:spacing w:line="304" w:lineRule="auto"/>
      </w:pPr>
    </w:p>
    <w:p>
      <w:pPr>
        <w:spacing w:before="62" w:line="183" w:lineRule="auto"/>
        <w:ind w:left="4179"/>
        <w:rPr>
          <w:rFonts w:ascii="宋体" w:eastAsia="宋体" w:hAnsi="宋体" w:cs="宋体"/>
          <w:sz w:val="19"/>
          <w:szCs w:val="19"/>
        </w:rPr>
      </w:pPr>
      <w:r>
        <w:rPr>
          <w:rFonts w:ascii="宋体" w:eastAsia="宋体" w:hAnsi="宋体" w:cs="宋体"/>
          <w:spacing w:val="-8"/>
          <w:sz w:val="19"/>
          <w:szCs w:val="19"/>
        </w:rPr>
        <w:t>3-2-3-22</w:t>
      </w:r>
    </w:p>
    <w:p>
      <w:pPr>
        <w:spacing w:line="183" w:lineRule="auto"/>
        <w:rPr>
          <w:rFonts w:ascii="宋体" w:eastAsia="宋体" w:hAnsi="宋体" w:cs="宋体"/>
          <w:sz w:val="19"/>
          <w:szCs w:val="19"/>
        </w:rPr>
        <w:sectPr>
          <w:headerReference w:type="default" r:id="rId23"/>
          <w:pgSz w:w="11900" w:h="16820"/>
          <w:pgMar w:top="400" w:right="409" w:bottom="0" w:left="1460" w:header="0" w:footer="0" w:gutter="0"/>
          <w:pgNumType w:start="24"/>
          <w:cols w:num="1" w:space="720"/>
        </w:sectPr>
      </w:pPr>
    </w:p>
    <w:p>
      <w:pPr>
        <w:pStyle w:val="BodyText"/>
        <w:spacing w:line="300" w:lineRule="auto"/>
      </w:pPr>
    </w:p>
    <w:p>
      <w:pPr>
        <w:pStyle w:val="BodyText"/>
        <w:spacing w:line="300" w:lineRule="auto"/>
      </w:pPr>
    </w:p>
    <w:p>
      <w:pPr>
        <w:pStyle w:val="BodyText"/>
        <w:spacing w:line="300" w:lineRule="auto"/>
      </w:pPr>
    </w:p>
    <w:p>
      <w:pPr>
        <w:spacing w:before="72" w:line="222" w:lineRule="auto"/>
        <w:ind w:left="19"/>
        <w:rPr>
          <w:rFonts w:ascii="仿宋" w:eastAsia="仿宋" w:hAnsi="仿宋" w:cs="仿宋"/>
          <w:sz w:val="22"/>
          <w:szCs w:val="22"/>
        </w:rPr>
      </w:pPr>
      <w:r>
        <w:rPr>
          <w:rFonts w:ascii="仿宋" w:eastAsia="仿宋" w:hAnsi="仿宋" w:cs="仿宋"/>
          <w:spacing w:val="2"/>
          <w:sz w:val="22"/>
          <w:szCs w:val="22"/>
        </w:rPr>
        <w:t>美新科技股份有限公司</w:t>
      </w:r>
    </w:p>
    <w:p>
      <w:pPr>
        <w:spacing w:before="32" w:line="220" w:lineRule="auto"/>
        <w:ind w:left="19"/>
        <w:rPr>
          <w:rFonts w:ascii="仿宋" w:eastAsia="仿宋" w:hAnsi="仿宋" w:cs="仿宋"/>
          <w:sz w:val="22"/>
          <w:szCs w:val="22"/>
        </w:rPr>
      </w:pPr>
      <w:r>
        <w:rPr>
          <w:rFonts w:ascii="仿宋" w:eastAsia="仿宋" w:hAnsi="仿宋" w:cs="仿宋"/>
          <w:spacing w:val="3"/>
          <w:sz w:val="22"/>
          <w:szCs w:val="22"/>
        </w:rPr>
        <w:t>盈利预测的编制基础、假设和编制说明</w:t>
      </w:r>
    </w:p>
    <w:p>
      <w:pPr>
        <w:spacing w:before="28" w:line="221" w:lineRule="auto"/>
        <w:ind w:left="19"/>
        <w:rPr>
          <w:rFonts w:ascii="仿宋" w:eastAsia="仿宋" w:hAnsi="仿宋" w:cs="仿宋"/>
          <w:sz w:val="22"/>
          <w:szCs w:val="22"/>
        </w:rPr>
      </w:pPr>
      <w:r>
        <w:rPr>
          <w:rFonts w:ascii="仿宋" w:eastAsia="仿宋" w:hAnsi="仿宋" w:cs="仿宋"/>
          <w:spacing w:val="12"/>
          <w:sz w:val="22"/>
          <w:szCs w:val="22"/>
        </w:rPr>
        <w:t>2023年度(除特别注明外，金额单位为人民币万元)</w:t>
      </w:r>
    </w:p>
    <w:p>
      <w:pPr>
        <w:spacing w:before="31" w:line="20" w:lineRule="exact"/>
      </w:pPr>
    </w:p>
    <w:p>
      <w:pPr>
        <w:spacing w:before="274" w:line="238" w:lineRule="auto"/>
        <w:ind w:left="379" w:right="1049"/>
        <w:jc w:val="both"/>
        <w:rPr>
          <w:rFonts w:ascii="仿宋" w:eastAsia="仿宋" w:hAnsi="仿宋" w:cs="仿宋"/>
          <w:sz w:val="22"/>
          <w:szCs w:val="22"/>
        </w:rPr>
      </w:pPr>
      <w:r>
        <w:rPr>
          <w:rFonts w:ascii="仿宋" w:eastAsia="仿宋" w:hAnsi="仿宋" w:cs="仿宋"/>
          <w:spacing w:val="5"/>
          <w:sz w:val="22"/>
          <w:szCs w:val="22"/>
        </w:rPr>
        <w:t>不存在紧密关系，且与嵌入衍生工具条件相同，单独存在的工</w:t>
      </w:r>
      <w:r>
        <w:rPr>
          <w:rFonts w:ascii="仿宋" w:eastAsia="仿宋" w:hAnsi="仿宋" w:cs="仿宋"/>
          <w:spacing w:val="4"/>
          <w:sz w:val="22"/>
          <w:szCs w:val="22"/>
        </w:rPr>
        <w:t>具符合衍生工具定义的，</w:t>
      </w:r>
      <w:r>
        <w:rPr>
          <w:rFonts w:ascii="仿宋" w:eastAsia="仿宋" w:hAnsi="仿宋" w:cs="仿宋"/>
          <w:sz w:val="22"/>
          <w:szCs w:val="22"/>
        </w:rPr>
        <w:t xml:space="preserve"> </w:t>
      </w:r>
      <w:r>
        <w:rPr>
          <w:rFonts w:ascii="仿宋" w:eastAsia="仿宋" w:hAnsi="仿宋" w:cs="仿宋"/>
          <w:spacing w:val="2"/>
          <w:sz w:val="22"/>
          <w:szCs w:val="22"/>
        </w:rPr>
        <w:t xml:space="preserve">嵌入衍生工具从混合工具中分拆，作为单独的衍生金融工具处理。如果无法在取得时或 </w:t>
      </w:r>
      <w:r>
        <w:rPr>
          <w:rFonts w:ascii="仿宋" w:eastAsia="仿宋" w:hAnsi="仿宋" w:cs="仿宋"/>
          <w:spacing w:val="3"/>
          <w:sz w:val="22"/>
          <w:szCs w:val="22"/>
        </w:rPr>
        <w:t>后续的资产负债表日对嵌入衍生工具进行单独计量，则将混合工具整体指定为以公允价</w:t>
      </w:r>
      <w:r>
        <w:rPr>
          <w:rFonts w:ascii="仿宋" w:eastAsia="仿宋" w:hAnsi="仿宋" w:cs="仿宋"/>
          <w:spacing w:val="9"/>
          <w:sz w:val="22"/>
          <w:szCs w:val="22"/>
        </w:rPr>
        <w:t xml:space="preserve"> </w:t>
      </w:r>
      <w:r>
        <w:rPr>
          <w:rFonts w:ascii="仿宋" w:eastAsia="仿宋" w:hAnsi="仿宋" w:cs="仿宋"/>
          <w:spacing w:val="1"/>
          <w:sz w:val="22"/>
          <w:szCs w:val="22"/>
        </w:rPr>
        <w:t>值计量且其变动计入当期损益的金融资产或金融负债。</w:t>
      </w:r>
    </w:p>
    <w:p>
      <w:pPr>
        <w:spacing w:before="238" w:line="222" w:lineRule="auto"/>
        <w:ind w:left="150"/>
        <w:rPr>
          <w:rFonts w:ascii="仿宋" w:eastAsia="仿宋" w:hAnsi="仿宋" w:cs="仿宋"/>
          <w:sz w:val="22"/>
          <w:szCs w:val="22"/>
        </w:rPr>
      </w:pPr>
      <w:r>
        <w:rPr>
          <w:rFonts w:ascii="仿宋" w:eastAsia="仿宋" w:hAnsi="仿宋" w:cs="仿宋"/>
          <w:spacing w:val="11"/>
          <w:sz w:val="22"/>
          <w:szCs w:val="22"/>
        </w:rPr>
        <w:t>(6)金融工具的公允价值</w:t>
      </w:r>
    </w:p>
    <w:p>
      <w:pPr>
        <w:spacing w:before="233" w:line="473" w:lineRule="exact"/>
        <w:ind w:left="379"/>
        <w:rPr>
          <w:rFonts w:ascii="仿宋" w:eastAsia="仿宋" w:hAnsi="仿宋" w:cs="仿宋"/>
          <w:sz w:val="22"/>
          <w:szCs w:val="22"/>
        </w:rPr>
      </w:pPr>
      <w:r>
        <w:rPr>
          <w:rFonts w:ascii="仿宋" w:eastAsia="仿宋" w:hAnsi="仿宋" w:cs="仿宋"/>
          <w:spacing w:val="1"/>
          <w:position w:val="19"/>
          <w:sz w:val="22"/>
          <w:szCs w:val="22"/>
        </w:rPr>
        <w:t>金融资产和金融负债的公允价值确定方法见三、(二)、11。</w:t>
      </w:r>
    </w:p>
    <w:p>
      <w:pPr>
        <w:spacing w:line="223" w:lineRule="auto"/>
        <w:ind w:left="119"/>
        <w:rPr>
          <w:rFonts w:ascii="仿宋" w:eastAsia="仿宋" w:hAnsi="仿宋" w:cs="仿宋"/>
          <w:sz w:val="22"/>
          <w:szCs w:val="22"/>
        </w:rPr>
      </w:pPr>
      <w:r>
        <w:rPr>
          <w:rFonts w:ascii="仿宋" w:eastAsia="仿宋" w:hAnsi="仿宋" w:cs="仿宋"/>
          <w:spacing w:val="13"/>
          <w:sz w:val="22"/>
          <w:szCs w:val="22"/>
        </w:rPr>
        <w:t>(7)金融资产减值</w:t>
      </w:r>
    </w:p>
    <w:p>
      <w:pPr>
        <w:spacing w:before="261" w:line="482" w:lineRule="exact"/>
        <w:ind w:left="379"/>
        <w:rPr>
          <w:rFonts w:ascii="仿宋" w:eastAsia="仿宋" w:hAnsi="仿宋" w:cs="仿宋"/>
          <w:sz w:val="22"/>
          <w:szCs w:val="22"/>
        </w:rPr>
      </w:pPr>
      <w:r>
        <w:rPr>
          <w:rFonts w:ascii="仿宋" w:eastAsia="仿宋" w:hAnsi="仿宋" w:cs="仿宋"/>
          <w:spacing w:val="3"/>
          <w:position w:val="20"/>
          <w:sz w:val="22"/>
          <w:szCs w:val="22"/>
        </w:rPr>
        <w:t>本公司以预期信用损失为基础，对下列项目进行减值会计处理并确认损失准备：</w:t>
      </w:r>
    </w:p>
    <w:p>
      <w:pPr>
        <w:spacing w:before="1" w:line="222" w:lineRule="auto"/>
        <w:ind w:left="379"/>
        <w:rPr>
          <w:rFonts w:ascii="仿宋" w:eastAsia="仿宋" w:hAnsi="仿宋" w:cs="仿宋"/>
          <w:sz w:val="22"/>
          <w:szCs w:val="22"/>
        </w:rPr>
      </w:pPr>
      <w:r>
        <w:rPr>
          <w:rFonts w:ascii="仿宋" w:eastAsia="仿宋" w:hAnsi="仿宋" w:cs="仿宋"/>
          <w:spacing w:val="-9"/>
          <w:sz w:val="22"/>
          <w:szCs w:val="22"/>
        </w:rPr>
        <w:t>·</w:t>
      </w:r>
      <w:r>
        <w:rPr>
          <w:rFonts w:ascii="仿宋" w:eastAsia="仿宋" w:hAnsi="仿宋" w:cs="仿宋"/>
          <w:spacing w:val="33"/>
          <w:sz w:val="22"/>
          <w:szCs w:val="22"/>
        </w:rPr>
        <w:t xml:space="preserve">  </w:t>
      </w:r>
      <w:r>
        <w:rPr>
          <w:rFonts w:ascii="仿宋" w:eastAsia="仿宋" w:hAnsi="仿宋" w:cs="仿宋"/>
          <w:spacing w:val="-9"/>
          <w:sz w:val="22"/>
          <w:szCs w:val="22"/>
        </w:rPr>
        <w:t>以摊余成本计量的金融资产；</w:t>
      </w:r>
    </w:p>
    <w:p>
      <w:pPr>
        <w:spacing w:before="253" w:line="492" w:lineRule="exact"/>
        <w:ind w:left="379"/>
        <w:rPr>
          <w:rFonts w:ascii="仿宋" w:eastAsia="仿宋" w:hAnsi="仿宋" w:cs="仿宋"/>
          <w:sz w:val="22"/>
          <w:szCs w:val="22"/>
        </w:rPr>
      </w:pPr>
      <w:r>
        <w:rPr>
          <w:rFonts w:ascii="仿宋" w:eastAsia="仿宋" w:hAnsi="仿宋" w:cs="仿宋"/>
          <w:spacing w:val="1"/>
          <w:position w:val="20"/>
          <w:sz w:val="22"/>
          <w:szCs w:val="22"/>
        </w:rPr>
        <w:t>·  以公允价值计量且其变动计入其他综合收益的应收款项和</w:t>
      </w:r>
      <w:r>
        <w:rPr>
          <w:rFonts w:ascii="仿宋" w:eastAsia="仿宋" w:hAnsi="仿宋" w:cs="仿宋"/>
          <w:position w:val="20"/>
          <w:sz w:val="22"/>
          <w:szCs w:val="22"/>
        </w:rPr>
        <w:t>债权投资；</w:t>
      </w:r>
    </w:p>
    <w:p>
      <w:pPr>
        <w:spacing w:line="222" w:lineRule="auto"/>
        <w:ind w:left="379"/>
        <w:rPr>
          <w:rFonts w:ascii="仿宋" w:eastAsia="仿宋" w:hAnsi="仿宋" w:cs="仿宋"/>
          <w:sz w:val="22"/>
          <w:szCs w:val="22"/>
        </w:rPr>
      </w:pPr>
      <w:r>
        <w:rPr>
          <w:rFonts w:ascii="仿宋" w:eastAsia="仿宋" w:hAnsi="仿宋" w:cs="仿宋"/>
          <w:spacing w:val="-1"/>
          <w:sz w:val="22"/>
          <w:szCs w:val="22"/>
        </w:rPr>
        <w:t>·   《企业会计准则第14号——收入》定义的合同资产；</w:t>
      </w:r>
    </w:p>
    <w:p>
      <w:pPr>
        <w:spacing w:before="204" w:line="222" w:lineRule="auto"/>
        <w:ind w:left="379"/>
        <w:rPr>
          <w:rFonts w:ascii="仿宋" w:eastAsia="仿宋" w:hAnsi="仿宋" w:cs="仿宋"/>
          <w:sz w:val="22"/>
          <w:szCs w:val="22"/>
        </w:rPr>
      </w:pPr>
      <w:r>
        <w:rPr>
          <w:rFonts w:ascii="仿宋" w:eastAsia="仿宋" w:hAnsi="仿宋" w:cs="仿宋"/>
          <w:spacing w:val="-14"/>
          <w:sz w:val="22"/>
          <w:szCs w:val="22"/>
        </w:rPr>
        <w:t>·</w:t>
      </w:r>
      <w:r>
        <w:rPr>
          <w:rFonts w:ascii="仿宋" w:eastAsia="仿宋" w:hAnsi="仿宋" w:cs="仿宋"/>
          <w:spacing w:val="14"/>
          <w:sz w:val="22"/>
          <w:szCs w:val="22"/>
        </w:rPr>
        <w:t xml:space="preserve">  </w:t>
      </w:r>
      <w:r>
        <w:rPr>
          <w:rFonts w:ascii="仿宋" w:eastAsia="仿宋" w:hAnsi="仿宋" w:cs="仿宋"/>
          <w:spacing w:val="-14"/>
          <w:sz w:val="22"/>
          <w:szCs w:val="22"/>
        </w:rPr>
        <w:t>租赁应收款；</w:t>
      </w:r>
    </w:p>
    <w:p>
      <w:pPr>
        <w:spacing w:before="252" w:line="231" w:lineRule="auto"/>
        <w:ind w:left="379" w:right="1106"/>
        <w:rPr>
          <w:rFonts w:ascii="仿宋" w:eastAsia="仿宋" w:hAnsi="仿宋" w:cs="仿宋"/>
          <w:sz w:val="22"/>
          <w:szCs w:val="22"/>
        </w:rPr>
      </w:pPr>
      <w:r>
        <w:rPr>
          <w:rFonts w:ascii="仿宋" w:eastAsia="仿宋" w:hAnsi="仿宋" w:cs="仿宋"/>
          <w:spacing w:val="12"/>
          <w:sz w:val="22"/>
          <w:szCs w:val="22"/>
        </w:rPr>
        <w:t>·财务担保合同(以公允价值计量且其变动计入当期损益、金融资产转移不符合终止</w:t>
      </w:r>
      <w:r>
        <w:rPr>
          <w:rFonts w:ascii="仿宋" w:eastAsia="仿宋" w:hAnsi="仿宋" w:cs="仿宋"/>
          <w:spacing w:val="8"/>
          <w:sz w:val="22"/>
          <w:szCs w:val="22"/>
        </w:rPr>
        <w:t xml:space="preserve"> </w:t>
      </w:r>
      <w:r>
        <w:rPr>
          <w:rFonts w:ascii="仿宋" w:eastAsia="仿宋" w:hAnsi="仿宋" w:cs="仿宋"/>
          <w:spacing w:val="2"/>
          <w:sz w:val="22"/>
          <w:szCs w:val="22"/>
        </w:rPr>
        <w:t>确认条件或继续涉入被转移金融资产所形成的除外)。</w:t>
      </w:r>
    </w:p>
    <w:p>
      <w:pPr>
        <w:spacing w:before="230" w:line="222" w:lineRule="auto"/>
        <w:ind w:left="383"/>
        <w:rPr>
          <w:rFonts w:ascii="仿宋" w:eastAsia="仿宋" w:hAnsi="仿宋" w:cs="仿宋"/>
          <w:sz w:val="22"/>
          <w:szCs w:val="22"/>
        </w:rPr>
      </w:pPr>
      <w:r>
        <w:rPr>
          <w:rFonts w:ascii="仿宋" w:eastAsia="仿宋" w:hAnsi="仿宋" w:cs="仿宋"/>
          <w:b/>
          <w:bCs/>
          <w:sz w:val="22"/>
          <w:szCs w:val="22"/>
        </w:rPr>
        <w:t>预期信用损失的计量</w:t>
      </w:r>
    </w:p>
    <w:p>
      <w:pPr>
        <w:spacing w:before="269" w:line="231" w:lineRule="auto"/>
        <w:ind w:left="379" w:right="1106"/>
        <w:jc w:val="both"/>
        <w:rPr>
          <w:rFonts w:ascii="仿宋" w:eastAsia="仿宋" w:hAnsi="仿宋" w:cs="仿宋"/>
          <w:sz w:val="22"/>
          <w:szCs w:val="22"/>
        </w:rPr>
      </w:pPr>
      <w:r>
        <w:rPr>
          <w:rFonts w:ascii="仿宋" w:eastAsia="仿宋" w:hAnsi="仿宋" w:cs="仿宋"/>
          <w:spacing w:val="3"/>
          <w:sz w:val="22"/>
          <w:szCs w:val="22"/>
        </w:rPr>
        <w:t>预期信用损失，是指以发生违约的风险为权重的金融工具信用损失的加权</w:t>
      </w:r>
      <w:r>
        <w:rPr>
          <w:rFonts w:ascii="仿宋" w:eastAsia="仿宋" w:hAnsi="仿宋" w:cs="仿宋"/>
          <w:spacing w:val="2"/>
          <w:sz w:val="22"/>
          <w:szCs w:val="22"/>
        </w:rPr>
        <w:t>平均值。信用</w:t>
      </w:r>
      <w:r>
        <w:rPr>
          <w:rFonts w:ascii="仿宋" w:eastAsia="仿宋" w:hAnsi="仿宋" w:cs="仿宋"/>
          <w:sz w:val="22"/>
          <w:szCs w:val="22"/>
        </w:rPr>
        <w:t xml:space="preserve"> </w:t>
      </w:r>
      <w:r>
        <w:rPr>
          <w:rFonts w:ascii="仿宋" w:eastAsia="仿宋" w:hAnsi="仿宋" w:cs="仿宋"/>
          <w:spacing w:val="3"/>
          <w:sz w:val="22"/>
          <w:szCs w:val="22"/>
        </w:rPr>
        <w:t>损失，是指本公司按照原实际利率折现的、根据合同应收的所有合同现金流量与预期收</w:t>
      </w:r>
      <w:r>
        <w:rPr>
          <w:rFonts w:ascii="仿宋" w:eastAsia="仿宋" w:hAnsi="仿宋" w:cs="仿宋"/>
          <w:spacing w:val="8"/>
          <w:sz w:val="22"/>
          <w:szCs w:val="22"/>
        </w:rPr>
        <w:t xml:space="preserve"> </w:t>
      </w:r>
      <w:r>
        <w:rPr>
          <w:rFonts w:ascii="仿宋" w:eastAsia="仿宋" w:hAnsi="仿宋" w:cs="仿宋"/>
          <w:spacing w:val="2"/>
          <w:sz w:val="22"/>
          <w:szCs w:val="22"/>
        </w:rPr>
        <w:t>取的所有现金流量之间的差额，即全部现金短缺的现值。</w:t>
      </w:r>
    </w:p>
    <w:p>
      <w:pPr>
        <w:spacing w:before="234" w:line="236" w:lineRule="auto"/>
        <w:ind w:left="379" w:right="930"/>
        <w:jc w:val="both"/>
        <w:rPr>
          <w:rFonts w:ascii="仿宋" w:eastAsia="仿宋" w:hAnsi="仿宋" w:cs="仿宋"/>
          <w:sz w:val="22"/>
          <w:szCs w:val="22"/>
        </w:rPr>
      </w:pPr>
      <w:r>
        <w:rPr>
          <w:rFonts w:ascii="仿宋" w:eastAsia="仿宋" w:hAnsi="仿宋" w:cs="仿宋"/>
          <w:spacing w:val="2"/>
          <w:sz w:val="22"/>
          <w:szCs w:val="22"/>
        </w:rPr>
        <w:t>本公司考虑有关过去事项、当前状况以及对未来经济状况的预测等合理且有依据的信息，</w:t>
      </w:r>
      <w:r>
        <w:rPr>
          <w:rFonts w:ascii="仿宋" w:eastAsia="仿宋" w:hAnsi="仿宋" w:cs="仿宋"/>
          <w:sz w:val="22"/>
          <w:szCs w:val="22"/>
        </w:rPr>
        <w:t xml:space="preserve"> </w:t>
      </w:r>
      <w:r>
        <w:rPr>
          <w:rFonts w:ascii="仿宋" w:eastAsia="仿宋" w:hAnsi="仿宋" w:cs="仿宋"/>
          <w:spacing w:val="2"/>
          <w:sz w:val="22"/>
          <w:szCs w:val="22"/>
        </w:rPr>
        <w:t xml:space="preserve">以发生违约的风险为权重，计算合同应收的现金流量与预期能收到的现金流量之间差额   </w:t>
      </w:r>
      <w:r>
        <w:rPr>
          <w:rFonts w:ascii="仿宋" w:eastAsia="仿宋" w:hAnsi="仿宋" w:cs="仿宋"/>
          <w:spacing w:val="1"/>
          <w:sz w:val="22"/>
          <w:szCs w:val="22"/>
        </w:rPr>
        <w:t>的现值的概率加权金额，确认预期信用损失。</w:t>
      </w:r>
    </w:p>
    <w:p>
      <w:pPr>
        <w:spacing w:before="247" w:line="241" w:lineRule="auto"/>
        <w:ind w:left="379" w:right="1070"/>
        <w:jc w:val="both"/>
        <w:rPr>
          <w:rFonts w:ascii="仿宋" w:eastAsia="仿宋" w:hAnsi="仿宋" w:cs="仿宋"/>
          <w:sz w:val="22"/>
          <w:szCs w:val="22"/>
        </w:rPr>
      </w:pPr>
      <w:r>
        <w:rPr>
          <w:rFonts w:ascii="仿宋" w:eastAsia="仿宋" w:hAnsi="仿宋" w:cs="仿宋"/>
          <w:spacing w:val="3"/>
          <w:sz w:val="22"/>
          <w:szCs w:val="22"/>
        </w:rPr>
        <w:t>本公司对于处于不同阶段的金融工具的预期信用损失分别进行计量。金融工具自初始确</w:t>
      </w:r>
      <w:r>
        <w:rPr>
          <w:rFonts w:ascii="仿宋" w:eastAsia="仿宋" w:hAnsi="仿宋" w:cs="仿宋"/>
          <w:spacing w:val="18"/>
          <w:sz w:val="22"/>
          <w:szCs w:val="22"/>
        </w:rPr>
        <w:t xml:space="preserve"> </w:t>
      </w:r>
      <w:r>
        <w:rPr>
          <w:rFonts w:ascii="仿宋" w:eastAsia="仿宋" w:hAnsi="仿宋" w:cs="仿宋"/>
          <w:spacing w:val="9"/>
          <w:sz w:val="22"/>
          <w:szCs w:val="22"/>
        </w:rPr>
        <w:t>认后信用风险未显著增加的，处于第一阶段，本公司按照未来12个月内的预期信用损</w:t>
      </w:r>
      <w:r>
        <w:rPr>
          <w:rFonts w:ascii="仿宋" w:eastAsia="仿宋" w:hAnsi="仿宋" w:cs="仿宋"/>
          <w:spacing w:val="5"/>
          <w:sz w:val="22"/>
          <w:szCs w:val="22"/>
        </w:rPr>
        <w:t xml:space="preserve"> </w:t>
      </w:r>
      <w:r>
        <w:rPr>
          <w:rFonts w:ascii="仿宋" w:eastAsia="仿宋" w:hAnsi="仿宋" w:cs="仿宋"/>
          <w:spacing w:val="4"/>
          <w:sz w:val="22"/>
          <w:szCs w:val="22"/>
        </w:rPr>
        <w:t>失计量损失准备；金融工具自初始确认后信用风险已显著增加但尚未发生信用减值的，</w:t>
      </w:r>
      <w:r>
        <w:rPr>
          <w:rFonts w:ascii="仿宋" w:eastAsia="仿宋" w:hAnsi="仿宋" w:cs="仿宋"/>
          <w:spacing w:val="6"/>
          <w:sz w:val="22"/>
          <w:szCs w:val="22"/>
        </w:rPr>
        <w:t xml:space="preserve"> </w:t>
      </w:r>
      <w:r>
        <w:rPr>
          <w:rFonts w:ascii="仿宋" w:eastAsia="仿宋" w:hAnsi="仿宋" w:cs="仿宋"/>
          <w:spacing w:val="3"/>
          <w:sz w:val="22"/>
          <w:szCs w:val="22"/>
        </w:rPr>
        <w:t>处于第二阶段，本公司按照该工具整个存续期的预期信用损失计量损失准备；金融工具</w:t>
      </w:r>
      <w:r>
        <w:rPr>
          <w:rFonts w:ascii="仿宋" w:eastAsia="仿宋" w:hAnsi="仿宋" w:cs="仿宋"/>
          <w:spacing w:val="9"/>
          <w:sz w:val="22"/>
          <w:szCs w:val="22"/>
        </w:rPr>
        <w:t xml:space="preserve"> </w:t>
      </w:r>
      <w:r>
        <w:rPr>
          <w:rFonts w:ascii="仿宋" w:eastAsia="仿宋" w:hAnsi="仿宋" w:cs="仿宋"/>
          <w:spacing w:val="3"/>
          <w:sz w:val="22"/>
          <w:szCs w:val="22"/>
        </w:rPr>
        <w:t>自初始确认后已经发生信用减值的，处于第三阶段，本公司按照该工具整个存续期的预</w:t>
      </w:r>
      <w:r>
        <w:rPr>
          <w:rFonts w:ascii="仿宋" w:eastAsia="仿宋" w:hAnsi="仿宋" w:cs="仿宋"/>
          <w:spacing w:val="11"/>
          <w:sz w:val="22"/>
          <w:szCs w:val="22"/>
        </w:rPr>
        <w:t xml:space="preserve"> </w:t>
      </w:r>
      <w:r>
        <w:rPr>
          <w:rFonts w:ascii="仿宋" w:eastAsia="仿宋" w:hAnsi="仿宋" w:cs="仿宋"/>
          <w:spacing w:val="2"/>
          <w:sz w:val="22"/>
          <w:szCs w:val="22"/>
        </w:rPr>
        <w:t>期信用损失计量损失准备。</w:t>
      </w:r>
    </w:p>
    <w:p>
      <w:pPr>
        <w:spacing w:before="242" w:line="241" w:lineRule="auto"/>
        <w:ind w:left="379" w:right="1103"/>
        <w:rPr>
          <w:rFonts w:ascii="仿宋" w:eastAsia="仿宋" w:hAnsi="仿宋" w:cs="仿宋"/>
          <w:sz w:val="22"/>
          <w:szCs w:val="22"/>
        </w:rPr>
      </w:pPr>
      <w:r>
        <w:rPr>
          <w:rFonts w:ascii="仿宋" w:eastAsia="仿宋" w:hAnsi="仿宋" w:cs="仿宋"/>
          <w:spacing w:val="3"/>
          <w:sz w:val="22"/>
          <w:szCs w:val="22"/>
        </w:rPr>
        <w:t>对于在资产负债表日具有较低信用风险的金融工具，本公司假设其信用风险自初始确认</w:t>
      </w:r>
      <w:r>
        <w:rPr>
          <w:rFonts w:ascii="仿宋" w:eastAsia="仿宋" w:hAnsi="仿宋" w:cs="仿宋"/>
          <w:spacing w:val="11"/>
          <w:sz w:val="22"/>
          <w:szCs w:val="22"/>
        </w:rPr>
        <w:t xml:space="preserve"> </w:t>
      </w:r>
      <w:r>
        <w:rPr>
          <w:rFonts w:ascii="仿宋" w:eastAsia="仿宋" w:hAnsi="仿宋" w:cs="仿宋"/>
          <w:spacing w:val="5"/>
          <w:sz w:val="22"/>
          <w:szCs w:val="22"/>
        </w:rPr>
        <w:t>后并未显著增加，按照未来12个月内的预期信用损失计量损失准备。</w:t>
      </w:r>
    </w:p>
    <w:p>
      <w:pPr>
        <w:spacing w:before="237" w:line="237" w:lineRule="auto"/>
        <w:ind w:left="379" w:right="1085"/>
        <w:rPr>
          <w:rFonts w:ascii="仿宋" w:eastAsia="仿宋" w:hAnsi="仿宋" w:cs="仿宋"/>
          <w:sz w:val="22"/>
          <w:szCs w:val="22"/>
        </w:rPr>
      </w:pPr>
      <w:r>
        <w:rPr>
          <w:rFonts w:ascii="仿宋" w:eastAsia="仿宋" w:hAnsi="仿宋" w:cs="仿宋"/>
          <w:spacing w:val="4"/>
          <w:sz w:val="22"/>
          <w:szCs w:val="22"/>
        </w:rPr>
        <w:t>整个存续期预期信用损失，是指因金融工具整个预计存续期内所有</w:t>
      </w:r>
      <w:r>
        <w:rPr>
          <w:rFonts w:ascii="仿宋" w:eastAsia="仿宋" w:hAnsi="仿宋" w:cs="仿宋"/>
          <w:spacing w:val="3"/>
          <w:sz w:val="22"/>
          <w:szCs w:val="22"/>
        </w:rPr>
        <w:t>可能发生的违约事件</w:t>
      </w:r>
      <w:r>
        <w:rPr>
          <w:rFonts w:ascii="仿宋" w:eastAsia="仿宋" w:hAnsi="仿宋" w:cs="仿宋"/>
          <w:sz w:val="22"/>
          <w:szCs w:val="22"/>
        </w:rPr>
        <w:t xml:space="preserve"> </w:t>
      </w:r>
      <w:r>
        <w:rPr>
          <w:rFonts w:ascii="仿宋" w:eastAsia="仿宋" w:hAnsi="仿宋" w:cs="仿宋"/>
          <w:spacing w:val="9"/>
          <w:sz w:val="22"/>
          <w:szCs w:val="22"/>
        </w:rPr>
        <w:t>而导致的预期信用损失。未来12个月内预期信用损失，是指因资产负债表</w:t>
      </w:r>
      <w:r>
        <w:rPr>
          <w:rFonts w:ascii="仿宋" w:eastAsia="仿宋" w:hAnsi="仿宋" w:cs="仿宋"/>
          <w:spacing w:val="8"/>
          <w:sz w:val="22"/>
          <w:szCs w:val="22"/>
        </w:rPr>
        <w:t>日后12个月</w:t>
      </w:r>
    </w:p>
    <w:p>
      <w:pPr>
        <w:pStyle w:val="BodyText"/>
        <w:spacing w:line="356" w:lineRule="auto"/>
      </w:pPr>
    </w:p>
    <w:p>
      <w:pPr>
        <w:pStyle w:val="BodyText"/>
        <w:spacing w:line="356" w:lineRule="auto"/>
      </w:pPr>
    </w:p>
    <w:p>
      <w:pPr>
        <w:spacing w:before="49" w:line="184" w:lineRule="auto"/>
        <w:ind w:left="4529"/>
        <w:rPr>
          <w:rFonts w:ascii="宋体" w:eastAsia="宋体" w:hAnsi="宋体" w:cs="宋体"/>
          <w:sz w:val="15"/>
          <w:szCs w:val="15"/>
        </w:rPr>
      </w:pPr>
      <w:r>
        <w:rPr>
          <w:rFonts w:ascii="宋体" w:eastAsia="宋体" w:hAnsi="宋体" w:cs="宋体"/>
          <w:spacing w:val="-2"/>
          <w:sz w:val="15"/>
          <w:szCs w:val="15"/>
        </w:rPr>
        <w:t>21</w:t>
      </w:r>
    </w:p>
    <w:p>
      <w:pPr>
        <w:pStyle w:val="BodyText"/>
        <w:spacing w:line="298" w:lineRule="auto"/>
      </w:pPr>
    </w:p>
    <w:p>
      <w:pPr>
        <w:pStyle w:val="BodyText"/>
        <w:spacing w:line="299" w:lineRule="auto"/>
      </w:pPr>
    </w:p>
    <w:p>
      <w:pPr>
        <w:spacing w:before="63" w:line="183" w:lineRule="auto"/>
        <w:ind w:left="4150"/>
        <w:rPr>
          <w:rFonts w:ascii="宋体" w:eastAsia="宋体" w:hAnsi="宋体" w:cs="宋体"/>
          <w:sz w:val="19"/>
          <w:szCs w:val="19"/>
        </w:rPr>
      </w:pPr>
      <w:r>
        <w:rPr>
          <w:rFonts w:ascii="宋体" w:eastAsia="宋体" w:hAnsi="宋体" w:cs="宋体"/>
          <w:spacing w:val="-9"/>
          <w:sz w:val="19"/>
          <w:szCs w:val="19"/>
        </w:rPr>
        <w:t>3-2-3-23</w:t>
      </w:r>
    </w:p>
    <w:p>
      <w:pPr>
        <w:spacing w:line="183" w:lineRule="auto"/>
        <w:rPr>
          <w:rFonts w:ascii="宋体" w:eastAsia="宋体" w:hAnsi="宋体" w:cs="宋体"/>
          <w:sz w:val="19"/>
          <w:szCs w:val="19"/>
        </w:rPr>
        <w:sectPr>
          <w:headerReference w:type="default" r:id="rId24"/>
          <w:pgSz w:w="11900" w:h="16820"/>
          <w:pgMar w:top="400" w:right="429" w:bottom="0" w:left="1499" w:header="0" w:footer="0" w:gutter="0"/>
          <w:pgNumType w:start="25"/>
          <w:cols w:num="1" w:space="720"/>
        </w:sectPr>
      </w:pPr>
    </w:p>
    <w:p>
      <w:pPr>
        <w:pStyle w:val="BodyText"/>
        <w:spacing w:line="300" w:lineRule="auto"/>
      </w:pPr>
    </w:p>
    <w:p>
      <w:pPr>
        <w:pStyle w:val="BodyText"/>
        <w:spacing w:line="300" w:lineRule="auto"/>
      </w:pPr>
    </w:p>
    <w:p>
      <w:pPr>
        <w:pStyle w:val="BodyText"/>
        <w:spacing w:line="300" w:lineRule="auto"/>
      </w:pPr>
    </w:p>
    <w:p>
      <w:pPr>
        <w:spacing w:before="72" w:line="222" w:lineRule="auto"/>
        <w:ind w:left="39"/>
        <w:rPr>
          <w:rFonts w:ascii="仿宋" w:eastAsia="仿宋" w:hAnsi="仿宋" w:cs="仿宋"/>
          <w:sz w:val="22"/>
          <w:szCs w:val="22"/>
        </w:rPr>
      </w:pPr>
      <w:r>
        <w:rPr>
          <w:rFonts w:ascii="仿宋" w:eastAsia="仿宋" w:hAnsi="仿宋" w:cs="仿宋"/>
          <w:spacing w:val="3"/>
          <w:sz w:val="22"/>
          <w:szCs w:val="22"/>
        </w:rPr>
        <w:t>美新科技股份有限公司</w:t>
      </w:r>
    </w:p>
    <w:p>
      <w:pPr>
        <w:spacing w:before="42" w:line="220" w:lineRule="auto"/>
        <w:ind w:left="39"/>
        <w:rPr>
          <w:rFonts w:ascii="仿宋" w:eastAsia="仿宋" w:hAnsi="仿宋" w:cs="仿宋"/>
          <w:sz w:val="22"/>
          <w:szCs w:val="22"/>
        </w:rPr>
      </w:pPr>
      <w:r>
        <w:rPr>
          <w:rFonts w:ascii="仿宋" w:eastAsia="仿宋" w:hAnsi="仿宋" w:cs="仿宋"/>
          <w:spacing w:val="2"/>
          <w:sz w:val="22"/>
          <w:szCs w:val="22"/>
        </w:rPr>
        <w:t>盈利预测的编制基础、假设和编制说明</w:t>
      </w:r>
    </w:p>
    <w:p>
      <w:pPr>
        <w:spacing w:before="18" w:line="221" w:lineRule="auto"/>
        <w:ind w:left="39"/>
        <w:rPr>
          <w:rFonts w:ascii="仿宋" w:eastAsia="仿宋" w:hAnsi="仿宋" w:cs="仿宋"/>
          <w:sz w:val="22"/>
          <w:szCs w:val="22"/>
        </w:rPr>
      </w:pPr>
      <w:r>
        <w:rPr>
          <w:rFonts w:ascii="仿宋" w:eastAsia="仿宋" w:hAnsi="仿宋" w:cs="仿宋"/>
          <w:spacing w:val="12"/>
          <w:sz w:val="22"/>
          <w:szCs w:val="22"/>
        </w:rPr>
        <w:t>2023年度(除特别注明外，金额单位为人民币万元)</w:t>
      </w:r>
    </w:p>
    <w:p>
      <w:pPr>
        <w:spacing w:before="41" w:line="20" w:lineRule="exact"/>
      </w:pPr>
    </w:p>
    <w:p>
      <w:pPr>
        <w:spacing w:before="262" w:line="236" w:lineRule="auto"/>
        <w:ind w:left="389" w:right="1153"/>
        <w:rPr>
          <w:rFonts w:ascii="仿宋" w:eastAsia="仿宋" w:hAnsi="仿宋" w:cs="仿宋"/>
          <w:sz w:val="22"/>
          <w:szCs w:val="22"/>
        </w:rPr>
      </w:pPr>
      <w:r>
        <w:rPr>
          <w:rFonts w:ascii="仿宋" w:eastAsia="仿宋" w:hAnsi="仿宋" w:cs="仿宋"/>
          <w:spacing w:val="14"/>
          <w:sz w:val="22"/>
          <w:szCs w:val="22"/>
        </w:rPr>
        <w:t>内(若金融工具的预计存续期少于12个月，则为预计存续期)可能发生的金融工具违</w:t>
      </w:r>
      <w:r>
        <w:rPr>
          <w:rFonts w:ascii="仿宋" w:eastAsia="仿宋" w:hAnsi="仿宋" w:cs="仿宋"/>
          <w:spacing w:val="3"/>
          <w:sz w:val="22"/>
          <w:szCs w:val="22"/>
        </w:rPr>
        <w:t xml:space="preserve"> 约事件而导致的预期信用损失，是整个存续期预期信用损失的一部分。</w:t>
      </w:r>
    </w:p>
    <w:p>
      <w:pPr>
        <w:spacing w:before="247" w:line="220" w:lineRule="auto"/>
        <w:ind w:left="529" w:right="1154" w:hanging="140"/>
        <w:rPr>
          <w:rFonts w:ascii="仿宋" w:eastAsia="仿宋" w:hAnsi="仿宋" w:cs="仿宋"/>
          <w:sz w:val="22"/>
          <w:szCs w:val="22"/>
        </w:rPr>
      </w:pPr>
      <w:r>
        <w:rPr>
          <w:rFonts w:ascii="仿宋" w:eastAsia="仿宋" w:hAnsi="仿宋" w:cs="仿宋"/>
          <w:spacing w:val="2"/>
          <w:sz w:val="22"/>
          <w:szCs w:val="22"/>
        </w:rPr>
        <w:t>在计量预期信用损失时，本公司需考虑的最长期限为企业面临信用风险的最长合同期限</w:t>
      </w:r>
      <w:r>
        <w:rPr>
          <w:rFonts w:ascii="仿宋" w:eastAsia="仿宋" w:hAnsi="仿宋" w:cs="仿宋"/>
          <w:spacing w:val="18"/>
          <w:sz w:val="22"/>
          <w:szCs w:val="22"/>
        </w:rPr>
        <w:t xml:space="preserve"> </w:t>
      </w:r>
      <w:r>
        <w:rPr>
          <w:rFonts w:ascii="仿宋" w:eastAsia="仿宋" w:hAnsi="仿宋" w:cs="仿宋"/>
          <w:spacing w:val="9"/>
          <w:sz w:val="22"/>
          <w:szCs w:val="22"/>
        </w:rPr>
        <w:t>(包括考虑续约选择权).</w:t>
      </w:r>
    </w:p>
    <w:p>
      <w:pPr>
        <w:spacing w:before="271" w:line="230" w:lineRule="auto"/>
        <w:ind w:left="389" w:right="1139"/>
        <w:jc w:val="both"/>
        <w:rPr>
          <w:rFonts w:ascii="仿宋" w:eastAsia="仿宋" w:hAnsi="仿宋" w:cs="仿宋"/>
          <w:sz w:val="22"/>
          <w:szCs w:val="22"/>
        </w:rPr>
      </w:pPr>
      <w:r>
        <w:rPr>
          <w:rFonts w:ascii="仿宋" w:eastAsia="仿宋" w:hAnsi="仿宋" w:cs="仿宋"/>
          <w:spacing w:val="3"/>
          <w:sz w:val="22"/>
          <w:szCs w:val="22"/>
        </w:rPr>
        <w:t>本公司对于处于第一阶段和第二阶段、以及较</w:t>
      </w:r>
      <w:r>
        <w:rPr>
          <w:rFonts w:ascii="仿宋" w:eastAsia="仿宋" w:hAnsi="仿宋" w:cs="仿宋"/>
          <w:spacing w:val="2"/>
          <w:sz w:val="22"/>
          <w:szCs w:val="22"/>
        </w:rPr>
        <w:t>低信用风险的金融工具，按照其未扣除减</w:t>
      </w:r>
      <w:r>
        <w:rPr>
          <w:rFonts w:ascii="仿宋" w:eastAsia="仿宋" w:hAnsi="仿宋" w:cs="仿宋"/>
          <w:sz w:val="22"/>
          <w:szCs w:val="22"/>
        </w:rPr>
        <w:t xml:space="preserve"> </w:t>
      </w:r>
      <w:r>
        <w:rPr>
          <w:rFonts w:ascii="仿宋" w:eastAsia="仿宋" w:hAnsi="仿宋" w:cs="仿宋"/>
          <w:spacing w:val="3"/>
          <w:sz w:val="22"/>
          <w:szCs w:val="22"/>
        </w:rPr>
        <w:t>值准备的账面余额和实际利率计算利息收入。对于处于第三阶段的金融工具</w:t>
      </w:r>
      <w:r>
        <w:rPr>
          <w:rFonts w:ascii="仿宋" w:eastAsia="仿宋" w:hAnsi="仿宋" w:cs="仿宋"/>
          <w:spacing w:val="2"/>
          <w:sz w:val="22"/>
          <w:szCs w:val="22"/>
        </w:rPr>
        <w:t>，按照其账</w:t>
      </w:r>
      <w:r>
        <w:rPr>
          <w:rFonts w:ascii="仿宋" w:eastAsia="仿宋" w:hAnsi="仿宋" w:cs="仿宋"/>
          <w:sz w:val="22"/>
          <w:szCs w:val="22"/>
        </w:rPr>
        <w:t xml:space="preserve"> </w:t>
      </w:r>
      <w:r>
        <w:rPr>
          <w:rFonts w:ascii="仿宋" w:eastAsia="仿宋" w:hAnsi="仿宋" w:cs="仿宋"/>
          <w:spacing w:val="1"/>
          <w:sz w:val="22"/>
          <w:szCs w:val="22"/>
        </w:rPr>
        <w:t>面余额减已计提减值准备后的摊余成本和实际利率计算利息收入，</w:t>
      </w:r>
    </w:p>
    <w:p>
      <w:pPr>
        <w:spacing w:before="228" w:line="223" w:lineRule="auto"/>
        <w:ind w:left="389"/>
        <w:rPr>
          <w:rFonts w:ascii="仿宋" w:eastAsia="仿宋" w:hAnsi="仿宋" w:cs="仿宋"/>
          <w:sz w:val="22"/>
          <w:szCs w:val="22"/>
        </w:rPr>
      </w:pPr>
      <w:r>
        <w:rPr>
          <w:rFonts w:ascii="仿宋" w:eastAsia="仿宋" w:hAnsi="仿宋" w:cs="仿宋"/>
          <w:spacing w:val="3"/>
          <w:sz w:val="22"/>
          <w:szCs w:val="22"/>
        </w:rPr>
        <w:t>应收票据、应收账款和合同资产</w:t>
      </w:r>
    </w:p>
    <w:p>
      <w:pPr>
        <w:spacing w:before="260" w:line="223" w:lineRule="auto"/>
        <w:ind w:left="389" w:right="1125"/>
        <w:rPr>
          <w:rFonts w:ascii="仿宋" w:eastAsia="仿宋" w:hAnsi="仿宋" w:cs="仿宋"/>
          <w:sz w:val="22"/>
          <w:szCs w:val="22"/>
        </w:rPr>
      </w:pPr>
      <w:r>
        <w:rPr>
          <w:rFonts w:ascii="仿宋" w:eastAsia="仿宋" w:hAnsi="仿宋" w:cs="仿宋"/>
          <w:spacing w:val="3"/>
          <w:sz w:val="22"/>
          <w:szCs w:val="22"/>
        </w:rPr>
        <w:t>对于应收票据、应收账款和合同资产，无论是否存在重大融资成分，本公司始终按照相</w:t>
      </w:r>
      <w:r>
        <w:rPr>
          <w:rFonts w:ascii="仿宋" w:eastAsia="仿宋" w:hAnsi="仿宋" w:cs="仿宋"/>
          <w:spacing w:val="9"/>
          <w:sz w:val="22"/>
          <w:szCs w:val="22"/>
        </w:rPr>
        <w:t xml:space="preserve"> </w:t>
      </w:r>
      <w:r>
        <w:rPr>
          <w:rFonts w:ascii="仿宋" w:eastAsia="仿宋" w:hAnsi="仿宋" w:cs="仿宋"/>
          <w:spacing w:val="2"/>
          <w:sz w:val="22"/>
          <w:szCs w:val="22"/>
        </w:rPr>
        <w:t>当于整个存续期内预期信用损失的金额计量其损失准备。</w:t>
      </w:r>
    </w:p>
    <w:p>
      <w:pPr>
        <w:spacing w:before="251" w:line="231" w:lineRule="auto"/>
        <w:ind w:left="389" w:right="1134"/>
        <w:jc w:val="both"/>
        <w:rPr>
          <w:rFonts w:ascii="仿宋" w:eastAsia="仿宋" w:hAnsi="仿宋" w:cs="仿宋"/>
          <w:sz w:val="22"/>
          <w:szCs w:val="22"/>
        </w:rPr>
      </w:pPr>
      <w:r>
        <w:rPr>
          <w:rFonts w:ascii="仿宋" w:eastAsia="仿宋" w:hAnsi="仿宋" w:cs="仿宋"/>
          <w:spacing w:val="3"/>
          <w:sz w:val="22"/>
          <w:szCs w:val="22"/>
        </w:rPr>
        <w:t>当单项金融资产无法以合理成本评估预期信用损失的信息时，本公司依据信用风险</w:t>
      </w:r>
      <w:r>
        <w:rPr>
          <w:rFonts w:ascii="仿宋" w:eastAsia="仿宋" w:hAnsi="仿宋" w:cs="仿宋"/>
          <w:spacing w:val="2"/>
          <w:sz w:val="22"/>
          <w:szCs w:val="22"/>
        </w:rPr>
        <w:t>特征</w:t>
      </w:r>
      <w:r>
        <w:rPr>
          <w:rFonts w:ascii="仿宋" w:eastAsia="仿宋" w:hAnsi="仿宋" w:cs="仿宋"/>
          <w:sz w:val="22"/>
          <w:szCs w:val="22"/>
        </w:rPr>
        <w:t xml:space="preserve"> </w:t>
      </w:r>
      <w:r>
        <w:rPr>
          <w:rFonts w:ascii="仿宋" w:eastAsia="仿宋" w:hAnsi="仿宋" w:cs="仿宋"/>
          <w:spacing w:val="3"/>
          <w:sz w:val="22"/>
          <w:szCs w:val="22"/>
        </w:rPr>
        <w:t>对应收票据、应收账款和合同资产划分组合，在组合基础上计算预期信用损失，确定组</w:t>
      </w:r>
      <w:r>
        <w:rPr>
          <w:rFonts w:ascii="仿宋" w:eastAsia="仿宋" w:hAnsi="仿宋" w:cs="仿宋"/>
          <w:sz w:val="22"/>
          <w:szCs w:val="22"/>
        </w:rPr>
        <w:t xml:space="preserve"> </w:t>
      </w:r>
      <w:r>
        <w:rPr>
          <w:rFonts w:ascii="仿宋" w:eastAsia="仿宋" w:hAnsi="仿宋" w:cs="仿宋"/>
          <w:spacing w:val="-9"/>
          <w:sz w:val="22"/>
          <w:szCs w:val="22"/>
        </w:rPr>
        <w:t>合的依据如下：</w:t>
      </w:r>
    </w:p>
    <w:p>
      <w:pPr>
        <w:spacing w:before="226" w:line="223" w:lineRule="auto"/>
        <w:ind w:left="389"/>
        <w:rPr>
          <w:rFonts w:ascii="仿宋" w:eastAsia="仿宋" w:hAnsi="仿宋" w:cs="仿宋"/>
          <w:sz w:val="22"/>
          <w:szCs w:val="22"/>
        </w:rPr>
      </w:pPr>
      <w:r>
        <w:rPr>
          <w:rFonts w:ascii="Times New Roman" w:eastAsia="Times New Roman" w:hAnsi="Times New Roman" w:cs="Times New Roman"/>
          <w:spacing w:val="-5"/>
          <w:sz w:val="22"/>
          <w:szCs w:val="22"/>
        </w:rPr>
        <w:t>A</w:t>
      </w:r>
      <w:r>
        <w:rPr>
          <w:rFonts w:ascii="宋体" w:eastAsia="宋体" w:hAnsi="宋体" w:cs="宋体"/>
          <w:spacing w:val="-5"/>
          <w:sz w:val="22"/>
          <w:szCs w:val="22"/>
        </w:rPr>
        <w:t>、</w:t>
      </w:r>
      <w:r>
        <w:rPr>
          <w:rFonts w:ascii="仿宋" w:eastAsia="仿宋" w:hAnsi="仿宋" w:cs="仿宋"/>
          <w:spacing w:val="-5"/>
          <w:sz w:val="22"/>
          <w:szCs w:val="22"/>
        </w:rPr>
        <w:t>应收账款</w:t>
      </w:r>
    </w:p>
    <w:p>
      <w:pPr>
        <w:spacing w:before="253" w:line="500" w:lineRule="exact"/>
        <w:ind w:left="389"/>
        <w:rPr>
          <w:rFonts w:ascii="仿宋" w:eastAsia="仿宋" w:hAnsi="仿宋" w:cs="仿宋"/>
          <w:sz w:val="22"/>
          <w:szCs w:val="22"/>
        </w:rPr>
      </w:pPr>
      <w:r>
        <w:rPr>
          <w:rFonts w:ascii="仿宋" w:eastAsia="仿宋" w:hAnsi="仿宋" w:cs="仿宋"/>
          <w:spacing w:val="9"/>
          <w:position w:val="21"/>
          <w:sz w:val="22"/>
          <w:szCs w:val="22"/>
        </w:rPr>
        <w:t>·  应收账款组合1:应收境内非关联方</w:t>
      </w:r>
      <w:r>
        <w:rPr>
          <w:rFonts w:ascii="仿宋" w:eastAsia="仿宋" w:hAnsi="仿宋" w:cs="仿宋"/>
          <w:spacing w:val="8"/>
          <w:position w:val="21"/>
          <w:sz w:val="22"/>
          <w:szCs w:val="22"/>
        </w:rPr>
        <w:t>企业客户</w:t>
      </w:r>
    </w:p>
    <w:p>
      <w:pPr>
        <w:spacing w:before="1" w:line="222" w:lineRule="auto"/>
        <w:ind w:left="389"/>
        <w:rPr>
          <w:rFonts w:ascii="仿宋" w:eastAsia="仿宋" w:hAnsi="仿宋" w:cs="仿宋"/>
          <w:sz w:val="22"/>
          <w:szCs w:val="22"/>
        </w:rPr>
      </w:pPr>
      <w:r>
        <w:rPr>
          <w:rFonts w:ascii="仿宋" w:eastAsia="仿宋" w:hAnsi="仿宋" w:cs="仿宋"/>
          <w:spacing w:val="7"/>
          <w:sz w:val="22"/>
          <w:szCs w:val="22"/>
        </w:rPr>
        <w:t>·</w:t>
      </w:r>
      <w:r>
        <w:rPr>
          <w:rFonts w:ascii="仿宋" w:eastAsia="仿宋" w:hAnsi="仿宋" w:cs="仿宋"/>
          <w:spacing w:val="28"/>
          <w:sz w:val="22"/>
          <w:szCs w:val="22"/>
        </w:rPr>
        <w:t xml:space="preserve">  </w:t>
      </w:r>
      <w:r>
        <w:rPr>
          <w:rFonts w:ascii="仿宋" w:eastAsia="仿宋" w:hAnsi="仿宋" w:cs="仿宋"/>
          <w:spacing w:val="7"/>
          <w:sz w:val="22"/>
          <w:szCs w:val="22"/>
        </w:rPr>
        <w:t>应收账款组合2:应收境外非关联方企业客户</w:t>
      </w:r>
    </w:p>
    <w:p>
      <w:pPr>
        <w:spacing w:before="236" w:line="480" w:lineRule="exact"/>
        <w:ind w:left="389"/>
        <w:rPr>
          <w:rFonts w:ascii="仿宋" w:eastAsia="仿宋" w:hAnsi="仿宋" w:cs="仿宋"/>
          <w:sz w:val="22"/>
          <w:szCs w:val="22"/>
        </w:rPr>
      </w:pPr>
      <w:r>
        <w:rPr>
          <w:rFonts w:ascii="仿宋" w:eastAsia="仿宋" w:hAnsi="仿宋" w:cs="仿宋"/>
          <w:spacing w:val="9"/>
          <w:position w:val="19"/>
          <w:sz w:val="22"/>
          <w:szCs w:val="22"/>
        </w:rPr>
        <w:t>·  应收账款组合3:应收关联方企业客户</w:t>
      </w:r>
    </w:p>
    <w:p>
      <w:pPr>
        <w:spacing w:before="1" w:line="223" w:lineRule="auto"/>
        <w:ind w:left="389"/>
        <w:rPr>
          <w:rFonts w:ascii="仿宋" w:eastAsia="仿宋" w:hAnsi="仿宋" w:cs="仿宋"/>
          <w:sz w:val="22"/>
          <w:szCs w:val="22"/>
        </w:rPr>
      </w:pPr>
      <w:r>
        <w:rPr>
          <w:rFonts w:ascii="宋体" w:eastAsia="宋体" w:hAnsi="宋体" w:cs="宋体"/>
          <w:spacing w:val="-3"/>
          <w:sz w:val="22"/>
          <w:szCs w:val="22"/>
        </w:rPr>
        <w:t>B、</w:t>
      </w:r>
      <w:r>
        <w:rPr>
          <w:rFonts w:ascii="宋体" w:eastAsia="宋体" w:hAnsi="宋体" w:cs="宋体"/>
          <w:spacing w:val="-40"/>
          <w:sz w:val="22"/>
          <w:szCs w:val="22"/>
        </w:rPr>
        <w:t xml:space="preserve"> </w:t>
      </w:r>
      <w:r>
        <w:rPr>
          <w:rFonts w:ascii="仿宋" w:eastAsia="仿宋" w:hAnsi="仿宋" w:cs="仿宋"/>
          <w:spacing w:val="-3"/>
          <w:sz w:val="22"/>
          <w:szCs w:val="22"/>
        </w:rPr>
        <w:t>合同资产</w:t>
      </w:r>
    </w:p>
    <w:p>
      <w:pPr>
        <w:spacing w:before="252" w:line="500" w:lineRule="exact"/>
        <w:ind w:left="389"/>
        <w:rPr>
          <w:rFonts w:ascii="仿宋" w:eastAsia="仿宋" w:hAnsi="仿宋" w:cs="仿宋"/>
          <w:sz w:val="22"/>
          <w:szCs w:val="22"/>
        </w:rPr>
      </w:pPr>
      <w:r>
        <w:rPr>
          <w:rFonts w:ascii="仿宋" w:eastAsia="仿宋" w:hAnsi="仿宋" w:cs="仿宋"/>
          <w:spacing w:val="9"/>
          <w:position w:val="21"/>
          <w:sz w:val="22"/>
          <w:szCs w:val="22"/>
        </w:rPr>
        <w:t>·  合同资产组合1:应收境内非关联方</w:t>
      </w:r>
      <w:r>
        <w:rPr>
          <w:rFonts w:ascii="仿宋" w:eastAsia="仿宋" w:hAnsi="仿宋" w:cs="仿宋"/>
          <w:spacing w:val="8"/>
          <w:position w:val="21"/>
          <w:sz w:val="22"/>
          <w:szCs w:val="22"/>
        </w:rPr>
        <w:t>企业客户</w:t>
      </w:r>
    </w:p>
    <w:p>
      <w:pPr>
        <w:spacing w:line="222" w:lineRule="auto"/>
        <w:ind w:left="389"/>
        <w:rPr>
          <w:rFonts w:ascii="仿宋" w:eastAsia="仿宋" w:hAnsi="仿宋" w:cs="仿宋"/>
          <w:sz w:val="22"/>
          <w:szCs w:val="22"/>
        </w:rPr>
      </w:pPr>
      <w:r>
        <w:rPr>
          <w:rFonts w:ascii="仿宋" w:eastAsia="仿宋" w:hAnsi="仿宋" w:cs="仿宋"/>
          <w:spacing w:val="9"/>
          <w:sz w:val="22"/>
          <w:szCs w:val="22"/>
        </w:rPr>
        <w:t>·  合同资产组合2:应收境外非关联方</w:t>
      </w:r>
      <w:r>
        <w:rPr>
          <w:rFonts w:ascii="仿宋" w:eastAsia="仿宋" w:hAnsi="仿宋" w:cs="仿宋"/>
          <w:spacing w:val="8"/>
          <w:sz w:val="22"/>
          <w:szCs w:val="22"/>
        </w:rPr>
        <w:t>企业客户</w:t>
      </w:r>
    </w:p>
    <w:p>
      <w:pPr>
        <w:spacing w:before="226" w:line="223" w:lineRule="auto"/>
        <w:ind w:left="389"/>
        <w:rPr>
          <w:rFonts w:ascii="仿宋" w:eastAsia="仿宋" w:hAnsi="仿宋" w:cs="仿宋"/>
          <w:sz w:val="22"/>
          <w:szCs w:val="22"/>
        </w:rPr>
      </w:pPr>
      <w:r>
        <w:rPr>
          <w:rFonts w:ascii="仿宋" w:eastAsia="仿宋" w:hAnsi="仿宋" w:cs="仿宋"/>
          <w:spacing w:val="8"/>
          <w:sz w:val="22"/>
          <w:szCs w:val="22"/>
        </w:rPr>
        <w:t>·  合同资产组合3:应收关联方企业客户</w:t>
      </w:r>
    </w:p>
    <w:p>
      <w:pPr>
        <w:spacing w:before="244" w:line="230" w:lineRule="auto"/>
        <w:ind w:left="389" w:right="1039"/>
        <w:rPr>
          <w:rFonts w:ascii="仿宋" w:eastAsia="仿宋" w:hAnsi="仿宋" w:cs="仿宋"/>
          <w:sz w:val="22"/>
          <w:szCs w:val="22"/>
        </w:rPr>
      </w:pPr>
      <w:r>
        <w:rPr>
          <w:rFonts w:ascii="仿宋" w:eastAsia="仿宋" w:hAnsi="仿宋" w:cs="仿宋"/>
          <w:spacing w:val="4"/>
          <w:sz w:val="22"/>
          <w:szCs w:val="22"/>
        </w:rPr>
        <w:t>对于划分为组合的合同资产，本公司参考历史信用损失</w:t>
      </w:r>
      <w:r>
        <w:rPr>
          <w:rFonts w:ascii="仿宋" w:eastAsia="仿宋" w:hAnsi="仿宋" w:cs="仿宋"/>
          <w:spacing w:val="3"/>
          <w:sz w:val="22"/>
          <w:szCs w:val="22"/>
        </w:rPr>
        <w:t>经验，结合当前状况以及对未来</w:t>
      </w:r>
      <w:r>
        <w:rPr>
          <w:rFonts w:ascii="仿宋" w:eastAsia="仿宋" w:hAnsi="仿宋" w:cs="仿宋"/>
          <w:sz w:val="22"/>
          <w:szCs w:val="22"/>
        </w:rPr>
        <w:t xml:space="preserve"> 经济状况的预测，通过违约风险敞口和整个存续期预期信用损失</w:t>
      </w:r>
      <w:r>
        <w:rPr>
          <w:rFonts w:ascii="仿宋" w:eastAsia="仿宋" w:hAnsi="仿宋" w:cs="仿宋"/>
          <w:spacing w:val="-1"/>
          <w:sz w:val="22"/>
          <w:szCs w:val="22"/>
        </w:rPr>
        <w:t>率，计算预期信用损失。</w:t>
      </w:r>
    </w:p>
    <w:p>
      <w:pPr>
        <w:spacing w:before="239" w:line="231" w:lineRule="auto"/>
        <w:ind w:left="389" w:right="1094"/>
        <w:jc w:val="both"/>
        <w:rPr>
          <w:rFonts w:ascii="仿宋" w:eastAsia="仿宋" w:hAnsi="仿宋" w:cs="仿宋"/>
          <w:sz w:val="22"/>
          <w:szCs w:val="22"/>
        </w:rPr>
      </w:pPr>
      <w:r>
        <w:rPr>
          <w:rFonts w:ascii="仿宋" w:eastAsia="仿宋" w:hAnsi="仿宋" w:cs="仿宋"/>
          <w:spacing w:val="3"/>
          <w:sz w:val="22"/>
          <w:szCs w:val="22"/>
        </w:rPr>
        <w:t>对于划分为组合的应收账款，本公司参考历史信用损失经验，结合当前状况以及对未来</w:t>
      </w:r>
      <w:r>
        <w:rPr>
          <w:rFonts w:ascii="仿宋" w:eastAsia="仿宋" w:hAnsi="仿宋" w:cs="仿宋"/>
          <w:spacing w:val="4"/>
          <w:sz w:val="22"/>
          <w:szCs w:val="22"/>
        </w:rPr>
        <w:t xml:space="preserve"> </w:t>
      </w:r>
      <w:r>
        <w:rPr>
          <w:rFonts w:ascii="仿宋" w:eastAsia="仿宋" w:hAnsi="仿宋" w:cs="仿宋"/>
          <w:spacing w:val="1"/>
          <w:sz w:val="22"/>
          <w:szCs w:val="22"/>
        </w:rPr>
        <w:t>经济状况的预测，编制应收账款账龄/逾期天数与整个存续期预期信用损失率对照表，计</w:t>
      </w:r>
      <w:r>
        <w:rPr>
          <w:rFonts w:ascii="仿宋" w:eastAsia="仿宋" w:hAnsi="仿宋" w:cs="仿宋"/>
          <w:spacing w:val="5"/>
          <w:sz w:val="22"/>
          <w:szCs w:val="22"/>
        </w:rPr>
        <w:t xml:space="preserve"> </w:t>
      </w:r>
      <w:r>
        <w:rPr>
          <w:rFonts w:ascii="仿宋" w:eastAsia="仿宋" w:hAnsi="仿宋" w:cs="仿宋"/>
          <w:spacing w:val="-5"/>
          <w:sz w:val="22"/>
          <w:szCs w:val="22"/>
        </w:rPr>
        <w:t>算预期信用损失。</w:t>
      </w:r>
    </w:p>
    <w:p>
      <w:pPr>
        <w:spacing w:before="245" w:line="222" w:lineRule="auto"/>
        <w:ind w:left="389"/>
        <w:rPr>
          <w:rFonts w:ascii="仿宋" w:eastAsia="仿宋" w:hAnsi="仿宋" w:cs="仿宋"/>
          <w:sz w:val="22"/>
          <w:szCs w:val="22"/>
        </w:rPr>
      </w:pPr>
      <w:r>
        <w:rPr>
          <w:rFonts w:ascii="仿宋" w:eastAsia="仿宋" w:hAnsi="仿宋" w:cs="仿宋"/>
          <w:spacing w:val="-3"/>
          <w:sz w:val="22"/>
          <w:szCs w:val="22"/>
        </w:rPr>
        <w:t>其他应收款</w:t>
      </w:r>
    </w:p>
    <w:p>
      <w:pPr>
        <w:spacing w:before="264" w:line="226" w:lineRule="auto"/>
        <w:ind w:left="389" w:right="1130"/>
        <w:jc w:val="both"/>
        <w:rPr>
          <w:rFonts w:ascii="仿宋" w:eastAsia="仿宋" w:hAnsi="仿宋" w:cs="仿宋"/>
          <w:sz w:val="22"/>
          <w:szCs w:val="22"/>
        </w:rPr>
      </w:pPr>
      <w:r>
        <w:rPr>
          <w:rFonts w:ascii="仿宋" w:eastAsia="仿宋" w:hAnsi="仿宋" w:cs="仿宋"/>
          <w:spacing w:val="15"/>
          <w:sz w:val="22"/>
          <w:szCs w:val="22"/>
        </w:rPr>
        <w:t>当单项其他应收款无法以合理成本评估预期信用损失的信息时，本公司依据信用风</w:t>
      </w:r>
      <w:r>
        <w:rPr>
          <w:rFonts w:ascii="仿宋" w:eastAsia="仿宋" w:hAnsi="仿宋" w:cs="仿宋"/>
          <w:spacing w:val="18"/>
          <w:sz w:val="22"/>
          <w:szCs w:val="22"/>
        </w:rPr>
        <w:t xml:space="preserve"> </w:t>
      </w:r>
      <w:r>
        <w:rPr>
          <w:rFonts w:ascii="仿宋" w:eastAsia="仿宋" w:hAnsi="仿宋" w:cs="仿宋"/>
          <w:spacing w:val="15"/>
          <w:sz w:val="22"/>
          <w:szCs w:val="22"/>
        </w:rPr>
        <w:t>险特征将其他应收款划分为若干组合，在组合基础上计算预期信用损失，确定组合</w:t>
      </w:r>
      <w:r>
        <w:rPr>
          <w:rFonts w:ascii="仿宋" w:eastAsia="仿宋" w:hAnsi="仿宋" w:cs="仿宋"/>
          <w:spacing w:val="10"/>
          <w:sz w:val="22"/>
          <w:szCs w:val="22"/>
        </w:rPr>
        <w:t xml:space="preserve"> </w:t>
      </w:r>
      <w:r>
        <w:rPr>
          <w:rFonts w:ascii="仿宋" w:eastAsia="仿宋" w:hAnsi="仿宋" w:cs="仿宋"/>
          <w:spacing w:val="-2"/>
          <w:sz w:val="22"/>
          <w:szCs w:val="22"/>
        </w:rPr>
        <w:t>的依据如下：</w:t>
      </w:r>
    </w:p>
    <w:p>
      <w:pPr>
        <w:pStyle w:val="BodyText"/>
        <w:spacing w:line="320" w:lineRule="auto"/>
      </w:pPr>
    </w:p>
    <w:p>
      <w:pPr>
        <w:pStyle w:val="BodyText"/>
        <w:spacing w:line="320" w:lineRule="auto"/>
      </w:pPr>
    </w:p>
    <w:p>
      <w:pPr>
        <w:spacing w:before="49" w:line="183" w:lineRule="auto"/>
        <w:ind w:left="4549"/>
        <w:rPr>
          <w:rFonts w:ascii="宋体" w:eastAsia="宋体" w:hAnsi="宋体" w:cs="宋体"/>
          <w:sz w:val="15"/>
          <w:szCs w:val="15"/>
        </w:rPr>
      </w:pPr>
      <w:r>
        <w:rPr>
          <w:rFonts w:ascii="宋体" w:eastAsia="宋体" w:hAnsi="宋体" w:cs="宋体"/>
          <w:spacing w:val="-2"/>
          <w:sz w:val="15"/>
          <w:szCs w:val="15"/>
        </w:rPr>
        <w:t>22</w:t>
      </w:r>
    </w:p>
    <w:p>
      <w:pPr>
        <w:pStyle w:val="BodyText"/>
        <w:spacing w:line="298" w:lineRule="auto"/>
      </w:pPr>
    </w:p>
    <w:p>
      <w:pPr>
        <w:pStyle w:val="BodyText"/>
        <w:spacing w:line="299" w:lineRule="auto"/>
      </w:pPr>
    </w:p>
    <w:p>
      <w:pPr>
        <w:spacing w:before="63" w:line="183" w:lineRule="auto"/>
        <w:ind w:left="4179"/>
        <w:rPr>
          <w:rFonts w:ascii="宋体" w:eastAsia="宋体" w:hAnsi="宋体" w:cs="宋体"/>
          <w:sz w:val="19"/>
          <w:szCs w:val="19"/>
        </w:rPr>
      </w:pPr>
      <w:r>
        <w:rPr>
          <w:rFonts w:ascii="宋体" w:eastAsia="宋体" w:hAnsi="宋体" w:cs="宋体"/>
          <w:spacing w:val="-10"/>
          <w:sz w:val="19"/>
          <w:szCs w:val="19"/>
        </w:rPr>
        <w:t>3-2-3-24</w:t>
      </w:r>
    </w:p>
    <w:p>
      <w:pPr>
        <w:spacing w:line="183" w:lineRule="auto"/>
        <w:rPr>
          <w:rFonts w:ascii="宋体" w:eastAsia="宋体" w:hAnsi="宋体" w:cs="宋体"/>
          <w:sz w:val="19"/>
          <w:szCs w:val="19"/>
        </w:rPr>
        <w:sectPr>
          <w:headerReference w:type="default" r:id="rId25"/>
          <w:pgSz w:w="11900" w:h="16820"/>
          <w:pgMar w:top="400" w:right="429" w:bottom="0" w:left="1470" w:header="0" w:footer="0" w:gutter="0"/>
          <w:pgNumType w:start="26"/>
          <w:cols w:num="1" w:space="720"/>
        </w:sectPr>
      </w:pPr>
    </w:p>
    <w:p>
      <w:pPr>
        <w:pStyle w:val="BodyText"/>
        <w:spacing w:line="249" w:lineRule="auto"/>
      </w:pPr>
    </w:p>
    <w:p>
      <w:pPr>
        <w:pStyle w:val="BodyText"/>
        <w:spacing w:line="250" w:lineRule="auto"/>
      </w:pPr>
    </w:p>
    <w:p>
      <w:pPr>
        <w:pStyle w:val="BodyText"/>
        <w:spacing w:line="250" w:lineRule="auto"/>
      </w:pPr>
    </w:p>
    <w:p>
      <w:pPr>
        <w:pStyle w:val="BodyText"/>
        <w:spacing w:line="250" w:lineRule="auto"/>
      </w:pPr>
    </w:p>
    <w:p>
      <w:pPr>
        <w:spacing w:before="72" w:line="222" w:lineRule="auto"/>
        <w:ind w:left="19"/>
        <w:rPr>
          <w:rFonts w:ascii="仿宋" w:eastAsia="仿宋" w:hAnsi="仿宋" w:cs="仿宋"/>
          <w:sz w:val="22"/>
          <w:szCs w:val="22"/>
        </w:rPr>
      </w:pPr>
      <w:r>
        <w:rPr>
          <w:rFonts w:ascii="仿宋" w:eastAsia="仿宋" w:hAnsi="仿宋" w:cs="仿宋"/>
          <w:spacing w:val="2"/>
          <w:sz w:val="22"/>
          <w:szCs w:val="22"/>
        </w:rPr>
        <w:t>美新科技股份有限公司</w:t>
      </w:r>
    </w:p>
    <w:p>
      <w:pPr>
        <w:spacing w:before="12" w:line="220" w:lineRule="auto"/>
        <w:ind w:left="19"/>
        <w:rPr>
          <w:rFonts w:ascii="仿宋" w:eastAsia="仿宋" w:hAnsi="仿宋" w:cs="仿宋"/>
          <w:sz w:val="22"/>
          <w:szCs w:val="22"/>
        </w:rPr>
      </w:pPr>
      <w:r>
        <w:rPr>
          <w:rFonts w:ascii="仿宋" w:eastAsia="仿宋" w:hAnsi="仿宋" w:cs="仿宋"/>
          <w:spacing w:val="4"/>
          <w:sz w:val="22"/>
          <w:szCs w:val="22"/>
        </w:rPr>
        <w:t>盈利预测的编制基础、假设和编制说明</w:t>
      </w:r>
    </w:p>
    <w:p>
      <w:pPr>
        <w:spacing w:before="18" w:line="221" w:lineRule="auto"/>
        <w:ind w:left="19"/>
        <w:rPr>
          <w:rFonts w:ascii="仿宋" w:eastAsia="仿宋" w:hAnsi="仿宋" w:cs="仿宋"/>
          <w:sz w:val="22"/>
          <w:szCs w:val="22"/>
        </w:rPr>
      </w:pPr>
      <w:r>
        <w:rPr>
          <w:rFonts w:ascii="仿宋" w:eastAsia="仿宋" w:hAnsi="仿宋" w:cs="仿宋"/>
          <w:spacing w:val="12"/>
          <w:sz w:val="22"/>
          <w:szCs w:val="22"/>
        </w:rPr>
        <w:t>2023年度(除特别注明外，金额单位为人民币万元)</w:t>
      </w:r>
    </w:p>
    <w:p>
      <w:pPr>
        <w:pStyle w:val="BodyText"/>
        <w:spacing w:line="273" w:lineRule="auto"/>
      </w:pPr>
    </w:p>
    <w:p>
      <w:pPr>
        <w:spacing w:before="72" w:line="222" w:lineRule="auto"/>
        <w:ind w:left="429"/>
        <w:rPr>
          <w:rFonts w:ascii="仿宋" w:eastAsia="仿宋" w:hAnsi="仿宋" w:cs="仿宋"/>
          <w:sz w:val="22"/>
          <w:szCs w:val="22"/>
        </w:rPr>
      </w:pPr>
      <w:r>
        <w:rPr>
          <w:rFonts w:ascii="仿宋" w:eastAsia="仿宋" w:hAnsi="仿宋" w:cs="仿宋"/>
          <w:spacing w:val="9"/>
          <w:sz w:val="22"/>
          <w:szCs w:val="22"/>
        </w:rPr>
        <w:t>·  其他应收款组合1:应收往来款项</w:t>
      </w:r>
    </w:p>
    <w:p>
      <w:pPr>
        <w:spacing w:before="234" w:line="221" w:lineRule="auto"/>
        <w:ind w:left="429"/>
        <w:rPr>
          <w:rFonts w:ascii="仿宋" w:eastAsia="仿宋" w:hAnsi="仿宋" w:cs="仿宋"/>
          <w:sz w:val="22"/>
          <w:szCs w:val="22"/>
        </w:rPr>
      </w:pPr>
      <w:r>
        <w:rPr>
          <w:rFonts w:ascii="仿宋" w:eastAsia="仿宋" w:hAnsi="仿宋" w:cs="仿宋"/>
          <w:spacing w:val="10"/>
          <w:sz w:val="22"/>
          <w:szCs w:val="22"/>
        </w:rPr>
        <w:t>·  其他应收款组合2:应收押金和保证金</w:t>
      </w:r>
    </w:p>
    <w:p>
      <w:pPr>
        <w:spacing w:before="208" w:line="520" w:lineRule="exact"/>
        <w:ind w:left="429"/>
        <w:rPr>
          <w:rFonts w:ascii="仿宋" w:eastAsia="仿宋" w:hAnsi="仿宋" w:cs="仿宋"/>
          <w:sz w:val="22"/>
          <w:szCs w:val="22"/>
        </w:rPr>
      </w:pPr>
      <w:r>
        <w:rPr>
          <w:rFonts w:ascii="仿宋" w:eastAsia="仿宋" w:hAnsi="仿宋" w:cs="仿宋"/>
          <w:spacing w:val="9"/>
          <w:position w:val="23"/>
          <w:sz w:val="22"/>
          <w:szCs w:val="22"/>
        </w:rPr>
        <w:t>·  其他应收款组合3:应收出口退税款</w:t>
      </w:r>
    </w:p>
    <w:p>
      <w:pPr>
        <w:spacing w:before="1" w:line="221" w:lineRule="auto"/>
        <w:ind w:left="429"/>
        <w:rPr>
          <w:rFonts w:ascii="仿宋" w:eastAsia="仿宋" w:hAnsi="仿宋" w:cs="仿宋"/>
          <w:sz w:val="22"/>
          <w:szCs w:val="22"/>
        </w:rPr>
      </w:pPr>
      <w:r>
        <w:rPr>
          <w:rFonts w:ascii="仿宋" w:eastAsia="仿宋" w:hAnsi="仿宋" w:cs="仿宋"/>
          <w:spacing w:val="9"/>
          <w:sz w:val="22"/>
          <w:szCs w:val="22"/>
        </w:rPr>
        <w:t>·  其他应收款组合4:应收备用金款</w:t>
      </w:r>
    </w:p>
    <w:p>
      <w:pPr>
        <w:spacing w:before="225" w:line="222" w:lineRule="auto"/>
        <w:ind w:left="429"/>
        <w:rPr>
          <w:rFonts w:ascii="仿宋" w:eastAsia="仿宋" w:hAnsi="仿宋" w:cs="仿宋"/>
          <w:sz w:val="22"/>
          <w:szCs w:val="22"/>
        </w:rPr>
      </w:pPr>
      <w:r>
        <w:rPr>
          <w:rFonts w:ascii="仿宋" w:eastAsia="仿宋" w:hAnsi="仿宋" w:cs="仿宋"/>
          <w:spacing w:val="9"/>
          <w:sz w:val="22"/>
          <w:szCs w:val="22"/>
        </w:rPr>
        <w:t>·  其他应收款组合5:应收其他款项</w:t>
      </w:r>
    </w:p>
    <w:p>
      <w:pPr>
        <w:spacing w:before="214" w:line="242" w:lineRule="auto"/>
        <w:ind w:left="429" w:right="1215"/>
        <w:rPr>
          <w:rFonts w:ascii="仿宋" w:eastAsia="仿宋" w:hAnsi="仿宋" w:cs="仿宋"/>
          <w:sz w:val="22"/>
          <w:szCs w:val="22"/>
        </w:rPr>
      </w:pPr>
      <w:r>
        <w:rPr>
          <w:rFonts w:ascii="仿宋" w:eastAsia="仿宋" w:hAnsi="仿宋" w:cs="仿宋"/>
          <w:spacing w:val="6"/>
          <w:sz w:val="22"/>
          <w:szCs w:val="22"/>
        </w:rPr>
        <w:t>对划分为组合的其他应收款，本公司通过违约风险敞口和未来12 个月内或整个存续期</w:t>
      </w:r>
      <w:r>
        <w:rPr>
          <w:rFonts w:ascii="仿宋" w:eastAsia="仿宋" w:hAnsi="仿宋" w:cs="仿宋"/>
          <w:spacing w:val="9"/>
          <w:sz w:val="22"/>
          <w:szCs w:val="22"/>
        </w:rPr>
        <w:t xml:space="preserve"> </w:t>
      </w:r>
      <w:r>
        <w:rPr>
          <w:rFonts w:ascii="仿宋" w:eastAsia="仿宋" w:hAnsi="仿宋" w:cs="仿宋"/>
          <w:spacing w:val="1"/>
          <w:sz w:val="22"/>
          <w:szCs w:val="22"/>
        </w:rPr>
        <w:t>预期信用损失率，计算预期信用损失。</w:t>
      </w:r>
    </w:p>
    <w:p>
      <w:pPr>
        <w:spacing w:before="217" w:line="223" w:lineRule="auto"/>
        <w:ind w:left="429"/>
        <w:rPr>
          <w:rFonts w:ascii="仿宋" w:eastAsia="仿宋" w:hAnsi="仿宋" w:cs="仿宋"/>
          <w:sz w:val="22"/>
          <w:szCs w:val="22"/>
        </w:rPr>
      </w:pPr>
      <w:r>
        <w:rPr>
          <w:rFonts w:ascii="仿宋" w:eastAsia="仿宋" w:hAnsi="仿宋" w:cs="仿宋"/>
          <w:spacing w:val="2"/>
          <w:sz w:val="22"/>
          <w:szCs w:val="22"/>
        </w:rPr>
        <w:t>长期应收款</w:t>
      </w:r>
    </w:p>
    <w:p>
      <w:pPr>
        <w:spacing w:before="252" w:line="221" w:lineRule="auto"/>
        <w:ind w:left="429"/>
        <w:rPr>
          <w:rFonts w:ascii="仿宋" w:eastAsia="仿宋" w:hAnsi="仿宋" w:cs="仿宋"/>
          <w:sz w:val="22"/>
          <w:szCs w:val="22"/>
        </w:rPr>
      </w:pPr>
      <w:r>
        <w:rPr>
          <w:rFonts w:ascii="仿宋" w:eastAsia="仿宋" w:hAnsi="仿宋" w:cs="仿宋"/>
          <w:spacing w:val="-1"/>
          <w:sz w:val="22"/>
          <w:szCs w:val="22"/>
        </w:rPr>
        <w:t>本公司的长期应收款包括应收保证金等款项。</w:t>
      </w:r>
    </w:p>
    <w:p>
      <w:pPr>
        <w:spacing w:before="226" w:line="237" w:lineRule="auto"/>
        <w:ind w:left="429" w:right="1224"/>
        <w:jc w:val="both"/>
        <w:rPr>
          <w:rFonts w:ascii="仿宋" w:eastAsia="仿宋" w:hAnsi="仿宋" w:cs="仿宋"/>
          <w:sz w:val="22"/>
          <w:szCs w:val="22"/>
        </w:rPr>
      </w:pPr>
      <w:r>
        <w:rPr>
          <w:rFonts w:ascii="仿宋" w:eastAsia="仿宋" w:hAnsi="仿宋" w:cs="仿宋"/>
          <w:spacing w:val="9"/>
          <w:sz w:val="22"/>
          <w:szCs w:val="22"/>
        </w:rPr>
        <w:t>当单项长期应收款无法以合理成本评估预期</w:t>
      </w:r>
      <w:r>
        <w:rPr>
          <w:rFonts w:ascii="仿宋" w:eastAsia="仿宋" w:hAnsi="仿宋" w:cs="仿宋"/>
          <w:spacing w:val="8"/>
          <w:sz w:val="22"/>
          <w:szCs w:val="22"/>
        </w:rPr>
        <w:t>信用损失的信息时，本公司依据信用风险</w:t>
      </w:r>
      <w:r>
        <w:rPr>
          <w:rFonts w:ascii="仿宋" w:eastAsia="仿宋" w:hAnsi="仿宋" w:cs="仿宋"/>
          <w:sz w:val="22"/>
          <w:szCs w:val="22"/>
        </w:rPr>
        <w:t xml:space="preserve"> </w:t>
      </w:r>
      <w:r>
        <w:rPr>
          <w:rFonts w:ascii="仿宋" w:eastAsia="仿宋" w:hAnsi="仿宋" w:cs="仿宋"/>
          <w:spacing w:val="9"/>
          <w:sz w:val="22"/>
          <w:szCs w:val="22"/>
        </w:rPr>
        <w:t>特征将应收保证金划分为若干组合，在组合基础上计算预期信用损失，确定组合的依</w:t>
      </w:r>
      <w:r>
        <w:rPr>
          <w:rFonts w:ascii="仿宋" w:eastAsia="仿宋" w:hAnsi="仿宋" w:cs="仿宋"/>
          <w:spacing w:val="11"/>
          <w:sz w:val="22"/>
          <w:szCs w:val="22"/>
        </w:rPr>
        <w:t xml:space="preserve"> </w:t>
      </w:r>
      <w:r>
        <w:rPr>
          <w:rFonts w:ascii="仿宋" w:eastAsia="仿宋" w:hAnsi="仿宋" w:cs="仿宋"/>
          <w:spacing w:val="-4"/>
          <w:sz w:val="22"/>
          <w:szCs w:val="22"/>
        </w:rPr>
        <w:t>据如下：</w:t>
      </w:r>
    </w:p>
    <w:p>
      <w:pPr>
        <w:spacing w:before="234" w:line="222" w:lineRule="auto"/>
        <w:ind w:left="429"/>
        <w:rPr>
          <w:rFonts w:ascii="仿宋" w:eastAsia="仿宋" w:hAnsi="仿宋" w:cs="仿宋"/>
          <w:sz w:val="22"/>
          <w:szCs w:val="22"/>
        </w:rPr>
      </w:pPr>
      <w:r>
        <w:rPr>
          <w:rFonts w:ascii="Times New Roman" w:eastAsia="Times New Roman" w:hAnsi="Times New Roman" w:cs="Times New Roman"/>
          <w:b/>
          <w:bCs/>
          <w:spacing w:val="-2"/>
          <w:sz w:val="22"/>
          <w:szCs w:val="22"/>
        </w:rPr>
        <w:t>A</w:t>
      </w:r>
      <w:r>
        <w:rPr>
          <w:rFonts w:ascii="宋体" w:eastAsia="宋体" w:hAnsi="宋体" w:cs="宋体"/>
          <w:b/>
          <w:bCs/>
          <w:spacing w:val="-2"/>
          <w:sz w:val="22"/>
          <w:szCs w:val="22"/>
        </w:rPr>
        <w:t>、</w:t>
      </w:r>
      <w:r>
        <w:rPr>
          <w:rFonts w:ascii="仿宋" w:eastAsia="仿宋" w:hAnsi="仿宋" w:cs="仿宋"/>
          <w:spacing w:val="-2"/>
          <w:sz w:val="22"/>
          <w:szCs w:val="22"/>
        </w:rPr>
        <w:t>其他长期应收款</w:t>
      </w:r>
    </w:p>
    <w:p>
      <w:pPr>
        <w:spacing w:before="224" w:line="221" w:lineRule="auto"/>
        <w:ind w:left="429"/>
        <w:rPr>
          <w:rFonts w:ascii="仿宋" w:eastAsia="仿宋" w:hAnsi="仿宋" w:cs="仿宋"/>
          <w:sz w:val="22"/>
          <w:szCs w:val="22"/>
        </w:rPr>
      </w:pPr>
      <w:r>
        <w:rPr>
          <w:rFonts w:ascii="仿宋" w:eastAsia="仿宋" w:hAnsi="仿宋" w:cs="仿宋"/>
          <w:spacing w:val="15"/>
          <w:sz w:val="22"/>
          <w:szCs w:val="22"/>
        </w:rPr>
        <w:t>·  其他长期应收款组合1:应收保证金</w:t>
      </w:r>
    </w:p>
    <w:p>
      <w:pPr>
        <w:spacing w:before="246" w:line="231" w:lineRule="auto"/>
        <w:ind w:left="429" w:right="1218"/>
        <w:rPr>
          <w:rFonts w:ascii="仿宋" w:eastAsia="仿宋" w:hAnsi="仿宋" w:cs="仿宋"/>
          <w:sz w:val="22"/>
          <w:szCs w:val="22"/>
        </w:rPr>
      </w:pPr>
      <w:r>
        <w:rPr>
          <w:rFonts w:ascii="仿宋" w:eastAsia="仿宋" w:hAnsi="仿宋" w:cs="仿宋"/>
          <w:spacing w:val="3"/>
          <w:sz w:val="22"/>
          <w:szCs w:val="22"/>
        </w:rPr>
        <w:t>对于应收保证金，本公司参考历史信用损失经验，结合当前状况以及对未来经济状况的</w:t>
      </w:r>
      <w:r>
        <w:rPr>
          <w:rFonts w:ascii="仿宋" w:eastAsia="仿宋" w:hAnsi="仿宋" w:cs="仿宋"/>
          <w:spacing w:val="16"/>
          <w:sz w:val="22"/>
          <w:szCs w:val="22"/>
        </w:rPr>
        <w:t xml:space="preserve"> </w:t>
      </w:r>
      <w:r>
        <w:rPr>
          <w:rFonts w:ascii="仿宋" w:eastAsia="仿宋" w:hAnsi="仿宋" w:cs="仿宋"/>
          <w:spacing w:val="3"/>
          <w:sz w:val="22"/>
          <w:szCs w:val="22"/>
        </w:rPr>
        <w:t>预测，通过违约风险敞口和整个存续期预期信用损失率，计算预期信</w:t>
      </w:r>
      <w:r>
        <w:rPr>
          <w:rFonts w:ascii="仿宋" w:eastAsia="仿宋" w:hAnsi="仿宋" w:cs="仿宋"/>
          <w:spacing w:val="2"/>
          <w:sz w:val="22"/>
          <w:szCs w:val="22"/>
        </w:rPr>
        <w:t>用损失。</w:t>
      </w:r>
    </w:p>
    <w:p>
      <w:pPr>
        <w:spacing w:before="231" w:line="243" w:lineRule="auto"/>
        <w:ind w:left="429" w:right="1220"/>
        <w:rPr>
          <w:rFonts w:ascii="仿宋" w:eastAsia="仿宋" w:hAnsi="仿宋" w:cs="仿宋"/>
          <w:sz w:val="22"/>
          <w:szCs w:val="22"/>
        </w:rPr>
      </w:pPr>
      <w:r>
        <w:rPr>
          <w:rFonts w:ascii="仿宋" w:eastAsia="仿宋" w:hAnsi="仿宋" w:cs="仿宋"/>
          <w:spacing w:val="6"/>
          <w:sz w:val="22"/>
          <w:szCs w:val="22"/>
        </w:rPr>
        <w:t>除应收保证金之外的划分为组合的长期应收款，通过违约风险敞口和未来12 个月内或</w:t>
      </w:r>
      <w:r>
        <w:rPr>
          <w:rFonts w:ascii="仿宋" w:eastAsia="仿宋" w:hAnsi="仿宋" w:cs="仿宋"/>
          <w:spacing w:val="4"/>
          <w:sz w:val="22"/>
          <w:szCs w:val="22"/>
        </w:rPr>
        <w:t xml:space="preserve"> </w:t>
      </w:r>
      <w:r>
        <w:rPr>
          <w:rFonts w:ascii="仿宋" w:eastAsia="仿宋" w:hAnsi="仿宋" w:cs="仿宋"/>
          <w:spacing w:val="1"/>
          <w:sz w:val="22"/>
          <w:szCs w:val="22"/>
        </w:rPr>
        <w:t>整个存续期预期信用损失率，计算预期信用损失，</w:t>
      </w:r>
    </w:p>
    <w:p>
      <w:pPr>
        <w:spacing w:before="230" w:line="221" w:lineRule="auto"/>
        <w:ind w:left="429"/>
        <w:rPr>
          <w:rFonts w:ascii="仿宋" w:eastAsia="仿宋" w:hAnsi="仿宋" w:cs="仿宋"/>
          <w:sz w:val="22"/>
          <w:szCs w:val="22"/>
        </w:rPr>
      </w:pPr>
      <w:r>
        <w:rPr>
          <w:rFonts w:ascii="仿宋" w:eastAsia="仿宋" w:hAnsi="仿宋" w:cs="仿宋"/>
          <w:spacing w:val="5"/>
          <w:sz w:val="22"/>
          <w:szCs w:val="22"/>
        </w:rPr>
        <w:t>债权投资、其他债权投资</w:t>
      </w:r>
    </w:p>
    <w:p>
      <w:pPr>
        <w:spacing w:before="205" w:line="237" w:lineRule="auto"/>
        <w:ind w:left="429" w:right="1214"/>
        <w:jc w:val="both"/>
        <w:rPr>
          <w:rFonts w:ascii="仿宋" w:eastAsia="仿宋" w:hAnsi="仿宋" w:cs="仿宋"/>
          <w:sz w:val="22"/>
          <w:szCs w:val="22"/>
        </w:rPr>
      </w:pPr>
      <w:r>
        <w:rPr>
          <w:rFonts w:ascii="仿宋" w:eastAsia="仿宋" w:hAnsi="仿宋" w:cs="仿宋"/>
          <w:spacing w:val="3"/>
          <w:sz w:val="22"/>
          <w:szCs w:val="22"/>
        </w:rPr>
        <w:t>对于债权投资和其他债权投资，本公司按照投资的性质，根据交易对手和风险敞口的各</w:t>
      </w:r>
      <w:r>
        <w:rPr>
          <w:rFonts w:ascii="仿宋" w:eastAsia="仿宋" w:hAnsi="仿宋" w:cs="仿宋"/>
          <w:spacing w:val="10"/>
          <w:sz w:val="22"/>
          <w:szCs w:val="22"/>
        </w:rPr>
        <w:t xml:space="preserve"> </w:t>
      </w:r>
      <w:r>
        <w:rPr>
          <w:rFonts w:ascii="仿宋" w:eastAsia="仿宋" w:hAnsi="仿宋" w:cs="仿宋"/>
          <w:spacing w:val="9"/>
          <w:sz w:val="22"/>
          <w:szCs w:val="22"/>
        </w:rPr>
        <w:t>种类型，通过违约风险敞口和未来12个月内或整个存续期预期信用损失率，计算预期</w:t>
      </w:r>
      <w:r>
        <w:rPr>
          <w:rFonts w:ascii="仿宋" w:eastAsia="仿宋" w:hAnsi="仿宋" w:cs="仿宋"/>
          <w:spacing w:val="12"/>
          <w:sz w:val="22"/>
          <w:szCs w:val="22"/>
        </w:rPr>
        <w:t xml:space="preserve"> </w:t>
      </w:r>
      <w:r>
        <w:rPr>
          <w:rFonts w:ascii="仿宋" w:eastAsia="仿宋" w:hAnsi="仿宋" w:cs="仿宋"/>
          <w:spacing w:val="-4"/>
          <w:sz w:val="22"/>
          <w:szCs w:val="22"/>
        </w:rPr>
        <w:t>信用损失。</w:t>
      </w:r>
    </w:p>
    <w:p>
      <w:pPr>
        <w:spacing w:before="271" w:line="220" w:lineRule="auto"/>
        <w:ind w:left="433"/>
        <w:rPr>
          <w:rFonts w:ascii="仿宋" w:eastAsia="仿宋" w:hAnsi="仿宋" w:cs="仿宋"/>
          <w:sz w:val="22"/>
          <w:szCs w:val="22"/>
        </w:rPr>
      </w:pPr>
      <w:r>
        <w:rPr>
          <w:rFonts w:ascii="仿宋" w:eastAsia="仿宋" w:hAnsi="仿宋" w:cs="仿宋"/>
          <w:b/>
          <w:bCs/>
          <w:spacing w:val="2"/>
          <w:sz w:val="22"/>
          <w:szCs w:val="22"/>
        </w:rPr>
        <w:t>信用风险显著增加的评估</w:t>
      </w:r>
    </w:p>
    <w:p>
      <w:pPr>
        <w:spacing w:before="211" w:line="243" w:lineRule="auto"/>
        <w:ind w:left="429" w:right="1200"/>
        <w:jc w:val="both"/>
        <w:rPr>
          <w:rFonts w:ascii="仿宋" w:eastAsia="仿宋" w:hAnsi="仿宋" w:cs="仿宋"/>
          <w:sz w:val="22"/>
          <w:szCs w:val="22"/>
        </w:rPr>
      </w:pPr>
      <w:r>
        <w:rPr>
          <w:rFonts w:ascii="仿宋" w:eastAsia="仿宋" w:hAnsi="仿宋" w:cs="仿宋"/>
          <w:spacing w:val="9"/>
          <w:sz w:val="22"/>
          <w:szCs w:val="22"/>
        </w:rPr>
        <w:t>本公司通过比较金融工具在资产负债表日发生违约的风险与在初始确认日发生违约的</w:t>
      </w:r>
      <w:r>
        <w:rPr>
          <w:rFonts w:ascii="仿宋" w:eastAsia="仿宋" w:hAnsi="仿宋" w:cs="仿宋"/>
          <w:spacing w:val="17"/>
          <w:sz w:val="22"/>
          <w:szCs w:val="22"/>
        </w:rPr>
        <w:t xml:space="preserve"> </w:t>
      </w:r>
      <w:r>
        <w:rPr>
          <w:rFonts w:ascii="仿宋" w:eastAsia="仿宋" w:hAnsi="仿宋" w:cs="仿宋"/>
          <w:spacing w:val="4"/>
          <w:sz w:val="22"/>
          <w:szCs w:val="22"/>
        </w:rPr>
        <w:t>风险，以确定金融工具预计存续期内发生违约风险的相对变化，以评估金融工</w:t>
      </w:r>
      <w:r>
        <w:rPr>
          <w:rFonts w:ascii="仿宋" w:eastAsia="仿宋" w:hAnsi="仿宋" w:cs="仿宋"/>
          <w:spacing w:val="3"/>
          <w:sz w:val="22"/>
          <w:szCs w:val="22"/>
        </w:rPr>
        <w:t>具的信用</w:t>
      </w:r>
      <w:r>
        <w:rPr>
          <w:rFonts w:ascii="仿宋" w:eastAsia="仿宋" w:hAnsi="仿宋" w:cs="仿宋"/>
          <w:sz w:val="22"/>
          <w:szCs w:val="22"/>
        </w:rPr>
        <w:t xml:space="preserve"> </w:t>
      </w:r>
      <w:r>
        <w:rPr>
          <w:rFonts w:ascii="仿宋" w:eastAsia="仿宋" w:hAnsi="仿宋" w:cs="仿宋"/>
          <w:spacing w:val="-2"/>
          <w:sz w:val="22"/>
          <w:szCs w:val="22"/>
        </w:rPr>
        <w:t>风险自初始确认后是否已显著增加。</w:t>
      </w:r>
    </w:p>
    <w:p>
      <w:pPr>
        <w:spacing w:before="210" w:line="245" w:lineRule="auto"/>
        <w:ind w:left="429" w:right="1206"/>
        <w:rPr>
          <w:rFonts w:ascii="仿宋" w:eastAsia="仿宋" w:hAnsi="仿宋" w:cs="仿宋"/>
          <w:sz w:val="22"/>
          <w:szCs w:val="22"/>
        </w:rPr>
      </w:pPr>
      <w:r>
        <w:rPr>
          <w:rFonts w:ascii="仿宋" w:eastAsia="仿宋" w:hAnsi="仿宋" w:cs="仿宋"/>
          <w:spacing w:val="4"/>
          <w:sz w:val="22"/>
          <w:szCs w:val="22"/>
        </w:rPr>
        <w:t>在确定信用风险自初始确认后是否显著增加时，本公司考虑无须</w:t>
      </w:r>
      <w:r>
        <w:rPr>
          <w:rFonts w:ascii="仿宋" w:eastAsia="仿宋" w:hAnsi="仿宋" w:cs="仿宋"/>
          <w:spacing w:val="3"/>
          <w:sz w:val="22"/>
          <w:szCs w:val="22"/>
        </w:rPr>
        <w:t>付出不必要的额外成本</w:t>
      </w:r>
      <w:r>
        <w:rPr>
          <w:rFonts w:ascii="仿宋" w:eastAsia="仿宋" w:hAnsi="仿宋" w:cs="仿宋"/>
          <w:sz w:val="22"/>
          <w:szCs w:val="22"/>
        </w:rPr>
        <w:t xml:space="preserve"> </w:t>
      </w:r>
      <w:r>
        <w:rPr>
          <w:rFonts w:ascii="仿宋" w:eastAsia="仿宋" w:hAnsi="仿宋" w:cs="仿宋"/>
          <w:spacing w:val="4"/>
          <w:sz w:val="22"/>
          <w:szCs w:val="22"/>
        </w:rPr>
        <w:t>或努力即可获得的合理且有依据的信息，包括前瞻性信息。本公</w:t>
      </w:r>
      <w:r>
        <w:rPr>
          <w:rFonts w:ascii="仿宋" w:eastAsia="仿宋" w:hAnsi="仿宋" w:cs="仿宋"/>
          <w:spacing w:val="3"/>
          <w:sz w:val="22"/>
          <w:szCs w:val="22"/>
        </w:rPr>
        <w:t>司考虑的信息包括：</w:t>
      </w:r>
    </w:p>
    <w:p>
      <w:pPr>
        <w:spacing w:before="228" w:line="221" w:lineRule="auto"/>
        <w:ind w:left="429"/>
        <w:rPr>
          <w:rFonts w:ascii="仿宋" w:eastAsia="仿宋" w:hAnsi="仿宋" w:cs="仿宋"/>
          <w:sz w:val="22"/>
          <w:szCs w:val="22"/>
        </w:rPr>
      </w:pPr>
      <w:r>
        <w:rPr>
          <w:rFonts w:ascii="仿宋" w:eastAsia="仿宋" w:hAnsi="仿宋" w:cs="仿宋"/>
          <w:spacing w:val="-2"/>
          <w:sz w:val="22"/>
          <w:szCs w:val="22"/>
        </w:rPr>
        <w:t>·  债务人未能按合同到期日支付本金和利息的情况；</w:t>
      </w:r>
    </w:p>
    <w:p>
      <w:pPr>
        <w:pStyle w:val="BodyText"/>
        <w:spacing w:line="351" w:lineRule="auto"/>
      </w:pPr>
    </w:p>
    <w:p>
      <w:pPr>
        <w:pStyle w:val="BodyText"/>
        <w:spacing w:line="352" w:lineRule="auto"/>
      </w:pPr>
    </w:p>
    <w:p>
      <w:pPr>
        <w:spacing w:before="46" w:line="183" w:lineRule="auto"/>
        <w:ind w:left="4669"/>
        <w:rPr>
          <w:rFonts w:ascii="宋体" w:eastAsia="宋体" w:hAnsi="宋体" w:cs="宋体"/>
          <w:sz w:val="14"/>
          <w:szCs w:val="14"/>
        </w:rPr>
      </w:pPr>
      <w:r>
        <w:rPr>
          <w:rFonts w:ascii="宋体" w:eastAsia="宋体" w:hAnsi="宋体" w:cs="宋体"/>
          <w:spacing w:val="-2"/>
          <w:sz w:val="14"/>
          <w:szCs w:val="14"/>
        </w:rPr>
        <w:t>23</w:t>
      </w:r>
    </w:p>
    <w:p>
      <w:pPr>
        <w:pStyle w:val="BodyText"/>
        <w:spacing w:line="285" w:lineRule="auto"/>
      </w:pPr>
    </w:p>
    <w:p>
      <w:pPr>
        <w:pStyle w:val="BodyText"/>
        <w:spacing w:line="285" w:lineRule="auto"/>
      </w:pPr>
    </w:p>
    <w:p>
      <w:pPr>
        <w:spacing w:before="71" w:line="183" w:lineRule="auto"/>
        <w:ind w:left="4279"/>
        <w:rPr>
          <w:rFonts w:ascii="宋体" w:eastAsia="宋体" w:hAnsi="宋体" w:cs="宋体"/>
          <w:sz w:val="22"/>
          <w:szCs w:val="22"/>
        </w:rPr>
      </w:pPr>
      <w:r>
        <w:rPr>
          <w:rFonts w:ascii="宋体" w:eastAsia="宋体" w:hAnsi="宋体" w:cs="宋体"/>
          <w:spacing w:val="-20"/>
          <w:sz w:val="22"/>
          <w:szCs w:val="22"/>
        </w:rPr>
        <w:t>3-2-3-25</w:t>
      </w:r>
    </w:p>
    <w:p>
      <w:pPr>
        <w:spacing w:line="183" w:lineRule="auto"/>
        <w:rPr>
          <w:rFonts w:ascii="宋体" w:eastAsia="宋体" w:hAnsi="宋体" w:cs="宋体"/>
          <w:sz w:val="22"/>
          <w:szCs w:val="22"/>
        </w:rPr>
      </w:pPr>
      <w:r>
        <w:rPr>
          <w:rFonts w:ascii="宋体" w:eastAsia="宋体" w:hAnsi="宋体" w:cs="宋体"/>
          <w:sz w:val="22"/>
          <w:szCs w:val="22"/>
        </w:rPr>
        <w:br/>
      </w:r>
      <w:r>
        <w:rPr>
          <w:rFonts w:ascii="宋体" w:eastAsia="宋体" w:hAnsi="宋体" w:cs="宋体"/>
          <w:sz w:val="22"/>
          <w:szCs w:val="22"/>
        </w:rPr>
        <w:br/>
      </w:r>
    </w:p>
    <w:p>
      <w:pPr>
        <w:kinsoku/>
        <w:autoSpaceDE/>
        <w:autoSpaceDN/>
        <w:adjustRightInd/>
        <w:snapToGrid/>
        <w:spacing w:line="240" w:lineRule="auto"/>
        <w:jc w:val="left"/>
        <w:textAlignment w:val="auto"/>
        <w:rPr>
          <w:rFonts w:ascii="SimSun" w:eastAsia="SimSun" w:hAnsi="SimSun" w:cs="SimSun"/>
          <w:b/>
          <w:bCs/>
          <w:snapToGrid/>
          <w:kern w:val="0"/>
          <w:sz w:val="30"/>
          <w:szCs w:val="30"/>
        </w:rPr>
      </w:pPr>
      <w:r>
        <w:rPr>
          <w:rFonts w:ascii="SimSun" w:eastAsia="SimSun" w:hAnsi="SimSun" w:cs="SimSun"/>
          <w:b/>
          <w:bCs/>
          <w:snapToGrid/>
          <w:kern w:val="0"/>
          <w:sz w:val="30"/>
          <w:szCs w:val="30"/>
        </w:rPr>
        <w:t>以上内容仅为本文档的试下载部分，为可阅读页数的一半内容。如要下载或阅读全文，请访问：</w:t>
      </w:r>
      <w:hyperlink r:id="rId26" w:history="1">
        <w:r>
          <w:rPr>
            <w:rFonts w:ascii="SimSun" w:eastAsia="SimSun" w:hAnsi="SimSun" w:cs="SimSun"/>
            <w:b/>
            <w:bCs/>
            <w:snapToGrid/>
            <w:color w:val="0000EE"/>
            <w:kern w:val="0"/>
            <w:sz w:val="30"/>
            <w:szCs w:val="30"/>
            <w:u w:val="single" w:color="0000EE"/>
          </w:rPr>
          <w:t>https://d.book118.com/885343013010011112</w:t>
        </w:r>
      </w:hyperlink>
    </w:p>
    <w:p>
      <w:pPr>
        <w:spacing w:line="183" w:lineRule="auto"/>
        <w:rPr>
          <w:rFonts w:ascii="宋体" w:eastAsia="宋体" w:hAnsi="宋体" w:cs="宋体"/>
          <w:sz w:val="22"/>
          <w:szCs w:val="22"/>
        </w:rPr>
      </w:pPr>
    </w:p>
    <w:sectPr>
      <w:headerReference w:type="default" r:id="rId27"/>
      <w:pgSz w:w="12060" w:h="16930"/>
      <w:pgMar w:top="400" w:right="400" w:bottom="0" w:left="1520" w:header="0" w:footer="0" w:gutter="0"/>
      <w:pgNumType w:start="27"/>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STXinwei">
    <w:altName w:val="Segoe Print"/>
    <w:panose1 w:val="00000000000000000000"/>
    <w:charset w:val="00"/>
    <w:family w:val="auto"/>
    <w:pitch w:val="default"/>
    <w:sig w:usb0="00000000" w:usb1="00000000" w:usb2="00000000" w:usb3="00000000" w:csb0="00000001" w:csb1="00000000"/>
  </w:font>
  <w:font w:name="LiSu">
    <w:altName w:val="Segoe Print"/>
    <w:panose1 w:val="00000000000000000000"/>
    <w:charset w:val="00"/>
    <w:family w:val="auto"/>
    <w:pitch w:val="default"/>
    <w:sig w:usb0="00000000" w:usb1="00000000" w:usb2="00000000" w:usb3="00000000" w:csb0="00000001" w:csb1="00000000"/>
  </w:font>
  <w:font w:name="STXingkai">
    <w:altName w:val="Segoe Print"/>
    <w:panose1 w:val="00000000000000000000"/>
    <w:charset w:val="00"/>
    <w:family w:val="auto"/>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0A12A70"/>
  </w:rsids>
  <w:docVars>
    <w:docVar w:name="commondata" w:val="eyJoZGlkIjoiMzg5MzIzOGViZDdkODk4MmE0YTVmMDFiMmQzMDNhZDUifQ=="/>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en-US" w:eastAsia="en-US" w:bidi="ar-SA"/>
      </w:rPr>
    </w:rPrDefault>
    <w:pPrDefault/>
  </w:docDefaults>
  <w:latentStyles w:defLockedState="0" w:defUIPriority="99" w:defSemiHidden="1" w:defUnhideWhenUsed="1" w:defQFormat="0" w:count="260">
    <w:lsdException w:name="Normal"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rFonts w:ascii="Arial" w:eastAsia="Arial" w:hAnsi="Arial" w:cs="Arial"/>
      <w:snapToGrid w:val="0"/>
      <w:color w:val="000000"/>
      <w:kern w:val="0"/>
      <w:sz w:val="21"/>
      <w:szCs w:val="21"/>
      <w:lang w:val="en-US" w:eastAsia="en-US"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宋体" w:eastAsia="宋体" w:hAnsi="宋体" w:cs="宋体"/>
      <w:sz w:val="14"/>
      <w:szCs w:val="14"/>
      <w:lang w:val="en-US" w:eastAsia="en-US" w:bidi="ar-SA"/>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 w:type="table" w:customStyle="1" w:styleId="TableNormal03">
    <w:name w:val="Table Normal_0_3"/>
    <w:semiHidden/>
    <w:unhideWhenUsed/>
    <w:qFormat/>
    <w:tblPr>
      <w:tblCellMar>
        <w:top w:w="0" w:type="dxa"/>
        <w:left w:w="0" w:type="dxa"/>
        <w:bottom w:w="0" w:type="dxa"/>
        <w:right w:w="0" w:type="dxa"/>
      </w:tblCellMar>
    </w:tblPr>
  </w:style>
  <w:style w:type="table" w:customStyle="1" w:styleId="TableNormal04">
    <w:name w:val="Table Normal_0_4"/>
    <w:semiHidden/>
    <w:unhideWhenUsed/>
    <w:qFormat/>
    <w:tblPr>
      <w:tblCellMar>
        <w:top w:w="0" w:type="dxa"/>
        <w:left w:w="0" w:type="dxa"/>
        <w:bottom w:w="0" w:type="dxa"/>
        <w:right w:w="0" w:type="dxa"/>
      </w:tblCellMar>
    </w:tblPr>
  </w:style>
  <w:style w:type="table" w:customStyle="1" w:styleId="TableNormal05">
    <w:name w:val="Table Normal_0_5"/>
    <w:semiHidden/>
    <w:unhideWhenUsed/>
    <w:qFormat/>
    <w:tblPr>
      <w:tblCellMar>
        <w:top w:w="0" w:type="dxa"/>
        <w:left w:w="0" w:type="dxa"/>
        <w:bottom w:w="0" w:type="dxa"/>
        <w:right w:w="0" w:type="dxa"/>
      </w:tblCellMar>
    </w:tblPr>
  </w:style>
  <w:style w:type="table" w:customStyle="1" w:styleId="TableNormal06">
    <w:name w:val="Table Normal_0_6"/>
    <w:semiHidden/>
    <w:unhideWhenUsed/>
    <w:qFormat/>
    <w:tblPr>
      <w:tblCellMar>
        <w:top w:w="0" w:type="dxa"/>
        <w:left w:w="0" w:type="dxa"/>
        <w:bottom w:w="0" w:type="dxa"/>
        <w:right w:w="0" w:type="dxa"/>
      </w:tblCellMar>
    </w:tblPr>
  </w:style>
  <w:style w:type="table" w:customStyle="1" w:styleId="TableNormal07">
    <w:name w:val="Table Normal_0_7"/>
    <w:semiHidden/>
    <w:unhideWhenUsed/>
    <w:qFormat/>
    <w:tblPr>
      <w:tblCellMar>
        <w:top w:w="0" w:type="dxa"/>
        <w:left w:w="0" w:type="dxa"/>
        <w:bottom w:w="0" w:type="dxa"/>
        <w:right w:w="0" w:type="dxa"/>
      </w:tblCellMar>
    </w:tblPr>
  </w:style>
  <w:style w:type="table" w:customStyle="1" w:styleId="TableNormal08">
    <w:name w:val="Table Normal_0_8"/>
    <w:semiHidden/>
    <w:unhideWhenUsed/>
    <w:qFormat/>
    <w:tblPr>
      <w:tblCellMar>
        <w:top w:w="0" w:type="dxa"/>
        <w:left w:w="0" w:type="dxa"/>
        <w:bottom w:w="0" w:type="dxa"/>
        <w:right w:w="0" w:type="dxa"/>
      </w:tblCellMar>
    </w:tblPr>
  </w:style>
  <w:style w:type="table" w:customStyle="1" w:styleId="TableNormal09">
    <w:name w:val="Table Normal_0_9"/>
    <w:semiHidden/>
    <w:unhideWhenUsed/>
    <w:qFormat/>
    <w:tblPr>
      <w:tblCellMar>
        <w:top w:w="0" w:type="dxa"/>
        <w:left w:w="0" w:type="dxa"/>
        <w:bottom w:w="0" w:type="dxa"/>
        <w:right w:w="0" w:type="dxa"/>
      </w:tblCellMar>
    </w:tblPr>
  </w:style>
  <w:style w:type="table" w:customStyle="1" w:styleId="TableNormal010">
    <w:name w:val="Table Normal_0_1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header" Target="header18.xml" /><Relationship Id="rId23" Type="http://schemas.openxmlformats.org/officeDocument/2006/relationships/header" Target="header19.xml" /><Relationship Id="rId24" Type="http://schemas.openxmlformats.org/officeDocument/2006/relationships/header" Target="header20.xml" /><Relationship Id="rId25" Type="http://schemas.openxmlformats.org/officeDocument/2006/relationships/header" Target="header21.xml" /><Relationship Id="rId26" Type="http://schemas.openxmlformats.org/officeDocument/2006/relationships/hyperlink" Target="https://d.book118.com/885343013010011112" TargetMode="External" /><Relationship Id="rId27" Type="http://schemas.openxmlformats.org/officeDocument/2006/relationships/header" Target="header22.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龙风呈祥</cp:lastModifiedBy>
  <cp:revision>0</cp:revision>
  <dcterms:created xsi:type="dcterms:W3CDTF">2024-02-23T11:56:00Z</dcterms:created>
  <dcterms:modified xsi:type="dcterms:W3CDTF">2024-02-23T03:59:53Z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2024-02-23T11:57:02Z</vt:filetime>
  </property>
  <property fmtid="{D5CDD505-2E9C-101B-9397-08002B2CF9AE}" pid="3" name="CRO">
    <vt:lpwstr>wqlLaW5nc29mdCBQREYgdG8gV1BTIDkw</vt:lpwstr>
  </property>
  <property fmtid="{D5CDD505-2E9C-101B-9397-08002B2CF9AE}" pid="4" name="ICV">
    <vt:lpwstr>D3B432565B3947109E7EC3E4BB2E3109_12</vt:lpwstr>
  </property>
  <property fmtid="{D5CDD505-2E9C-101B-9397-08002B2CF9AE}" pid="5" name="KSOProductBuildVer">
    <vt:lpwstr>2052-12.1.0.16250</vt:lpwstr>
  </property>
  <property fmtid="{D5CDD505-2E9C-101B-9397-08002B2CF9AE}" pid="6" name="UsrData">
    <vt:lpwstr>65d81774021855001f8f0f4cwl</vt:lpwstr>
  </property>
</Properties>
</file>