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keepNext w:val="0"/>
        <w:keepLines w:val="0"/>
        <w:pageBreakBefore w:val="0"/>
        <w:widowControl w:val="0"/>
        <w:kinsoku/>
        <w:wordWrap/>
        <w:overflowPunct/>
        <w:topLinePunct w:val="0"/>
        <w:autoSpaceDE/>
        <w:autoSpaceDN/>
        <w:bidi w:val="0"/>
        <w:adjustRightInd/>
        <w:snapToGrid w:val="0"/>
        <w:spacing w:before="936" w:beforeLines="300" w:beforeAutospacing="0" w:after="624" w:afterLines="200" w:afterAutospacing="0" w:line="360" w:lineRule="auto"/>
        <w:ind w:left="0" w:right="0" w:firstLine="0" w:leftChars="0" w:rightChars="0" w:firstLineChars="0"/>
        <w:jc w:val="center"/>
        <w:textAlignment w:val="auto"/>
        <w:rPr>
          <w:rFonts w:ascii="华文中宋" w:eastAsia="华文中宋" w:hint="eastAsia"/>
          <w:b/>
          <w:i w:val="0"/>
          <w:sz w:val="44"/>
        </w:rPr>
      </w:pPr>
      <w:r>
        <w:rPr>
          <w:rFonts w:ascii="华文中宋" w:eastAsia="华文中宋" w:hint="eastAsia"/>
          <w:b/>
          <w:i w:val="0"/>
          <w:sz w:val="44"/>
          <w:lang w:val="en-US" w:eastAsia="zh-CN"/>
        </w:rPr>
        <w:t>摘要</w:t>
      </w:r>
    </w:p>
    <w:p>
      <w:pPr>
        <w:snapToGrid/>
        <w:spacing w:beforeAutospacing="0" w:afterAutospacing="0" w:line="360" w:lineRule="auto"/>
        <w:ind w:left="0" w:right="0" w:firstLine="480" w:leftChars="0" w:rightChars="0" w:firstLineChars="200"/>
        <w:jc w:val="both"/>
        <w:rPr>
          <w:rFonts w:asciiTheme="minorEastAsia" w:hAnsiTheme="minorEastAsia" w:cstheme="minorEastAsia" w:hint="eastAsia"/>
          <w:sz w:val="24"/>
        </w:rPr>
      </w:pPr>
      <w:r>
        <w:rPr>
          <w:rFonts w:asciiTheme="minorEastAsia" w:hAnsiTheme="minorEastAsia" w:cstheme="minorEastAsia" w:hint="eastAsia"/>
          <w:b/>
          <w:i w:val="0"/>
          <w:sz w:val="24"/>
          <w:lang w:val="en-US" w:eastAsia="zh-CN"/>
        </w:rPr>
        <w:t>高校在</w:t>
      </w:r>
      <w:r>
        <w:rPr>
          <w:rFonts w:asciiTheme="minorEastAsia" w:eastAsiaTheme="minorEastAsia" w:hAnsiTheme="minorEastAsia" w:cstheme="minorEastAsia" w:hint="eastAsia"/>
          <w:b/>
          <w:i w:val="0"/>
          <w:sz w:val="24"/>
          <w:lang w:val="en-US" w:eastAsia="zh-CN"/>
        </w:rPr>
        <w:t>实施</w:t>
      </w:r>
      <w:r>
        <w:rPr>
          <w:rFonts w:asciiTheme="minorEastAsia" w:hAnsiTheme="minorEastAsia" w:cstheme="minorEastAsia" w:hint="eastAsia"/>
          <w:b/>
          <w:i w:val="0"/>
          <w:sz w:val="24"/>
          <w:lang w:val="en-US" w:eastAsia="zh-CN"/>
        </w:rPr>
        <w:t>大学生</w:t>
      </w:r>
      <w:r>
        <w:rPr>
          <w:rFonts w:asciiTheme="minorEastAsia" w:eastAsiaTheme="minorEastAsia" w:hAnsiTheme="minorEastAsia" w:cstheme="minorEastAsia" w:hint="eastAsia"/>
          <w:b/>
          <w:i w:val="0"/>
          <w:sz w:val="24"/>
          <w:lang w:val="en-US" w:eastAsia="zh-CN"/>
        </w:rPr>
        <w:t>素质教育的</w:t>
      </w:r>
      <w:r>
        <w:rPr>
          <w:rFonts w:asciiTheme="minorEastAsia" w:hAnsiTheme="minorEastAsia" w:cstheme="minorEastAsia" w:hint="eastAsia"/>
          <w:b/>
          <w:i w:val="0"/>
          <w:sz w:val="24"/>
          <w:lang w:val="en-US" w:eastAsia="zh-CN"/>
        </w:rPr>
        <w:t>过程中，学生兴趣社团是一个很</w:t>
      </w:r>
      <w:r>
        <w:rPr>
          <w:rFonts w:asciiTheme="minorEastAsia" w:eastAsiaTheme="minorEastAsia" w:hAnsiTheme="minorEastAsia" w:cstheme="minorEastAsia" w:hint="eastAsia"/>
          <w:b/>
          <w:i w:val="0"/>
          <w:sz w:val="24"/>
          <w:lang w:val="en-US" w:eastAsia="zh-CN"/>
        </w:rPr>
        <w:t>重要</w:t>
      </w:r>
      <w:r>
        <w:rPr>
          <w:rFonts w:asciiTheme="minorEastAsia" w:hAnsiTheme="minorEastAsia" w:cstheme="minorEastAsia" w:hint="eastAsia"/>
          <w:b/>
          <w:i w:val="0"/>
          <w:sz w:val="24"/>
          <w:lang w:val="en-US" w:eastAsia="zh-CN"/>
        </w:rPr>
        <w:t>的</w:t>
      </w:r>
      <w:r>
        <w:rPr>
          <w:rFonts w:asciiTheme="minorEastAsia" w:eastAsiaTheme="minorEastAsia" w:hAnsiTheme="minorEastAsia" w:cstheme="minorEastAsia" w:hint="eastAsia"/>
          <w:b/>
          <w:i w:val="0"/>
          <w:sz w:val="24"/>
          <w:lang w:val="en-US" w:eastAsia="zh-CN"/>
        </w:rPr>
        <w:t>途径</w:t>
      </w:r>
      <w:r>
        <w:rPr>
          <w:rFonts w:asciiTheme="minorEastAsia" w:hAnsiTheme="minorEastAsia" w:cstheme="minorEastAsia" w:hint="eastAsia"/>
          <w:b/>
          <w:i w:val="0"/>
          <w:sz w:val="24"/>
          <w:lang w:val="en-US" w:eastAsia="zh-CN"/>
        </w:rPr>
        <w:t>和</w:t>
      </w:r>
      <w:r>
        <w:rPr>
          <w:rFonts w:asciiTheme="minorEastAsia" w:eastAsiaTheme="minorEastAsia" w:hAnsiTheme="minorEastAsia" w:cstheme="minorEastAsia" w:hint="eastAsia"/>
          <w:b/>
          <w:i w:val="0"/>
          <w:sz w:val="24"/>
          <w:lang w:val="en-US" w:eastAsia="zh-CN"/>
        </w:rPr>
        <w:t>方式</w:t>
      </w:r>
      <w:r>
        <w:rPr>
          <w:rFonts w:asciiTheme="minorEastAsia" w:hAnsiTheme="minorEastAsia" w:cstheme="minorEastAsia" w:hint="eastAsia"/>
          <w:b/>
          <w:i w:val="0"/>
          <w:sz w:val="24"/>
          <w:lang w:val="en-US" w:eastAsia="zh-CN"/>
        </w:rPr>
        <w:t>。学生社团可以有效</w:t>
      </w:r>
      <w:r>
        <w:rPr>
          <w:rFonts w:asciiTheme="minorEastAsia" w:eastAsiaTheme="minorEastAsia" w:hAnsiTheme="minorEastAsia" w:cstheme="minorEastAsia" w:hint="eastAsia"/>
          <w:b/>
          <w:i w:val="0"/>
          <w:sz w:val="24"/>
          <w:lang w:val="en-US" w:eastAsia="zh-CN"/>
        </w:rPr>
        <w:t>提高</w:t>
      </w:r>
      <w:r>
        <w:rPr>
          <w:rFonts w:asciiTheme="minorEastAsia" w:hAnsiTheme="minorEastAsia" w:cstheme="minorEastAsia" w:hint="eastAsia"/>
          <w:b/>
          <w:i w:val="0"/>
          <w:sz w:val="24"/>
          <w:lang w:val="en-US" w:eastAsia="zh-CN"/>
        </w:rPr>
        <w:t>大</w:t>
      </w:r>
      <w:r>
        <w:rPr>
          <w:rFonts w:asciiTheme="minorEastAsia" w:eastAsiaTheme="minorEastAsia" w:hAnsiTheme="minorEastAsia" w:cstheme="minorEastAsia" w:hint="eastAsia"/>
          <w:b/>
          <w:i w:val="0"/>
          <w:sz w:val="24"/>
          <w:lang w:val="en-US" w:eastAsia="zh-CN"/>
        </w:rPr>
        <w:t>学生</w:t>
      </w:r>
      <w:r>
        <w:rPr>
          <w:rFonts w:asciiTheme="minorEastAsia" w:hAnsiTheme="minorEastAsia" w:cstheme="minorEastAsia" w:hint="eastAsia"/>
          <w:b/>
          <w:i w:val="0"/>
          <w:sz w:val="24"/>
          <w:lang w:val="en-US" w:eastAsia="zh-CN"/>
        </w:rPr>
        <w:t>的</w:t>
      </w:r>
      <w:r>
        <w:rPr>
          <w:rFonts w:asciiTheme="minorEastAsia" w:eastAsiaTheme="minorEastAsia" w:hAnsiTheme="minorEastAsia" w:cstheme="minorEastAsia" w:hint="eastAsia"/>
          <w:b/>
          <w:i w:val="0"/>
          <w:sz w:val="24"/>
          <w:lang w:val="en-US" w:eastAsia="zh-CN"/>
        </w:rPr>
        <w:t>综合素质</w:t>
      </w:r>
      <w:r>
        <w:rPr>
          <w:rFonts w:asciiTheme="minorEastAsia" w:hAnsiTheme="minorEastAsia" w:cstheme="minorEastAsia" w:hint="eastAsia"/>
          <w:b/>
          <w:i w:val="0"/>
          <w:sz w:val="24"/>
          <w:lang w:val="en-US" w:eastAsia="zh-CN"/>
        </w:rPr>
        <w:t>，</w:t>
      </w:r>
      <w:r>
        <w:rPr>
          <w:rFonts w:asciiTheme="minorEastAsia" w:eastAsiaTheme="minorEastAsia" w:hAnsiTheme="minorEastAsia" w:cstheme="minorEastAsia" w:hint="eastAsia"/>
          <w:b/>
          <w:i w:val="0"/>
          <w:sz w:val="24"/>
          <w:lang w:val="en-US" w:eastAsia="zh-CN"/>
        </w:rPr>
        <w:t>加强校园文化建设</w:t>
      </w:r>
      <w:r>
        <w:rPr>
          <w:rFonts w:asciiTheme="minorEastAsia" w:hAnsiTheme="minorEastAsia" w:cstheme="minorEastAsia" w:hint="eastAsia"/>
          <w:b/>
          <w:i w:val="0"/>
          <w:sz w:val="24"/>
          <w:lang w:val="en-US" w:eastAsia="zh-CN"/>
        </w:rPr>
        <w:t>，同时也会</w:t>
      </w:r>
      <w:r>
        <w:rPr>
          <w:rFonts w:asciiTheme="minorEastAsia" w:eastAsiaTheme="minorEastAsia" w:hAnsiTheme="minorEastAsia" w:cstheme="minorEastAsia" w:hint="eastAsia"/>
          <w:b/>
          <w:i w:val="0"/>
          <w:sz w:val="24"/>
          <w:lang w:val="en-US" w:eastAsia="zh-CN"/>
        </w:rPr>
        <w:t>引导学生适应</w:t>
      </w:r>
      <w:r>
        <w:rPr>
          <w:rFonts w:asciiTheme="minorEastAsia" w:hAnsiTheme="minorEastAsia" w:cstheme="minorEastAsia" w:hint="eastAsia"/>
          <w:b/>
          <w:i w:val="0"/>
          <w:sz w:val="24"/>
          <w:lang w:val="en-US" w:eastAsia="zh-CN"/>
        </w:rPr>
        <w:t>大学</w:t>
      </w:r>
      <w:r>
        <w:rPr>
          <w:rFonts w:asciiTheme="minorEastAsia" w:eastAsiaTheme="minorEastAsia" w:hAnsiTheme="minorEastAsia" w:cstheme="minorEastAsia" w:hint="eastAsia"/>
          <w:b/>
          <w:i w:val="0"/>
          <w:sz w:val="24"/>
          <w:lang w:val="en-US" w:eastAsia="zh-CN"/>
        </w:rPr>
        <w:t>生活等方面</w:t>
      </w:r>
      <w:r>
        <w:rPr>
          <w:rFonts w:asciiTheme="minorEastAsia" w:hAnsiTheme="minorEastAsia" w:cstheme="minorEastAsia" w:hint="eastAsia"/>
          <w:b/>
          <w:i w:val="0"/>
          <w:sz w:val="24"/>
          <w:lang w:val="en-US" w:eastAsia="zh-CN"/>
        </w:rPr>
        <w:t>。</w:t>
      </w:r>
      <w:r>
        <w:rPr>
          <w:rFonts w:asciiTheme="minorEastAsia" w:eastAsiaTheme="minorEastAsia" w:hAnsiTheme="minorEastAsia" w:cstheme="minorEastAsia" w:hint="eastAsia"/>
          <w:b/>
          <w:i w:val="0"/>
          <w:sz w:val="24"/>
          <w:lang w:val="en-US" w:eastAsia="zh-CN"/>
        </w:rPr>
        <w:t>但是目前我国</w:t>
      </w:r>
      <w:r>
        <w:rPr>
          <w:rFonts w:asciiTheme="minorEastAsia" w:hAnsiTheme="minorEastAsia" w:cstheme="minorEastAsia" w:hint="eastAsia"/>
          <w:b/>
          <w:i w:val="0"/>
          <w:sz w:val="24"/>
          <w:lang w:val="en-US" w:eastAsia="zh-CN"/>
        </w:rPr>
        <w:t>绝大多数大学生</w:t>
      </w:r>
      <w:r>
        <w:rPr>
          <w:rFonts w:asciiTheme="minorEastAsia" w:eastAsiaTheme="minorEastAsia" w:hAnsiTheme="minorEastAsia" w:cstheme="minorEastAsia" w:hint="eastAsia"/>
          <w:b/>
          <w:i w:val="0"/>
          <w:sz w:val="24"/>
          <w:lang w:val="en-US" w:eastAsia="zh-CN"/>
        </w:rPr>
        <w:t>社团发展</w:t>
      </w:r>
      <w:r>
        <w:rPr>
          <w:rFonts w:asciiTheme="minorEastAsia" w:hAnsiTheme="minorEastAsia" w:cstheme="minorEastAsia" w:hint="eastAsia"/>
          <w:b/>
          <w:i w:val="0"/>
          <w:sz w:val="24"/>
          <w:lang w:val="en-US" w:eastAsia="zh-CN"/>
        </w:rPr>
        <w:t>不够完善</w:t>
      </w:r>
      <w:r>
        <w:rPr>
          <w:rFonts w:asciiTheme="minorEastAsia" w:eastAsiaTheme="minorEastAsia" w:hAnsiTheme="minorEastAsia" w:cstheme="minorEastAsia" w:hint="eastAsia"/>
          <w:b/>
          <w:i w:val="0"/>
          <w:sz w:val="24"/>
          <w:lang w:val="en-US" w:eastAsia="zh-CN"/>
        </w:rPr>
        <w:t>，高校</w:t>
      </w:r>
      <w:r>
        <w:rPr>
          <w:rFonts w:asciiTheme="minorEastAsia" w:hAnsiTheme="minorEastAsia" w:cstheme="minorEastAsia" w:hint="eastAsia"/>
          <w:b/>
          <w:i w:val="0"/>
          <w:sz w:val="24"/>
          <w:lang w:val="en-US" w:eastAsia="zh-CN"/>
        </w:rPr>
        <w:t>学生对社团的兴趣</w:t>
      </w:r>
      <w:r>
        <w:rPr>
          <w:rFonts w:asciiTheme="minorEastAsia" w:eastAsiaTheme="minorEastAsia" w:hAnsiTheme="minorEastAsia" w:cstheme="minorEastAsia" w:hint="eastAsia"/>
          <w:b/>
          <w:i w:val="0"/>
          <w:sz w:val="24"/>
          <w:lang w:val="en-US" w:eastAsia="zh-CN"/>
        </w:rPr>
        <w:t>日渐降低，导致社团不能发挥应有的作用。</w:t>
      </w:r>
    </w:p>
    <w:p>
      <w:pPr>
        <w:snapToGrid/>
        <w:spacing w:beforeAutospacing="0" w:afterAutospacing="0" w:line="360" w:lineRule="auto"/>
        <w:ind w:left="0" w:right="0" w:firstLine="480" w:leftChars="0" w:rightChars="0" w:firstLineChars="200"/>
        <w:jc w:val="both"/>
        <w:rPr>
          <w:rFonts w:asciiTheme="minorEastAsia" w:hAnsiTheme="minorEastAsia" w:cstheme="minorEastAsia" w:hint="eastAsia"/>
          <w:b/>
          <w:i w:val="0"/>
          <w:sz w:val="24"/>
        </w:rPr>
      </w:pPr>
      <w:r>
        <w:rPr>
          <w:rFonts w:asciiTheme="minorEastAsia" w:eastAsiaTheme="minorEastAsia" w:hAnsiTheme="minorEastAsia" w:cstheme="minorEastAsia" w:hint="eastAsia"/>
          <w:b/>
          <w:i w:val="0"/>
          <w:sz w:val="24"/>
          <w:lang w:val="en-US" w:eastAsia="zh-CN"/>
        </w:rPr>
        <w:t>本论文以成都某高校校内学生社团为实例研究社团品牌形象与社团活动质量之间的关系。通过Likert量表制作问卷，分别以三个维度量化品牌形象和活动质量。本论文数据部分</w:t>
      </w:r>
      <w:r>
        <w:rPr>
          <w:rFonts w:asciiTheme="minorEastAsia" w:hAnsiTheme="minorEastAsia" w:cstheme="minorEastAsia" w:hint="eastAsia"/>
          <w:b/>
          <w:i w:val="0"/>
          <w:sz w:val="24"/>
          <w:lang w:val="en-US" w:eastAsia="zh-CN"/>
        </w:rPr>
        <w:t>以某高校学生为研究对象随机发放调查问卷</w:t>
      </w:r>
      <w:r>
        <w:rPr>
          <w:rFonts w:asciiTheme="minorEastAsia" w:eastAsiaTheme="minorEastAsia" w:hAnsiTheme="minorEastAsia" w:cstheme="minorEastAsia" w:hint="eastAsia"/>
          <w:b/>
          <w:i w:val="0"/>
          <w:sz w:val="24"/>
          <w:lang w:val="en-US" w:eastAsia="zh-CN"/>
        </w:rPr>
        <w:t>，利用SPSS软件</w:t>
      </w:r>
      <w:r>
        <w:rPr>
          <w:rFonts w:asciiTheme="minorEastAsia" w:hAnsiTheme="minorEastAsia" w:cstheme="minorEastAsia" w:hint="eastAsia"/>
          <w:b/>
          <w:i w:val="0"/>
          <w:sz w:val="24"/>
          <w:lang w:val="en-US" w:eastAsia="zh-CN"/>
        </w:rPr>
        <w:t>检验</w:t>
      </w:r>
      <w:r>
        <w:rPr>
          <w:rFonts w:asciiTheme="minorEastAsia" w:eastAsiaTheme="minorEastAsia" w:hAnsiTheme="minorEastAsia" w:cstheme="minorEastAsia" w:hint="eastAsia"/>
          <w:b/>
          <w:i w:val="0"/>
          <w:sz w:val="24"/>
          <w:lang w:val="en-US" w:eastAsia="zh-CN"/>
        </w:rPr>
        <w:t>问卷的信度和效度，结果显示问卷具有良好的信度和效度。</w:t>
      </w:r>
    </w:p>
    <w:p>
      <w:pPr>
        <w:snapToGrid/>
        <w:spacing w:beforeAutospacing="0" w:afterAutospacing="0" w:line="360" w:lineRule="auto"/>
        <w:ind w:left="0" w:right="0" w:firstLine="480" w:leftChars="0" w:rightChars="0" w:firstLineChars="200"/>
        <w:jc w:val="both"/>
        <w:rPr>
          <w:rFonts w:asciiTheme="minorEastAsia" w:hAnsiTheme="minorEastAsia" w:cstheme="minorEastAsia" w:hint="eastAsia"/>
          <w:sz w:val="24"/>
        </w:rPr>
      </w:pPr>
      <w:r>
        <w:rPr>
          <w:rFonts w:asciiTheme="minorEastAsia" w:eastAsiaTheme="minorEastAsia" w:hAnsiTheme="minorEastAsia" w:cstheme="minorEastAsia" w:hint="eastAsia"/>
          <w:b/>
          <w:i w:val="0"/>
          <w:sz w:val="24"/>
          <w:lang w:val="en-US" w:eastAsia="zh-CN"/>
        </w:rPr>
        <w:t>分析显示，社团品牌效应和社团活动质量成正相关关系。</w:t>
      </w:r>
      <w:r>
        <w:rPr>
          <w:rFonts w:asciiTheme="minorEastAsia" w:eastAsiaTheme="minorEastAsia" w:hAnsiTheme="minorEastAsia" w:cstheme="minorEastAsia" w:hint="default"/>
          <w:b/>
          <w:i w:val="0"/>
          <w:sz w:val="24"/>
          <w:lang w:val="en-US" w:eastAsia="zh-CN"/>
        </w:rPr>
        <w:t>高校社团活动质量受活动规模、活动价值、活动个性三个维度影响，分析高校社团活动质量三个维度的具体得分来看，高校社团活动价值较好，而活动规模和活动个性则需要加以改进。</w:t>
      </w:r>
      <w:r>
        <w:rPr>
          <w:rFonts w:asciiTheme="minorEastAsia" w:eastAsiaTheme="minorEastAsia" w:hAnsiTheme="minorEastAsia" w:cstheme="minorEastAsia" w:hint="eastAsia"/>
          <w:b/>
          <w:i w:val="0"/>
          <w:sz w:val="24"/>
          <w:lang w:val="en-US" w:eastAsia="zh-CN"/>
        </w:rPr>
        <w:t>文中从提升社团品牌形象角度出发，提出提高社团的品牌效应的具体建议措施，进而提高高校社团的活动质量，最终促进高校社团的良好发展。</w:t>
      </w:r>
    </w:p>
    <w:p>
      <w:pPr>
        <w:snapToGrid/>
        <w:spacing w:beforeAutospacing="0" w:afterAutospacing="0" w:line="360" w:lineRule="auto"/>
        <w:ind w:left="0" w:right="0" w:firstLine="0" w:leftChars="0" w:rightChars="0" w:firstLineChars="0"/>
        <w:jc w:val="both"/>
        <w:rPr>
          <w:rFonts w:asciiTheme="minorEastAsia" w:hAnsiTheme="minorEastAsia" w:cstheme="minorEastAsia" w:hint="eastAsia"/>
          <w:b/>
          <w:i w:val="0"/>
          <w:sz w:val="24"/>
        </w:rPr>
      </w:pPr>
      <w:r>
        <w:rPr>
          <w:rFonts w:asciiTheme="minorEastAsia" w:eastAsiaTheme="minorEastAsia" w:hAnsiTheme="minorEastAsia" w:cstheme="minorEastAsia" w:hint="eastAsia"/>
          <w:b/>
          <w:i w:val="0"/>
          <w:sz w:val="24"/>
          <w:lang w:val="en-US" w:eastAsia="zh-CN"/>
        </w:rPr>
        <w:t>关键词：高校社团；品牌效应；活动质量</w:t>
      </w:r>
    </w:p>
    <w:p>
      <w:pPr>
        <w:snapToGrid/>
        <w:spacing w:beforeAutospacing="0" w:afterAutospacing="0" w:line="360" w:lineRule="auto"/>
        <w:ind w:left="0" w:right="0" w:firstLine="0" w:leftChars="0" w:rightChars="0" w:firstLineChars="0"/>
        <w:jc w:val="both"/>
        <w:rPr>
          <w:rFonts w:asciiTheme="minorEastAsia" w:hAnsiTheme="minorEastAsia" w:cstheme="minorEastAsia" w:hint="eastAsia"/>
          <w:b/>
          <w:i w:val="0"/>
          <w:sz w:val="24"/>
        </w:rPr>
      </w:pPr>
    </w:p>
    <w:p>
      <w:pPr>
        <w:jc w:val="center"/>
        <w:rPr>
          <w:rFonts w:hint="eastAsia"/>
          <w:sz w:val="44"/>
          <w:szCs w:val="52"/>
        </w:rPr>
        <w:sectPr>
          <w:footerReference w:type="default" r:id="rId5"/>
          <w:pgSz w:w="11906" w:h="16838"/>
          <w:pgMar w:top="1701" w:right="1701" w:bottom="1701" w:left="1701" w:header="851" w:footer="992" w:gutter="0"/>
          <w:pgBorders>
            <w:top w:val="none" w:sz="0" w:space="0" w:color="auto"/>
            <w:left w:val="none" w:sz="0" w:space="0" w:color="auto"/>
            <w:bottom w:val="none" w:sz="0" w:space="0" w:color="auto"/>
            <w:right w:val="none" w:sz="0" w:space="0" w:color="auto"/>
          </w:pgBorders>
          <w:pgNumType w:fmt="decimal"/>
          <w:cols w:num="1" w:space="0"/>
          <w:rtlGutter w:val="0"/>
          <w:docGrid w:type="lines" w:linePitch="312" w:charSpace="0"/>
        </w:sectPr>
      </w:pPr>
    </w:p>
    <w:p>
      <w:pPr>
        <w:keepNext w:val="0"/>
        <w:keepLines w:val="0"/>
        <w:pageBreakBefore w:val="0"/>
        <w:widowControl w:val="0"/>
        <w:kinsoku/>
        <w:wordWrap/>
        <w:overflowPunct/>
        <w:topLinePunct w:val="0"/>
        <w:autoSpaceDE/>
        <w:autoSpaceDN/>
        <w:bidi w:val="0"/>
        <w:adjustRightInd/>
        <w:snapToGrid/>
        <w:spacing w:before="312" w:beforeLines="100" w:beforeAutospacing="0" w:after="312" w:afterLines="100" w:afterAutospacing="0" w:line="360" w:lineRule="auto"/>
        <w:ind w:right="0" w:rightChars="0"/>
        <w:jc w:val="center"/>
        <w:textAlignment w:val="auto"/>
        <w:rPr>
          <w:rFonts w:ascii="Times New Roman" w:eastAsia="华文中宋" w:hAnsi="Times New Roman" w:cs="Times New Roman" w:hint="default"/>
          <w:b/>
          <w:i w:val="0"/>
          <w:sz w:val="44"/>
        </w:rPr>
      </w:pPr>
      <w:r>
        <w:rPr>
          <w:rFonts w:ascii="Times New Roman" w:eastAsia="华文中宋" w:hAnsi="Times New Roman" w:cs="Times New Roman" w:hint="eastAsia"/>
          <w:b/>
          <w:i w:val="0"/>
          <w:sz w:val="44"/>
          <w:lang w:val="en-US" w:eastAsia="zh-CN"/>
        </w:rPr>
        <w:t>A</w:t>
      </w:r>
      <w:r>
        <w:rPr>
          <w:rFonts w:ascii="Times New Roman" w:eastAsia="华文中宋" w:hAnsi="Times New Roman" w:cs="Times New Roman" w:hint="default"/>
          <w:b/>
          <w:i w:val="0"/>
          <w:sz w:val="44"/>
          <w:lang w:val="en-US" w:eastAsia="zh-CN"/>
        </w:rPr>
        <w:t>bstract</w:t>
      </w:r>
    </w:p>
    <w:p>
      <w:pPr>
        <w:snapToGrid/>
        <w:spacing w:beforeAutospacing="0" w:afterAutospacing="0" w:line="360" w:lineRule="auto"/>
        <w:ind w:left="0" w:right="0" w:firstLine="480" w:leftChars="0" w:rightChars="0" w:firstLineChars="200"/>
        <w:jc w:val="both"/>
        <w:rPr>
          <w:rFonts w:ascii="Times New Roman" w:eastAsia="+中文正文" w:hint="eastAsia"/>
          <w:b/>
          <w:i w:val="0"/>
          <w:sz w:val="24"/>
        </w:rPr>
      </w:pPr>
      <w:r>
        <w:rPr>
          <w:rFonts w:ascii="Times New Roman" w:eastAsia="+中文正文" w:hint="eastAsia"/>
          <w:b/>
          <w:i w:val="0"/>
          <w:sz w:val="24"/>
          <w:lang w:val="en-US" w:eastAsia="zh-CN"/>
        </w:rPr>
        <w:t>In the process of delivering quality education for college students, student interest groups play an important role. Student associations can effectively improve the overall quality of college students, strengthen campus culture, and guide students to adapt to college life. Currently, however, most student unions in China are poorly developed and student interest in unions is gradually declining, so the association can no longer fulfill its role.</w:t>
      </w:r>
    </w:p>
    <w:p>
      <w:pPr>
        <w:snapToGrid/>
        <w:spacing w:beforeAutospacing="0" w:afterAutospacing="0" w:line="360" w:lineRule="auto"/>
        <w:ind w:left="0" w:right="0" w:firstLine="480" w:leftChars="0" w:rightChars="0" w:firstLineChars="200"/>
        <w:jc w:val="both"/>
        <w:rPr>
          <w:rFonts w:ascii="Times New Roman" w:eastAsia="+中文正文" w:hint="eastAsia"/>
          <w:b/>
          <w:i w:val="0"/>
          <w:sz w:val="24"/>
        </w:rPr>
      </w:pPr>
      <w:r>
        <w:rPr>
          <w:rFonts w:ascii="Times New Roman" w:eastAsia="+中文正文" w:hint="eastAsia"/>
          <w:b/>
          <w:i w:val="0"/>
          <w:sz w:val="24"/>
          <w:lang w:val="en-US" w:eastAsia="zh-CN"/>
        </w:rPr>
        <w:t>This thesis takes the student community in a university in Chengdu as an example to study the relationship between the brand image of the community and the quality of community activities. Questionnaires were produced by the Likert scale, and brand image and activity quality were quantified in three dimensions, respectively. Part of the data in this paper are collected by sending questionnaires to students at a particular university and using SPSS software to test the reliability and validity of the questionnaire. The results show that the survey is reliable and valid.</w:t>
      </w:r>
    </w:p>
    <w:p>
      <w:pPr>
        <w:snapToGrid/>
        <w:spacing w:beforeAutospacing="0" w:afterAutospacing="0" w:line="360" w:lineRule="auto"/>
        <w:ind w:left="0" w:right="0" w:firstLine="480" w:leftChars="0" w:rightChars="0" w:firstLineChars="200"/>
        <w:jc w:val="both"/>
        <w:rPr>
          <w:rFonts w:ascii="Times New Roman" w:eastAsia="+中文正文" w:hint="eastAsia"/>
          <w:b/>
          <w:i w:val="0"/>
          <w:sz w:val="24"/>
        </w:rPr>
      </w:pPr>
      <w:r>
        <w:rPr>
          <w:rFonts w:ascii="Times New Roman" w:eastAsia="+中文正文" w:hint="eastAsia"/>
          <w:b/>
          <w:i w:val="0"/>
          <w:sz w:val="24"/>
          <w:lang w:val="en-US" w:eastAsia="zh-CN"/>
        </w:rPr>
        <w:t>The results shows that there is a positive correlation between the effectiveness of a company's brand and the quality of its activity. The quality of college community activities is affected by the three dimensions: activity scale, activity value, and activity personality. After analyzing the specific scores of the three dimensions of college community activity quality, we can see the value of college community activities is better, but the scale and personality of activities need to be improved. In terms of improving the image of a community brand, this article provides specific tips for improving the effectiveness of a community brand, thereby improving the quality of academic activities and ultimately driving development.</w:t>
      </w:r>
    </w:p>
    <w:p>
      <w:pPr>
        <w:snapToGrid/>
        <w:spacing w:beforeAutospacing="0" w:afterAutospacing="0" w:line="360" w:lineRule="auto"/>
        <w:ind w:left="0" w:right="0" w:firstLine="480" w:leftChars="0" w:rightChars="0" w:firstLineChars="200"/>
        <w:jc w:val="both"/>
        <w:rPr>
          <w:rFonts w:ascii="Times New Roman" w:eastAsia="+中文正文" w:hint="eastAsia"/>
          <w:b/>
          <w:i w:val="0"/>
          <w:sz w:val="24"/>
        </w:rPr>
      </w:pPr>
      <w:r>
        <w:rPr>
          <w:rFonts w:ascii="Times New Roman" w:eastAsia="+中文正文" w:hint="eastAsia"/>
          <w:b/>
          <w:i w:val="0"/>
          <w:sz w:val="24"/>
          <w:lang w:val="en-US" w:eastAsia="zh-CN"/>
        </w:rPr>
        <w:t>Keywords: college community; brand effect; activity quality</w:t>
      </w:r>
      <w:r>
        <w:rPr>
          <w:rFonts w:ascii="Times New Roman" w:eastAsia="+中文正文" w:hint="eastAsia"/>
          <w:b/>
          <w:i w:val="0"/>
          <w:sz w:val="24"/>
        </w:rPr>
        <w:br/>
      </w:r>
      <w:r>
        <w:rPr>
          <w:rFonts w:ascii="Times New Roman" w:eastAsia="+中文正文" w:hint="eastAsia"/>
          <w:b/>
          <w:i w:val="0"/>
          <w:sz w:val="24"/>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https://d.book118.com/886055014230010034</w:t>
        </w:r>
      </w:hyperlink>
    </w:p>
    <w:p>
      <w:pPr>
        <w:snapToGrid/>
        <w:spacing w:beforeAutospacing="0" w:afterAutospacing="0" w:line="360" w:lineRule="auto"/>
        <w:ind w:left="0" w:right="0" w:firstLine="480" w:leftChars="0" w:rightChars="0" w:firstLineChars="200"/>
        <w:jc w:val="both"/>
        <w:rPr>
          <w:rFonts w:ascii="Times New Roman" w:eastAsia="+中文正文" w:hint="eastAsia"/>
          <w:b/>
          <w:i w:val="0"/>
          <w:sz w:val="24"/>
        </w:rPr>
      </w:pPr>
    </w:p>
    <w:sectPr>
      <w:footerReference w:type="default" r:id="rId7"/>
      <w:pgSz w:w="11906" w:h="16838"/>
      <w:pgMar w:top="1701" w:right="1701" w:bottom="1701" w:left="1701" w:header="851" w:footer="992" w:gutter="0"/>
      <w:pgBorders>
        <w:top w:val="none" w:sz="0" w:space="0" w:color="auto"/>
        <w:left w:val="none" w:sz="0" w:space="0" w:color="auto"/>
        <w:bottom w:val="none" w:sz="0" w:space="0" w:color="auto"/>
        <w:right w:val="none" w:sz="0" w:space="0" w:color="auto"/>
      </w:pgBorders>
      <w:pgNumType w:fmt="decimal" w:start="2"/>
      <w:cols w:num="1" w:space="0"/>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华文中宋">
    <w:altName w:val="宋体"/>
    <w:panose1 w:val="00000000000000000000"/>
    <w:charset w:val="00"/>
    <w:family w:val="auto"/>
    <w:pitch w:val="default"/>
    <w:sig w:usb0="00000000" w:usb1="00000000" w:usb2="00000000" w:usb3="00000000" w:csb0="00000001" w:csb1="00000000"/>
  </w:font>
  <w:font w:name="+中文正文">
    <w:altName w:val="Segoe Print"/>
    <w:panose1 w:val="00000000000000000000"/>
    <w:charset w:val="00"/>
    <w:family w:val="auto"/>
    <w:pitch w:val="default"/>
    <w:sig w:usb0="00000000" w:usb1="00000000" w:usb2="00000000" w:usb3="00000000" w:csb0="00000001"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iconfont">
    <w:altName w:val="Segoe Print"/>
    <w:panose1 w:val="00000000000000000000"/>
    <w:charset w:val="00"/>
    <w:family w:val="auto"/>
    <w:pitch w:val="default"/>
    <w:sig w:usb0="00000000" w:usb1="00000000" w:usb2="00000000" w:usb3="00000000" w:csb0="00000001" w:csb1="00000000"/>
  </w:font>
  <w:font w:name="宋体-简">
    <w:altName w:val="宋体"/>
    <w:panose1 w:val="02010800040101010101"/>
    <w:charset w:val="86"/>
    <w:family w:val="auto"/>
    <w:pitch w:val="default"/>
    <w:sig w:usb0="00000000" w:usb1="00000000" w:usb2="00000000" w:usb3="00000000" w:csb0="00040000" w:csb1="00000000"/>
  </w:font>
  <w:font w:name="华文中宋)">
    <w:altName w:val="宋体"/>
    <w:panose1 w:val="00000000000000000000"/>
    <w:charset w:val="00"/>
    <w:family w:val="auto"/>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1396486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w10:wrap anchorx="margin"/>
            </v:shape>
          </w:pict>
        </mc:Fallback>
      </mc:AlternateConten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AF4772DE"/>
    <w:multiLevelType w:val="singleLevel"/>
    <w:tmpl w:val="AF4772DE"/>
    <w:lvl w:ilvl="0">
      <w:start w:val="1"/>
      <w:numFmt w:val="decimal"/>
      <w:lvlText w:val="%1."/>
      <w:lvlJc w:val="left"/>
      <w:pPr>
        <w:tabs>
          <w:tab w:val="left" w:pos="312"/>
        </w:tabs>
      </w:pPr>
    </w:lvl>
  </w:abstractNum>
  <w:abstractNum w:abstractNumId="1">
    <w:nsid w:val="C782E6C4"/>
    <w:multiLevelType w:val="singleLevel"/>
    <w:tmpl w:val="C782E6C4"/>
    <w:lvl w:ilvl="0">
      <w:start w:val="1"/>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5C18C4"/>
    <w:rsid w:val="495C18C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4">
    <w:name w:val="heading 4"/>
    <w:next w:val="Normal"/>
    <w:semiHidden/>
    <w:unhideWhenUsed/>
    <w:qFormat/>
    <w:pPr>
      <w:widowControl w:val="0"/>
      <w:spacing w:before="0" w:beforeAutospacing="1" w:after="0" w:afterAutospacing="1"/>
      <w:jc w:val="left"/>
      <w:outlineLvl w:val="3"/>
    </w:pPr>
    <w:rPr>
      <w:rFonts w:ascii="宋体" w:eastAsia="宋体" w:hAnsi="宋体" w:cs="宋体" w:hint="eastAsia"/>
      <w:b/>
      <w:kern w:val="0"/>
      <w:sz w:val="24"/>
      <w:szCs w:val="24"/>
      <w:lang w:val="en-US" w:eastAsia="zh-CN" w:bidi="ar"/>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qFormat/>
    <w:pPr>
      <w:tabs>
        <w:tab w:val="center" w:pos="4153"/>
        <w:tab w:val="right" w:pos="8306"/>
      </w:tabs>
      <w:snapToGrid w:val="0"/>
      <w:jc w:val="left"/>
    </w:pPr>
    <w:rPr>
      <w:sz w:val="18"/>
    </w:rPr>
  </w:style>
  <w:style w:type="paragraph" w:styleId="NormalWeb">
    <w:name w:val="Normal (Web)"/>
    <w:qFormat/>
    <w:pPr>
      <w:widowControl w:val="0"/>
      <w:spacing w:before="0" w:beforeAutospacing="1" w:after="0" w:afterAutospacing="1"/>
      <w:ind w:left="0" w:right="0"/>
      <w:jc w:val="left"/>
    </w:pPr>
    <w:rPr>
      <w:rFonts w:asciiTheme="minorHAnsi" w:eastAsiaTheme="minorEastAsia" w:hAnsiTheme="minorHAnsi" w:cstheme="minorBidi"/>
      <w:kern w:val="0"/>
      <w:sz w:val="24"/>
      <w:szCs w:val="24"/>
      <w:lang w:val="en-US" w:eastAsia="zh-CN" w:bidi="ar"/>
    </w:rPr>
  </w:style>
  <w:style w:type="table" w:styleId="TableGrid">
    <w:name w:val="Table Gri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hyperlink" Target="https://d.book118.com/886055014230010034" TargetMode="External" /><Relationship Id="rId7" Type="http://schemas.openxmlformats.org/officeDocument/2006/relationships/footer" Target="footer2.xml" /><Relationship Id="rId8" Type="http://schemas.openxmlformats.org/officeDocument/2006/relationships/theme" Target="theme/theme1.xml" /><Relationship Id="rId9" Type="http://schemas.openxmlformats.org/officeDocument/2006/relationships/numbering" Target="numbering.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桃之夭夭</dc:creator>
  <cp:lastModifiedBy>桃之夭夭</cp:lastModifiedBy>
  <cp:revision>1</cp:revision>
  <dcterms:created xsi:type="dcterms:W3CDTF">2020-04-05T07:32:00Z</dcterms:created>
  <dcterms:modified xsi:type="dcterms:W3CDTF">2020-04-05T07:37:15Z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2052-11.1.0.9564</vt:lpwstr>
  </property>
</Properties>
</file>