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color w:val="656565"/>
          <w:w w:val="95"/>
        </w:rPr>
        <w:t>北京市储值卡进展调研报告</w:t>
      </w:r>
    </w:p>
    <w:p>
      <w:pPr>
        <w:pStyle w:val="BodyText"/>
        <w:ind w:left="0"/>
        <w:rPr>
          <w:b/>
          <w:sz w:val="44"/>
        </w:rPr>
      </w:pPr>
    </w:p>
    <w:p>
      <w:pPr>
        <w:pStyle w:val="BodyText"/>
        <w:spacing w:before="10"/>
        <w:ind w:left="0"/>
        <w:rPr>
          <w:b/>
          <w:sz w:val="41"/>
        </w:rPr>
      </w:pPr>
    </w:p>
    <w:p>
      <w:pPr>
        <w:pStyle w:val="BodyText"/>
        <w:spacing w:line="364" w:lineRule="auto"/>
        <w:ind w:right="759" w:firstLine="720"/>
      </w:pPr>
      <w:r>
        <w:rPr>
          <w:spacing w:val="-2"/>
        </w:rPr>
        <w:t>前言：依据储值卡的使用范围，我们将储值卡分为两大类，一是单一用途储</w:t>
      </w:r>
      <w:r>
        <w:rPr>
          <w:spacing w:val="-1"/>
        </w:rPr>
        <w:t>值卡，即由商家自身发行的用于本商户刷卡消费的储值卡。二是多用途储值卡，</w:t>
      </w:r>
      <w:r>
        <w:rPr>
          <w:spacing w:val="-177"/>
        </w:rPr>
        <w:t xml:space="preserve"> </w:t>
      </w:r>
      <w:r>
        <w:rPr>
          <w:spacing w:val="-2"/>
        </w:rPr>
        <w:t>即由独立于商家、银行的第三方机构发行的，可以跨商户、跨行业，甚至跨地区刷卡消费的储值卡。多用途储值卡具有“被广泛接纳的购置力”，与货币格外近似。随着发卡规摸的不断扩大，对货币政策的制定和执行、支付体系和实体经济</w:t>
      </w:r>
      <w:r>
        <w:t>都将产生肯定的影响。</w:t>
      </w:r>
    </w:p>
    <w:p>
      <w:pPr>
        <w:pStyle w:val="BodyText"/>
        <w:ind w:left="0"/>
      </w:pPr>
    </w:p>
    <w:p>
      <w:pPr>
        <w:pStyle w:val="BodyText"/>
        <w:spacing w:before="242" w:line="367" w:lineRule="auto"/>
        <w:ind w:right="759" w:firstLine="720"/>
        <w:jc w:val="both"/>
      </w:pPr>
      <w:r>
        <w:rPr>
          <w:spacing w:val="-12"/>
        </w:rPr>
        <w:t>近年来，随着电子支付技术和电子支付渠道的进展，能够在众多商户或行业</w:t>
      </w:r>
      <w:r>
        <w:rPr>
          <w:w w:val="95"/>
        </w:rPr>
        <w:t>内通用、可以购置商品和效劳的储值卡异军突起，POS</w:t>
      </w:r>
      <w:r>
        <w:rPr>
          <w:spacing w:val="270"/>
        </w:rPr>
        <w:t xml:space="preserve"> </w:t>
      </w:r>
      <w:r>
        <w:rPr>
          <w:w w:val="95"/>
        </w:rPr>
        <w:t>刷卡交易量不断上升，并</w:t>
      </w:r>
      <w:r>
        <w:rPr>
          <w:spacing w:val="-1"/>
        </w:rPr>
        <w:t>对正常的银行卡交易产生了较强的“挤出”效应。在至今治理仍处于空白的状况</w:t>
      </w:r>
      <w:r>
        <w:rPr>
          <w:spacing w:val="-2"/>
        </w:rPr>
        <w:t>下，储值卡发卡主体缺乏标准、卡存资金治理漏洞较多、发卡责任无人担当的问</w:t>
      </w:r>
      <w:r>
        <w:rPr>
          <w:spacing w:val="-10"/>
        </w:rPr>
        <w:t>题也日益突出。通过对北京及国内储值卡的实践和国际阅历的分析，我们认为储</w:t>
      </w:r>
      <w:r>
        <w:rPr>
          <w:spacing w:val="-6"/>
        </w:rPr>
        <w:t>值卡不仅仅是持卡人实现便捷支付、商户锁定客户和促销的工具，它本身还有着</w:t>
      </w:r>
      <w:r>
        <w:rPr>
          <w:spacing w:val="-7"/>
        </w:rPr>
        <w:t>更深刻的经济内涵和法律内涵。本文首先介绍了北京市储值卡的进展状况，并阐</w:t>
      </w:r>
      <w:r>
        <w:rPr>
          <w:spacing w:val="-1"/>
        </w:rPr>
        <w:t>述了我们对储值卡的最理解。据此我们对目前储值卡市场有关问题进展分析，</w:t>
      </w:r>
      <w:r>
        <w:rPr>
          <w:spacing w:val="-178"/>
        </w:rPr>
        <w:t xml:space="preserve"> </w:t>
      </w:r>
      <w:r>
        <w:t>提出相应的政策建议。</w:t>
      </w:r>
    </w:p>
    <w:p>
      <w:pPr>
        <w:pStyle w:val="BodyText"/>
        <w:spacing w:before="8"/>
        <w:ind w:left="0"/>
        <w:rPr>
          <w:sz w:val="52"/>
        </w:rPr>
      </w:pPr>
    </w:p>
    <w:p>
      <w:pPr>
        <w:pStyle w:val="BodyText"/>
      </w:pPr>
      <w:r>
        <w:t>一、北京市储值卡的根本状况</w:t>
      </w:r>
    </w:p>
    <w:p>
      <w:pPr>
        <w:pStyle w:val="BodyText"/>
        <w:spacing w:before="238"/>
      </w:pPr>
      <w:r>
        <w:t>〔一〕单用途储值卡</w:t>
      </w:r>
    </w:p>
    <w:p>
      <w:pPr>
        <w:pStyle w:val="BodyText"/>
        <w:spacing w:before="259" w:line="362" w:lineRule="auto"/>
        <w:ind w:right="874" w:firstLine="720"/>
        <w:jc w:val="both"/>
      </w:pPr>
      <w:r>
        <w:rPr>
          <w:spacing w:val="-5"/>
        </w:rPr>
        <w:t>单用途储值卡大多由发卡机构的内部机构负责发行和治理，发卡是发卡机构</w:t>
      </w:r>
      <w:r>
        <w:rPr>
          <w:spacing w:val="-11"/>
        </w:rPr>
        <w:t>增加效劳功能、拓展效劳工程或吸引客户的一种手段，发卡所获收益不是发行单</w:t>
      </w:r>
      <w:r>
        <w:rPr>
          <w:spacing w:val="-12"/>
        </w:rPr>
        <w:t>位的主要收入来源。单用途储值卡分为一次性充值卡与屡次使用可重复充值的储</w:t>
      </w:r>
      <w:r>
        <w:t>值卡。目前北京市有以下几类单位发行单用途储值卡。</w:t>
      </w:r>
    </w:p>
    <w:p>
      <w:pPr>
        <w:pStyle w:val="BodyText"/>
        <w:spacing w:before="6"/>
        <w:ind w:left="864"/>
      </w:pPr>
      <w:r>
        <w:t>1、电信部门</w:t>
      </w:r>
    </w:p>
    <w:p>
      <w:pPr>
        <w:pStyle w:val="BodyText"/>
        <w:spacing w:before="260" w:line="362" w:lineRule="auto"/>
        <w:ind w:right="857" w:firstLine="720"/>
      </w:pPr>
      <w:r>
        <w:rPr>
          <w:spacing w:val="-3"/>
        </w:rPr>
        <w:t>为便利用户缴纳   费用，北京市通信公司、联通北京分公司、北京移动等</w:t>
      </w:r>
      <w:r>
        <w:t>电信企业都推出了   充值卡，大局部的个人电信业务交费可以使用充值卡完</w:t>
      </w:r>
      <w:r>
        <w:rPr>
          <w:spacing w:val="-18"/>
        </w:rPr>
        <w:t xml:space="preserve">成。如通信公司的消费者可以利用这一张卡，发行储纳固定   、小灵通和 </w:t>
      </w:r>
      <w:r>
        <w:t>ADSL</w:t>
      </w:r>
    </w:p>
    <w:p>
      <w:pPr>
        <w:spacing w:after="0" w:line="362" w:lineRule="auto"/>
        <w:sectPr>
          <w:footerReference w:type="default" r:id="rId4"/>
          <w:type w:val="continuous"/>
          <w:pgSz w:w="17870" w:h="25270"/>
          <w:pgMar w:top="1940" w:right="1800" w:bottom="2040" w:left="2560" w:header="708" w:footer="1849"/>
          <w:pgNumType w:start="1"/>
          <w:cols w:space="708"/>
        </w:sectPr>
      </w:pPr>
    </w:p>
    <w:p>
      <w:pPr>
        <w:pStyle w:val="BodyText"/>
        <w:spacing w:before="20" w:line="362" w:lineRule="auto"/>
        <w:ind w:right="759"/>
      </w:pPr>
      <w:r>
        <w:rPr>
          <w:spacing w:val="-3"/>
          <w:w w:val="95"/>
        </w:rPr>
        <w:t xml:space="preserve">的业务费。北京通信旗下 </w:t>
      </w:r>
      <w:r>
        <w:rPr>
          <w:w w:val="95"/>
        </w:rPr>
        <w:t>600 万固定   用户可以通过固定   充值卡进展充值</w:t>
      </w:r>
      <w:r>
        <w:rPr>
          <w:spacing w:val="-1"/>
        </w:rPr>
        <w:t>缴费，上百万的小灵通同样可以通过这一方式进展相关业务的续费及缴费充值。</w:t>
      </w:r>
      <w:r>
        <w:t>充值卡具有便利、快捷和功能多样的特点。</w:t>
      </w:r>
    </w:p>
    <w:p>
      <w:pPr>
        <w:pStyle w:val="BodyText"/>
        <w:spacing w:before="28"/>
        <w:ind w:left="864"/>
      </w:pPr>
      <w:r>
        <w:t>2、公用事业单位</w:t>
      </w:r>
    </w:p>
    <w:p>
      <w:pPr>
        <w:pStyle w:val="BodyText"/>
        <w:spacing w:before="236" w:line="364" w:lineRule="auto"/>
        <w:ind w:right="707" w:firstLine="720"/>
      </w:pPr>
      <w:r>
        <w:t>北京地区供给公用事业性效劳的单位，如北京煤气公司、自来水公司、电力</w:t>
      </w:r>
      <w:r>
        <w:rPr>
          <w:spacing w:val="-7"/>
        </w:rPr>
        <w:t>公司为便利客户缴纳公用事业费，都相继推出了储值卡，消费者可以持卡到发卡</w:t>
      </w:r>
      <w:r>
        <w:rPr>
          <w:spacing w:val="-20"/>
        </w:rPr>
        <w:t>机构或银行充值，用以缴纳公用事业费。如北京供电公司与光大银行、招商银行、</w:t>
      </w:r>
      <w:r>
        <w:rPr>
          <w:spacing w:val="-4"/>
        </w:rPr>
        <w:t xml:space="preserve">民生银行等银行合作，推出了基于自助手段的 </w:t>
      </w:r>
      <w:r>
        <w:t>24</w:t>
      </w:r>
      <w:r>
        <w:rPr>
          <w:spacing w:val="-10"/>
        </w:rPr>
        <w:t xml:space="preserve"> 小时买电业务。客户选择在银</w:t>
      </w:r>
      <w:r>
        <w:rPr>
          <w:spacing w:val="-20"/>
        </w:rPr>
        <w:t>行购电时，通过电力公司发行的电卡，可随时插入银行的综合查询终端实时买电，</w:t>
      </w:r>
      <w:r>
        <w:rPr>
          <w:spacing w:val="-177"/>
        </w:rPr>
        <w:t xml:space="preserve"> </w:t>
      </w:r>
      <w:r>
        <w:rPr>
          <w:spacing w:val="-7"/>
        </w:rPr>
        <w:t>还可随时查询购电量及购电金额。假设是密写储值卡用户，还可以直接伤亡通过</w:t>
      </w:r>
      <w:r>
        <w:rPr>
          <w:spacing w:val="-23"/>
        </w:rPr>
        <w:t xml:space="preserve">指定的 </w:t>
      </w:r>
      <w:r>
        <w:t>IC</w:t>
      </w:r>
      <w:r>
        <w:rPr>
          <w:spacing w:val="-10"/>
        </w:rPr>
        <w:t xml:space="preserve"> 卡读写器在家中完成购电操作。</w:t>
      </w:r>
    </w:p>
    <w:p>
      <w:pPr>
        <w:pStyle w:val="BodyText"/>
        <w:spacing w:before="2"/>
        <w:ind w:left="864"/>
      </w:pPr>
      <w:r>
        <w:t>3、各大商场</w:t>
      </w:r>
    </w:p>
    <w:p>
      <w:pPr>
        <w:pStyle w:val="BodyText"/>
        <w:spacing w:before="237" w:line="367" w:lineRule="auto"/>
        <w:ind w:right="759" w:firstLine="720"/>
      </w:pPr>
      <w:r>
        <w:rPr>
          <w:spacing w:val="-6"/>
        </w:rPr>
        <w:t>北京地区各大商场为锁定客户群，便利消费者在客户商场购物，单独或与商</w:t>
      </w:r>
      <w:r>
        <w:rPr>
          <w:spacing w:val="-2"/>
        </w:rPr>
        <w:t>业银行联合，向消费者，特别是向团购单位，发行储值卡，如北京万方西单商场</w:t>
      </w:r>
      <w:r>
        <w:rPr>
          <w:spacing w:val="-1"/>
        </w:rPr>
        <w:t>有限责任公司发行的储值型会员卡；中友百货大楼发行的“中友折扣返还卡”；</w:t>
      </w:r>
      <w:r>
        <w:rPr>
          <w:spacing w:val="-177"/>
        </w:rPr>
        <w:t xml:space="preserve"> </w:t>
      </w:r>
      <w:r>
        <w:rPr>
          <w:spacing w:val="-30"/>
        </w:rPr>
        <w:t xml:space="preserve">崇光 </w:t>
      </w:r>
      <w:r>
        <w:t>SOGO</w:t>
      </w:r>
      <w:r>
        <w:rPr>
          <w:spacing w:val="-19"/>
        </w:rPr>
        <w:t xml:space="preserve"> 发行的“</w:t>
      </w:r>
      <w:r>
        <w:t>SOGO</w:t>
      </w:r>
      <w:r>
        <w:rPr>
          <w:spacing w:val="-10"/>
        </w:rPr>
        <w:t xml:space="preserve"> 一卡通”。除此以外，建行曾经与安贞华联、深发与易</w:t>
      </w:r>
      <w:r>
        <w:rPr>
          <w:spacing w:val="2"/>
          <w:w w:val="95"/>
        </w:rPr>
        <w:t xml:space="preserve">初莲花推出的联名卡，都具有定向消费性质，只能在专用的 </w:t>
      </w:r>
      <w:r>
        <w:rPr>
          <w:w w:val="95"/>
        </w:rPr>
        <w:t>POS</w:t>
      </w:r>
      <w:r>
        <w:rPr>
          <w:spacing w:val="7"/>
          <w:w w:val="95"/>
        </w:rPr>
        <w:t xml:space="preserve"> 上刷卡消费。联</w:t>
      </w:r>
      <w:r>
        <w:rPr>
          <w:spacing w:val="-6"/>
        </w:rPr>
        <w:t>名卡是依托商业银行发行的借记卡的附属产品。如易初莲花与深圳进展银行发行</w:t>
      </w:r>
      <w:r>
        <w:t>的联名卡是以借记卡为依托设立的。依据有关规定，个人在同一家银行可申办</w:t>
      </w:r>
      <w:r>
        <w:rPr>
          <w:spacing w:val="1"/>
        </w:rPr>
        <w:t xml:space="preserve"> </w:t>
      </w:r>
      <w:r>
        <w:t>99</w:t>
      </w:r>
      <w:r>
        <w:rPr>
          <w:spacing w:val="-11"/>
        </w:rPr>
        <w:t xml:space="preserve"> 张借记卡，易初莲花为员工在深进展申办借记卡；深进展在本行大机系统开</w:t>
      </w:r>
      <w:r>
        <w:rPr>
          <w:spacing w:val="-1"/>
        </w:rPr>
        <w:t>办借记卡后，限定该卡不能提取现金，只能用于在易初莲花购物。易初莲花随后</w:t>
      </w:r>
      <w:r>
        <w:t>将联名卡以各种面值出售给消费者。消费者利用深进展摆放在易初莲花的专用POS</w:t>
      </w:r>
      <w:r>
        <w:rPr>
          <w:spacing w:val="-10"/>
        </w:rPr>
        <w:t xml:space="preserve"> 刷卡消费，扣减账户余额。目前，由银行与商户合作发行的联名卡根本上已</w:t>
      </w:r>
      <w:r>
        <w:t>经停顿发行。</w:t>
      </w:r>
    </w:p>
    <w:p>
      <w:pPr>
        <w:pStyle w:val="BodyText"/>
        <w:spacing w:line="438" w:lineRule="exact"/>
        <w:ind w:left="864"/>
      </w:pPr>
      <w:r>
        <w:t>〔4〕学校及局部单位</w:t>
      </w:r>
    </w:p>
    <w:p>
      <w:pPr>
        <w:pStyle w:val="BodyText"/>
        <w:spacing w:before="237" w:line="367" w:lineRule="auto"/>
        <w:ind w:right="874" w:firstLine="720"/>
      </w:pPr>
      <w:r>
        <w:rPr>
          <w:spacing w:val="-7"/>
        </w:rPr>
        <w:t>为了加强学校后勤系统的财务治理水平，提高后勤的运营效率，北京的各大</w:t>
      </w:r>
      <w:r>
        <w:t>高校以及局部人员较多的科研机构和单位在食堂和澡堂都推行了仅能在本校和</w:t>
      </w:r>
      <w:r>
        <w:rPr>
          <w:spacing w:val="-10"/>
        </w:rPr>
        <w:t>本单位使用的储值卡，这种储值卡是可以反复充值的，卡片受理则承受与储值卡</w:t>
      </w:r>
      <w:r>
        <w:t>配套的专用刷卡设备。</w:t>
      </w:r>
    </w:p>
    <w:p>
      <w:pPr>
        <w:spacing w:after="0" w:line="36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https://d.book118.com/886135002050010031</w:t>
        </w:r>
      </w:hyperlink>
    </w:p>
    <w:p>
      <w:pPr>
        <w:spacing w:after="0" w:line="367" w:lineRule="auto"/>
      </w:pPr>
    </w:p>
    <w:sectPr>
      <w:footerReference w:type="default" r:id="rId6"/>
      <w:pgSz w:w="17870" w:h="25270"/>
      <w:pgMar w:top="1960" w:right="1800" w:bottom="2040" w:left="2560" w:header="0" w:footer="1849"/>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19.5pt;height:15.85pt;margin-top:1159.58pt;margin-left:742.69pt;mso-position-horizontal-relative:page;mso-position-vertical-relative:page;position:absolute;z-index:-251658240" filled="f" stroked="f">
          <v:textbox inset="0,0,0,0">
            <w:txbxContent>
              <w:p>
                <w:pPr>
                  <w:spacing w:before="37" w:line="280" w:lineRule="exact"/>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19.5pt;height:15.85pt;margin-top:1159.58pt;margin-left:742.69pt;mso-position-horizontal-relative:page;mso-position-vertical-relative:page;position:absolute;z-index:-251657216" filled="f" stroked="f">
          <v:textbox inset="0,0,0,0">
            <w:txbxContent>
              <w:p>
                <w:pPr>
                  <w:spacing w:before="37" w:line="280" w:lineRule="exact"/>
                  <w:ind w:left="60" w:right="0" w:firstLine="0"/>
                  <w:jc w:val="left"/>
                  <w:rPr>
                    <w:rFonts w:ascii="Arial Narrow"/>
                    <w:sz w:val="27"/>
                  </w:rPr>
                </w:pPr>
                <w:r>
                  <w:fldChar w:fldCharType="begin"/>
                </w:r>
                <w:r>
                  <w:rPr>
                    <w:rFonts w:ascii="Arial Narrow"/>
                    <w:w w:val="110"/>
                    <w:sz w:val="27"/>
                  </w:rPr>
                  <w:instrText xml:space="preserve">  </w:instrText>
                </w:r>
                <w:r>
                  <w:fldChar w:fldCharType="separate"/>
                </w:r>
                <w:r>
                  <w:t>10</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75116"/>
    <w:multiLevelType w:val="hybridMultilevel"/>
    <w:tmpl w:val="00000000"/>
    <w:lvl w:ilvl="0">
      <w:start w:val="1"/>
      <w:numFmt w:val="decimal"/>
      <w:lvlText w:val="（%1）"/>
      <w:lvlJc w:val="left"/>
      <w:pPr>
        <w:ind w:left="1766" w:hanging="902"/>
        <w:jc w:val="left"/>
      </w:pPr>
      <w:rPr>
        <w:rFonts w:ascii="宋体" w:eastAsia="宋体" w:hAnsi="宋体" w:cs="宋体" w:hint="default"/>
        <w:spacing w:val="-68"/>
        <w:w w:val="100"/>
        <w:sz w:val="34"/>
        <w:szCs w:val="34"/>
      </w:rPr>
    </w:lvl>
    <w:lvl w:ilvl="1">
      <w:start w:val="0"/>
      <w:numFmt w:val="bullet"/>
      <w:lvlText w:val="•"/>
      <w:lvlJc w:val="left"/>
      <w:pPr>
        <w:ind w:left="2934" w:hanging="902"/>
      </w:pPr>
      <w:rPr>
        <w:rFonts w:hint="default"/>
      </w:rPr>
    </w:lvl>
    <w:lvl w:ilvl="2">
      <w:start w:val="0"/>
      <w:numFmt w:val="bullet"/>
      <w:lvlText w:val="•"/>
      <w:lvlJc w:val="left"/>
      <w:pPr>
        <w:ind w:left="4109" w:hanging="902"/>
      </w:pPr>
      <w:rPr>
        <w:rFonts w:hint="default"/>
      </w:rPr>
    </w:lvl>
    <w:lvl w:ilvl="3">
      <w:start w:val="0"/>
      <w:numFmt w:val="bullet"/>
      <w:lvlText w:val="•"/>
      <w:lvlJc w:val="left"/>
      <w:pPr>
        <w:ind w:left="5283" w:hanging="902"/>
      </w:pPr>
      <w:rPr>
        <w:rFonts w:hint="default"/>
      </w:rPr>
    </w:lvl>
    <w:lvl w:ilvl="4">
      <w:start w:val="0"/>
      <w:numFmt w:val="bullet"/>
      <w:lvlText w:val="•"/>
      <w:lvlJc w:val="left"/>
      <w:pPr>
        <w:ind w:left="6458" w:hanging="902"/>
      </w:pPr>
      <w:rPr>
        <w:rFonts w:hint="default"/>
      </w:rPr>
    </w:lvl>
    <w:lvl w:ilvl="5">
      <w:start w:val="0"/>
      <w:numFmt w:val="bullet"/>
      <w:lvlText w:val="•"/>
      <w:lvlJc w:val="left"/>
      <w:pPr>
        <w:ind w:left="7632" w:hanging="902"/>
      </w:pPr>
      <w:rPr>
        <w:rFonts w:hint="default"/>
      </w:rPr>
    </w:lvl>
    <w:lvl w:ilvl="6">
      <w:start w:val="0"/>
      <w:numFmt w:val="bullet"/>
      <w:lvlText w:val="•"/>
      <w:lvlJc w:val="left"/>
      <w:pPr>
        <w:ind w:left="8807" w:hanging="902"/>
      </w:pPr>
      <w:rPr>
        <w:rFonts w:hint="default"/>
      </w:rPr>
    </w:lvl>
    <w:lvl w:ilvl="7">
      <w:start w:val="0"/>
      <w:numFmt w:val="bullet"/>
      <w:lvlText w:val="•"/>
      <w:lvlJc w:val="left"/>
      <w:pPr>
        <w:ind w:left="9981" w:hanging="902"/>
      </w:pPr>
      <w:rPr>
        <w:rFonts w:hint="default"/>
      </w:rPr>
    </w:lvl>
    <w:lvl w:ilvl="8">
      <w:start w:val="0"/>
      <w:numFmt w:val="bullet"/>
      <w:lvlText w:val="•"/>
      <w:lvlJc w:val="left"/>
      <w:pPr>
        <w:ind w:left="11156" w:hanging="902"/>
      </w:pPr>
      <w:rPr>
        <w:rFonts w:hint="default"/>
      </w:rPr>
    </w:lvl>
  </w:abstractNum>
  <w:abstractNum w:abstractNumId="1">
    <w:nsid w:val="5EDB2ACC"/>
    <w:multiLevelType w:val="hybridMultilevel"/>
    <w:tmpl w:val="00000000"/>
    <w:lvl w:ilvl="0">
      <w:start w:val="1"/>
      <w:numFmt w:val="decimal"/>
      <w:lvlText w:val="（%1）"/>
      <w:lvlJc w:val="left"/>
      <w:pPr>
        <w:ind w:left="143" w:hanging="902"/>
        <w:jc w:val="left"/>
      </w:pPr>
      <w:rPr>
        <w:rFonts w:ascii="宋体" w:eastAsia="宋体" w:hAnsi="宋体" w:cs="宋体" w:hint="default"/>
        <w:w w:val="100"/>
        <w:sz w:val="34"/>
        <w:szCs w:val="34"/>
      </w:rPr>
    </w:lvl>
    <w:lvl w:ilvl="1">
      <w:start w:val="0"/>
      <w:numFmt w:val="bullet"/>
      <w:lvlText w:val="•"/>
      <w:lvlJc w:val="left"/>
      <w:pPr>
        <w:ind w:left="1476" w:hanging="902"/>
      </w:pPr>
      <w:rPr>
        <w:rFonts w:hint="default"/>
      </w:rPr>
    </w:lvl>
    <w:lvl w:ilvl="2">
      <w:start w:val="0"/>
      <w:numFmt w:val="bullet"/>
      <w:lvlText w:val="•"/>
      <w:lvlJc w:val="left"/>
      <w:pPr>
        <w:ind w:left="2813" w:hanging="902"/>
      </w:pPr>
      <w:rPr>
        <w:rFonts w:hint="default"/>
      </w:rPr>
    </w:lvl>
    <w:lvl w:ilvl="3">
      <w:start w:val="0"/>
      <w:numFmt w:val="bullet"/>
      <w:lvlText w:val="•"/>
      <w:lvlJc w:val="left"/>
      <w:pPr>
        <w:ind w:left="4149" w:hanging="902"/>
      </w:pPr>
      <w:rPr>
        <w:rFonts w:hint="default"/>
      </w:rPr>
    </w:lvl>
    <w:lvl w:ilvl="4">
      <w:start w:val="0"/>
      <w:numFmt w:val="bullet"/>
      <w:lvlText w:val="•"/>
      <w:lvlJc w:val="left"/>
      <w:pPr>
        <w:ind w:left="5486" w:hanging="902"/>
      </w:pPr>
      <w:rPr>
        <w:rFonts w:hint="default"/>
      </w:rPr>
    </w:lvl>
    <w:lvl w:ilvl="5">
      <w:start w:val="0"/>
      <w:numFmt w:val="bullet"/>
      <w:lvlText w:val="•"/>
      <w:lvlJc w:val="left"/>
      <w:pPr>
        <w:ind w:left="6822" w:hanging="902"/>
      </w:pPr>
      <w:rPr>
        <w:rFonts w:hint="default"/>
      </w:rPr>
    </w:lvl>
    <w:lvl w:ilvl="6">
      <w:start w:val="0"/>
      <w:numFmt w:val="bullet"/>
      <w:lvlText w:val="•"/>
      <w:lvlJc w:val="left"/>
      <w:pPr>
        <w:ind w:left="8159" w:hanging="902"/>
      </w:pPr>
      <w:rPr>
        <w:rFonts w:hint="default"/>
      </w:rPr>
    </w:lvl>
    <w:lvl w:ilvl="7">
      <w:start w:val="0"/>
      <w:numFmt w:val="bullet"/>
      <w:lvlText w:val="•"/>
      <w:lvlJc w:val="left"/>
      <w:pPr>
        <w:ind w:left="9495" w:hanging="902"/>
      </w:pPr>
      <w:rPr>
        <w:rFonts w:hint="default"/>
      </w:rPr>
    </w:lvl>
    <w:lvl w:ilvl="8">
      <w:start w:val="0"/>
      <w:numFmt w:val="bullet"/>
      <w:lvlText w:val="•"/>
      <w:lvlJc w:val="left"/>
      <w:pPr>
        <w:ind w:left="10832" w:hanging="902"/>
      </w:pPr>
      <w:rPr>
        <w:rFonts w:hint="default"/>
      </w:rPr>
    </w:lvl>
  </w:abstractNum>
  <w:abstractNum w:abstractNumId="2">
    <w:nsid w:val="6F429E23"/>
    <w:multiLevelType w:val="hybridMultilevel"/>
    <w:tmpl w:val="00000000"/>
    <w:lvl w:ilvl="0">
      <w:start w:val="1"/>
      <w:numFmt w:val="decimal"/>
      <w:lvlText w:val="（%1）"/>
      <w:lvlJc w:val="left"/>
      <w:pPr>
        <w:ind w:left="143" w:hanging="902"/>
        <w:jc w:val="right"/>
      </w:pPr>
      <w:rPr>
        <w:rFonts w:ascii="宋体" w:eastAsia="宋体" w:hAnsi="宋体" w:cs="宋体" w:hint="default"/>
        <w:w w:val="100"/>
        <w:sz w:val="34"/>
        <w:szCs w:val="34"/>
      </w:rPr>
    </w:lvl>
    <w:lvl w:ilvl="1">
      <w:start w:val="0"/>
      <w:numFmt w:val="bullet"/>
      <w:lvlText w:val="•"/>
      <w:lvlJc w:val="left"/>
      <w:pPr>
        <w:ind w:left="1476" w:hanging="902"/>
      </w:pPr>
      <w:rPr>
        <w:rFonts w:hint="default"/>
      </w:rPr>
    </w:lvl>
    <w:lvl w:ilvl="2">
      <w:start w:val="0"/>
      <w:numFmt w:val="bullet"/>
      <w:lvlText w:val="•"/>
      <w:lvlJc w:val="left"/>
      <w:pPr>
        <w:ind w:left="2813" w:hanging="902"/>
      </w:pPr>
      <w:rPr>
        <w:rFonts w:hint="default"/>
      </w:rPr>
    </w:lvl>
    <w:lvl w:ilvl="3">
      <w:start w:val="0"/>
      <w:numFmt w:val="bullet"/>
      <w:lvlText w:val="•"/>
      <w:lvlJc w:val="left"/>
      <w:pPr>
        <w:ind w:left="4149" w:hanging="902"/>
      </w:pPr>
      <w:rPr>
        <w:rFonts w:hint="default"/>
      </w:rPr>
    </w:lvl>
    <w:lvl w:ilvl="4">
      <w:start w:val="0"/>
      <w:numFmt w:val="bullet"/>
      <w:lvlText w:val="•"/>
      <w:lvlJc w:val="left"/>
      <w:pPr>
        <w:ind w:left="5486" w:hanging="902"/>
      </w:pPr>
      <w:rPr>
        <w:rFonts w:hint="default"/>
      </w:rPr>
    </w:lvl>
    <w:lvl w:ilvl="5">
      <w:start w:val="0"/>
      <w:numFmt w:val="bullet"/>
      <w:lvlText w:val="•"/>
      <w:lvlJc w:val="left"/>
      <w:pPr>
        <w:ind w:left="6822" w:hanging="902"/>
      </w:pPr>
      <w:rPr>
        <w:rFonts w:hint="default"/>
      </w:rPr>
    </w:lvl>
    <w:lvl w:ilvl="6">
      <w:start w:val="0"/>
      <w:numFmt w:val="bullet"/>
      <w:lvlText w:val="•"/>
      <w:lvlJc w:val="left"/>
      <w:pPr>
        <w:ind w:left="8159" w:hanging="902"/>
      </w:pPr>
      <w:rPr>
        <w:rFonts w:hint="default"/>
      </w:rPr>
    </w:lvl>
    <w:lvl w:ilvl="7">
      <w:start w:val="0"/>
      <w:numFmt w:val="bullet"/>
      <w:lvlText w:val="•"/>
      <w:lvlJc w:val="left"/>
      <w:pPr>
        <w:ind w:left="9495" w:hanging="902"/>
      </w:pPr>
      <w:rPr>
        <w:rFonts w:hint="default"/>
      </w:rPr>
    </w:lvl>
    <w:lvl w:ilvl="8">
      <w:start w:val="0"/>
      <w:numFmt w:val="bullet"/>
      <w:lvlText w:val="•"/>
      <w:lvlJc w:val="left"/>
      <w:pPr>
        <w:ind w:left="10832" w:hanging="902"/>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pPr>
    <w:rPr>
      <w:rFonts w:ascii="宋体" w:eastAsia="宋体" w:hAnsi="宋体" w:cs="宋体"/>
      <w:sz w:val="36"/>
      <w:szCs w:val="36"/>
    </w:rPr>
  </w:style>
  <w:style w:type="paragraph" w:styleId="Title">
    <w:name w:val="Title"/>
    <w:basedOn w:val="Normal"/>
    <w:uiPriority w:val="1"/>
    <w:qFormat/>
    <w:pPr>
      <w:spacing w:before="8"/>
      <w:ind w:left="127" w:right="905"/>
      <w:jc w:val="center"/>
    </w:pPr>
    <w:rPr>
      <w:rFonts w:ascii="宋体" w:eastAsia="宋体" w:hAnsi="宋体" w:cs="宋体"/>
      <w:b/>
      <w:bCs/>
      <w:sz w:val="45"/>
      <w:szCs w:val="45"/>
    </w:rPr>
  </w:style>
  <w:style w:type="paragraph" w:styleId="ListParagraph">
    <w:name w:val="List Paragraph"/>
    <w:basedOn w:val="Normal"/>
    <w:uiPriority w:val="1"/>
    <w:qFormat/>
    <w:pPr>
      <w:ind w:left="143" w:firstLine="720"/>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d.book118.com/886135002050010031" TargetMode="Externa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2023-09-30T01:17:23Z</dcterms:created>
  <dcterms:modified xsi:type="dcterms:W3CDTF">2023-09-30T01:17:23Z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2023-04-30T00:00:00Z</vt:filetime>
  </property>
  <property fmtid="{D5CDD505-2E9C-101B-9397-08002B2CF9AE}" pid="3" name="LastSaved">
    <vt:filetime>2023-09-30T00:00:00Z</vt:filetime>
  </property>
</Properties>
</file>