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napToGrid w:val="0"/>
        <w:spacing w:line="360" w:lineRule="exact"/>
        <w:rPr>
          <w:rFonts w:ascii="仿宋" w:eastAsia="仿宋" w:hAnsi="仿宋"/>
          <w:color w:val="auto"/>
          <w:sz w:val="28"/>
          <w:szCs w:val="28"/>
        </w:rPr>
      </w:pPr>
      <w:bookmarkStart w:id="0" w:name="OLE_LINK9"/>
      <w:bookmarkStart w:id="1" w:name="OLE_LINK10"/>
    </w:p>
    <w:p>
      <w:pPr>
        <w:snapToGrid w:val="0"/>
        <w:spacing w:line="360" w:lineRule="exact"/>
        <w:rPr>
          <w:rFonts w:ascii="宋体" w:hAnsi="宋体"/>
          <w:b/>
          <w:color w:val="auto"/>
        </w:rPr>
      </w:pPr>
      <w:r>
        <w:rPr>
          <w:color w:val="auto"/>
        </w:rPr>
        <mc:AlternateContent>
          <mc:Choice Requires="wps">
            <w:drawing>
              <wp:anchor distT="0" distB="0" distL="114300" distR="114300" simplePos="0" relativeHeight="251661312" behindDoc="0" locked="0" layoutInCell="1" allowOverlap="1">
                <wp:simplePos x="0" y="0"/>
                <wp:positionH relativeFrom="column">
                  <wp:posOffset>4533900</wp:posOffset>
                </wp:positionH>
                <wp:positionV relativeFrom="paragraph">
                  <wp:posOffset>-228600</wp:posOffset>
                </wp:positionV>
                <wp:extent cx="1104900" cy="485775"/>
                <wp:effectExtent l="0" t="7620" r="0" b="30480"/>
                <wp:wrapNone/>
                <wp:docPr id="3" name="WordArt 10"/>
                <wp:cNvGraphicFramePr/>
                <a:graphic xmlns:a="http://schemas.openxmlformats.org/drawingml/2006/main">
                  <a:graphicData uri="http://schemas.microsoft.com/office/word/2010/wordprocessingShape">
                    <wps:wsp xmlns:wps="http://schemas.microsoft.com/office/word/2010/wordprocessingShape">
                      <wps:cNvSpPr txBox="1">
                        <a:spLocks noChangeArrowheads="1" noChangeShapeType="1" noTextEdit="1"/>
                      </wps:cNvSpPr>
                      <wps:spPr bwMode="auto">
                        <a:xfrm>
                          <a:off x="0" y="0"/>
                          <a:ext cx="1104900" cy="485775"/>
                        </a:xfrm>
                        <a:prstGeom prst="rect">
                          <a:avLst/>
                        </a:prstGeom>
                      </wps:spPr>
                      <wps:txbx>
                        <w:txbxContent>
                          <w:p>
                            <w:pPr>
                              <w:pStyle w:val="NormalWeb"/>
                              <w:spacing w:before="0" w:beforeAutospacing="0" w:after="0" w:afterAutospacing="0"/>
                              <w:jc w:val="center"/>
                            </w:pPr>
                            <w:r>
                              <w:rPr>
                                <w:rFonts w:ascii="Franklin Gothic Demi Cond" w:hAnsi="Franklin Gothic Demi Cond"/>
                                <w:color w:val="000080"/>
                                <w:spacing w:val="-36"/>
                                <w:sz w:val="72"/>
                                <w:szCs w:val="72"/>
                                <w14:shadow w14:blurRad="0" w14:dist="35941" w14:dir="2700000" w14:sx="100000" w14:sy="100000" w14:kx="0" w14:ky="0" w14:algn="ctr">
                                  <w14:srgbClr w14:val="990000"/>
                                </w14:shadow>
                                <w14:textOutline w14:w="12700">
                                  <w14:solidFill>
                                    <w14:srgbClr w14:val="000000"/>
                                  </w14:solidFill>
                                  <w14:prstDash w14:val="solid"/>
                                  <w14:round/>
                                </w14:textOutline>
                              </w:rPr>
                              <w:t>HGJ</w:t>
                            </w:r>
                          </w:p>
                          <w:p>
                            <w:pPr>
                              <w:pStyle w:val="NormalWeb"/>
                              <w:spacing w:before="0" w:beforeAutospacing="0" w:after="0" w:afterAutospacing="0"/>
                              <w:jc w:val="center"/>
                            </w:pPr>
                          </w:p>
                        </w:txbxContent>
                      </wps:txbx>
                      <wps:bodyPr wrap="square" numCol="1" fromWordArt="1">
                        <a:prstTxWarp prst="textPlain">
                          <a:avLst>
                            <a:gd name="adj" fmla="val 50000"/>
                          </a:avLst>
                        </a:prstTxWarp>
                        <a:spAutoFit/>
                      </wps:bodyPr>
                    </wps:wsp>
                  </a:graphicData>
                </a:graphic>
              </wp:anchor>
            </w:drawing>
          </mc:Choice>
          <mc:Fallback>
            <w:pict>
              <v:shapetype id="_x0000_t202" coordsize="21600,21600" o:spt="202" path="m,l,21600r21600,l21600,xe">
                <v:stroke joinstyle="miter"/>
                <v:path gradientshapeok="t" o:connecttype="rect"/>
              </v:shapetype>
              <v:shape id="WordArt 10" o:spid="_x0000_s1025" type="#_x0000_t202" style="width:87pt;height:38.25pt;margin-top:-18pt;margin-left:357pt;mso-wrap-distance-bottom:0;mso-wrap-distance-left:9pt;mso-wrap-distance-right:9pt;mso-wrap-distance-top:0;position:absolute;v-text-anchor:top;z-index:251660288" fillcolor="this">
                <v:textbox style="mso-fit-shape-to-text:t">
                  <w:txbxContent>
                    <w:p>
                      <w:pPr>
                        <w:pStyle w:val="NormalWeb"/>
                        <w:spacing w:before="0" w:beforeAutospacing="0" w:after="0" w:afterAutospacing="0"/>
                        <w:jc w:val="center"/>
                      </w:pPr>
                      <w:r>
                        <w:rPr>
                          <w:rFonts w:ascii="Franklin Gothic Demi Cond" w:hAnsi="Franklin Gothic Demi Cond"/>
                          <w:color w:val="000080"/>
                          <w:spacing w:val="-36"/>
                          <w:sz w:val="72"/>
                          <w:szCs w:val="72"/>
                        </w:rPr>
                        <w:t>HGJ</w:t>
                      </w:r>
                    </w:p>
                    <w:p>
                      <w:pPr>
                        <w:pStyle w:val="NormalWeb"/>
                        <w:spacing w:before="0" w:beforeAutospacing="0" w:after="0" w:afterAutospacing="0"/>
                        <w:jc w:val="center"/>
                      </w:pPr>
                    </w:p>
                  </w:txbxContent>
                </v:textbox>
              </v:shape>
            </w:pict>
          </mc:Fallback>
        </mc:AlternateContent>
      </w:r>
      <w:r>
        <w:rPr>
          <w:rFonts w:ascii="宋体" w:hAnsi="宋体" w:hint="eastAsia"/>
          <w:b/>
          <w:color w:val="auto"/>
        </w:rPr>
        <w:t>国际标准分类号ICS</w:t>
      </w:r>
    </w:p>
    <w:p>
      <w:pPr>
        <w:tabs>
          <w:tab w:val="left" w:pos="7455"/>
        </w:tabs>
        <w:snapToGrid w:val="0"/>
        <w:spacing w:line="360" w:lineRule="exact"/>
        <w:rPr>
          <w:rFonts w:ascii="宋体" w:hAnsi="宋体"/>
          <w:b/>
          <w:color w:val="auto"/>
        </w:rPr>
      </w:pPr>
      <w:r>
        <w:rPr>
          <w:rFonts w:ascii="宋体" w:hAnsi="宋体"/>
          <w:b/>
          <w:color w:val="auto"/>
        </w:rPr>
        <w:t>中国标准文献分类号CCS</w:t>
      </w:r>
    </w:p>
    <w:p>
      <w:pPr>
        <w:snapToGrid w:val="0"/>
        <w:spacing w:before="312" w:beforeLines="100" w:after="156" w:afterLines="50"/>
        <w:jc w:val="center"/>
        <w:rPr>
          <w:rFonts w:ascii="黑体" w:eastAsia="黑体" w:hAnsi="黑体"/>
          <w:b/>
          <w:color w:val="auto"/>
          <w:sz w:val="48"/>
          <w:szCs w:val="48"/>
        </w:rPr>
      </w:pPr>
      <w:r>
        <w:rPr>
          <w:rFonts w:ascii="黑体" w:eastAsia="黑体" w:hAnsi="黑体" w:hint="eastAsia"/>
          <w:b/>
          <w:color w:val="auto"/>
          <w:sz w:val="48"/>
          <w:szCs w:val="48"/>
        </w:rPr>
        <w:t>中国石油和化工勘察设计协会团体标准</w:t>
      </w:r>
    </w:p>
    <w:p>
      <w:pPr>
        <w:tabs>
          <w:tab w:val="left" w:pos="9027"/>
        </w:tabs>
        <w:ind w:right="-2" w:rightChars="-1"/>
        <w:jc w:val="center"/>
        <w:rPr>
          <w:b/>
          <w:color w:val="auto"/>
          <w:sz w:val="32"/>
          <w:szCs w:val="32"/>
        </w:rPr>
      </w:pPr>
      <w:r>
        <w:rPr>
          <w:b/>
          <w:color w:val="auto"/>
          <w:sz w:val="32"/>
          <w:szCs w:val="32"/>
        </w:rPr>
        <w:t xml:space="preserve">                                </w:t>
      </w:r>
      <w:r>
        <w:rPr>
          <w:rFonts w:hint="eastAsia"/>
          <w:b/>
          <w:color w:val="auto"/>
          <w:sz w:val="32"/>
          <w:szCs w:val="32"/>
        </w:rPr>
        <w:t>T/HGJ XXXXX-YYYY</w:t>
      </w:r>
    </w:p>
    <w:p>
      <w:pPr>
        <w:snapToGrid w:val="0"/>
        <w:spacing w:before="624" w:beforeLines="200"/>
        <w:jc w:val="center"/>
        <w:rPr>
          <w:b/>
          <w:color w:val="auto"/>
          <w:sz w:val="44"/>
          <w:szCs w:val="44"/>
        </w:rPr>
      </w:pPr>
      <w:r>
        <w:rPr>
          <w:b/>
          <w:color w:val="auto"/>
          <w:sz w:val="44"/>
          <w:szCs w:val="44"/>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5734050" cy="0"/>
                <wp:effectExtent l="15240" t="15875" r="13335" b="12700"/>
                <wp:wrapNone/>
                <wp:docPr id="2" name="Line 3"/>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flipH="1" flipV="1">
                          <a:off x="0" y="0"/>
                          <a:ext cx="5734050" cy="0"/>
                        </a:xfrm>
                        <a:prstGeom prst="line">
                          <a:avLst/>
                        </a:prstGeom>
                        <a:noFill/>
                        <a:ln w="19050">
                          <a:solidFill>
                            <a:srgbClr val="000000"/>
                          </a:solidFill>
                          <a:round/>
                        </a:ln>
                      </wps:spPr>
                      <wps:bodyPr/>
                    </wps:wsp>
                  </a:graphicData>
                </a:graphic>
              </wp:anchor>
            </w:drawing>
          </mc:Choice>
          <mc:Fallback>
            <w:pict>
              <v:line id="Line 3" o:spid="_x0000_s1026" style="flip:x y;mso-wrap-distance-bottom:0;mso-wrap-distance-left:9pt;mso-wrap-distance-right:9pt;mso-wrap-distance-top:0;position:absolute;v-text-anchor:top;z-index:251658240" from="0,0" to="451.5pt,0" fillcolor="this" stroked="t" strokecolor="black" strokeweight="1.5pt">
                <v:stroke joinstyle="round"/>
              </v:line>
            </w:pict>
          </mc:Fallback>
        </mc:AlternateContent>
      </w:r>
    </w:p>
    <w:p>
      <w:pPr>
        <w:snapToGrid w:val="0"/>
        <w:spacing w:before="624" w:beforeLines="200" w:after="624" w:afterLines="200"/>
        <w:jc w:val="center"/>
        <w:rPr>
          <w:b/>
          <w:bCs/>
          <w:sz w:val="32"/>
          <w:szCs w:val="32"/>
        </w:rPr>
      </w:pPr>
      <w:bookmarkStart w:id="2" w:name="OLE_LINK7"/>
      <w:bookmarkStart w:id="3" w:name="OLE_LINK8"/>
      <w:r>
        <w:rPr>
          <w:rFonts w:hint="eastAsia"/>
          <w:b/>
          <w:bCs/>
          <w:sz w:val="32"/>
          <w:szCs w:val="32"/>
        </w:rPr>
        <w:t>橡胶工厂供配电</w:t>
      </w:r>
      <w:r>
        <w:rPr>
          <w:b/>
          <w:bCs/>
          <w:sz w:val="32"/>
          <w:szCs w:val="32"/>
        </w:rPr>
        <w:t>设计规范</w:t>
      </w:r>
    </w:p>
    <w:p>
      <w:pPr>
        <w:snapToGrid w:val="0"/>
        <w:spacing w:before="624" w:beforeLines="200" w:beforeAutospacing="1" w:after="624" w:afterLines="200" w:afterAutospacing="1"/>
        <w:jc w:val="center"/>
        <w:rPr>
          <w:color w:themeColor="text1"/>
          <w:sz w:val="30"/>
          <w:szCs w:val="30"/>
          <w14:textFill>
            <w14:solidFill>
              <w14:schemeClr w14:val="tx1"/>
            </w14:solidFill>
          </w14:textFill>
        </w:rPr>
      </w:pPr>
      <w:r>
        <w:rPr>
          <w:color w:val="000000" w:themeColor="text1"/>
          <w:sz w:val="30"/>
          <w:szCs w:val="30"/>
          <w14:textFill>
            <w14:solidFill>
              <w14:schemeClr w14:val="tx1"/>
            </w14:solidFill>
          </w14:textFill>
        </w:rPr>
        <w:t>C</w:t>
      </w:r>
      <w:r>
        <w:rPr>
          <w:rFonts w:hint="eastAsia"/>
          <w:color w:val="000000" w:themeColor="text1"/>
          <w:sz w:val="30"/>
          <w:szCs w:val="30"/>
          <w14:textFill>
            <w14:solidFill>
              <w14:schemeClr w14:val="tx1"/>
            </w14:solidFill>
          </w14:textFill>
        </w:rPr>
        <w:t>ode</w:t>
      </w:r>
      <w:r>
        <w:rPr>
          <w:color w:val="000000" w:themeColor="text1"/>
          <w:sz w:val="30"/>
          <w:szCs w:val="30"/>
          <w14:textFill>
            <w14:solidFill>
              <w14:schemeClr w14:val="tx1"/>
            </w14:solidFill>
          </w14:textFill>
        </w:rPr>
        <w:t xml:space="preserve"> for design of electric power supply system for rubber factory</w:t>
      </w:r>
    </w:p>
    <w:p>
      <w:pPr>
        <w:snapToGrid w:val="0"/>
        <w:spacing w:before="624" w:beforeLines="200" w:beforeAutospacing="1" w:after="624" w:afterLines="200" w:afterAutospacing="1"/>
        <w:jc w:val="center"/>
        <w:rPr>
          <w:color w:themeColor="text1"/>
          <w:sz w:val="30"/>
          <w:szCs w:val="30"/>
          <w:highlight w:val="yellow"/>
          <w14:textFill>
            <w14:solidFill>
              <w14:schemeClr w14:val="tx1"/>
            </w14:solidFill>
          </w14:textFill>
        </w:rPr>
      </w:pPr>
    </w:p>
    <w:p>
      <w:pPr>
        <w:snapToGrid w:val="0"/>
        <w:spacing w:before="624" w:beforeLines="200" w:beforeAutospacing="1" w:after="624" w:afterLines="200" w:afterAutospacing="1"/>
        <w:jc w:val="center"/>
        <w:rPr>
          <w:color w:themeColor="text1"/>
          <w:sz w:val="30"/>
          <w:szCs w:val="30"/>
          <w14:textFill>
            <w14:solidFill>
              <w14:schemeClr w14:val="tx1"/>
            </w14:solidFill>
          </w14:textFill>
        </w:rPr>
      </w:pPr>
      <w:r>
        <w:rPr>
          <w:rFonts w:hint="eastAsia"/>
          <w:color w:val="000000" w:themeColor="text1"/>
          <w:sz w:val="30"/>
          <w:szCs w:val="30"/>
          <w14:textFill>
            <w14:solidFill>
              <w14:schemeClr w14:val="tx1"/>
            </w14:solidFill>
          </w14:textFill>
        </w:rPr>
        <w:t>(征求</w:t>
      </w:r>
      <w:r>
        <w:rPr>
          <w:color w:val="000000" w:themeColor="text1"/>
          <w:sz w:val="30"/>
          <w:szCs w:val="30"/>
          <w14:textFill>
            <w14:solidFill>
              <w14:schemeClr w14:val="tx1"/>
            </w14:solidFill>
          </w14:textFill>
        </w:rPr>
        <w:t>意见稿</w:t>
      </w:r>
      <w:r>
        <w:rPr>
          <w:rFonts w:hint="eastAsia"/>
          <w:color w:val="000000" w:themeColor="text1"/>
          <w:sz w:val="30"/>
          <w:szCs w:val="30"/>
          <w14:textFill>
            <w14:solidFill>
              <w14:schemeClr w14:val="tx1"/>
            </w14:solidFill>
          </w14:textFill>
        </w:rPr>
        <w:t>)</w:t>
      </w:r>
    </w:p>
    <w:p>
      <w:pPr>
        <w:snapToGrid w:val="0"/>
        <w:spacing w:before="624" w:beforeLines="200" w:beforeAutospacing="1" w:after="624" w:afterLines="200" w:afterAutospacing="1"/>
        <w:jc w:val="center"/>
        <w:rPr>
          <w:color w:themeColor="text1"/>
          <w:sz w:val="30"/>
          <w:szCs w:val="30"/>
          <w:highlight w:val="yellow"/>
          <w14:textFill>
            <w14:solidFill>
              <w14:schemeClr w14:val="tx1"/>
            </w14:solidFill>
          </w14:textFill>
        </w:rPr>
      </w:pPr>
    </w:p>
    <w:p>
      <w:pPr>
        <w:snapToGrid w:val="0"/>
        <w:spacing w:before="624" w:beforeLines="200" w:beforeAutospacing="1" w:after="624" w:afterLines="200" w:afterAutospacing="1"/>
        <w:jc w:val="center"/>
        <w:rPr>
          <w:color w:themeColor="text1"/>
          <w:sz w:val="30"/>
          <w:szCs w:val="30"/>
          <w:highlight w:val="yellow"/>
          <w14:textFill>
            <w14:solidFill>
              <w14:schemeClr w14:val="tx1"/>
            </w14:solidFill>
          </w14:textFill>
        </w:rPr>
      </w:pPr>
    </w:p>
    <w:p>
      <w:pPr>
        <w:snapToGrid w:val="0"/>
        <w:spacing w:before="624" w:beforeLines="200" w:beforeAutospacing="1" w:after="624" w:afterLines="200" w:afterAutospacing="1"/>
        <w:jc w:val="center"/>
        <w:rPr>
          <w:color w:themeColor="text1"/>
          <w:sz w:val="30"/>
          <w:szCs w:val="30"/>
          <w:highlight w:val="yellow"/>
          <w14:textFill>
            <w14:solidFill>
              <w14:schemeClr w14:val="tx1"/>
            </w14:solidFill>
          </w14:textFill>
        </w:rPr>
      </w:pPr>
    </w:p>
    <w:p>
      <w:pPr>
        <w:snapToGrid w:val="0"/>
        <w:spacing w:before="624" w:beforeLines="200" w:beforeAutospacing="1" w:after="624" w:afterLines="200" w:afterAutospacing="1"/>
        <w:rPr>
          <w:color w:themeColor="text1"/>
          <w:sz w:val="30"/>
          <w:szCs w:val="30"/>
          <w:highlight w:val="yellow"/>
          <w14:textFill>
            <w14:solidFill>
              <w14:schemeClr w14:val="tx1"/>
            </w14:solidFill>
          </w14:textFill>
        </w:rPr>
      </w:pPr>
    </w:p>
    <w:p>
      <w:pPr>
        <w:snapToGrid w:val="0"/>
        <w:spacing w:before="624" w:beforeLines="200" w:beforeAutospacing="1" w:after="624" w:afterLines="200" w:afterAutospacing="1"/>
        <w:rPr>
          <w:color w:themeColor="text1"/>
          <w:sz w:val="30"/>
          <w:szCs w:val="30"/>
          <w:highlight w:val="yellow"/>
          <w14:textFill>
            <w14:solidFill>
              <w14:schemeClr w14:val="tx1"/>
            </w14:solidFill>
          </w14:textFill>
        </w:rPr>
      </w:pPr>
    </w:p>
    <w:bookmarkEnd w:id="0"/>
    <w:bookmarkEnd w:id="1"/>
    <w:bookmarkEnd w:id="2"/>
    <w:bookmarkEnd w:id="3"/>
    <w:p>
      <w:pPr>
        <w:snapToGrid w:val="0"/>
        <w:jc w:val="center"/>
        <w:rPr>
          <w:rFonts w:ascii="Elephant"/>
          <w:b/>
          <w:color w:val="auto"/>
          <w:sz w:val="32"/>
          <w:szCs w:val="32"/>
        </w:rPr>
      </w:pPr>
      <w:bookmarkStart w:id="4" w:name="OLE_LINK11"/>
      <w:bookmarkStart w:id="5" w:name="OLE_LINK12"/>
      <w:r>
        <w:rPr>
          <w:rFonts w:hint="eastAsia"/>
          <w:b/>
          <w:color w:val="auto"/>
          <w:sz w:val="32"/>
          <w:szCs w:val="32"/>
        </w:rPr>
        <w:t>20YY-MM-DD</w:t>
      </w:r>
      <w:r>
        <w:rPr>
          <w:rFonts w:ascii="黑体" w:eastAsia="黑体" w:hAnsi="黑体" w:hint="eastAsia"/>
          <w:b/>
          <w:color w:val="auto"/>
          <w:sz w:val="32"/>
          <w:szCs w:val="32"/>
        </w:rPr>
        <w:t>发布</w:t>
      </w:r>
      <w:r>
        <w:rPr>
          <w:rFonts w:ascii="Elephant" w:hint="eastAsia"/>
          <w:b/>
          <w:color w:val="auto"/>
          <w:sz w:val="32"/>
          <w:szCs w:val="32"/>
        </w:rPr>
        <w:tab/>
      </w:r>
      <w:r>
        <w:rPr>
          <w:rFonts w:ascii="Elephant" w:hint="eastAsia"/>
          <w:b/>
          <w:color w:val="auto"/>
          <w:sz w:val="32"/>
          <w:szCs w:val="32"/>
        </w:rPr>
        <w:tab/>
      </w:r>
      <w:r>
        <w:rPr>
          <w:rFonts w:ascii="Elephant" w:hint="eastAsia"/>
          <w:b/>
          <w:color w:val="auto"/>
          <w:sz w:val="32"/>
          <w:szCs w:val="32"/>
        </w:rPr>
        <w:tab/>
      </w:r>
      <w:r>
        <w:rPr>
          <w:rFonts w:ascii="Elephant" w:hint="eastAsia"/>
          <w:b/>
          <w:color w:val="auto"/>
          <w:sz w:val="32"/>
          <w:szCs w:val="32"/>
        </w:rPr>
        <w:tab/>
      </w:r>
      <w:r>
        <w:rPr>
          <w:rFonts w:ascii="Elephant" w:hint="eastAsia"/>
          <w:b/>
          <w:color w:val="auto"/>
          <w:sz w:val="32"/>
          <w:szCs w:val="32"/>
        </w:rPr>
        <w:tab/>
      </w:r>
      <w:r>
        <w:rPr>
          <w:rFonts w:ascii="Elephant" w:hint="eastAsia"/>
          <w:b/>
          <w:color w:val="auto"/>
          <w:sz w:val="32"/>
          <w:szCs w:val="32"/>
        </w:rPr>
        <w:tab/>
      </w:r>
      <w:r>
        <w:rPr>
          <w:rFonts w:ascii="Elephant" w:hint="eastAsia"/>
          <w:b/>
          <w:color w:val="auto"/>
          <w:sz w:val="32"/>
          <w:szCs w:val="32"/>
        </w:rPr>
        <w:tab/>
      </w:r>
      <w:r>
        <w:rPr>
          <w:rFonts w:hint="eastAsia"/>
          <w:b/>
          <w:color w:val="auto"/>
          <w:sz w:val="32"/>
          <w:szCs w:val="32"/>
        </w:rPr>
        <w:t>20YY-MM-DD</w:t>
      </w:r>
      <w:r>
        <w:rPr>
          <w:rFonts w:ascii="黑体" w:eastAsia="黑体" w:hAnsi="黑体" w:hint="eastAsia"/>
          <w:b/>
          <w:color w:val="auto"/>
          <w:sz w:val="32"/>
          <w:szCs w:val="32"/>
        </w:rPr>
        <w:t>实施</w:t>
      </w:r>
    </w:p>
    <w:p>
      <w:pPr>
        <w:snapToGrid w:val="0"/>
        <w:spacing w:before="312" w:beforeLines="100" w:after="312" w:afterLines="100"/>
        <w:rPr>
          <w:rFonts w:ascii="Elephant" w:hAnsi="Elephant"/>
          <w:b/>
          <w:color w:val="auto"/>
          <w:sz w:val="32"/>
          <w:szCs w:val="32"/>
          <w:highlight w:val="yellow"/>
        </w:rPr>
      </w:pPr>
      <w:r>
        <w:rPr>
          <w:rFonts w:ascii="Elephant" w:hAnsi="Elephant"/>
          <w:b/>
          <w:color w:val="auto"/>
          <w:sz w:val="32"/>
          <w:szCs w:val="32"/>
          <w:highlight w:val="yellow"/>
        </w:rPr>
        <mc:AlternateContent>
          <mc:Choice Requires="wps">
            <w:drawing>
              <wp:anchor distT="0" distB="0" distL="114300" distR="114300" simplePos="0" relativeHeight="251663360" behindDoc="0" locked="0" layoutInCell="1" allowOverlap="1">
                <wp:simplePos x="0" y="0"/>
                <wp:positionH relativeFrom="column">
                  <wp:posOffset>0</wp:posOffset>
                </wp:positionH>
                <wp:positionV relativeFrom="paragraph">
                  <wp:posOffset>137160</wp:posOffset>
                </wp:positionV>
                <wp:extent cx="5734050" cy="0"/>
                <wp:effectExtent l="15240" t="12700" r="13335" b="15875"/>
                <wp:wrapNone/>
                <wp:docPr id="1" name="Line 4"/>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flipH="1" flipV="1">
                          <a:off x="0" y="0"/>
                          <a:ext cx="5734050" cy="0"/>
                        </a:xfrm>
                        <a:prstGeom prst="line">
                          <a:avLst/>
                        </a:prstGeom>
                        <a:noFill/>
                        <a:ln w="19050">
                          <a:solidFill>
                            <a:srgbClr val="000000"/>
                          </a:solidFill>
                          <a:round/>
                        </a:ln>
                      </wps:spPr>
                      <wps:bodyPr/>
                    </wps:wsp>
                  </a:graphicData>
                </a:graphic>
              </wp:anchor>
            </w:drawing>
          </mc:Choice>
          <mc:Fallback>
            <w:pict>
              <v:line id="Line 4" o:spid="_x0000_s1027" style="flip:x y;mso-wrap-distance-bottom:0;mso-wrap-distance-left:9pt;mso-wrap-distance-right:9pt;mso-wrap-distance-top:0;position:absolute;v-text-anchor:top;z-index:251662336" from="0,10.8pt" to="451.5pt,10.8pt" fillcolor="this" stroked="t" strokecolor="black" strokeweight="1.5pt">
                <v:stroke joinstyle="round"/>
              </v:line>
            </w:pict>
          </mc:Fallback>
        </mc:AlternateContent>
      </w:r>
    </w:p>
    <w:p>
      <w:pPr>
        <w:snapToGrid w:val="0"/>
        <w:jc w:val="center"/>
        <w:rPr>
          <w:rFonts w:ascii="黑体" w:eastAsia="黑体" w:hAnsi="黑体"/>
          <w:b/>
          <w:color w:val="auto"/>
          <w:sz w:val="32"/>
          <w:szCs w:val="32"/>
        </w:rPr>
      </w:pPr>
      <w:r>
        <w:rPr>
          <w:rFonts w:ascii="黑体" w:eastAsia="黑体" w:hAnsi="黑体" w:hint="eastAsia"/>
          <w:b/>
          <w:color w:val="auto"/>
          <w:sz w:val="32"/>
          <w:szCs w:val="32"/>
        </w:rPr>
        <w:t>中国石油和化工勘察设计协会发布</w:t>
      </w:r>
    </w:p>
    <w:bookmarkEnd w:id="4"/>
    <w:bookmarkEnd w:id="5"/>
    <w:p>
      <w:pPr>
        <w:tabs>
          <w:tab w:val="left" w:pos="3830"/>
        </w:tabs>
        <w:rPr>
          <w:sz w:val="44"/>
          <w:szCs w:val="44"/>
        </w:rPr>
        <w:sectPr>
          <w:headerReference w:type="default" r:id="rId6"/>
          <w:footerReference w:type="default" r:id="rId7"/>
          <w:pgSz w:w="11906" w:h="16838"/>
          <w:pgMar w:top="1440" w:right="1800" w:bottom="1440" w:left="1800" w:header="851" w:footer="992" w:gutter="0"/>
          <w:pgNumType w:start="1"/>
          <w:cols w:num="1" w:space="425"/>
          <w:docGrid w:type="lines" w:linePitch="312" w:charSpace="0"/>
        </w:sectPr>
      </w:pPr>
      <w:r>
        <w:rPr>
          <w:rFonts w:ascii="仿宋" w:eastAsia="仿宋" w:hAnsi="仿宋" w:hint="eastAsia"/>
          <w:color w:val="auto"/>
          <w:sz w:val="28"/>
          <w:szCs w:val="28"/>
        </w:rPr>
        <w:tab/>
      </w:r>
    </w:p>
    <w:p>
      <w:pPr>
        <w:pStyle w:val="Heading1"/>
        <w:jc w:val="center"/>
        <w:rPr>
          <w:color w:val="auto"/>
        </w:rPr>
      </w:pPr>
      <w:bookmarkStart w:id="6" w:name="_Toc28016"/>
      <w:bookmarkStart w:id="7" w:name="_Toc150789562"/>
      <w:bookmarkStart w:id="8" w:name="_Toc11429"/>
      <w:bookmarkStart w:id="9" w:name="_Toc153207282"/>
      <w:bookmarkStart w:id="10" w:name="_Toc150841316"/>
      <w:bookmarkStart w:id="11" w:name="_Toc150521594"/>
      <w:bookmarkStart w:id="12" w:name="_Toc150520727"/>
      <w:bookmarkStart w:id="13" w:name="_Toc153204806"/>
      <w:bookmarkStart w:id="14" w:name="_GoBack"/>
      <w:bookmarkEnd w:id="14"/>
      <w:r>
        <w:rPr>
          <w:rFonts w:hint="eastAsia"/>
          <w:color w:val="auto"/>
        </w:rPr>
        <w:t>1 总   则</w:t>
      </w:r>
      <w:bookmarkEnd w:id="6"/>
      <w:bookmarkEnd w:id="7"/>
      <w:bookmarkEnd w:id="8"/>
      <w:bookmarkEnd w:id="9"/>
      <w:bookmarkEnd w:id="10"/>
      <w:bookmarkEnd w:id="11"/>
      <w:bookmarkEnd w:id="12"/>
      <w:bookmarkEnd w:id="13"/>
    </w:p>
    <w:p>
      <w:pPr>
        <w:rPr>
          <w:color w:val="auto"/>
        </w:rPr>
      </w:pPr>
      <w:r>
        <w:rPr>
          <w:color w:val="auto"/>
        </w:rPr>
        <w:t>1.0.</w:t>
      </w:r>
      <w:r>
        <w:rPr>
          <w:rFonts w:hint="eastAsia"/>
          <w:color w:val="auto"/>
        </w:rPr>
        <w:t xml:space="preserve">1  </w:t>
      </w:r>
      <w:r>
        <w:rPr>
          <w:color w:val="auto"/>
        </w:rPr>
        <w:t>为保证</w:t>
      </w:r>
      <w:r>
        <w:rPr>
          <w:rFonts w:hint="eastAsia"/>
          <w:color w:val="auto"/>
        </w:rPr>
        <w:t>橡胶工厂供配电</w:t>
      </w:r>
      <w:r>
        <w:rPr>
          <w:color w:val="auto"/>
        </w:rPr>
        <w:t>设计质量</w:t>
      </w:r>
      <w:r>
        <w:rPr>
          <w:rFonts w:hint="eastAsia"/>
          <w:color w:val="auto"/>
        </w:rPr>
        <w:t>，保障人身</w:t>
      </w:r>
      <w:r>
        <w:rPr>
          <w:color w:val="auto"/>
        </w:rPr>
        <w:t>安全、</w:t>
      </w:r>
      <w:r>
        <w:rPr>
          <w:rFonts w:hint="eastAsia"/>
          <w:color w:val="auto"/>
        </w:rPr>
        <w:t>供电</w:t>
      </w:r>
      <w:r>
        <w:rPr>
          <w:color w:val="auto"/>
        </w:rPr>
        <w:t>可靠、</w:t>
      </w:r>
      <w:r>
        <w:rPr>
          <w:rFonts w:hint="eastAsia"/>
          <w:color w:val="auto"/>
        </w:rPr>
        <w:t>技术</w:t>
      </w:r>
      <w:r>
        <w:rPr>
          <w:color w:val="auto"/>
        </w:rPr>
        <w:t>先进、经济</w:t>
      </w:r>
      <w:r>
        <w:rPr>
          <w:rFonts w:hint="eastAsia"/>
          <w:color w:val="auto"/>
        </w:rPr>
        <w:t>合理</w:t>
      </w:r>
      <w:r>
        <w:rPr>
          <w:color w:val="auto"/>
        </w:rPr>
        <w:t>等基本要求</w:t>
      </w:r>
      <w:r>
        <w:rPr>
          <w:rFonts w:hint="eastAsia"/>
          <w:color w:val="auto"/>
        </w:rPr>
        <w:t>，</w:t>
      </w:r>
      <w:r>
        <w:rPr>
          <w:color w:val="auto"/>
        </w:rPr>
        <w:t>制定本规范。</w:t>
      </w:r>
    </w:p>
    <w:p>
      <w:pPr>
        <w:rPr>
          <w:color w:val="auto"/>
        </w:rPr>
      </w:pPr>
      <w:r>
        <w:rPr>
          <w:color w:val="auto"/>
        </w:rPr>
        <w:t>1.0.2</w:t>
      </w:r>
      <w:r>
        <w:rPr>
          <w:rFonts w:hint="eastAsia"/>
          <w:color w:val="auto"/>
        </w:rPr>
        <w:t xml:space="preserve">  </w:t>
      </w:r>
      <w:r>
        <w:rPr>
          <w:color w:val="auto"/>
        </w:rPr>
        <w:t>本</w:t>
      </w:r>
      <w:r>
        <w:rPr>
          <w:rFonts w:hint="eastAsia"/>
          <w:color w:val="auto"/>
        </w:rPr>
        <w:t>规范</w:t>
      </w:r>
      <w:r>
        <w:rPr>
          <w:color w:val="auto"/>
        </w:rPr>
        <w:t>适用于新建</w:t>
      </w:r>
      <w:r>
        <w:rPr>
          <w:rFonts w:hint="eastAsia"/>
          <w:color w:val="auto"/>
        </w:rPr>
        <w:t>、</w:t>
      </w:r>
      <w:r>
        <w:rPr>
          <w:color w:val="auto"/>
        </w:rPr>
        <w:t>改建和扩建橡胶工厂</w:t>
      </w:r>
      <w:r>
        <w:rPr>
          <w:rFonts w:hint="eastAsia"/>
          <w:color w:val="auto"/>
        </w:rPr>
        <w:t>的供配电</w:t>
      </w:r>
      <w:r>
        <w:rPr>
          <w:color w:val="auto"/>
        </w:rPr>
        <w:t>设计。</w:t>
      </w:r>
    </w:p>
    <w:p>
      <w:pPr>
        <w:rPr>
          <w:color w:val="auto"/>
        </w:rPr>
      </w:pPr>
      <w:r>
        <w:rPr>
          <w:color w:val="auto"/>
        </w:rPr>
        <w:t>1.0.3</w:t>
      </w:r>
      <w:r>
        <w:rPr>
          <w:rFonts w:hint="eastAsia"/>
          <w:color w:val="auto"/>
        </w:rPr>
        <w:t xml:space="preserve">  </w:t>
      </w:r>
      <w:r>
        <w:rPr>
          <w:color w:val="auto"/>
        </w:rPr>
        <w:t>供配电设计应按照</w:t>
      </w:r>
      <w:r>
        <w:rPr>
          <w:rFonts w:hint="eastAsia"/>
          <w:color w:val="auto"/>
        </w:rPr>
        <w:t>橡胶</w:t>
      </w:r>
      <w:r>
        <w:rPr>
          <w:color w:val="auto"/>
        </w:rPr>
        <w:t>工厂负荷性质、用电容量、工程特点和地区供电条件，统筹兼顾，合理确定设计方案</w:t>
      </w:r>
      <w:r>
        <w:rPr>
          <w:rFonts w:hint="eastAsia"/>
          <w:color w:val="auto"/>
        </w:rPr>
        <w:t>。</w:t>
      </w:r>
    </w:p>
    <w:p>
      <w:pPr>
        <w:rPr>
          <w:color w:val="auto"/>
        </w:rPr>
      </w:pPr>
      <w:r>
        <w:rPr>
          <w:rFonts w:hint="eastAsia"/>
          <w:color w:val="auto"/>
        </w:rPr>
        <w:t>1.0.</w:t>
      </w:r>
      <w:r>
        <w:rPr>
          <w:color w:val="auto"/>
        </w:rPr>
        <w:t>4</w:t>
      </w:r>
      <w:r>
        <w:rPr>
          <w:rFonts w:hint="eastAsia"/>
          <w:color w:val="auto"/>
        </w:rPr>
        <w:t xml:space="preserve">  </w:t>
      </w:r>
      <w:r>
        <w:rPr>
          <w:color w:val="auto"/>
        </w:rPr>
        <w:t>供配电设计应采用</w:t>
      </w:r>
      <w:r>
        <w:rPr>
          <w:rFonts w:hint="eastAsia"/>
          <w:color w:val="auto"/>
        </w:rPr>
        <w:t>成熟</w:t>
      </w:r>
      <w:r>
        <w:rPr>
          <w:color w:val="auto"/>
        </w:rPr>
        <w:t>、有效的节能措施，合理采用分布式能源，降低能源消耗，</w:t>
      </w:r>
      <w:r>
        <w:rPr>
          <w:rFonts w:hint="eastAsia"/>
          <w:color w:val="auto"/>
        </w:rPr>
        <w:t>促进</w:t>
      </w:r>
      <w:r>
        <w:rPr>
          <w:color w:val="auto"/>
        </w:rPr>
        <w:t>绿色工业建筑的发展。</w:t>
      </w:r>
    </w:p>
    <w:p>
      <w:pPr>
        <w:rPr>
          <w:color w:val="auto"/>
        </w:rPr>
      </w:pPr>
      <w:r>
        <w:rPr>
          <w:color w:val="auto"/>
        </w:rPr>
        <w:t>1.0.</w:t>
      </w:r>
      <w:r>
        <w:rPr>
          <w:rFonts w:hint="eastAsia"/>
          <w:color w:val="auto"/>
        </w:rPr>
        <w:t>5  橡胶工厂供配电</w:t>
      </w:r>
      <w:r>
        <w:rPr>
          <w:color w:val="auto"/>
        </w:rPr>
        <w:t>设计</w:t>
      </w:r>
      <w:r>
        <w:rPr>
          <w:rFonts w:hint="eastAsia"/>
          <w:color w:val="auto"/>
        </w:rPr>
        <w:t>，</w:t>
      </w:r>
      <w:r>
        <w:rPr>
          <w:color w:val="auto"/>
        </w:rPr>
        <w:t>除应</w:t>
      </w:r>
      <w:r>
        <w:rPr>
          <w:rFonts w:hint="eastAsia"/>
          <w:color w:val="auto"/>
        </w:rPr>
        <w:t>符合</w:t>
      </w:r>
      <w:r>
        <w:rPr>
          <w:color w:val="auto"/>
        </w:rPr>
        <w:t>本</w:t>
      </w:r>
      <w:r>
        <w:rPr>
          <w:rFonts w:hint="eastAsia"/>
          <w:color w:val="auto"/>
        </w:rPr>
        <w:t>规范</w:t>
      </w:r>
      <w:r>
        <w:rPr>
          <w:color w:val="auto"/>
        </w:rPr>
        <w:t>外</w:t>
      </w:r>
      <w:r>
        <w:rPr>
          <w:rFonts w:hint="eastAsia"/>
          <w:color w:val="auto"/>
        </w:rPr>
        <w:t>，</w:t>
      </w:r>
      <w:r>
        <w:rPr>
          <w:color w:val="auto"/>
        </w:rPr>
        <w:t>尚应符合国家现行有关标准的规定。</w:t>
      </w:r>
    </w:p>
    <w:p>
      <w:pPr>
        <w:ind w:firstLine="480"/>
        <w:rPr>
          <w:color w:val="auto"/>
          <w:highlight w:val="yellow"/>
        </w:rPr>
        <w:sectPr>
          <w:headerReference w:type="default" r:id="rId8"/>
          <w:footerReference w:type="default" r:id="rId9"/>
          <w:type w:val="nextPage"/>
          <w:pgSz w:w="11906" w:h="16838"/>
          <w:pgMar w:top="1440" w:right="1800" w:bottom="1440" w:left="1800" w:header="851" w:footer="992" w:gutter="0"/>
          <w:pgNumType w:start="2"/>
          <w:cols w:num="1" w:space="425"/>
          <w:titlePg w:val="0"/>
          <w:docGrid w:type="lines" w:linePitch="312" w:charSpace="0"/>
        </w:sectPr>
      </w:pPr>
    </w:p>
    <w:p>
      <w:pPr>
        <w:pStyle w:val="Heading1"/>
        <w:jc w:val="center"/>
      </w:pPr>
      <w:bookmarkStart w:id="15" w:name="_Toc150841317"/>
      <w:bookmarkStart w:id="16" w:name="_Toc6683"/>
      <w:bookmarkStart w:id="17" w:name="_Toc11805"/>
      <w:bookmarkStart w:id="18" w:name="_Toc150789563"/>
      <w:bookmarkStart w:id="19" w:name="_Toc153207283"/>
      <w:bookmarkStart w:id="20" w:name="_Toc153204807"/>
      <w:bookmarkStart w:id="21" w:name="_Toc150520728"/>
      <w:bookmarkStart w:id="22" w:name="_Toc150521595"/>
      <w:r>
        <w:rPr>
          <w:rFonts w:hint="eastAsia"/>
        </w:rPr>
        <w:t>2 术   语</w:t>
      </w:r>
      <w:bookmarkEnd w:id="15"/>
      <w:bookmarkEnd w:id="16"/>
      <w:bookmarkEnd w:id="17"/>
      <w:bookmarkEnd w:id="18"/>
      <w:bookmarkEnd w:id="19"/>
      <w:bookmarkEnd w:id="20"/>
      <w:bookmarkEnd w:id="21"/>
      <w:bookmarkEnd w:id="22"/>
    </w:p>
    <w:p>
      <w:pPr>
        <w:rPr>
          <w:color w:val="auto"/>
        </w:rPr>
      </w:pPr>
      <w:r>
        <w:rPr>
          <w:color w:val="auto"/>
        </w:rPr>
        <w:t>2.</w:t>
      </w:r>
      <w:r>
        <w:rPr>
          <w:rFonts w:hint="eastAsia"/>
          <w:color w:val="auto"/>
        </w:rPr>
        <w:t>0</w:t>
      </w:r>
      <w:r>
        <w:rPr>
          <w:color w:val="auto"/>
        </w:rPr>
        <w:t>.1</w:t>
      </w:r>
      <w:r>
        <w:rPr>
          <w:rFonts w:hint="eastAsia"/>
          <w:color w:val="auto"/>
        </w:rPr>
        <w:t xml:space="preserve">  备用</w:t>
      </w:r>
      <w:r>
        <w:rPr>
          <w:color w:val="auto"/>
        </w:rPr>
        <w:t>电源</w:t>
      </w:r>
      <w:r>
        <w:rPr>
          <w:rFonts w:hint="eastAsia"/>
          <w:color w:val="auto"/>
        </w:rPr>
        <w:t xml:space="preserve">   standby</w:t>
      </w:r>
      <w:r>
        <w:rPr>
          <w:color w:val="auto"/>
        </w:rPr>
        <w:t xml:space="preserve"> power supply</w:t>
      </w:r>
    </w:p>
    <w:p>
      <w:pPr>
        <w:ind w:firstLine="482"/>
        <w:rPr>
          <w:color w:val="auto"/>
        </w:rPr>
      </w:pPr>
      <w:r>
        <w:rPr>
          <w:color w:val="auto"/>
        </w:rPr>
        <w:t>当正常电源断电时，用来维持电气装置或照明系统所需的电源</w:t>
      </w:r>
      <w:r>
        <w:rPr>
          <w:rFonts w:hint="eastAsia"/>
          <w:color w:val="auto"/>
        </w:rPr>
        <w:t>。</w:t>
      </w:r>
    </w:p>
    <w:p>
      <w:pPr>
        <w:rPr>
          <w:color w:val="auto"/>
        </w:rPr>
      </w:pPr>
      <w:r>
        <w:rPr>
          <w:color w:val="auto"/>
        </w:rPr>
        <w:t>2.</w:t>
      </w:r>
      <w:r>
        <w:rPr>
          <w:rFonts w:hint="eastAsia"/>
          <w:color w:val="auto"/>
        </w:rPr>
        <w:t>0</w:t>
      </w:r>
      <w:r>
        <w:rPr>
          <w:color w:val="auto"/>
        </w:rPr>
        <w:t>.2</w:t>
      </w:r>
      <w:r>
        <w:rPr>
          <w:rFonts w:hint="eastAsia"/>
          <w:color w:val="auto"/>
        </w:rPr>
        <w:t xml:space="preserve">  双重</w:t>
      </w:r>
      <w:r>
        <w:rPr>
          <w:color w:val="auto"/>
        </w:rPr>
        <w:t>电源</w:t>
      </w:r>
      <w:r>
        <w:rPr>
          <w:rFonts w:hint="eastAsia"/>
          <w:color w:val="auto"/>
        </w:rPr>
        <w:t xml:space="preserve">  </w:t>
      </w:r>
      <w:r>
        <w:rPr>
          <w:color w:val="auto"/>
        </w:rPr>
        <w:t xml:space="preserve"> duplicate supply</w:t>
      </w:r>
    </w:p>
    <w:p>
      <w:pPr>
        <w:ind w:firstLine="482"/>
        <w:rPr>
          <w:color w:val="auto"/>
        </w:rPr>
      </w:pPr>
      <w:r>
        <w:rPr>
          <w:color w:val="auto"/>
        </w:rPr>
        <w:t>一个负荷的电源是由两个电路提供的，这两个电路就安全供电而言被认为是互相独立的。</w:t>
      </w:r>
    </w:p>
    <w:p>
      <w:r>
        <w:rPr>
          <w:color w:val="auto"/>
        </w:rPr>
        <w:t>2.</w:t>
      </w:r>
      <w:r>
        <w:rPr>
          <w:rFonts w:hint="eastAsia"/>
          <w:color w:val="auto"/>
        </w:rPr>
        <w:t>0</w:t>
      </w:r>
      <w:r>
        <w:rPr>
          <w:color w:val="auto"/>
        </w:rPr>
        <w:t>.3</w:t>
      </w:r>
      <w:r>
        <w:rPr>
          <w:rFonts w:hint="eastAsia"/>
          <w:color w:val="auto"/>
        </w:rPr>
        <w:t xml:space="preserve">  应急</w:t>
      </w:r>
      <w:r>
        <w:rPr>
          <w:color w:val="auto"/>
        </w:rPr>
        <w:t>电源</w:t>
      </w:r>
      <w:r>
        <w:rPr>
          <w:rFonts w:hint="eastAsia"/>
          <w:color w:val="auto"/>
        </w:rPr>
        <w:t xml:space="preserve">   </w:t>
      </w:r>
      <w:r>
        <w:t>emergency power supply</w:t>
      </w:r>
      <w:r>
        <w:rPr>
          <w:rFonts w:hint="eastAsia"/>
        </w:rPr>
        <w:t>（EPS）</w:t>
      </w:r>
    </w:p>
    <w:p>
      <w:pPr>
        <w:ind w:firstLine="482"/>
        <w:rPr>
          <w:color w:val="auto"/>
        </w:rPr>
      </w:pPr>
      <w:r>
        <w:rPr>
          <w:color w:val="auto"/>
        </w:rPr>
        <w:t>用作应急供电系统组成部分的电源。</w:t>
      </w:r>
    </w:p>
    <w:p>
      <w:pPr>
        <w:rPr>
          <w:color w:val="auto"/>
        </w:rPr>
      </w:pPr>
      <w:r>
        <w:rPr>
          <w:color w:val="auto"/>
        </w:rPr>
        <w:t>2.</w:t>
      </w:r>
      <w:r>
        <w:rPr>
          <w:rFonts w:hint="eastAsia"/>
          <w:color w:val="auto"/>
        </w:rPr>
        <w:t>0</w:t>
      </w:r>
      <w:r>
        <w:rPr>
          <w:color w:val="auto"/>
        </w:rPr>
        <w:t>.4</w:t>
      </w:r>
      <w:r>
        <w:rPr>
          <w:rFonts w:hint="eastAsia"/>
          <w:color w:val="auto"/>
        </w:rPr>
        <w:t xml:space="preserve">  不间断</w:t>
      </w:r>
      <w:r>
        <w:rPr>
          <w:color w:val="auto"/>
        </w:rPr>
        <w:t>电源</w:t>
      </w:r>
      <w:r>
        <w:rPr>
          <w:rFonts w:hint="eastAsia"/>
          <w:color w:val="auto"/>
        </w:rPr>
        <w:t xml:space="preserve">  </w:t>
      </w:r>
      <w:r>
        <w:t>uninterruptible power supply(UPS)</w:t>
      </w:r>
    </w:p>
    <w:p>
      <w:pPr>
        <w:ind w:firstLine="482"/>
        <w:rPr>
          <w:color w:val="auto"/>
        </w:rPr>
      </w:pPr>
      <w:r>
        <w:rPr>
          <w:color w:val="auto"/>
        </w:rPr>
        <w:t>能够提供满足电子信息设备与计算机系统供电质量要求的, 不间断供电的后备电源装置。</w:t>
      </w:r>
    </w:p>
    <w:p>
      <w:pPr>
        <w:rPr>
          <w:color w:val="auto"/>
        </w:rPr>
      </w:pPr>
      <w:r>
        <w:rPr>
          <w:color w:val="auto"/>
        </w:rPr>
        <w:t>2.</w:t>
      </w:r>
      <w:r>
        <w:rPr>
          <w:rFonts w:hint="eastAsia"/>
          <w:color w:val="auto"/>
        </w:rPr>
        <w:t>0</w:t>
      </w:r>
      <w:r>
        <w:rPr>
          <w:color w:val="auto"/>
        </w:rPr>
        <w:t>.5</w:t>
      </w:r>
      <w:r>
        <w:rPr>
          <w:rFonts w:hint="eastAsia"/>
          <w:color w:val="auto"/>
        </w:rPr>
        <w:t xml:space="preserve">  分布式</w:t>
      </w:r>
      <w:r>
        <w:rPr>
          <w:color w:val="auto"/>
        </w:rPr>
        <w:t>电源</w:t>
      </w:r>
      <w:r>
        <w:rPr>
          <w:rFonts w:hint="eastAsia"/>
          <w:color w:val="auto"/>
        </w:rPr>
        <w:t xml:space="preserve">   distributed</w:t>
      </w:r>
      <w:r>
        <w:rPr>
          <w:color w:val="auto"/>
        </w:rPr>
        <w:t xml:space="preserve"> resources</w:t>
      </w:r>
    </w:p>
    <w:p>
      <w:pPr>
        <w:ind w:firstLine="480"/>
        <w:rPr>
          <w:color w:val="auto"/>
        </w:rPr>
      </w:pPr>
      <w:r>
        <w:rPr>
          <w:rFonts w:hint="eastAsia"/>
          <w:color w:val="auto"/>
        </w:rPr>
        <w:t>在</w:t>
      </w:r>
      <w:r>
        <w:rPr>
          <w:color w:val="auto"/>
        </w:rPr>
        <w:t>用户所在场地或附近建设安装、运行，以</w:t>
      </w:r>
      <w:r>
        <w:rPr>
          <w:rFonts w:hint="eastAsia"/>
          <w:color w:val="auto"/>
        </w:rPr>
        <w:t>用户侧</w:t>
      </w:r>
      <w:r>
        <w:rPr>
          <w:color w:val="auto"/>
        </w:rPr>
        <w:t>自发自用为主、多余电量上网，且在配电网系统平衡调节为特征的发电设施。</w:t>
      </w:r>
    </w:p>
    <w:p>
      <w:pPr>
        <w:ind w:firstLine="480"/>
        <w:rPr>
          <w:color w:val="auto"/>
        </w:rPr>
      </w:pPr>
    </w:p>
    <w:p>
      <w:pPr>
        <w:rPr>
          <w:color w:val="auto"/>
        </w:rPr>
      </w:pPr>
      <w:r>
        <w:rPr>
          <w:rFonts w:hint="eastAsia"/>
          <w:color w:val="auto"/>
        </w:rPr>
        <w:t>2.0.6</w:t>
      </w:r>
      <w:r>
        <w:rPr>
          <w:color w:val="auto"/>
        </w:rPr>
        <w:t xml:space="preserve">  </w:t>
      </w:r>
      <w:r>
        <w:rPr>
          <w:rFonts w:hint="eastAsia"/>
          <w:color w:val="auto"/>
        </w:rPr>
        <w:t>单相</w:t>
      </w:r>
      <w:r>
        <w:rPr>
          <w:color w:val="auto"/>
        </w:rPr>
        <w:t>用电设备</w:t>
      </w:r>
      <w:r>
        <w:rPr>
          <w:rFonts w:hint="eastAsia"/>
          <w:color w:val="auto"/>
        </w:rPr>
        <w:t xml:space="preserve"> </w:t>
      </w:r>
      <w:r>
        <w:rPr>
          <w:color w:val="auto"/>
        </w:rPr>
        <w:t>single-phase equipment</w:t>
      </w:r>
    </w:p>
    <w:p>
      <w:pPr>
        <w:ind w:firstLine="480"/>
        <w:rPr>
          <w:color w:val="auto"/>
        </w:rPr>
      </w:pPr>
      <w:r>
        <w:rPr>
          <w:rFonts w:hint="eastAsia"/>
          <w:color w:val="auto"/>
        </w:rPr>
        <w:t>连接</w:t>
      </w:r>
      <w:r>
        <w:rPr>
          <w:color w:val="auto"/>
        </w:rPr>
        <w:t>到</w:t>
      </w:r>
      <w:r>
        <w:rPr>
          <w:rFonts w:hint="eastAsia"/>
          <w:color w:val="auto"/>
        </w:rPr>
        <w:t>一个相线</w:t>
      </w:r>
      <w:r>
        <w:rPr>
          <w:color w:val="auto"/>
        </w:rPr>
        <w:t>和中性线</w:t>
      </w:r>
      <w:r>
        <w:rPr>
          <w:rFonts w:hint="eastAsia"/>
          <w:color w:val="auto"/>
        </w:rPr>
        <w:t>之间</w:t>
      </w:r>
      <w:r>
        <w:rPr>
          <w:color w:val="auto"/>
        </w:rPr>
        <w:t>的</w:t>
      </w:r>
      <w:r>
        <w:rPr>
          <w:rFonts w:hint="eastAsia"/>
          <w:color w:val="auto"/>
        </w:rPr>
        <w:t>用电</w:t>
      </w:r>
      <w:r>
        <w:rPr>
          <w:color w:val="auto"/>
        </w:rPr>
        <w:t>设备。</w:t>
      </w:r>
    </w:p>
    <w:p>
      <w:pPr>
        <w:rPr>
          <w:color w:val="auto"/>
        </w:rPr>
      </w:pPr>
      <w:r>
        <w:rPr>
          <w:rFonts w:hint="eastAsia"/>
          <w:color w:val="auto"/>
        </w:rPr>
        <w:t xml:space="preserve">2.0.7 </w:t>
      </w:r>
      <w:r>
        <w:rPr>
          <w:color w:val="auto"/>
        </w:rPr>
        <w:t xml:space="preserve"> </w:t>
      </w:r>
      <w:r>
        <w:rPr>
          <w:rFonts w:hint="eastAsia"/>
          <w:color w:val="auto"/>
        </w:rPr>
        <w:t>相间</w:t>
      </w:r>
      <w:r>
        <w:rPr>
          <w:color w:val="auto"/>
        </w:rPr>
        <w:t>用电设备</w:t>
      </w:r>
      <w:r>
        <w:rPr>
          <w:rFonts w:hint="eastAsia"/>
          <w:color w:val="auto"/>
        </w:rPr>
        <w:t xml:space="preserve"> </w:t>
      </w:r>
      <w:r>
        <w:rPr>
          <w:color w:val="auto"/>
        </w:rPr>
        <w:t>interphase equipment</w:t>
      </w:r>
    </w:p>
    <w:p>
      <w:pPr>
        <w:ind w:firstLine="480"/>
        <w:rPr>
          <w:color w:val="auto"/>
        </w:rPr>
      </w:pPr>
      <w:r>
        <w:rPr>
          <w:rFonts w:hint="eastAsia"/>
          <w:color w:val="auto"/>
        </w:rPr>
        <w:t>连接</w:t>
      </w:r>
      <w:r>
        <w:rPr>
          <w:color w:val="auto"/>
        </w:rPr>
        <w:t>到</w:t>
      </w:r>
      <w:r>
        <w:rPr>
          <w:rFonts w:hint="eastAsia"/>
          <w:color w:val="auto"/>
        </w:rPr>
        <w:t>二</w:t>
      </w:r>
      <w:r>
        <w:rPr>
          <w:color w:val="auto"/>
        </w:rPr>
        <w:t>个相线之间</w:t>
      </w:r>
      <w:r>
        <w:rPr>
          <w:rFonts w:hint="eastAsia"/>
          <w:color w:val="auto"/>
        </w:rPr>
        <w:t>的用电</w:t>
      </w:r>
      <w:r>
        <w:rPr>
          <w:color w:val="auto"/>
        </w:rPr>
        <w:t>设备</w:t>
      </w:r>
      <w:r>
        <w:rPr>
          <w:rFonts w:hint="eastAsia"/>
          <w:color w:val="auto"/>
        </w:rPr>
        <w:t>。</w:t>
      </w:r>
    </w:p>
    <w:p>
      <w:pPr>
        <w:rPr>
          <w:color w:val="auto"/>
        </w:rPr>
      </w:pPr>
      <w:r>
        <w:rPr>
          <w:rFonts w:hint="eastAsia"/>
          <w:color w:val="auto"/>
        </w:rPr>
        <w:t>2.0.8  隔离</w:t>
      </w:r>
      <w:r>
        <w:rPr>
          <w:color w:val="auto"/>
        </w:rPr>
        <w:t>电</w:t>
      </w:r>
      <w:r>
        <w:rPr>
          <w:rFonts w:hint="eastAsia"/>
          <w:color w:val="auto"/>
        </w:rPr>
        <w:t xml:space="preserve">器  </w:t>
      </w:r>
      <w:r>
        <w:rPr>
          <w:color w:val="auto"/>
        </w:rPr>
        <w:t>device for isolation</w:t>
      </w:r>
    </w:p>
    <w:p>
      <w:pPr>
        <w:ind w:firstLine="480"/>
        <w:rPr>
          <w:color w:val="auto"/>
        </w:rPr>
      </w:pPr>
      <w:r>
        <w:rPr>
          <w:color w:val="auto"/>
        </w:rPr>
        <w:t>具有隔离功能的电器</w:t>
      </w:r>
      <w:r>
        <w:rPr>
          <w:rFonts w:hint="eastAsia"/>
          <w:color w:val="auto"/>
        </w:rPr>
        <w:t>。</w:t>
      </w:r>
    </w:p>
    <w:p>
      <w:pPr>
        <w:rPr>
          <w:color w:val="auto"/>
        </w:rPr>
      </w:pPr>
      <w:r>
        <w:rPr>
          <w:rFonts w:hint="eastAsia"/>
          <w:color w:val="auto"/>
        </w:rPr>
        <w:t xml:space="preserve">2.0.9  TN系统  TN system </w:t>
      </w:r>
    </w:p>
    <w:p>
      <w:pPr>
        <w:ind w:firstLine="480"/>
        <w:rPr>
          <w:color w:val="auto"/>
        </w:rPr>
      </w:pPr>
      <w:r>
        <w:rPr>
          <w:color w:val="auto"/>
        </w:rPr>
        <w:t>电力系统有一点直接接地，电气装置的外露可导电部分通过保护线与该接地点相连接。根据中性导体(N)和保护导体(PE)的配置方式，TN系统可分为如下三类：</w:t>
      </w:r>
    </w:p>
    <w:p>
      <w:pPr>
        <w:ind w:firstLine="480"/>
        <w:rPr>
          <w:color w:val="auto"/>
        </w:rPr>
      </w:pPr>
      <w:r>
        <w:rPr>
          <w:color w:val="auto"/>
        </w:rPr>
        <w:t>1 TN-C系统，整个系统的N、PE线是合一的。</w:t>
      </w:r>
    </w:p>
    <w:p>
      <w:pPr>
        <w:ind w:firstLine="480"/>
        <w:rPr>
          <w:color w:val="auto"/>
        </w:rPr>
      </w:pPr>
      <w:r>
        <w:rPr>
          <w:color w:val="auto"/>
        </w:rPr>
        <w:t>2 TN-C-S系统，系统中有一部分线路的N、PE线是合一的。</w:t>
      </w:r>
    </w:p>
    <w:p>
      <w:pPr>
        <w:ind w:firstLine="480"/>
        <w:rPr>
          <w:color w:val="auto"/>
        </w:rPr>
      </w:pPr>
      <w:r>
        <w:rPr>
          <w:color w:val="auto"/>
        </w:rPr>
        <w:t>3 TN-S系统，整个系统的N、PE线是分开的。</w:t>
      </w:r>
    </w:p>
    <w:p>
      <w:r>
        <w:t>2.</w:t>
      </w:r>
      <w:r>
        <w:rPr>
          <w:rFonts w:hint="eastAsia"/>
        </w:rPr>
        <w:t>0</w:t>
      </w:r>
      <w:r>
        <w:t>.</w:t>
      </w:r>
      <w:r>
        <w:rPr>
          <w:rFonts w:hint="eastAsia"/>
        </w:rPr>
        <w:t>10</w:t>
      </w:r>
      <w:r>
        <w:t xml:space="preserve"> </w:t>
      </w:r>
      <w:r>
        <w:rPr>
          <w:rFonts w:hint="eastAsia"/>
        </w:rPr>
        <w:t xml:space="preserve"> </w:t>
      </w:r>
      <w:r>
        <w:t>特低电压</w:t>
      </w:r>
      <w:r>
        <w:rPr>
          <w:rFonts w:hint="eastAsia"/>
        </w:rPr>
        <w:t xml:space="preserve">   </w:t>
      </w:r>
      <w:r>
        <w:rPr>
          <w:color w:val="auto"/>
        </w:rPr>
        <w:t>extra-low voltage (ELV)</w:t>
      </w:r>
    </w:p>
    <w:p>
      <w:pPr>
        <w:ind w:firstLine="480"/>
        <w:rPr>
          <w:color w:val="auto"/>
        </w:rPr>
      </w:pPr>
      <w:r>
        <w:rPr>
          <w:color w:val="auto"/>
        </w:rPr>
        <w:t>相间电压或相对地电压不超过交流方均根值50V的电压。</w:t>
      </w:r>
    </w:p>
    <w:p>
      <w:pPr>
        <w:rPr>
          <w:highlight w:val="yellow"/>
        </w:rPr>
      </w:pPr>
      <w:r>
        <w:t>2.</w:t>
      </w:r>
      <w:r>
        <w:rPr>
          <w:rFonts w:hint="eastAsia"/>
        </w:rPr>
        <w:t>0</w:t>
      </w:r>
      <w:r>
        <w:t>.</w:t>
      </w:r>
      <w:r>
        <w:rPr>
          <w:rFonts w:hint="eastAsia"/>
        </w:rPr>
        <w:t xml:space="preserve">11  </w:t>
      </w:r>
      <w:r>
        <w:t>安全特低电压系统 safety extra low voltage system (SELV)</w:t>
      </w:r>
    </w:p>
    <w:p>
      <w:pPr>
        <w:ind w:firstLine="480"/>
        <w:rPr>
          <w:color w:val="auto"/>
        </w:rPr>
      </w:pPr>
      <w:r>
        <w:rPr>
          <w:color w:val="auto"/>
        </w:rPr>
        <w:t>在正常条件下不接地的、电压不超过特低电压的电气系统。</w:t>
      </w:r>
    </w:p>
    <w:p>
      <w:r>
        <w:t>2.</w:t>
      </w:r>
      <w:r>
        <w:rPr>
          <w:rFonts w:hint="eastAsia"/>
        </w:rPr>
        <w:t>0</w:t>
      </w:r>
      <w:r>
        <w:t>.</w:t>
      </w:r>
      <w:r>
        <w:rPr>
          <w:rFonts w:hint="eastAsia"/>
        </w:rPr>
        <w:t xml:space="preserve">12  </w:t>
      </w:r>
      <w:r>
        <w:t>保护特低电压系统 protection of extra low voltage system (PELV)</w:t>
      </w:r>
    </w:p>
    <w:p>
      <w:pPr>
        <w:ind w:firstLine="480"/>
        <w:rPr>
          <w:color w:val="auto"/>
        </w:rPr>
      </w:pPr>
      <w:r>
        <w:rPr>
          <w:color w:val="auto"/>
        </w:rPr>
        <w:t>在正常条件下接地的、电压不超过特低电压的电气系统。</w:t>
      </w:r>
    </w:p>
    <w:p>
      <w:pPr>
        <w:rPr>
          <w:highlight w:val="yellow"/>
        </w:rPr>
      </w:pPr>
    </w:p>
    <w:p>
      <w:pPr>
        <w:rPr>
          <w:highlight w:val="yellow"/>
        </w:rPr>
      </w:pPr>
    </w:p>
    <w:p>
      <w:pPr>
        <w:rPr>
          <w:highlight w:val="yellow"/>
        </w:rPr>
      </w:pPr>
    </w:p>
    <w:p>
      <w:pPr>
        <w:rPr>
          <w:highlight w:val="yellow"/>
        </w:rPr>
        <w:sectPr>
          <w:headerReference w:type="default" r:id="rId10"/>
          <w:footerReference w:type="default" r:id="rId11"/>
          <w:pgSz w:w="11906" w:h="16838"/>
          <w:pgMar w:top="1440" w:right="1800" w:bottom="1440" w:left="1800" w:header="851" w:footer="992" w:gutter="0"/>
          <w:pgNumType w:start="3"/>
          <w:cols w:num="1" w:space="425"/>
          <w:docGrid w:type="lines" w:linePitch="312" w:charSpace="0"/>
        </w:sectPr>
      </w:pPr>
    </w:p>
    <w:p>
      <w:pPr>
        <w:pStyle w:val="Heading1"/>
        <w:jc w:val="center"/>
        <w:rPr>
          <w:color w:val="auto"/>
        </w:rPr>
      </w:pPr>
      <w:bookmarkStart w:id="23" w:name="_Toc20828"/>
      <w:bookmarkStart w:id="24" w:name="_Toc24249"/>
      <w:bookmarkStart w:id="25" w:name="_Toc150789564"/>
      <w:bookmarkStart w:id="26" w:name="_Toc153204808"/>
      <w:bookmarkStart w:id="27" w:name="_Toc150521596"/>
      <w:bookmarkStart w:id="28" w:name="_Toc153207284"/>
      <w:bookmarkStart w:id="29" w:name="_Toc150841318"/>
      <w:bookmarkStart w:id="30" w:name="_Toc150520729"/>
      <w:r>
        <w:rPr>
          <w:rFonts w:hint="eastAsia"/>
          <w:color w:val="auto"/>
        </w:rPr>
        <w:t xml:space="preserve">3 </w:t>
      </w:r>
      <w:r>
        <w:rPr>
          <w:rFonts w:ascii="宋体" w:hAnsi="宋体" w:cs="宋体" w:hint="eastAsia"/>
        </w:rPr>
        <w:t>用电负荷分级及供电要求</w:t>
      </w:r>
      <w:bookmarkEnd w:id="23"/>
      <w:bookmarkEnd w:id="24"/>
      <w:bookmarkEnd w:id="25"/>
      <w:bookmarkEnd w:id="26"/>
      <w:bookmarkEnd w:id="27"/>
      <w:bookmarkEnd w:id="28"/>
      <w:bookmarkEnd w:id="29"/>
      <w:bookmarkEnd w:id="30"/>
    </w:p>
    <w:p>
      <w:pPr>
        <w:pStyle w:val="Heading2"/>
        <w:jc w:val="center"/>
        <w:rPr>
          <w:color w:val="auto"/>
        </w:rPr>
      </w:pPr>
      <w:bookmarkStart w:id="31" w:name="_Toc25143"/>
      <w:bookmarkStart w:id="32" w:name="_Toc153204809"/>
      <w:bookmarkStart w:id="33" w:name="_Toc150789565"/>
      <w:bookmarkStart w:id="34" w:name="_Toc150841319"/>
      <w:bookmarkStart w:id="35" w:name="_Toc150521597"/>
      <w:bookmarkStart w:id="36" w:name="_Toc7052"/>
      <w:bookmarkStart w:id="37" w:name="_Toc150520730"/>
      <w:bookmarkStart w:id="38" w:name="_Toc153207285"/>
      <w:r>
        <w:rPr>
          <w:rFonts w:hint="eastAsia"/>
          <w:color w:val="auto"/>
        </w:rPr>
        <w:t xml:space="preserve">3.1  </w:t>
      </w:r>
      <w:r>
        <w:rPr>
          <w:rFonts w:ascii="宋体" w:hAnsi="宋体" w:cs="宋体" w:hint="eastAsia"/>
        </w:rPr>
        <w:t>用电负荷分级</w:t>
      </w:r>
      <w:bookmarkEnd w:id="31"/>
      <w:bookmarkEnd w:id="32"/>
      <w:bookmarkEnd w:id="33"/>
      <w:bookmarkEnd w:id="34"/>
      <w:bookmarkEnd w:id="35"/>
      <w:bookmarkEnd w:id="36"/>
      <w:bookmarkEnd w:id="37"/>
      <w:bookmarkEnd w:id="38"/>
    </w:p>
    <w:p>
      <w:pPr>
        <w:rPr>
          <w:color w:val="auto"/>
        </w:rPr>
      </w:pPr>
      <w:r>
        <w:rPr>
          <w:rFonts w:hint="eastAsia"/>
          <w:color w:val="auto"/>
        </w:rPr>
        <w:t>3.1.1  用电</w:t>
      </w:r>
      <w:r>
        <w:rPr>
          <w:color w:val="auto"/>
        </w:rPr>
        <w:t>负荷应根据对供电可靠性的要求及中断供电对人身安全、经济损失所造成的影响程度，划分为一级负荷、二级负荷及三级负荷。</w:t>
      </w:r>
    </w:p>
    <w:p>
      <w:pPr>
        <w:rPr>
          <w:color w:val="auto"/>
        </w:rPr>
      </w:pPr>
      <w:r>
        <w:rPr>
          <w:rFonts w:hint="eastAsia"/>
          <w:color w:val="auto"/>
        </w:rPr>
        <w:t>3</w:t>
      </w:r>
      <w:r>
        <w:rPr>
          <w:color w:val="auto"/>
        </w:rPr>
        <w:t xml:space="preserve">.1.2  </w:t>
      </w:r>
      <w:r>
        <w:rPr>
          <w:rFonts w:hint="eastAsia"/>
          <w:color w:val="auto"/>
        </w:rPr>
        <w:t>一级</w:t>
      </w:r>
      <w:r>
        <w:rPr>
          <w:color w:val="auto"/>
        </w:rPr>
        <w:t>负荷是指中断供电将造成人身伤害</w:t>
      </w:r>
      <w:r>
        <w:rPr>
          <w:rFonts w:hint="eastAsia"/>
          <w:color w:val="auto"/>
        </w:rPr>
        <w:t>、</w:t>
      </w:r>
      <w:r>
        <w:rPr>
          <w:color w:val="auto"/>
        </w:rPr>
        <w:t>在经济上造成重大损失的</w:t>
      </w:r>
      <w:r>
        <w:rPr>
          <w:rFonts w:hint="eastAsia"/>
          <w:color w:val="auto"/>
        </w:rPr>
        <w:t>用电</w:t>
      </w:r>
      <w:r>
        <w:rPr>
          <w:color w:val="auto"/>
        </w:rPr>
        <w:t>负荷</w:t>
      </w:r>
      <w:r>
        <w:rPr>
          <w:rFonts w:hint="eastAsia"/>
          <w:color w:val="auto"/>
        </w:rPr>
        <w:t>。</w:t>
      </w:r>
    </w:p>
    <w:p>
      <w:pPr>
        <w:rPr>
          <w:bCs/>
          <w:color w:val="auto"/>
        </w:rPr>
      </w:pPr>
      <w:r>
        <w:rPr>
          <w:rFonts w:hint="eastAsia"/>
          <w:bCs/>
          <w:color w:val="auto"/>
        </w:rPr>
        <w:t>3.1.</w:t>
      </w:r>
      <w:r>
        <w:rPr>
          <w:bCs/>
          <w:color w:val="auto"/>
        </w:rPr>
        <w:t>3</w:t>
      </w:r>
      <w:r>
        <w:rPr>
          <w:rFonts w:hint="eastAsia"/>
          <w:bCs/>
          <w:color w:val="auto"/>
        </w:rPr>
        <w:t xml:space="preserve">  二级</w:t>
      </w:r>
      <w:r>
        <w:rPr>
          <w:bCs/>
          <w:color w:val="auto"/>
        </w:rPr>
        <w:t>负荷是指</w:t>
      </w:r>
      <w:r>
        <w:rPr>
          <w:color w:val="auto"/>
        </w:rPr>
        <w:t>中断供电将在经济上造成较大损失</w:t>
      </w:r>
      <w:r>
        <w:rPr>
          <w:rFonts w:hint="eastAsia"/>
          <w:color w:val="auto"/>
        </w:rPr>
        <w:t>的</w:t>
      </w:r>
      <w:r>
        <w:rPr>
          <w:color w:val="auto"/>
        </w:rPr>
        <w:t>用电负荷</w:t>
      </w:r>
      <w:r>
        <w:rPr>
          <w:rFonts w:hint="eastAsia"/>
          <w:bCs/>
          <w:color w:val="auto"/>
        </w:rPr>
        <w:t>。</w:t>
      </w:r>
    </w:p>
    <w:p>
      <w:pPr>
        <w:rPr>
          <w:bCs/>
          <w:color w:val="auto"/>
        </w:rPr>
      </w:pPr>
      <w:r>
        <w:rPr>
          <w:rFonts w:hint="eastAsia"/>
          <w:color w:val="auto"/>
        </w:rPr>
        <w:t>3.1.</w:t>
      </w:r>
      <w:r>
        <w:rPr>
          <w:color w:val="auto"/>
        </w:rPr>
        <w:t>4</w:t>
      </w:r>
      <w:r>
        <w:rPr>
          <w:rFonts w:hint="eastAsia"/>
          <w:color w:val="auto"/>
        </w:rPr>
        <w:t xml:space="preserve">  </w:t>
      </w:r>
      <w:r>
        <w:rPr>
          <w:rFonts w:hint="eastAsia"/>
          <w:bCs/>
          <w:color w:val="auto"/>
        </w:rPr>
        <w:t>三级</w:t>
      </w:r>
      <w:r>
        <w:rPr>
          <w:bCs/>
          <w:color w:val="auto"/>
        </w:rPr>
        <w:t>负荷是指</w:t>
      </w:r>
      <w:r>
        <w:rPr>
          <w:rFonts w:hint="eastAsia"/>
          <w:color w:val="auto"/>
        </w:rPr>
        <w:t>不</w:t>
      </w:r>
      <w:r>
        <w:rPr>
          <w:color w:val="auto"/>
        </w:rPr>
        <w:t>属于一级、二级负荷</w:t>
      </w:r>
      <w:r>
        <w:rPr>
          <w:rFonts w:hint="eastAsia"/>
          <w:color w:val="auto"/>
        </w:rPr>
        <w:t>的其他</w:t>
      </w:r>
      <w:r>
        <w:rPr>
          <w:color w:val="auto"/>
        </w:rPr>
        <w:t>用电负荷</w:t>
      </w:r>
      <w:r>
        <w:rPr>
          <w:rFonts w:hint="eastAsia"/>
          <w:bCs/>
          <w:color w:val="auto"/>
        </w:rPr>
        <w:t>。</w:t>
      </w:r>
    </w:p>
    <w:p>
      <w:pPr>
        <w:rPr>
          <w:color w:val="auto"/>
        </w:rPr>
      </w:pPr>
      <w:r>
        <w:rPr>
          <w:rFonts w:hint="eastAsia"/>
          <w:bCs/>
          <w:color w:val="auto"/>
        </w:rPr>
        <w:t>3.1.5  用电</w:t>
      </w:r>
      <w:r>
        <w:rPr>
          <w:bCs/>
          <w:color w:val="auto"/>
        </w:rPr>
        <w:t>负荷分级应符合本规范附录</w:t>
      </w:r>
      <w:r>
        <w:rPr>
          <w:rFonts w:hint="eastAsia"/>
          <w:bCs/>
          <w:color w:val="auto"/>
        </w:rPr>
        <w:t>A的</w:t>
      </w:r>
      <w:r>
        <w:rPr>
          <w:bCs/>
          <w:color w:val="auto"/>
        </w:rPr>
        <w:t>规定</w:t>
      </w:r>
      <w:r>
        <w:rPr>
          <w:rFonts w:hint="eastAsia"/>
          <w:bCs/>
          <w:color w:val="auto"/>
        </w:rPr>
        <w:t>。</w:t>
      </w:r>
    </w:p>
    <w:p>
      <w:pPr>
        <w:pStyle w:val="Heading2"/>
        <w:jc w:val="center"/>
        <w:rPr>
          <w:color w:val="auto"/>
        </w:rPr>
      </w:pPr>
      <w:bookmarkStart w:id="39" w:name="_Toc150841320"/>
      <w:bookmarkStart w:id="40" w:name="_Toc141"/>
      <w:bookmarkStart w:id="41" w:name="_Toc150520731"/>
      <w:bookmarkStart w:id="42" w:name="_Toc28666"/>
      <w:bookmarkStart w:id="43" w:name="_Toc153207286"/>
      <w:bookmarkStart w:id="44" w:name="_Toc150521598"/>
      <w:bookmarkStart w:id="45" w:name="_Toc150789566"/>
      <w:bookmarkStart w:id="46" w:name="_Toc153204810"/>
      <w:r>
        <w:rPr>
          <w:rFonts w:hint="eastAsia"/>
          <w:color w:val="auto"/>
        </w:rPr>
        <w:t xml:space="preserve">3.2  </w:t>
      </w:r>
      <w:r>
        <w:rPr>
          <w:rFonts w:ascii="宋体" w:hAnsi="宋体" w:cs="宋体" w:hint="eastAsia"/>
        </w:rPr>
        <w:t>供电要求</w:t>
      </w:r>
      <w:bookmarkEnd w:id="39"/>
      <w:bookmarkEnd w:id="40"/>
      <w:bookmarkEnd w:id="41"/>
      <w:bookmarkEnd w:id="42"/>
      <w:bookmarkEnd w:id="43"/>
      <w:bookmarkEnd w:id="44"/>
      <w:bookmarkEnd w:id="45"/>
      <w:bookmarkEnd w:id="46"/>
    </w:p>
    <w:p>
      <w:pPr>
        <w:rPr>
          <w:bCs/>
          <w:color w:val="auto"/>
        </w:rPr>
      </w:pPr>
      <w:r>
        <w:rPr>
          <w:rFonts w:hint="eastAsia"/>
          <w:color w:val="auto"/>
        </w:rPr>
        <w:t xml:space="preserve">3.2.1  </w:t>
      </w:r>
      <w:r>
        <w:rPr>
          <w:bCs/>
          <w:color w:val="auto"/>
        </w:rPr>
        <w:t>二级负荷的</w:t>
      </w:r>
      <w:r>
        <w:rPr>
          <w:rFonts w:hint="eastAsia"/>
          <w:bCs/>
          <w:color w:val="auto"/>
        </w:rPr>
        <w:t>外部</w:t>
      </w:r>
      <w:r>
        <w:rPr>
          <w:bCs/>
          <w:color w:val="auto"/>
        </w:rPr>
        <w:t>电源进线</w:t>
      </w:r>
      <w:r>
        <w:rPr>
          <w:rFonts w:hint="eastAsia"/>
          <w:bCs/>
          <w:color w:val="auto"/>
        </w:rPr>
        <w:t>宜</w:t>
      </w:r>
      <w:r>
        <w:rPr>
          <w:bCs/>
          <w:color w:val="auto"/>
        </w:rPr>
        <w:t>由</w:t>
      </w:r>
      <w:r>
        <w:rPr>
          <w:rFonts w:hint="eastAsia"/>
          <w:bCs/>
          <w:color w:val="auto"/>
        </w:rPr>
        <w:t>6</w:t>
      </w:r>
      <w:r>
        <w:rPr>
          <w:bCs/>
          <w:color w:val="auto"/>
        </w:rPr>
        <w:t>kV</w:t>
      </w:r>
      <w:r>
        <w:rPr>
          <w:rFonts w:hint="eastAsia"/>
          <w:bCs/>
          <w:color w:val="auto"/>
        </w:rPr>
        <w:t>及</w:t>
      </w:r>
      <w:r>
        <w:rPr>
          <w:bCs/>
          <w:color w:val="auto"/>
        </w:rPr>
        <w:t>以上的两回线路供电。在负荷较小或地区供电条件困难时，二级负荷可由一回6kV及以上专用的架空线路供电</w:t>
      </w:r>
      <w:r>
        <w:rPr>
          <w:rFonts w:hint="eastAsia"/>
          <w:bCs/>
          <w:color w:val="auto"/>
        </w:rPr>
        <w:t>。</w:t>
      </w:r>
    </w:p>
    <w:p>
      <w:pPr>
        <w:rPr>
          <w:bCs/>
          <w:color w:val="auto"/>
        </w:rPr>
      </w:pPr>
      <w:r>
        <w:rPr>
          <w:bCs/>
          <w:color w:val="auto"/>
        </w:rPr>
        <w:t xml:space="preserve">3.2.2 </w:t>
      </w:r>
      <w:r>
        <w:rPr>
          <w:rFonts w:hint="eastAsia"/>
          <w:bCs/>
          <w:color w:val="auto"/>
        </w:rPr>
        <w:t>二级</w:t>
      </w:r>
      <w:r>
        <w:rPr>
          <w:bCs/>
          <w:color w:val="auto"/>
        </w:rPr>
        <w:t>消防负荷应</w:t>
      </w:r>
      <w:r>
        <w:rPr>
          <w:rFonts w:hint="eastAsia"/>
          <w:bCs/>
          <w:color w:val="auto"/>
        </w:rPr>
        <w:t>由</w:t>
      </w:r>
      <w:r>
        <w:rPr>
          <w:bCs/>
          <w:color w:val="auto"/>
        </w:rPr>
        <w:t>双重电源供电</w:t>
      </w:r>
      <w:r>
        <w:rPr>
          <w:rFonts w:hint="eastAsia"/>
          <w:bCs/>
          <w:color w:val="auto"/>
        </w:rPr>
        <w:t>，</w:t>
      </w:r>
      <w:r>
        <w:rPr>
          <w:bCs/>
          <w:color w:val="auto"/>
        </w:rPr>
        <w:t>当一路电源发生故障时，另一路</w:t>
      </w:r>
      <w:r>
        <w:rPr>
          <w:rFonts w:hint="eastAsia"/>
          <w:bCs/>
          <w:color w:val="auto"/>
        </w:rPr>
        <w:t>电源不应同时受到</w:t>
      </w:r>
      <w:r>
        <w:rPr>
          <w:bCs/>
          <w:color w:val="auto"/>
        </w:rPr>
        <w:t>损坏。</w:t>
      </w:r>
    </w:p>
    <w:p>
      <w:pPr>
        <w:rPr>
          <w:bCs/>
          <w:color w:val="auto"/>
        </w:rPr>
      </w:pPr>
      <w:r>
        <w:rPr>
          <w:bCs/>
          <w:color w:val="auto"/>
        </w:rPr>
        <w:t xml:space="preserve">3.2.3  </w:t>
      </w:r>
      <w:r>
        <w:rPr>
          <w:rFonts w:hint="eastAsia"/>
          <w:bCs/>
          <w:color w:val="auto"/>
        </w:rPr>
        <w:t>下列</w:t>
      </w:r>
      <w:r>
        <w:rPr>
          <w:bCs/>
          <w:color w:val="auto"/>
        </w:rPr>
        <w:t>电源可作为</w:t>
      </w:r>
      <w:r>
        <w:rPr>
          <w:rFonts w:hint="eastAsia"/>
          <w:bCs/>
          <w:color w:val="auto"/>
        </w:rPr>
        <w:t>应急</w:t>
      </w:r>
      <w:r>
        <w:rPr>
          <w:bCs/>
          <w:color w:val="auto"/>
        </w:rPr>
        <w:t>电源</w:t>
      </w:r>
      <w:r>
        <w:rPr>
          <w:rFonts w:hint="eastAsia"/>
          <w:bCs/>
          <w:color w:val="auto"/>
        </w:rPr>
        <w:t>：</w:t>
      </w:r>
    </w:p>
    <w:p>
      <w:pPr>
        <w:ind w:firstLine="420"/>
        <w:rPr>
          <w:bCs/>
          <w:color w:val="auto"/>
        </w:rPr>
      </w:pPr>
      <w:r>
        <w:rPr>
          <w:rFonts w:hint="eastAsia"/>
          <w:bCs/>
          <w:color w:val="auto"/>
        </w:rPr>
        <w:t xml:space="preserve">1 </w:t>
      </w:r>
      <w:r>
        <w:rPr>
          <w:bCs/>
          <w:color w:val="auto"/>
        </w:rPr>
        <w:t>蓄电池装置</w:t>
      </w:r>
      <w:r>
        <w:rPr>
          <w:rFonts w:hint="eastAsia"/>
          <w:bCs/>
          <w:color w:val="auto"/>
        </w:rPr>
        <w:t>；</w:t>
      </w:r>
    </w:p>
    <w:p>
      <w:pPr>
        <w:ind w:firstLine="420"/>
        <w:rPr>
          <w:bCs/>
          <w:color w:val="auto"/>
        </w:rPr>
      </w:pPr>
      <w:r>
        <w:rPr>
          <w:rFonts w:hint="eastAsia"/>
          <w:bCs/>
          <w:color w:val="auto"/>
        </w:rPr>
        <w:t>2 UPS</w:t>
      </w:r>
      <w:r>
        <w:rPr>
          <w:bCs/>
          <w:color w:val="auto"/>
        </w:rPr>
        <w:t>电源</w:t>
      </w:r>
      <w:r>
        <w:rPr>
          <w:rFonts w:hint="eastAsia"/>
          <w:bCs/>
          <w:color w:val="auto"/>
        </w:rPr>
        <w:t>装置；</w:t>
      </w:r>
    </w:p>
    <w:p>
      <w:pPr>
        <w:ind w:firstLine="420"/>
        <w:rPr>
          <w:bCs/>
          <w:color w:val="auto"/>
        </w:rPr>
      </w:pPr>
      <w:r>
        <w:rPr>
          <w:rFonts w:hint="eastAsia"/>
          <w:bCs/>
          <w:color w:val="auto"/>
        </w:rPr>
        <w:t>3 EPS电源</w:t>
      </w:r>
      <w:r>
        <w:rPr>
          <w:bCs/>
          <w:color w:val="auto"/>
        </w:rPr>
        <w:t>装置</w:t>
      </w:r>
      <w:r>
        <w:rPr>
          <w:rFonts w:hint="eastAsia"/>
          <w:bCs/>
          <w:color w:val="auto"/>
        </w:rPr>
        <w:t>；</w:t>
      </w:r>
    </w:p>
    <w:p>
      <w:pPr>
        <w:ind w:firstLine="420"/>
        <w:rPr>
          <w:bCs/>
          <w:color w:val="auto"/>
        </w:rPr>
      </w:pPr>
      <w:r>
        <w:rPr>
          <w:rFonts w:hint="eastAsia"/>
          <w:bCs/>
          <w:color w:val="auto"/>
        </w:rPr>
        <w:t>4 独立于</w:t>
      </w:r>
      <w:r>
        <w:rPr>
          <w:bCs/>
          <w:color w:val="auto"/>
        </w:rPr>
        <w:t>正常工作电源的</w:t>
      </w:r>
      <w:r>
        <w:rPr>
          <w:rFonts w:hint="eastAsia"/>
          <w:bCs/>
          <w:color w:val="auto"/>
        </w:rPr>
        <w:t>发电</w:t>
      </w:r>
      <w:r>
        <w:rPr>
          <w:bCs/>
          <w:color w:val="auto"/>
        </w:rPr>
        <w:t>机组</w:t>
      </w:r>
      <w:r>
        <w:rPr>
          <w:rFonts w:hint="eastAsia"/>
          <w:bCs/>
          <w:color w:val="auto"/>
        </w:rPr>
        <w:t>：</w:t>
      </w:r>
    </w:p>
    <w:p>
      <w:pPr>
        <w:ind w:firstLine="420"/>
        <w:rPr>
          <w:bCs/>
          <w:color w:val="auto"/>
        </w:rPr>
      </w:pPr>
      <w:r>
        <w:rPr>
          <w:bCs/>
          <w:color w:val="auto"/>
        </w:rPr>
        <w:t>5 供电网络</w:t>
      </w:r>
      <w:r>
        <w:rPr>
          <w:rFonts w:hint="eastAsia"/>
          <w:bCs/>
          <w:color w:val="auto"/>
        </w:rPr>
        <w:t>中</w:t>
      </w:r>
      <w:r>
        <w:rPr>
          <w:bCs/>
          <w:color w:val="auto"/>
        </w:rPr>
        <w:t>独立于正常</w:t>
      </w:r>
      <w:r>
        <w:rPr>
          <w:rFonts w:hint="eastAsia"/>
          <w:bCs/>
          <w:color w:val="auto"/>
        </w:rPr>
        <w:t>工作</w:t>
      </w:r>
      <w:r>
        <w:rPr>
          <w:bCs/>
          <w:color w:val="auto"/>
        </w:rPr>
        <w:t>电源的专用</w:t>
      </w:r>
      <w:r>
        <w:rPr>
          <w:rFonts w:hint="eastAsia"/>
          <w:bCs/>
          <w:color w:val="auto"/>
        </w:rPr>
        <w:t>馈电</w:t>
      </w:r>
      <w:r>
        <w:rPr>
          <w:bCs/>
          <w:color w:val="auto"/>
        </w:rPr>
        <w:t>线路。</w:t>
      </w:r>
    </w:p>
    <w:p>
      <w:pPr>
        <w:rPr>
          <w:sz w:val="20"/>
          <w:szCs w:val="20"/>
        </w:rPr>
      </w:pPr>
      <w:r>
        <w:rPr>
          <w:bCs/>
          <w:color w:val="auto"/>
        </w:rPr>
        <w:t>3.2.4 应急电源应根据允许中断供电的时间选择，并应符合下列规定：</w:t>
      </w:r>
    </w:p>
    <w:p>
      <w:pPr>
        <w:ind w:firstLine="420" w:firstLineChars="200"/>
        <w:rPr>
          <w:sz w:val="20"/>
          <w:szCs w:val="20"/>
        </w:rPr>
      </w:pPr>
      <w:r>
        <w:rPr>
          <w:bCs/>
          <w:color w:val="auto"/>
        </w:rPr>
        <w:t>1 允许中断供电时间为15s以上的供电，可选用快速自启动的发电装置。</w:t>
      </w:r>
    </w:p>
    <w:p>
      <w:pPr>
        <w:ind w:firstLine="420" w:firstLineChars="200"/>
        <w:rPr>
          <w:bCs/>
          <w:color w:val="auto"/>
        </w:rPr>
      </w:pPr>
      <w:r>
        <w:rPr>
          <w:bCs/>
          <w:color w:val="auto"/>
        </w:rPr>
        <w:t>2 自投装置的动作时间能满足允许中断供电时间的，可选用带有自动投入装置的独立于正常</w:t>
      </w:r>
      <w:r>
        <w:rPr>
          <w:rFonts w:hint="eastAsia"/>
          <w:bCs/>
          <w:color w:val="auto"/>
        </w:rPr>
        <w:t>工作</w:t>
      </w:r>
      <w:r>
        <w:rPr>
          <w:bCs/>
          <w:color w:val="auto"/>
        </w:rPr>
        <w:t>电源之外的专用馈电线路。</w:t>
      </w:r>
    </w:p>
    <w:p>
      <w:pPr>
        <w:ind w:firstLine="420" w:firstLineChars="200"/>
        <w:rPr>
          <w:sz w:val="20"/>
          <w:szCs w:val="20"/>
        </w:rPr>
      </w:pPr>
      <w:r>
        <w:rPr>
          <w:bCs/>
          <w:color w:val="auto"/>
        </w:rPr>
        <w:t>3 允许中断供电时间为毫秒级的供电，可选用</w:t>
      </w:r>
      <w:r>
        <w:rPr>
          <w:rFonts w:hint="eastAsia"/>
          <w:bCs/>
          <w:color w:val="auto"/>
        </w:rPr>
        <w:t>不间断</w:t>
      </w:r>
      <w:r>
        <w:rPr>
          <w:bCs/>
          <w:color w:val="auto"/>
        </w:rPr>
        <w:t>电源</w:t>
      </w:r>
      <w:r>
        <w:rPr>
          <w:rFonts w:hint="eastAsia"/>
          <w:bCs/>
          <w:color w:val="auto"/>
        </w:rPr>
        <w:t>装置</w:t>
      </w:r>
      <w:r>
        <w:rPr>
          <w:bCs/>
          <w:color w:val="auto"/>
        </w:rPr>
        <w:t>。</w:t>
      </w:r>
    </w:p>
    <w:p>
      <w:pPr>
        <w:rPr>
          <w:bCs/>
          <w:color w:val="auto"/>
        </w:rPr>
      </w:pPr>
      <w:r>
        <w:rPr>
          <w:bCs/>
          <w:color w:val="auto"/>
        </w:rPr>
        <w:t>3.2.5 应急电源的供电时间，应按生产技术上要求的允许停车过程时间确定</w:t>
      </w:r>
    </w:p>
    <w:p>
      <w:pPr>
        <w:rPr>
          <w:bCs/>
          <w:color w:val="auto"/>
        </w:rPr>
      </w:pPr>
      <w:r>
        <w:rPr>
          <w:rFonts w:hint="eastAsia"/>
          <w:bCs/>
          <w:color w:val="auto"/>
        </w:rPr>
        <w:t>3.2.6 各级</w:t>
      </w:r>
      <w:r>
        <w:rPr>
          <w:bCs/>
          <w:color w:val="auto"/>
        </w:rPr>
        <w:t>用电负荷的备用电源设置可根据用电需要确定</w:t>
      </w:r>
      <w:r>
        <w:rPr>
          <w:rFonts w:hint="eastAsia"/>
          <w:bCs/>
          <w:color w:val="auto"/>
        </w:rPr>
        <w:t>。</w:t>
      </w:r>
    </w:p>
    <w:p>
      <w:pPr>
        <w:rPr>
          <w:bCs/>
          <w:color w:val="auto"/>
        </w:rPr>
      </w:pPr>
      <w:r>
        <w:rPr>
          <w:rFonts w:hint="eastAsia"/>
          <w:bCs/>
          <w:color w:val="auto"/>
        </w:rPr>
        <w:t>3.2.7 三级</w:t>
      </w:r>
      <w:r>
        <w:rPr>
          <w:bCs/>
          <w:color w:val="auto"/>
        </w:rPr>
        <w:t>负荷可采用单电源单回路供电</w:t>
      </w:r>
      <w:r>
        <w:rPr>
          <w:rFonts w:hint="eastAsia"/>
          <w:bCs/>
          <w:color w:val="auto"/>
        </w:rPr>
        <w:t>。</w:t>
      </w:r>
    </w:p>
    <w:p>
      <w:pPr>
        <w:pStyle w:val="Heading1"/>
        <w:jc w:val="center"/>
        <w:rPr>
          <w:color w:val="auto"/>
        </w:rPr>
      </w:pPr>
      <w:bookmarkStart w:id="47" w:name="_Toc153207287"/>
      <w:bookmarkStart w:id="48" w:name="_Toc150520732"/>
      <w:bookmarkStart w:id="49" w:name="_Toc150521599"/>
      <w:bookmarkStart w:id="50" w:name="_Toc153204811"/>
      <w:bookmarkStart w:id="51" w:name="_Toc150789567"/>
      <w:bookmarkStart w:id="52" w:name="_Toc150841321"/>
      <w:bookmarkStart w:id="53" w:name="_Toc11188"/>
      <w:bookmarkStart w:id="54" w:name="_Toc13067"/>
      <w:r>
        <w:rPr>
          <w:rFonts w:hint="eastAsia"/>
          <w:color w:val="auto"/>
        </w:rPr>
        <w:t xml:space="preserve">4 </w:t>
      </w:r>
      <w:r>
        <w:rPr>
          <w:rFonts w:ascii="宋体" w:hAnsi="宋体" w:cs="宋体" w:hint="eastAsia"/>
        </w:rPr>
        <w:t>供电系统</w:t>
      </w:r>
      <w:bookmarkEnd w:id="47"/>
      <w:bookmarkEnd w:id="48"/>
      <w:bookmarkEnd w:id="49"/>
      <w:bookmarkEnd w:id="50"/>
      <w:bookmarkEnd w:id="51"/>
      <w:bookmarkEnd w:id="52"/>
      <w:bookmarkEnd w:id="53"/>
      <w:bookmarkEnd w:id="54"/>
    </w:p>
    <w:p>
      <w:pPr>
        <w:pStyle w:val="Heading2"/>
        <w:tabs>
          <w:tab w:val="left" w:pos="2935"/>
          <w:tab w:val="center" w:pos="4212"/>
        </w:tabs>
        <w:jc w:val="left"/>
        <w:rPr>
          <w:color w:val="auto"/>
        </w:rPr>
      </w:pPr>
      <w:bookmarkStart w:id="55" w:name="_Toc10035"/>
      <w:bookmarkStart w:id="56" w:name="_Toc12767"/>
      <w:r>
        <w:rPr>
          <w:rFonts w:hint="eastAsia"/>
          <w:color w:val="auto"/>
        </w:rPr>
        <w:tab/>
      </w:r>
      <w:bookmarkStart w:id="57" w:name="_Toc150521600"/>
      <w:bookmarkStart w:id="58" w:name="_Toc150841322"/>
      <w:bookmarkStart w:id="59" w:name="_Toc153207288"/>
      <w:bookmarkStart w:id="60" w:name="_Toc153204812"/>
      <w:bookmarkStart w:id="61" w:name="_Toc150520733"/>
      <w:bookmarkStart w:id="62" w:name="_Toc150789568"/>
      <w:r>
        <w:rPr>
          <w:rFonts w:hint="eastAsia"/>
          <w:color w:val="auto"/>
        </w:rPr>
        <w:t xml:space="preserve">4.1 </w:t>
      </w:r>
      <w:r>
        <w:rPr>
          <w:rFonts w:ascii="宋体" w:hAnsi="宋体" w:cs="宋体" w:hint="eastAsia"/>
        </w:rPr>
        <w:t>供电系统电压</w:t>
      </w:r>
      <w:bookmarkEnd w:id="55"/>
      <w:bookmarkEnd w:id="56"/>
      <w:bookmarkEnd w:id="57"/>
      <w:bookmarkEnd w:id="58"/>
      <w:bookmarkEnd w:id="59"/>
      <w:bookmarkEnd w:id="60"/>
      <w:bookmarkEnd w:id="61"/>
      <w:bookmarkEnd w:id="62"/>
    </w:p>
    <w:p>
      <w:pPr>
        <w:rPr>
          <w:color w:val="auto"/>
        </w:rPr>
        <w:sectPr>
          <w:headerReference w:type="default" r:id="rId12"/>
          <w:footerReference w:type="default" r:id="rId13"/>
          <w:pgSz w:w="11906" w:h="16838"/>
          <w:pgMar w:top="1440" w:right="1800" w:bottom="1440" w:left="1800" w:header="851" w:footer="992" w:gutter="0"/>
          <w:pgNumType w:start="4"/>
          <w:cols w:num="1" w:space="425"/>
          <w:docGrid w:type="lines" w:linePitch="312" w:charSpace="0"/>
        </w:sectPr>
      </w:pPr>
      <w:r>
        <w:rPr>
          <w:rFonts w:hint="eastAsia"/>
          <w:color w:val="auto"/>
        </w:rPr>
        <w:t>4.1.1  橡胶</w:t>
      </w:r>
      <w:r>
        <w:rPr>
          <w:color w:val="auto"/>
        </w:rPr>
        <w:t>工厂</w:t>
      </w:r>
      <w:r>
        <w:rPr>
          <w:rFonts w:hint="eastAsia"/>
          <w:color w:val="auto"/>
        </w:rPr>
        <w:t>外部供电电源</w:t>
      </w:r>
      <w:r>
        <w:rPr>
          <w:color w:val="auto"/>
        </w:rPr>
        <w:t>的</w:t>
      </w:r>
      <w:r>
        <w:rPr>
          <w:rFonts w:hint="eastAsia"/>
          <w:color w:val="auto"/>
        </w:rPr>
        <w:t>电压应</w:t>
      </w:r>
      <w:r>
        <w:rPr>
          <w:color w:val="auto"/>
        </w:rPr>
        <w:t>根据地区电网条件，</w:t>
      </w:r>
      <w:r>
        <w:rPr>
          <w:rFonts w:hint="eastAsia"/>
          <w:color w:val="auto"/>
        </w:rPr>
        <w:t>工厂用电</w:t>
      </w:r>
      <w:r>
        <w:rPr>
          <w:color w:val="auto"/>
        </w:rPr>
        <w:t>负荷大小</w:t>
      </w:r>
      <w:r>
        <w:rPr>
          <w:rFonts w:hint="eastAsia"/>
          <w:color w:val="auto"/>
        </w:rPr>
        <w:t>、</w:t>
      </w:r>
      <w:r>
        <w:rPr>
          <w:color w:val="auto"/>
        </w:rPr>
        <w:t>用电设备特性</w:t>
      </w:r>
      <w:r>
        <w:rPr>
          <w:rFonts w:hint="eastAsia"/>
          <w:color w:val="auto"/>
        </w:rPr>
        <w:t>及对</w:t>
      </w:r>
      <w:r>
        <w:rPr>
          <w:color w:val="auto"/>
        </w:rPr>
        <w:t>电源系统的要求确定</w:t>
      </w:r>
      <w:r>
        <w:rPr>
          <w:rFonts w:hint="eastAsia"/>
          <w:color w:val="auto"/>
        </w:rPr>
        <w:t>，</w:t>
      </w:r>
      <w:r>
        <w:rPr>
          <w:color w:val="auto"/>
        </w:rPr>
        <w:t>宜采用</w:t>
      </w:r>
      <w:r>
        <w:rPr>
          <w:rFonts w:hint="eastAsia"/>
          <w:color w:val="auto"/>
        </w:rPr>
        <w:t>110</w:t>
      </w:r>
      <w:r>
        <w:rPr>
          <w:color w:val="auto"/>
        </w:rPr>
        <w:t>kV</w:t>
      </w:r>
      <w:r>
        <w:rPr>
          <w:rFonts w:hint="eastAsia"/>
          <w:color w:val="auto"/>
        </w:rPr>
        <w:t>、66</w:t>
      </w:r>
      <w:r>
        <w:rPr>
          <w:color w:val="auto"/>
        </w:rPr>
        <w:t>kV</w:t>
      </w:r>
      <w:r>
        <w:rPr>
          <w:rFonts w:hint="eastAsia"/>
          <w:color w:val="auto"/>
        </w:rPr>
        <w:t>或35</w:t>
      </w:r>
      <w:r>
        <w:rPr>
          <w:color w:val="auto"/>
        </w:rPr>
        <w:t>kV</w:t>
      </w:r>
      <w:r>
        <w:rPr>
          <w:rFonts w:hint="eastAsia"/>
          <w:color w:val="auto"/>
        </w:rPr>
        <w:t>电压等级。</w:t>
      </w:r>
    </w:p>
    <w:p>
      <w:pPr>
        <w:rPr>
          <w:color w:val="auto"/>
        </w:rPr>
      </w:pPr>
      <w:r>
        <w:rPr>
          <w:color w:val="auto"/>
        </w:rPr>
        <w:t>4.1.</w:t>
      </w:r>
      <w:r>
        <w:rPr>
          <w:rFonts w:hint="eastAsia"/>
          <w:color w:val="auto"/>
        </w:rPr>
        <w:t>2  橡胶工厂内部供电电源的一级</w:t>
      </w:r>
      <w:r>
        <w:rPr>
          <w:color w:val="auto"/>
        </w:rPr>
        <w:t>配电电压</w:t>
      </w:r>
      <w:r>
        <w:rPr>
          <w:rFonts w:hint="eastAsia"/>
          <w:color w:val="auto"/>
        </w:rPr>
        <w:t>宜</w:t>
      </w:r>
      <w:r>
        <w:rPr>
          <w:color w:val="auto"/>
        </w:rPr>
        <w:t>采用</w:t>
      </w:r>
      <w:r>
        <w:rPr>
          <w:rFonts w:hint="eastAsia"/>
          <w:color w:val="auto"/>
        </w:rPr>
        <w:t>10</w:t>
      </w:r>
      <w:r>
        <w:rPr>
          <w:color w:val="auto"/>
        </w:rPr>
        <w:t>kV</w:t>
      </w:r>
      <w:r>
        <w:rPr>
          <w:rFonts w:hint="eastAsia"/>
          <w:color w:val="auto"/>
        </w:rPr>
        <w:t>电压</w:t>
      </w:r>
      <w:r>
        <w:rPr>
          <w:color w:val="auto"/>
        </w:rPr>
        <w:t>等级</w:t>
      </w:r>
      <w:r>
        <w:rPr>
          <w:rFonts w:hint="eastAsia"/>
          <w:color w:val="auto"/>
        </w:rPr>
        <w:t>，</w:t>
      </w:r>
      <w:r>
        <w:rPr>
          <w:color w:val="auto"/>
        </w:rPr>
        <w:t>低压配电电压宜采用</w:t>
      </w:r>
      <w:r>
        <w:rPr>
          <w:rFonts w:hint="eastAsia"/>
          <w:color w:val="auto"/>
        </w:rPr>
        <w:t>220/380V</w:t>
      </w:r>
      <w:r>
        <w:rPr>
          <w:color w:val="auto"/>
        </w:rPr>
        <w:t>。</w:t>
      </w:r>
    </w:p>
    <w:p>
      <w:pPr>
        <w:rPr>
          <w:color w:val="auto"/>
        </w:rPr>
      </w:pPr>
      <w:r>
        <w:rPr>
          <w:color w:val="auto"/>
        </w:rPr>
        <w:t>4.1.</w:t>
      </w:r>
      <w:r>
        <w:rPr>
          <w:rFonts w:hint="eastAsia"/>
          <w:color w:val="auto"/>
        </w:rPr>
        <w:t>3  电压</w:t>
      </w:r>
      <w:r>
        <w:rPr>
          <w:color w:val="auto"/>
        </w:rPr>
        <w:t>允许的偏差值</w:t>
      </w:r>
      <w:r>
        <w:rPr>
          <w:rFonts w:hint="eastAsia"/>
          <w:color w:val="auto"/>
        </w:rPr>
        <w:t>应符合</w:t>
      </w:r>
      <w:r>
        <w:rPr>
          <w:color w:val="auto"/>
        </w:rPr>
        <w:t>现行</w:t>
      </w:r>
      <w:r>
        <w:rPr>
          <w:rFonts w:hint="eastAsia"/>
          <w:color w:val="auto"/>
        </w:rPr>
        <w:t>国家</w:t>
      </w:r>
      <w:r>
        <w:rPr>
          <w:color w:val="auto"/>
        </w:rPr>
        <w:t>标准</w:t>
      </w:r>
      <w:r>
        <w:rPr>
          <w:rFonts w:hint="eastAsia"/>
          <w:color w:val="auto"/>
        </w:rPr>
        <w:t>《电能质量供电电压偏差》GB/T12325</w:t>
      </w:r>
      <w:r>
        <w:rPr>
          <w:color w:val="auto"/>
        </w:rPr>
        <w:t>的规定</w:t>
      </w:r>
    </w:p>
    <w:p>
      <w:pPr>
        <w:ind w:firstLine="420" w:firstLineChars="200"/>
        <w:rPr>
          <w:color w:val="auto"/>
        </w:rPr>
      </w:pPr>
      <w:r>
        <w:rPr>
          <w:color w:val="auto"/>
        </w:rPr>
        <w:t xml:space="preserve">1 </w:t>
      </w:r>
      <w:r>
        <w:rPr>
          <w:rFonts w:hint="eastAsia"/>
          <w:color w:val="auto"/>
        </w:rPr>
        <w:t>工厂</w:t>
      </w:r>
      <w:r>
        <w:rPr>
          <w:color w:val="auto"/>
        </w:rPr>
        <w:t>电源</w:t>
      </w:r>
      <w:r>
        <w:rPr>
          <w:rFonts w:hint="eastAsia"/>
          <w:color w:val="auto"/>
        </w:rPr>
        <w:t>受电端的</w:t>
      </w:r>
      <w:r>
        <w:rPr>
          <w:color w:val="auto"/>
        </w:rPr>
        <w:t>电压偏差</w:t>
      </w:r>
      <w:r>
        <w:rPr>
          <w:rFonts w:hint="eastAsia"/>
          <w:color w:val="auto"/>
        </w:rPr>
        <w:t>允许</w:t>
      </w:r>
      <w:r>
        <w:rPr>
          <w:color w:val="auto"/>
        </w:rPr>
        <w:t>值</w:t>
      </w:r>
      <w:r>
        <w:rPr>
          <w:rFonts w:hint="eastAsia"/>
          <w:color w:val="auto"/>
        </w:rPr>
        <w:t>见表4.1.3</w:t>
      </w:r>
      <w:r>
        <w:rPr>
          <w:color w:val="auto"/>
        </w:rPr>
        <w:t>-1.</w:t>
      </w:r>
    </w:p>
    <w:p>
      <w:pPr>
        <w:ind w:firstLine="420" w:firstLineChars="200"/>
        <w:jc w:val="center"/>
        <w:rPr>
          <w:color w:val="auto"/>
        </w:rPr>
      </w:pPr>
      <w:r>
        <w:rPr>
          <w:rFonts w:hint="eastAsia"/>
          <w:color w:val="auto"/>
        </w:rPr>
        <w:t>表4.1.3</w:t>
      </w:r>
      <w:r>
        <w:rPr>
          <w:color w:val="auto"/>
        </w:rPr>
        <w:t xml:space="preserve">-1  </w:t>
      </w:r>
      <w:r>
        <w:rPr>
          <w:rFonts w:hint="eastAsia"/>
          <w:color w:val="auto"/>
        </w:rPr>
        <w:t>电源</w:t>
      </w:r>
      <w:r>
        <w:rPr>
          <w:color w:val="auto"/>
        </w:rPr>
        <w:t>受电端的</w:t>
      </w:r>
      <w:r>
        <w:rPr>
          <w:rFonts w:hint="eastAsia"/>
          <w:color w:val="auto"/>
        </w:rPr>
        <w:t>电压偏差</w:t>
      </w:r>
      <w:r>
        <w:rPr>
          <w:color w:val="auto"/>
        </w:rPr>
        <w:t>允许值</w:t>
      </w:r>
    </w:p>
    <w:tbl>
      <w:tblPr>
        <w:tblStyle w:val="TableGrid0"/>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4148"/>
        <w:gridCol w:w="4148"/>
      </w:tblGrid>
      <w:tr>
        <w:tblPrEx>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c>
          <w:tcPr>
            <w:tcW w:w="2500" w:type="pct"/>
          </w:tcPr>
          <w:p>
            <w:pPr>
              <w:rPr>
                <w:color w:val="auto"/>
              </w:rPr>
            </w:pPr>
            <w:r>
              <w:rPr>
                <w:rFonts w:hint="eastAsia"/>
                <w:color w:val="auto"/>
              </w:rPr>
              <w:t>系统</w:t>
            </w:r>
            <w:r>
              <w:rPr>
                <w:color w:val="auto"/>
              </w:rPr>
              <w:t>标称</w:t>
            </w:r>
            <w:r>
              <w:rPr>
                <w:rFonts w:hint="eastAsia"/>
                <w:color w:val="auto"/>
              </w:rPr>
              <w:t>电压</w:t>
            </w:r>
          </w:p>
        </w:tc>
        <w:tc>
          <w:tcPr>
            <w:tcW w:w="2500" w:type="pct"/>
          </w:tcPr>
          <w:p>
            <w:pPr>
              <w:rPr>
                <w:color w:val="auto"/>
              </w:rPr>
            </w:pPr>
            <w:r>
              <w:rPr>
                <w:rFonts w:hint="eastAsia"/>
                <w:color w:val="auto"/>
              </w:rPr>
              <w:t>电压</w:t>
            </w:r>
            <w:r>
              <w:rPr>
                <w:color w:val="auto"/>
              </w:rPr>
              <w:t>偏差</w:t>
            </w:r>
            <w:r>
              <w:rPr>
                <w:rFonts w:hint="eastAsia"/>
                <w:color w:val="auto"/>
              </w:rPr>
              <w:t>允许</w:t>
            </w:r>
            <w:r>
              <w:rPr>
                <w:color w:val="auto"/>
              </w:rPr>
              <w:t>值</w:t>
            </w:r>
          </w:p>
        </w:tc>
      </w:tr>
      <w:tr>
        <w:tblPrEx>
          <w:tblW w:w="5000" w:type="pct"/>
          <w:tblInd w:w="0" w:type="dxa"/>
          <w:tblCellMar>
            <w:top w:w="0" w:type="dxa"/>
            <w:left w:w="108" w:type="dxa"/>
            <w:bottom w:w="0" w:type="dxa"/>
            <w:right w:w="108" w:type="dxa"/>
          </w:tblCellMar>
        </w:tblPrEx>
        <w:tc>
          <w:tcPr>
            <w:tcW w:w="2500" w:type="pct"/>
          </w:tcPr>
          <w:p>
            <w:pPr>
              <w:rPr>
                <w:color w:val="auto"/>
              </w:rPr>
            </w:pPr>
            <w:r>
              <w:rPr>
                <w:rFonts w:hint="eastAsia"/>
                <w:color w:val="auto"/>
              </w:rPr>
              <w:t>≥35kV三相(</w:t>
            </w:r>
            <w:r>
              <w:rPr>
                <w:color w:val="auto"/>
              </w:rPr>
              <w:t>线电压</w:t>
            </w:r>
            <w:r>
              <w:rPr>
                <w:rFonts w:hint="eastAsia"/>
                <w:color w:val="auto"/>
              </w:rPr>
              <w:t>)</w:t>
            </w:r>
          </w:p>
        </w:tc>
        <w:tc>
          <w:tcPr>
            <w:tcW w:w="2500" w:type="pct"/>
          </w:tcPr>
          <w:p>
            <w:pPr>
              <w:rPr>
                <w:color w:val="auto"/>
              </w:rPr>
            </w:pPr>
            <w:r>
              <w:rPr>
                <w:rFonts w:hint="eastAsia"/>
                <w:color w:val="auto"/>
              </w:rPr>
              <w:t>正</w:t>
            </w:r>
            <w:r>
              <w:rPr>
                <w:color w:val="auto"/>
              </w:rPr>
              <w:t>、负</w:t>
            </w:r>
            <w:r>
              <w:rPr>
                <w:rFonts w:hint="eastAsia"/>
                <w:color w:val="auto"/>
              </w:rPr>
              <w:t>偏差值绝对值之和≤10%</w:t>
            </w:r>
          </w:p>
        </w:tc>
      </w:tr>
      <w:tr>
        <w:tblPrEx>
          <w:tblW w:w="5000" w:type="pct"/>
          <w:tblInd w:w="0" w:type="dxa"/>
          <w:tblCellMar>
            <w:top w:w="0" w:type="dxa"/>
            <w:left w:w="108" w:type="dxa"/>
            <w:bottom w:w="0" w:type="dxa"/>
            <w:right w:w="108" w:type="dxa"/>
          </w:tblCellMar>
        </w:tblPrEx>
        <w:tc>
          <w:tcPr>
            <w:tcW w:w="2500" w:type="pct"/>
          </w:tcPr>
          <w:p>
            <w:pPr>
              <w:rPr>
                <w:color w:val="auto"/>
              </w:rPr>
            </w:pPr>
            <w:r>
              <w:rPr>
                <w:rFonts w:hint="eastAsia"/>
                <w:color w:val="auto"/>
              </w:rPr>
              <w:t>≤10kV三相(</w:t>
            </w:r>
            <w:r>
              <w:rPr>
                <w:color w:val="auto"/>
              </w:rPr>
              <w:t>线电压</w:t>
            </w:r>
            <w:r>
              <w:rPr>
                <w:rFonts w:hint="eastAsia"/>
                <w:color w:val="auto"/>
              </w:rPr>
              <w:t>)</w:t>
            </w:r>
          </w:p>
        </w:tc>
        <w:tc>
          <w:tcPr>
            <w:tcW w:w="2500" w:type="pct"/>
          </w:tcPr>
          <w:p>
            <w:pPr>
              <w:rPr>
                <w:color w:val="auto"/>
              </w:rPr>
            </w:pPr>
            <w:r>
              <w:rPr>
                <w:rFonts w:hint="eastAsia"/>
                <w:color w:val="auto"/>
              </w:rPr>
              <w:t>±7%</w:t>
            </w:r>
          </w:p>
        </w:tc>
      </w:tr>
      <w:tr>
        <w:tblPrEx>
          <w:tblW w:w="5000" w:type="pct"/>
          <w:tblInd w:w="0" w:type="dxa"/>
          <w:tblCellMar>
            <w:top w:w="0" w:type="dxa"/>
            <w:left w:w="108" w:type="dxa"/>
            <w:bottom w:w="0" w:type="dxa"/>
            <w:right w:w="108" w:type="dxa"/>
          </w:tblCellMar>
        </w:tblPrEx>
        <w:tc>
          <w:tcPr>
            <w:tcW w:w="2500" w:type="pct"/>
          </w:tcPr>
          <w:p>
            <w:pPr>
              <w:rPr>
                <w:color w:val="auto"/>
              </w:rPr>
            </w:pPr>
            <w:r>
              <w:rPr>
                <w:rFonts w:hint="eastAsia"/>
                <w:color w:val="auto"/>
              </w:rPr>
              <w:t>0.22kV单相</w:t>
            </w:r>
            <w:r>
              <w:rPr>
                <w:color w:val="auto"/>
              </w:rPr>
              <w:t>（</w:t>
            </w:r>
            <w:r>
              <w:rPr>
                <w:rFonts w:hint="eastAsia"/>
                <w:color w:val="auto"/>
              </w:rPr>
              <w:t>相电压</w:t>
            </w:r>
            <w:r>
              <w:rPr>
                <w:color w:val="auto"/>
              </w:rPr>
              <w:t>）</w:t>
            </w:r>
          </w:p>
        </w:tc>
        <w:tc>
          <w:tcPr>
            <w:tcW w:w="2500" w:type="pct"/>
          </w:tcPr>
          <w:p>
            <w:pPr>
              <w:rPr>
                <w:color w:val="auto"/>
              </w:rPr>
            </w:pPr>
            <w:r>
              <w:rPr>
                <w:color w:val="auto"/>
              </w:rPr>
              <w:t>-</w:t>
            </w:r>
            <w:r>
              <w:rPr>
                <w:rFonts w:hint="eastAsia"/>
                <w:color w:val="auto"/>
              </w:rPr>
              <w:t>10</w:t>
            </w:r>
            <w:r>
              <w:rPr>
                <w:color w:val="auto"/>
              </w:rPr>
              <w:t xml:space="preserve"> %</w:t>
            </w:r>
            <w:r>
              <w:rPr>
                <w:rFonts w:hint="eastAsia"/>
                <w:color w:val="auto"/>
              </w:rPr>
              <w:t>~</w:t>
            </w:r>
            <w:r>
              <w:rPr>
                <w:color w:val="auto"/>
              </w:rPr>
              <w:t xml:space="preserve"> +7%</w:t>
            </w:r>
          </w:p>
        </w:tc>
      </w:tr>
      <w:tr>
        <w:tblPrEx>
          <w:tblW w:w="5000" w:type="pct"/>
          <w:tblInd w:w="0" w:type="dxa"/>
          <w:tblCellMar>
            <w:top w:w="0" w:type="dxa"/>
            <w:left w:w="108" w:type="dxa"/>
            <w:bottom w:w="0" w:type="dxa"/>
            <w:right w:w="108" w:type="dxa"/>
          </w:tblCellMar>
        </w:tblPrEx>
        <w:tc>
          <w:tcPr>
            <w:tcW w:w="2500" w:type="pct"/>
          </w:tcPr>
          <w:p>
            <w:pPr>
              <w:rPr>
                <w:color w:val="auto"/>
              </w:rPr>
            </w:pPr>
          </w:p>
        </w:tc>
        <w:tc>
          <w:tcPr>
            <w:tcW w:w="2500" w:type="pct"/>
          </w:tcPr>
          <w:p>
            <w:pPr>
              <w:rPr>
                <w:color w:val="auto"/>
              </w:rPr>
            </w:pPr>
          </w:p>
        </w:tc>
      </w:tr>
    </w:tbl>
    <w:p>
      <w:pPr>
        <w:ind w:firstLine="420" w:firstLineChars="200"/>
        <w:rPr>
          <w:color w:val="auto"/>
        </w:rPr>
      </w:pPr>
    </w:p>
    <w:p>
      <w:pPr>
        <w:ind w:firstLine="420" w:firstLineChars="200"/>
        <w:rPr>
          <w:color w:val="auto"/>
        </w:rPr>
      </w:pPr>
      <w:r>
        <w:rPr>
          <w:color w:val="auto"/>
        </w:rPr>
        <w:t xml:space="preserve">2 </w:t>
      </w:r>
      <w:r>
        <w:rPr>
          <w:rFonts w:hint="eastAsia"/>
          <w:color w:val="auto"/>
        </w:rPr>
        <w:t>用电</w:t>
      </w:r>
      <w:r>
        <w:rPr>
          <w:color w:val="auto"/>
        </w:rPr>
        <w:t>设备</w:t>
      </w:r>
      <w:r>
        <w:rPr>
          <w:rFonts w:hint="eastAsia"/>
          <w:color w:val="auto"/>
        </w:rPr>
        <w:t>端子</w:t>
      </w:r>
      <w:r>
        <w:rPr>
          <w:color w:val="auto"/>
        </w:rPr>
        <w:t>电压偏差</w:t>
      </w:r>
      <w:r>
        <w:rPr>
          <w:rFonts w:hint="eastAsia"/>
          <w:color w:val="auto"/>
        </w:rPr>
        <w:t>允许</w:t>
      </w:r>
      <w:r>
        <w:rPr>
          <w:color w:val="auto"/>
        </w:rPr>
        <w:t>值</w:t>
      </w:r>
      <w:r>
        <w:rPr>
          <w:rFonts w:hint="eastAsia"/>
          <w:color w:val="auto"/>
        </w:rPr>
        <w:t>见表4.1.3</w:t>
      </w:r>
      <w:r>
        <w:rPr>
          <w:color w:val="auto"/>
        </w:rPr>
        <w:t>-2.</w:t>
      </w:r>
    </w:p>
    <w:p>
      <w:pPr>
        <w:ind w:firstLine="420" w:firstLineChars="200"/>
        <w:jc w:val="center"/>
        <w:rPr>
          <w:color w:val="auto"/>
        </w:rPr>
      </w:pPr>
      <w:r>
        <w:rPr>
          <w:rFonts w:hint="eastAsia"/>
          <w:color w:val="auto"/>
        </w:rPr>
        <w:t>表4.1.3</w:t>
      </w:r>
      <w:r>
        <w:rPr>
          <w:color w:val="auto"/>
        </w:rPr>
        <w:t xml:space="preserve">-2  </w:t>
      </w:r>
      <w:r>
        <w:rPr>
          <w:rFonts w:hint="eastAsia"/>
          <w:color w:val="auto"/>
        </w:rPr>
        <w:t>用电</w:t>
      </w:r>
      <w:r>
        <w:rPr>
          <w:color w:val="auto"/>
        </w:rPr>
        <w:t>设备</w:t>
      </w:r>
      <w:r>
        <w:rPr>
          <w:rFonts w:hint="eastAsia"/>
          <w:color w:val="auto"/>
        </w:rPr>
        <w:t>端子</w:t>
      </w:r>
      <w:r>
        <w:rPr>
          <w:color w:val="auto"/>
        </w:rPr>
        <w:t>电压偏差</w:t>
      </w:r>
      <w:r>
        <w:rPr>
          <w:rFonts w:hint="eastAsia"/>
          <w:color w:val="auto"/>
        </w:rPr>
        <w:t>允许</w:t>
      </w:r>
      <w:r>
        <w:rPr>
          <w:color w:val="auto"/>
        </w:rPr>
        <w:t>值</w:t>
      </w:r>
    </w:p>
    <w:tbl>
      <w:tblPr>
        <w:tblStyle w:val="TableGrid0"/>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4148"/>
        <w:gridCol w:w="4148"/>
      </w:tblGrid>
      <w:tr>
        <w:tblPrEx>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c>
          <w:tcPr>
            <w:tcW w:w="2500" w:type="pct"/>
          </w:tcPr>
          <w:p>
            <w:pPr>
              <w:rPr>
                <w:color w:val="auto"/>
              </w:rPr>
            </w:pPr>
            <w:r>
              <w:rPr>
                <w:rFonts w:hint="eastAsia"/>
                <w:color w:val="auto"/>
              </w:rPr>
              <w:t>用电</w:t>
            </w:r>
            <w:r>
              <w:rPr>
                <w:color w:val="auto"/>
              </w:rPr>
              <w:t>设备端子</w:t>
            </w:r>
          </w:p>
        </w:tc>
        <w:tc>
          <w:tcPr>
            <w:tcW w:w="2500" w:type="pct"/>
          </w:tcPr>
          <w:p>
            <w:pPr>
              <w:rPr>
                <w:color w:val="auto"/>
              </w:rPr>
            </w:pPr>
            <w:r>
              <w:rPr>
                <w:rFonts w:hint="eastAsia"/>
                <w:color w:val="auto"/>
              </w:rPr>
              <w:t>电压</w:t>
            </w:r>
            <w:r>
              <w:rPr>
                <w:color w:val="auto"/>
              </w:rPr>
              <w:t>偏差</w:t>
            </w:r>
            <w:r>
              <w:rPr>
                <w:rFonts w:hint="eastAsia"/>
                <w:color w:val="auto"/>
              </w:rPr>
              <w:t>允许</w:t>
            </w:r>
            <w:r>
              <w:rPr>
                <w:color w:val="auto"/>
              </w:rPr>
              <w:t>值</w:t>
            </w:r>
          </w:p>
        </w:tc>
      </w:tr>
      <w:tr>
        <w:tblPrEx>
          <w:tblW w:w="5000" w:type="pct"/>
          <w:tblInd w:w="0" w:type="dxa"/>
          <w:tblCellMar>
            <w:top w:w="0" w:type="dxa"/>
            <w:left w:w="108" w:type="dxa"/>
            <w:bottom w:w="0" w:type="dxa"/>
            <w:right w:w="108" w:type="dxa"/>
          </w:tblCellMar>
        </w:tblPrEx>
        <w:tc>
          <w:tcPr>
            <w:tcW w:w="2500" w:type="pct"/>
          </w:tcPr>
          <w:p>
            <w:pPr>
              <w:rPr>
                <w:color w:val="auto"/>
              </w:rPr>
            </w:pPr>
            <w:r>
              <w:rPr>
                <w:rFonts w:hint="eastAsia"/>
                <w:color w:val="auto"/>
              </w:rPr>
              <w:t>正常</w:t>
            </w:r>
            <w:r>
              <w:rPr>
                <w:color w:val="auto"/>
              </w:rPr>
              <w:t>情况下</w:t>
            </w:r>
            <w:r>
              <w:rPr>
                <w:rFonts w:hint="eastAsia"/>
                <w:color w:val="auto"/>
              </w:rPr>
              <w:t>电动机端子</w:t>
            </w:r>
          </w:p>
        </w:tc>
        <w:tc>
          <w:tcPr>
            <w:tcW w:w="2500" w:type="pct"/>
          </w:tcPr>
          <w:p>
            <w:pPr>
              <w:rPr>
                <w:color w:val="auto"/>
              </w:rPr>
            </w:pPr>
            <w:r>
              <w:rPr>
                <w:color w:val="auto"/>
              </w:rPr>
              <w:t>-</w:t>
            </w:r>
            <w:r>
              <w:rPr>
                <w:rFonts w:hint="eastAsia"/>
                <w:color w:val="auto"/>
              </w:rPr>
              <w:t>5</w:t>
            </w:r>
            <w:r>
              <w:rPr>
                <w:color w:val="auto"/>
              </w:rPr>
              <w:t xml:space="preserve"> %</w:t>
            </w:r>
            <w:r>
              <w:rPr>
                <w:rFonts w:hint="eastAsia"/>
                <w:color w:val="auto"/>
              </w:rPr>
              <w:t>~</w:t>
            </w:r>
            <w:r>
              <w:rPr>
                <w:color w:val="auto"/>
              </w:rPr>
              <w:t xml:space="preserve"> +5%</w:t>
            </w:r>
          </w:p>
        </w:tc>
      </w:tr>
      <w:tr>
        <w:tblPrEx>
          <w:tblW w:w="5000" w:type="pct"/>
          <w:tblInd w:w="0" w:type="dxa"/>
          <w:tblCellMar>
            <w:top w:w="0" w:type="dxa"/>
            <w:left w:w="108" w:type="dxa"/>
            <w:bottom w:w="0" w:type="dxa"/>
            <w:right w:w="108" w:type="dxa"/>
          </w:tblCellMar>
        </w:tblPrEx>
        <w:tc>
          <w:tcPr>
            <w:tcW w:w="2500" w:type="pct"/>
          </w:tcPr>
          <w:p>
            <w:pPr>
              <w:rPr>
                <w:color w:val="auto"/>
              </w:rPr>
            </w:pPr>
            <w:r>
              <w:rPr>
                <w:rFonts w:hint="eastAsia"/>
                <w:color w:val="auto"/>
              </w:rPr>
              <w:t>一般</w:t>
            </w:r>
            <w:r>
              <w:rPr>
                <w:color w:val="auto"/>
              </w:rPr>
              <w:t>工作场所照明</w:t>
            </w:r>
          </w:p>
        </w:tc>
        <w:tc>
          <w:tcPr>
            <w:tcW w:w="2500" w:type="pct"/>
          </w:tcPr>
          <w:p>
            <w:pPr>
              <w:rPr>
                <w:color w:val="auto"/>
              </w:rPr>
            </w:pPr>
            <w:r>
              <w:rPr>
                <w:color w:val="auto"/>
              </w:rPr>
              <w:t>-5%</w:t>
            </w:r>
            <w:r>
              <w:rPr>
                <w:rFonts w:hint="eastAsia"/>
                <w:color w:val="auto"/>
              </w:rPr>
              <w:t>~</w:t>
            </w:r>
            <w:r>
              <w:rPr>
                <w:color w:val="auto"/>
              </w:rPr>
              <w:t xml:space="preserve"> +5%</w:t>
            </w:r>
          </w:p>
        </w:tc>
      </w:tr>
      <w:tr>
        <w:tblPrEx>
          <w:tblW w:w="5000" w:type="pct"/>
          <w:tblInd w:w="0" w:type="dxa"/>
          <w:tblCellMar>
            <w:top w:w="0" w:type="dxa"/>
            <w:left w:w="108" w:type="dxa"/>
            <w:bottom w:w="0" w:type="dxa"/>
            <w:right w:w="108" w:type="dxa"/>
          </w:tblCellMar>
        </w:tblPrEx>
        <w:tc>
          <w:tcPr>
            <w:tcW w:w="2500" w:type="pct"/>
          </w:tcPr>
          <w:p>
            <w:pPr>
              <w:rPr>
                <w:color w:val="auto"/>
              </w:rPr>
            </w:pPr>
            <w:r>
              <w:rPr>
                <w:rFonts w:hint="eastAsia"/>
                <w:color w:val="auto"/>
              </w:rPr>
              <w:t>远离</w:t>
            </w:r>
            <w:r>
              <w:rPr>
                <w:color w:val="auto"/>
              </w:rPr>
              <w:t>变电所的小面积</w:t>
            </w:r>
            <w:r>
              <w:rPr>
                <w:rFonts w:hint="eastAsia"/>
                <w:color w:val="auto"/>
              </w:rPr>
              <w:t>一般</w:t>
            </w:r>
            <w:r>
              <w:rPr>
                <w:color w:val="auto"/>
              </w:rPr>
              <w:t>工作场所照明</w:t>
            </w:r>
          </w:p>
        </w:tc>
        <w:tc>
          <w:tcPr>
            <w:tcW w:w="2500" w:type="pct"/>
          </w:tcPr>
          <w:p>
            <w:pPr>
              <w:rPr>
                <w:color w:val="auto"/>
              </w:rPr>
            </w:pPr>
            <w:r>
              <w:rPr>
                <w:color w:val="auto"/>
              </w:rPr>
              <w:t>-10%</w:t>
            </w:r>
            <w:r>
              <w:rPr>
                <w:rFonts w:hint="eastAsia"/>
                <w:color w:val="auto"/>
              </w:rPr>
              <w:t>~</w:t>
            </w:r>
            <w:r>
              <w:rPr>
                <w:color w:val="auto"/>
              </w:rPr>
              <w:t xml:space="preserve"> +5%</w:t>
            </w:r>
          </w:p>
        </w:tc>
      </w:tr>
      <w:tr>
        <w:tblPrEx>
          <w:tblW w:w="5000" w:type="pct"/>
          <w:tblInd w:w="0" w:type="dxa"/>
          <w:tblCellMar>
            <w:top w:w="0" w:type="dxa"/>
            <w:left w:w="108" w:type="dxa"/>
            <w:bottom w:w="0" w:type="dxa"/>
            <w:right w:w="108" w:type="dxa"/>
          </w:tblCellMar>
        </w:tblPrEx>
        <w:tc>
          <w:tcPr>
            <w:tcW w:w="2500" w:type="pct"/>
          </w:tcPr>
          <w:p>
            <w:pPr>
              <w:rPr>
                <w:color w:val="auto"/>
              </w:rPr>
            </w:pPr>
            <w:r>
              <w:rPr>
                <w:rFonts w:hint="eastAsia"/>
                <w:color w:val="auto"/>
              </w:rPr>
              <w:t>应急</w:t>
            </w:r>
            <w:r>
              <w:rPr>
                <w:color w:val="auto"/>
              </w:rPr>
              <w:t>照明</w:t>
            </w:r>
          </w:p>
        </w:tc>
        <w:tc>
          <w:tcPr>
            <w:tcW w:w="2500" w:type="pct"/>
          </w:tcPr>
          <w:p>
            <w:pPr>
              <w:rPr>
                <w:color w:val="auto"/>
              </w:rPr>
            </w:pPr>
            <w:r>
              <w:rPr>
                <w:color w:val="auto"/>
              </w:rPr>
              <w:t>-10%</w:t>
            </w:r>
            <w:r>
              <w:rPr>
                <w:rFonts w:hint="eastAsia"/>
                <w:color w:val="auto"/>
              </w:rPr>
              <w:t>~</w:t>
            </w:r>
            <w:r>
              <w:rPr>
                <w:color w:val="auto"/>
              </w:rPr>
              <w:t xml:space="preserve"> +5%</w:t>
            </w:r>
          </w:p>
        </w:tc>
      </w:tr>
      <w:tr>
        <w:tblPrEx>
          <w:tblW w:w="5000" w:type="pct"/>
          <w:tblInd w:w="0" w:type="dxa"/>
          <w:tblCellMar>
            <w:top w:w="0" w:type="dxa"/>
            <w:left w:w="108" w:type="dxa"/>
            <w:bottom w:w="0" w:type="dxa"/>
            <w:right w:w="108" w:type="dxa"/>
          </w:tblCellMar>
        </w:tblPrEx>
        <w:tc>
          <w:tcPr>
            <w:tcW w:w="2500" w:type="pct"/>
          </w:tcPr>
          <w:p>
            <w:pPr>
              <w:rPr>
                <w:color w:val="auto"/>
              </w:rPr>
            </w:pPr>
            <w:r>
              <w:rPr>
                <w:rFonts w:hint="eastAsia"/>
                <w:color w:val="auto"/>
              </w:rPr>
              <w:t>道路</w:t>
            </w:r>
            <w:r>
              <w:rPr>
                <w:color w:val="auto"/>
              </w:rPr>
              <w:t>照明</w:t>
            </w:r>
          </w:p>
        </w:tc>
        <w:tc>
          <w:tcPr>
            <w:tcW w:w="2500" w:type="pct"/>
          </w:tcPr>
          <w:p>
            <w:pPr>
              <w:rPr>
                <w:color w:val="auto"/>
              </w:rPr>
            </w:pPr>
            <w:r>
              <w:rPr>
                <w:color w:val="auto"/>
              </w:rPr>
              <w:t>-10%</w:t>
            </w:r>
            <w:r>
              <w:rPr>
                <w:rFonts w:hint="eastAsia"/>
                <w:color w:val="auto"/>
              </w:rPr>
              <w:t>~</w:t>
            </w:r>
            <w:r>
              <w:rPr>
                <w:color w:val="auto"/>
              </w:rPr>
              <w:t xml:space="preserve"> +5%</w:t>
            </w:r>
          </w:p>
        </w:tc>
      </w:tr>
    </w:tbl>
    <w:p>
      <w:pPr>
        <w:ind w:firstLine="420" w:firstLineChars="200"/>
        <w:rPr>
          <w:color w:val="auto"/>
        </w:rPr>
      </w:pPr>
    </w:p>
    <w:p>
      <w:pPr>
        <w:rPr>
          <w:color w:val="auto"/>
          <w:highlight w:val="yellow"/>
        </w:rPr>
      </w:pPr>
    </w:p>
    <w:p>
      <w:pPr>
        <w:pStyle w:val="Heading2"/>
        <w:jc w:val="center"/>
        <w:rPr>
          <w:color w:val="auto"/>
        </w:rPr>
      </w:pPr>
      <w:bookmarkStart w:id="63" w:name="_Toc150789569"/>
      <w:bookmarkStart w:id="64" w:name="_Toc150841323"/>
      <w:bookmarkStart w:id="65" w:name="_Toc2327"/>
      <w:bookmarkStart w:id="66" w:name="_Toc153207289"/>
      <w:bookmarkStart w:id="67" w:name="_Toc150521601"/>
      <w:bookmarkStart w:id="68" w:name="_Toc10984"/>
      <w:bookmarkStart w:id="69" w:name="_Toc153204813"/>
      <w:bookmarkStart w:id="70" w:name="_Toc150520734"/>
      <w:r>
        <w:rPr>
          <w:rFonts w:hint="eastAsia"/>
          <w:color w:val="auto"/>
        </w:rPr>
        <w:t>4.2</w:t>
      </w:r>
      <w:r>
        <w:rPr>
          <w:rFonts w:ascii="宋体" w:hAnsi="宋体" w:cs="宋体" w:hint="eastAsia"/>
        </w:rPr>
        <w:t>供电系统电压调整</w:t>
      </w:r>
      <w:bookmarkEnd w:id="63"/>
      <w:bookmarkEnd w:id="64"/>
      <w:bookmarkEnd w:id="65"/>
      <w:bookmarkEnd w:id="66"/>
      <w:bookmarkEnd w:id="67"/>
      <w:bookmarkEnd w:id="68"/>
      <w:bookmarkEnd w:id="69"/>
      <w:bookmarkEnd w:id="70"/>
    </w:p>
    <w:p>
      <w:pPr>
        <w:rPr>
          <w:color w:val="auto"/>
        </w:rPr>
      </w:pPr>
      <w:r>
        <w:rPr>
          <w:rFonts w:hint="eastAsia"/>
          <w:color w:val="auto"/>
        </w:rPr>
        <w:t xml:space="preserve">4.2.1  </w:t>
      </w:r>
      <w:r>
        <w:rPr>
          <w:color w:val="auto"/>
        </w:rPr>
        <w:t>减少</w:t>
      </w:r>
      <w:r>
        <w:rPr>
          <w:rFonts w:hint="eastAsia"/>
          <w:color w:val="auto"/>
        </w:rPr>
        <w:t>供电</w:t>
      </w:r>
      <w:r>
        <w:rPr>
          <w:color w:val="auto"/>
        </w:rPr>
        <w:t>系统电压偏差</w:t>
      </w:r>
      <w:r>
        <w:rPr>
          <w:rFonts w:hint="eastAsia"/>
          <w:color w:val="auto"/>
        </w:rPr>
        <w:t>应</w:t>
      </w:r>
      <w:r>
        <w:rPr>
          <w:color w:val="auto"/>
        </w:rPr>
        <w:t>采取下列措施</w:t>
      </w:r>
      <w:r>
        <w:rPr>
          <w:rFonts w:hint="eastAsia"/>
          <w:color w:val="auto"/>
        </w:rPr>
        <w:t>：</w:t>
      </w:r>
    </w:p>
    <w:p>
      <w:pPr>
        <w:ind w:firstLine="480"/>
        <w:rPr>
          <w:color w:val="auto"/>
        </w:rPr>
      </w:pPr>
      <w:r>
        <w:rPr>
          <w:rFonts w:hint="eastAsia"/>
          <w:color w:val="auto"/>
        </w:rPr>
        <w:t>1 正确</w:t>
      </w:r>
      <w:r>
        <w:rPr>
          <w:color w:val="auto"/>
        </w:rPr>
        <w:t>选择变压器的变压比和电压分接头</w:t>
      </w:r>
      <w:r>
        <w:rPr>
          <w:rFonts w:hint="eastAsia"/>
          <w:color w:val="auto"/>
        </w:rPr>
        <w:t>；</w:t>
      </w:r>
    </w:p>
    <w:p>
      <w:pPr>
        <w:ind w:firstLine="480"/>
        <w:rPr>
          <w:color w:val="auto"/>
        </w:rPr>
      </w:pPr>
      <w:r>
        <w:rPr>
          <w:rFonts w:hint="eastAsia"/>
          <w:color w:val="auto"/>
        </w:rPr>
        <w:t>2 直接</w:t>
      </w:r>
      <w:r>
        <w:rPr>
          <w:color w:val="auto"/>
        </w:rPr>
        <w:t>向</w:t>
      </w:r>
      <w:r>
        <w:rPr>
          <w:rFonts w:hint="eastAsia"/>
          <w:color w:val="auto"/>
        </w:rPr>
        <w:t>35</w:t>
      </w:r>
      <w:r>
        <w:rPr>
          <w:color w:val="auto"/>
        </w:rPr>
        <w:t>kV</w:t>
      </w:r>
      <w:r>
        <w:rPr>
          <w:rFonts w:hint="eastAsia"/>
          <w:color w:val="auto"/>
        </w:rPr>
        <w:t>、10</w:t>
      </w:r>
      <w:r>
        <w:rPr>
          <w:color w:val="auto"/>
        </w:rPr>
        <w:t>kV</w:t>
      </w:r>
      <w:r>
        <w:rPr>
          <w:rFonts w:hint="eastAsia"/>
          <w:color w:val="auto"/>
        </w:rPr>
        <w:t>、6</w:t>
      </w:r>
      <w:r>
        <w:rPr>
          <w:color w:val="auto"/>
        </w:rPr>
        <w:t>kV</w:t>
      </w:r>
      <w:r>
        <w:rPr>
          <w:rFonts w:hint="eastAsia"/>
          <w:color w:val="auto"/>
        </w:rPr>
        <w:t>电网送电的电压</w:t>
      </w:r>
      <w:r>
        <w:rPr>
          <w:color w:val="auto"/>
        </w:rPr>
        <w:t>等级35</w:t>
      </w:r>
      <w:r>
        <w:rPr>
          <w:rFonts w:hint="eastAsia"/>
          <w:color w:val="auto"/>
        </w:rPr>
        <w:t>kV以上</w:t>
      </w:r>
      <w:r>
        <w:rPr>
          <w:color w:val="auto"/>
        </w:rPr>
        <w:t>降压变压器</w:t>
      </w:r>
      <w:r>
        <w:rPr>
          <w:rFonts w:hint="eastAsia"/>
          <w:color w:val="auto"/>
        </w:rPr>
        <w:t>选用</w:t>
      </w:r>
      <w:r>
        <w:rPr>
          <w:color w:val="auto"/>
        </w:rPr>
        <w:t>有载调压变压器</w:t>
      </w:r>
      <w:r>
        <w:rPr>
          <w:rFonts w:hint="eastAsia"/>
          <w:color w:val="auto"/>
        </w:rPr>
        <w:t>；</w:t>
      </w:r>
    </w:p>
    <w:p>
      <w:pPr>
        <w:ind w:firstLine="480"/>
        <w:rPr>
          <w:color w:val="auto"/>
        </w:rPr>
      </w:pPr>
      <w:r>
        <w:rPr>
          <w:rFonts w:hint="eastAsia"/>
          <w:color w:val="auto"/>
        </w:rPr>
        <w:t>3 降低</w:t>
      </w:r>
      <w:r>
        <w:rPr>
          <w:color w:val="auto"/>
        </w:rPr>
        <w:t>供电系统阻抗</w:t>
      </w:r>
      <w:r>
        <w:rPr>
          <w:rFonts w:hint="eastAsia"/>
          <w:color w:val="auto"/>
        </w:rPr>
        <w:t>；</w:t>
      </w:r>
    </w:p>
    <w:p>
      <w:pPr>
        <w:ind w:firstLine="480"/>
        <w:rPr>
          <w:color w:val="auto"/>
        </w:rPr>
      </w:pPr>
      <w:r>
        <w:rPr>
          <w:rFonts w:hint="eastAsia"/>
          <w:color w:val="auto"/>
        </w:rPr>
        <w:t>4</w:t>
      </w:r>
      <w:r>
        <w:rPr>
          <w:color w:val="auto"/>
        </w:rPr>
        <w:t xml:space="preserve"> </w:t>
      </w:r>
      <w:r>
        <w:rPr>
          <w:rFonts w:hint="eastAsia"/>
          <w:color w:val="auto"/>
        </w:rPr>
        <w:t>采用</w:t>
      </w:r>
      <w:r>
        <w:rPr>
          <w:color w:val="auto"/>
        </w:rPr>
        <w:t>无功功率补偿措施</w:t>
      </w:r>
      <w:r>
        <w:rPr>
          <w:rFonts w:hint="eastAsia"/>
          <w:color w:val="auto"/>
        </w:rPr>
        <w:t>；</w:t>
      </w:r>
    </w:p>
    <w:p>
      <w:pPr>
        <w:ind w:firstLine="480"/>
        <w:rPr>
          <w:color w:val="auto"/>
        </w:rPr>
      </w:pPr>
      <w:r>
        <w:rPr>
          <w:rFonts w:hint="eastAsia"/>
          <w:color w:val="auto"/>
        </w:rPr>
        <w:t>5 宜</w:t>
      </w:r>
      <w:r>
        <w:rPr>
          <w:color w:val="auto"/>
        </w:rPr>
        <w:t>使三相</w:t>
      </w:r>
      <w:r>
        <w:rPr>
          <w:rFonts w:hint="eastAsia"/>
          <w:color w:val="auto"/>
        </w:rPr>
        <w:t>负荷</w:t>
      </w:r>
      <w:r>
        <w:rPr>
          <w:color w:val="auto"/>
        </w:rPr>
        <w:t>平衡</w:t>
      </w:r>
      <w:r>
        <w:rPr>
          <w:rFonts w:hint="eastAsia"/>
          <w:color w:val="auto"/>
        </w:rPr>
        <w:t>。</w:t>
      </w:r>
    </w:p>
    <w:p>
      <w:pPr>
        <w:rPr>
          <w:color w:val="auto"/>
        </w:rPr>
      </w:pPr>
      <w:r>
        <w:rPr>
          <w:rFonts w:hint="eastAsia"/>
          <w:color w:val="auto"/>
        </w:rPr>
        <w:t>4.2.2 供电</w:t>
      </w:r>
      <w:r>
        <w:rPr>
          <w:color w:val="auto"/>
        </w:rPr>
        <w:t>系统中的波动</w:t>
      </w:r>
      <w:r>
        <w:rPr>
          <w:rFonts w:hint="eastAsia"/>
          <w:color w:val="auto"/>
        </w:rPr>
        <w:t>负荷</w:t>
      </w:r>
      <w:r>
        <w:rPr>
          <w:color w:val="auto"/>
        </w:rPr>
        <w:t>产生的</w:t>
      </w:r>
      <w:r>
        <w:rPr>
          <w:rFonts w:hint="eastAsia"/>
          <w:color w:val="auto"/>
        </w:rPr>
        <w:t>电压</w:t>
      </w:r>
      <w:r>
        <w:rPr>
          <w:color w:val="auto"/>
        </w:rPr>
        <w:t>变动和闪变</w:t>
      </w:r>
      <w:r>
        <w:rPr>
          <w:rFonts w:hint="eastAsia"/>
          <w:color w:val="auto"/>
        </w:rPr>
        <w:t>在</w:t>
      </w:r>
      <w:r>
        <w:rPr>
          <w:color w:val="auto"/>
        </w:rPr>
        <w:t>电网公共连接点的限</w:t>
      </w:r>
      <w:r>
        <w:rPr>
          <w:rFonts w:hint="eastAsia"/>
          <w:color w:val="auto"/>
        </w:rPr>
        <w:t>值</w:t>
      </w:r>
      <w:r>
        <w:rPr>
          <w:color w:val="auto"/>
        </w:rPr>
        <w:t>应符合现行国家标准《电能质量电压波动和闪变》</w:t>
      </w:r>
      <w:r>
        <w:rPr>
          <w:rFonts w:hint="eastAsia"/>
          <w:color w:val="auto"/>
        </w:rPr>
        <w:t>GB/T12326</w:t>
      </w:r>
      <w:r>
        <w:rPr>
          <w:color w:val="auto"/>
        </w:rPr>
        <w:t>的规定</w:t>
      </w:r>
      <w:r>
        <w:rPr>
          <w:rFonts w:hint="eastAsia"/>
          <w:color w:val="auto"/>
        </w:rPr>
        <w:t>，</w:t>
      </w:r>
      <w:r>
        <w:rPr>
          <w:color w:val="auto"/>
        </w:rPr>
        <w:t>对波动负荷的供电</w:t>
      </w:r>
      <w:r>
        <w:rPr>
          <w:rFonts w:hint="eastAsia"/>
          <w:color w:val="auto"/>
        </w:rPr>
        <w:t>宜采取</w:t>
      </w:r>
      <w:r>
        <w:rPr>
          <w:color w:val="auto"/>
        </w:rPr>
        <w:t>如下措施：</w:t>
      </w:r>
    </w:p>
    <w:p>
      <w:pPr>
        <w:ind w:firstLine="480"/>
        <w:rPr>
          <w:color w:val="auto"/>
        </w:rPr>
      </w:pPr>
      <w:r>
        <w:rPr>
          <w:color w:val="auto"/>
        </w:rPr>
        <w:t>1 采用专线供电</w:t>
      </w:r>
      <w:r>
        <w:rPr>
          <w:rFonts w:hint="eastAsia"/>
          <w:color w:val="auto"/>
        </w:rPr>
        <w:t>；</w:t>
      </w:r>
    </w:p>
    <w:p>
      <w:pPr>
        <w:ind w:firstLine="480"/>
        <w:rPr>
          <w:color w:val="auto"/>
        </w:rPr>
      </w:pPr>
      <w:r>
        <w:rPr>
          <w:color w:val="auto"/>
        </w:rPr>
        <w:t>2 与其他负荷共用配电线路时，降低配电线路阻抗</w:t>
      </w:r>
      <w:r>
        <w:rPr>
          <w:rFonts w:hint="eastAsia"/>
          <w:color w:val="auto"/>
        </w:rPr>
        <w:t>；</w:t>
      </w:r>
    </w:p>
    <w:p>
      <w:pPr>
        <w:ind w:firstLine="480"/>
        <w:rPr>
          <w:color w:val="auto"/>
        </w:rPr>
      </w:pPr>
      <w:r>
        <w:rPr>
          <w:color w:val="auto"/>
        </w:rPr>
        <w:t> 3 较大功率的波动负荷或波动负荷群与对电压波动、闪变敏感的负荷，分别由不同的变压器供电</w:t>
      </w:r>
      <w:r>
        <w:rPr>
          <w:rFonts w:hint="eastAsia"/>
          <w:color w:val="auto"/>
        </w:rPr>
        <w:t>；</w:t>
      </w:r>
    </w:p>
    <w:p>
      <w:pPr>
        <w:ind w:firstLine="480"/>
        <w:rPr>
          <w:color w:val="auto"/>
        </w:rPr>
      </w:pPr>
      <w:r>
        <w:rPr>
          <w:color w:val="auto"/>
        </w:rPr>
        <w:t> 4 采用动态无功补偿装置或动态电压调节装置</w:t>
      </w:r>
      <w:r>
        <w:rPr>
          <w:rFonts w:hint="eastAsia"/>
          <w:color w:val="auto"/>
        </w:rPr>
        <w:t>；</w:t>
      </w:r>
    </w:p>
    <w:p>
      <w:pPr>
        <w:ind w:firstLine="480"/>
        <w:rPr>
          <w:color w:val="auto"/>
        </w:rPr>
      </w:pPr>
      <w:r>
        <w:rPr>
          <w:rFonts w:hint="eastAsia"/>
          <w:color w:val="auto"/>
        </w:rPr>
        <w:t>5 大容量</w:t>
      </w:r>
      <w:r>
        <w:rPr>
          <w:color w:val="auto"/>
        </w:rPr>
        <w:t>电动机</w:t>
      </w:r>
      <w:r>
        <w:rPr>
          <w:rFonts w:hint="eastAsia"/>
          <w:color w:val="auto"/>
        </w:rPr>
        <w:t>宜采用</w:t>
      </w:r>
      <w:r>
        <w:rPr>
          <w:color w:val="auto"/>
        </w:rPr>
        <w:t>降压启动</w:t>
      </w:r>
      <w:r>
        <w:rPr>
          <w:rFonts w:hint="eastAsia"/>
          <w:color w:val="auto"/>
        </w:rPr>
        <w:t>方式；</w:t>
      </w:r>
    </w:p>
    <w:p>
      <w:pPr>
        <w:ind w:firstLine="480"/>
        <w:rPr>
          <w:color w:val="auto"/>
        </w:rPr>
      </w:pPr>
      <w:r>
        <w:rPr>
          <w:rFonts w:hint="eastAsia"/>
          <w:color w:val="auto"/>
        </w:rPr>
        <w:t>6 工厂内</w:t>
      </w:r>
      <w:r>
        <w:rPr>
          <w:color w:val="auto"/>
        </w:rPr>
        <w:t>各生产设备</w:t>
      </w:r>
      <w:r>
        <w:rPr>
          <w:rFonts w:hint="eastAsia"/>
          <w:color w:val="auto"/>
        </w:rPr>
        <w:t>电动机宜错开启动。</w:t>
      </w:r>
    </w:p>
    <w:p>
      <w:pPr>
        <w:rPr>
          <w:color w:val="auto"/>
        </w:rPr>
        <w:sectPr>
          <w:headerReference w:type="default" r:id="rId14"/>
          <w:footerReference w:type="default" r:id="rId15"/>
          <w:type w:val="nextPage"/>
          <w:pgSz w:w="11906" w:h="16838"/>
          <w:pgMar w:top="1440" w:right="1800" w:bottom="1440" w:left="1800" w:header="851" w:footer="992" w:gutter="0"/>
          <w:pgNumType w:start="5"/>
          <w:cols w:num="1" w:space="425"/>
          <w:titlePg w:val="0"/>
          <w:docGrid w:type="lines" w:linePitch="312" w:charSpace="0"/>
        </w:sectPr>
      </w:pPr>
      <w:r>
        <w:rPr>
          <w:rFonts w:hint="eastAsia"/>
          <w:color w:val="auto"/>
        </w:rPr>
        <w:t>4.2.3 供电</w:t>
      </w:r>
      <w:r>
        <w:rPr>
          <w:color w:val="auto"/>
        </w:rPr>
        <w:t>系统中的</w:t>
      </w:r>
      <w:r>
        <w:rPr>
          <w:rFonts w:hint="eastAsia"/>
          <w:color w:val="auto"/>
        </w:rPr>
        <w:t>谐波电压和</w:t>
      </w:r>
      <w:r>
        <w:rPr>
          <w:color w:val="auto"/>
        </w:rPr>
        <w:t>在公共连接</w:t>
      </w:r>
      <w:r>
        <w:rPr>
          <w:rFonts w:hint="eastAsia"/>
          <w:color w:val="auto"/>
        </w:rPr>
        <w:t>点</w:t>
      </w:r>
      <w:r>
        <w:rPr>
          <w:color w:val="auto"/>
        </w:rPr>
        <w:t>注入的</w:t>
      </w:r>
      <w:r>
        <w:rPr>
          <w:rFonts w:hint="eastAsia"/>
          <w:color w:val="auto"/>
        </w:rPr>
        <w:t>谐波电流</w:t>
      </w:r>
      <w:r>
        <w:rPr>
          <w:color w:val="auto"/>
        </w:rPr>
        <w:t>允许</w:t>
      </w:r>
      <w:r>
        <w:rPr>
          <w:rFonts w:hint="eastAsia"/>
          <w:color w:val="auto"/>
        </w:rPr>
        <w:t>限值</w:t>
      </w:r>
    </w:p>
    <w:p>
      <w:pPr>
        <w:rPr>
          <w:color w:val="auto"/>
        </w:rPr>
      </w:pPr>
      <w:r>
        <w:rPr>
          <w:color w:val="auto"/>
        </w:rPr>
        <w:t>应符合现行国家标准《电能质量公用电网谐波》</w:t>
      </w:r>
      <w:r>
        <w:rPr>
          <w:rFonts w:hint="eastAsia"/>
          <w:color w:val="auto"/>
        </w:rPr>
        <w:t>GB/T</w:t>
      </w:r>
      <w:r>
        <w:rPr>
          <w:color w:val="auto"/>
        </w:rPr>
        <w:t>14549的规定</w:t>
      </w:r>
      <w:r>
        <w:rPr>
          <w:rFonts w:hint="eastAsia"/>
          <w:color w:val="auto"/>
        </w:rPr>
        <w:t>，</w:t>
      </w:r>
      <w:r>
        <w:rPr>
          <w:color w:val="auto"/>
        </w:rPr>
        <w:t>控制各类非线性用电设备所产生的谐波</w:t>
      </w:r>
      <w:r>
        <w:rPr>
          <w:rFonts w:hint="eastAsia"/>
          <w:color w:val="auto"/>
        </w:rPr>
        <w:t>宜采取</w:t>
      </w:r>
      <w:r>
        <w:rPr>
          <w:color w:val="auto"/>
        </w:rPr>
        <w:t>如下措施：</w:t>
      </w:r>
    </w:p>
    <w:p>
      <w:pPr>
        <w:ind w:firstLine="480"/>
        <w:rPr>
          <w:color w:val="auto"/>
        </w:rPr>
      </w:pPr>
      <w:r>
        <w:rPr>
          <w:color w:val="auto"/>
        </w:rPr>
        <w:t>1 各类大功率非线性用电设备变压器，由短路容量较大的</w:t>
      </w:r>
      <w:r>
        <w:rPr>
          <w:rFonts w:hint="eastAsia"/>
          <w:color w:val="auto"/>
        </w:rPr>
        <w:t>工厂总变（配）电站</w:t>
      </w:r>
      <w:r>
        <w:rPr>
          <w:color w:val="auto"/>
        </w:rPr>
        <w:t>供电</w:t>
      </w:r>
      <w:r>
        <w:rPr>
          <w:rFonts w:hint="eastAsia"/>
          <w:color w:val="auto"/>
        </w:rPr>
        <w:t>；</w:t>
      </w:r>
    </w:p>
    <w:p>
      <w:pPr>
        <w:ind w:firstLine="480"/>
        <w:rPr>
          <w:color w:val="auto"/>
        </w:rPr>
      </w:pPr>
      <w:r>
        <w:rPr>
          <w:color w:val="auto"/>
        </w:rPr>
        <w:t>2 对大功率静止整流器，采用增加整流变压器二次侧的相数和整流器的整流脉冲数</w:t>
      </w:r>
      <w:r>
        <w:rPr>
          <w:rFonts w:hint="eastAsia"/>
          <w:color w:val="auto"/>
        </w:rPr>
        <w:t>；</w:t>
      </w:r>
      <w:r>
        <w:rPr>
          <w:color w:val="auto"/>
        </w:rPr>
        <w:t>或采用多台相数相同的整流装置，并使整流变压器的二次侧有适当的相角差，或按谐波次数装设分流滤波器</w:t>
      </w:r>
      <w:r>
        <w:rPr>
          <w:rFonts w:hint="eastAsia"/>
          <w:color w:val="auto"/>
        </w:rPr>
        <w:t>；</w:t>
      </w:r>
    </w:p>
    <w:p>
      <w:pPr>
        <w:ind w:firstLine="480"/>
        <w:rPr>
          <w:color w:val="auto"/>
        </w:rPr>
      </w:pPr>
      <w:r>
        <w:rPr>
          <w:color w:val="auto"/>
        </w:rPr>
        <w:t>3 选用D，yn11接线组别的三相配电变压器。</w:t>
      </w:r>
    </w:p>
    <w:p>
      <w:pPr>
        <w:rPr>
          <w:color w:val="auto"/>
        </w:rPr>
      </w:pPr>
      <w:r>
        <w:rPr>
          <w:rFonts w:hint="eastAsia"/>
          <w:color w:val="auto"/>
        </w:rPr>
        <w:t>4.2.4 供电</w:t>
      </w:r>
      <w:r>
        <w:rPr>
          <w:color w:val="auto"/>
        </w:rPr>
        <w:t>系统中在公共连接</w:t>
      </w:r>
      <w:r>
        <w:rPr>
          <w:rFonts w:hint="eastAsia"/>
          <w:color w:val="auto"/>
        </w:rPr>
        <w:t>点的三相</w:t>
      </w:r>
      <w:r>
        <w:rPr>
          <w:color w:val="auto"/>
        </w:rPr>
        <w:t>电压不平衡度允许</w:t>
      </w:r>
      <w:r>
        <w:rPr>
          <w:rFonts w:hint="eastAsia"/>
          <w:color w:val="auto"/>
        </w:rPr>
        <w:t>限</w:t>
      </w:r>
      <w:r>
        <w:rPr>
          <w:color w:val="auto"/>
        </w:rPr>
        <w:t>值应符合现行国家标准《电能质量三相电压不平衡》</w:t>
      </w:r>
      <w:r>
        <w:rPr>
          <w:rFonts w:hint="eastAsia"/>
          <w:color w:val="auto"/>
        </w:rPr>
        <w:t>GB/T</w:t>
      </w:r>
      <w:r>
        <w:rPr>
          <w:color w:val="auto"/>
        </w:rPr>
        <w:t>15543</w:t>
      </w:r>
      <w:r>
        <w:rPr>
          <w:rFonts w:hint="eastAsia"/>
          <w:color w:val="auto"/>
        </w:rPr>
        <w:t>的</w:t>
      </w:r>
      <w:r>
        <w:rPr>
          <w:color w:val="auto"/>
        </w:rPr>
        <w:t>要求</w:t>
      </w:r>
      <w:r>
        <w:rPr>
          <w:rFonts w:hint="eastAsia"/>
          <w:color w:val="auto"/>
        </w:rPr>
        <w:t>，</w:t>
      </w:r>
      <w:r>
        <w:rPr>
          <w:color w:val="auto"/>
        </w:rPr>
        <w:t>降低三相低压配电系统的不对称度</w:t>
      </w:r>
      <w:r>
        <w:rPr>
          <w:rFonts w:hint="eastAsia"/>
          <w:color w:val="auto"/>
        </w:rPr>
        <w:t>宜采取</w:t>
      </w:r>
      <w:r>
        <w:rPr>
          <w:color w:val="auto"/>
        </w:rPr>
        <w:t>如下措施：</w:t>
      </w:r>
    </w:p>
    <w:p>
      <w:pPr>
        <w:ind w:firstLine="480"/>
        <w:rPr>
          <w:color w:val="auto"/>
        </w:rPr>
      </w:pPr>
      <w:r>
        <w:rPr>
          <w:color w:val="auto"/>
        </w:rPr>
        <w:t>1 220V</w:t>
      </w:r>
      <w:r>
        <w:rPr>
          <w:rFonts w:hint="eastAsia"/>
          <w:color w:val="auto"/>
        </w:rPr>
        <w:t>单相用电</w:t>
      </w:r>
      <w:r>
        <w:rPr>
          <w:color w:val="auto"/>
        </w:rPr>
        <w:t>设备或380V</w:t>
      </w:r>
      <w:r>
        <w:rPr>
          <w:rFonts w:hint="eastAsia"/>
          <w:color w:val="auto"/>
        </w:rPr>
        <w:t>相间</w:t>
      </w:r>
      <w:r>
        <w:rPr>
          <w:color w:val="auto"/>
        </w:rPr>
        <w:t>用电设备接入220V／380V三相</w:t>
      </w:r>
      <w:r>
        <w:rPr>
          <w:rFonts w:hint="eastAsia"/>
          <w:color w:val="auto"/>
        </w:rPr>
        <w:t>配电</w:t>
      </w:r>
      <w:r>
        <w:rPr>
          <w:color w:val="auto"/>
        </w:rPr>
        <w:t>系统时，宜使三相平衡</w:t>
      </w:r>
      <w:r>
        <w:rPr>
          <w:rFonts w:hint="eastAsia"/>
          <w:color w:val="auto"/>
        </w:rPr>
        <w:t>；</w:t>
      </w:r>
    </w:p>
    <w:p>
      <w:pPr>
        <w:ind w:firstLine="480"/>
        <w:rPr>
          <w:color w:val="auto"/>
        </w:rPr>
      </w:pPr>
      <w:r>
        <w:rPr>
          <w:rFonts w:hint="eastAsia"/>
          <w:color w:val="auto"/>
        </w:rPr>
        <w:t xml:space="preserve">2 </w:t>
      </w:r>
      <w:r>
        <w:rPr>
          <w:color w:val="auto"/>
        </w:rPr>
        <w:t>由地区公共低压电网供电的220V负荷，线路电流小于等于60A时，可采用220V单相供电；大于60A时，宜采用220V／380V三相四线制供电。</w:t>
      </w:r>
    </w:p>
    <w:p>
      <w:pPr>
        <w:pStyle w:val="Heading2"/>
        <w:jc w:val="center"/>
        <w:rPr>
          <w:color w:val="auto"/>
        </w:rPr>
      </w:pPr>
      <w:bookmarkStart w:id="71" w:name="_Toc8112"/>
      <w:bookmarkStart w:id="72" w:name="_Toc13815"/>
      <w:bookmarkStart w:id="73" w:name="_Toc150841324"/>
      <w:bookmarkStart w:id="74" w:name="_Toc153207290"/>
      <w:bookmarkStart w:id="75" w:name="_Toc150520735"/>
      <w:bookmarkStart w:id="76" w:name="_Toc153204814"/>
      <w:bookmarkStart w:id="77" w:name="_Toc150521602"/>
      <w:bookmarkStart w:id="78" w:name="_Toc150789570"/>
      <w:r>
        <w:rPr>
          <w:rFonts w:hint="eastAsia"/>
          <w:color w:val="auto"/>
        </w:rPr>
        <w:t>4.3</w:t>
      </w:r>
      <w:r>
        <w:rPr>
          <w:rFonts w:ascii="宋体" w:hAnsi="宋体" w:cs="宋体" w:hint="eastAsia"/>
        </w:rPr>
        <w:t>供电系统接线</w:t>
      </w:r>
      <w:bookmarkEnd w:id="71"/>
      <w:bookmarkEnd w:id="72"/>
      <w:bookmarkEnd w:id="73"/>
      <w:bookmarkEnd w:id="74"/>
      <w:bookmarkEnd w:id="75"/>
      <w:bookmarkEnd w:id="76"/>
      <w:bookmarkEnd w:id="77"/>
      <w:bookmarkEnd w:id="78"/>
    </w:p>
    <w:p>
      <w:pPr>
        <w:rPr>
          <w:color w:val="auto"/>
        </w:rPr>
      </w:pPr>
      <w:r>
        <w:rPr>
          <w:rFonts w:hint="eastAsia"/>
          <w:color w:val="auto"/>
        </w:rPr>
        <w:t>4.3.1  总变（配）电站</w:t>
      </w:r>
      <w:r>
        <w:rPr>
          <w:color w:val="auto"/>
        </w:rPr>
        <w:t>供电系统的主接线，应根据</w:t>
      </w:r>
      <w:r>
        <w:rPr>
          <w:rFonts w:hint="eastAsia"/>
          <w:color w:val="auto"/>
        </w:rPr>
        <w:t>外部</w:t>
      </w:r>
      <w:r>
        <w:rPr>
          <w:color w:val="auto"/>
        </w:rPr>
        <w:t>电源</w:t>
      </w:r>
      <w:r>
        <w:rPr>
          <w:rFonts w:hint="eastAsia"/>
          <w:color w:val="auto"/>
        </w:rPr>
        <w:t>数量</w:t>
      </w:r>
      <w:r>
        <w:rPr>
          <w:color w:val="auto"/>
        </w:rPr>
        <w:t>、主变压器台数</w:t>
      </w:r>
      <w:r>
        <w:rPr>
          <w:rFonts w:hint="eastAsia"/>
          <w:color w:val="auto"/>
        </w:rPr>
        <w:t>及</w:t>
      </w:r>
      <w:r>
        <w:rPr>
          <w:color w:val="auto"/>
        </w:rPr>
        <w:t>容量、出线回路数量、</w:t>
      </w:r>
      <w:r>
        <w:t>设备特点及负荷性质等条件确定</w:t>
      </w:r>
      <w:r>
        <w:rPr>
          <w:rFonts w:hint="eastAsia"/>
        </w:rPr>
        <w:t>，</w:t>
      </w:r>
      <w:r>
        <w:t>并应满足供电可靠、运行灵活、操作检修方便、节约投资和便于扩建等要求</w:t>
      </w:r>
      <w:r>
        <w:rPr>
          <w:rFonts w:hint="eastAsia"/>
          <w:color w:val="auto"/>
        </w:rPr>
        <w:t>。</w:t>
      </w:r>
    </w:p>
    <w:p>
      <w:pPr>
        <w:ind w:firstLine="420" w:firstLineChars="200"/>
      </w:pPr>
      <w:r>
        <w:rPr>
          <w:color w:val="auto"/>
        </w:rPr>
        <w:t>1 110</w:t>
      </w:r>
      <w:r>
        <w:rPr>
          <w:rFonts w:hint="eastAsia"/>
          <w:color w:val="auto"/>
        </w:rPr>
        <w:t>kV系统</w:t>
      </w:r>
      <w:r>
        <w:rPr>
          <w:color w:val="auto"/>
        </w:rPr>
        <w:t>出线</w:t>
      </w:r>
      <w:r>
        <w:rPr>
          <w:rFonts w:hint="eastAsia"/>
          <w:color w:val="auto"/>
        </w:rPr>
        <w:t>6回路以下时</w:t>
      </w:r>
      <w:r>
        <w:rPr>
          <w:color w:val="auto"/>
        </w:rPr>
        <w:t>宜采用单母线或单母线分段的接线</w:t>
      </w:r>
      <w:r>
        <w:rPr>
          <w:rFonts w:hint="eastAsia"/>
          <w:color w:val="auto"/>
        </w:rPr>
        <w:t>，</w:t>
      </w:r>
      <w:r>
        <w:t>6回</w:t>
      </w:r>
      <w:r>
        <w:rPr>
          <w:rFonts w:hint="eastAsia"/>
        </w:rPr>
        <w:t>路</w:t>
      </w:r>
      <w:r>
        <w:t>及以上时宜采用双母线接线</w:t>
      </w:r>
      <w:r>
        <w:rPr>
          <w:rFonts w:hint="eastAsia"/>
        </w:rPr>
        <w:t>；</w:t>
      </w:r>
    </w:p>
    <w:p>
      <w:pPr>
        <w:ind w:firstLine="420" w:firstLineChars="200"/>
      </w:pPr>
      <w:r>
        <w:rPr>
          <w:color w:val="auto"/>
        </w:rPr>
        <w:t>2 35</w:t>
      </w:r>
      <w:r>
        <w:rPr>
          <w:rFonts w:hint="eastAsia"/>
          <w:color w:val="auto"/>
        </w:rPr>
        <w:t>kV</w:t>
      </w:r>
      <w:r>
        <w:rPr>
          <w:color w:val="auto"/>
        </w:rPr>
        <w:t>~66</w:t>
      </w:r>
      <w:r>
        <w:rPr>
          <w:rFonts w:hint="eastAsia"/>
          <w:color w:val="auto"/>
        </w:rPr>
        <w:t>kV系统</w:t>
      </w:r>
      <w:r>
        <w:rPr>
          <w:color w:val="auto"/>
        </w:rPr>
        <w:t>出线</w:t>
      </w:r>
      <w:r>
        <w:rPr>
          <w:rFonts w:hint="eastAsia"/>
          <w:color w:val="auto"/>
        </w:rPr>
        <w:t>8回路以下时</w:t>
      </w:r>
      <w:r>
        <w:rPr>
          <w:color w:val="auto"/>
        </w:rPr>
        <w:t>宜采用单母线或单母线分段的接线</w:t>
      </w:r>
      <w:r>
        <w:rPr>
          <w:rFonts w:hint="eastAsia"/>
          <w:color w:val="auto"/>
        </w:rPr>
        <w:t>，</w:t>
      </w:r>
      <w:r>
        <w:t>8回</w:t>
      </w:r>
      <w:r>
        <w:rPr>
          <w:rFonts w:hint="eastAsia"/>
        </w:rPr>
        <w:t>路</w:t>
      </w:r>
      <w:r>
        <w:t>及以上时宜采用双母线接线</w:t>
      </w:r>
      <w:r>
        <w:rPr>
          <w:rFonts w:hint="eastAsia"/>
        </w:rPr>
        <w:t>；</w:t>
      </w:r>
    </w:p>
    <w:p>
      <w:pPr>
        <w:ind w:firstLine="420" w:firstLineChars="200"/>
      </w:pPr>
      <w:r>
        <w:rPr>
          <w:rFonts w:hint="eastAsia"/>
        </w:rPr>
        <w:t>3</w:t>
      </w:r>
      <w:r>
        <w:t xml:space="preserve"> </w:t>
      </w:r>
      <w:r>
        <w:rPr>
          <w:rFonts w:hint="eastAsia"/>
          <w:color w:val="auto"/>
        </w:rPr>
        <w:t>总变（配）电站</w:t>
      </w:r>
      <w:r>
        <w:t>装有两台及以上主变压器时，6kV～10kV电气接线宜采用单母线分段，分段方式应满足当其中一台主变压器停运时，有利于其他主变压器的负荷分配的要求</w:t>
      </w:r>
      <w:r>
        <w:rPr>
          <w:rFonts w:hint="eastAsia"/>
        </w:rPr>
        <w:t>。</w:t>
      </w:r>
    </w:p>
    <w:p>
      <w:pPr>
        <w:rPr>
          <w:color w:val="auto"/>
        </w:rPr>
      </w:pPr>
      <w:r>
        <w:rPr>
          <w:rFonts w:hint="eastAsia"/>
          <w:color w:val="auto"/>
        </w:rPr>
        <w:t>4.3.2  总变（配）电站主变压器</w:t>
      </w:r>
      <w:r>
        <w:rPr>
          <w:color w:val="auto"/>
        </w:rPr>
        <w:t>的数量和容量，应根据外部电源进线回路数和用电负荷大小</w:t>
      </w:r>
      <w:r>
        <w:rPr>
          <w:rFonts w:hint="eastAsia"/>
          <w:color w:val="auto"/>
        </w:rPr>
        <w:t>，</w:t>
      </w:r>
      <w:r>
        <w:rPr>
          <w:color w:val="auto"/>
        </w:rPr>
        <w:t>并结合工厂生产产能</w:t>
      </w:r>
      <w:r>
        <w:rPr>
          <w:rFonts w:hint="eastAsia"/>
          <w:color w:val="auto"/>
        </w:rPr>
        <w:t>发展</w:t>
      </w:r>
      <w:r>
        <w:rPr>
          <w:color w:val="auto"/>
        </w:rPr>
        <w:t>要求确定</w:t>
      </w:r>
      <w:r>
        <w:rPr>
          <w:rFonts w:hint="eastAsia"/>
          <w:color w:val="auto"/>
        </w:rPr>
        <w:t>。</w:t>
      </w:r>
    </w:p>
    <w:p>
      <w:pPr>
        <w:rPr>
          <w:color w:val="auto"/>
        </w:rPr>
      </w:pPr>
      <w:r>
        <w:rPr>
          <w:rFonts w:hint="eastAsia"/>
          <w:color w:val="auto"/>
        </w:rPr>
        <w:t>4.3.3  总变（配）电站主</w:t>
      </w:r>
      <w:r>
        <w:rPr>
          <w:color w:val="auto"/>
        </w:rPr>
        <w:t>变压器宜采用两绕组变压器。</w:t>
      </w:r>
    </w:p>
    <w:p>
      <w:r>
        <w:rPr>
          <w:rFonts w:hint="eastAsia"/>
          <w:color w:val="auto"/>
        </w:rPr>
        <w:t>4.3.4</w:t>
      </w:r>
      <w:r>
        <w:t xml:space="preserve"> 当需限制</w:t>
      </w:r>
      <w:r>
        <w:rPr>
          <w:rFonts w:hint="eastAsia"/>
          <w:color w:val="auto"/>
        </w:rPr>
        <w:t>总变（配）电站</w:t>
      </w:r>
      <w:r>
        <w:t>6kV～10kV线路的短路电流时，可采用下列措施之一：      </w:t>
      </w:r>
    </w:p>
    <w:p>
      <w:pPr>
        <w:ind w:firstLine="420" w:firstLineChars="200"/>
        <w:rPr>
          <w:color w:val="auto"/>
        </w:rPr>
      </w:pPr>
      <w:r>
        <w:rPr>
          <w:color w:val="auto"/>
        </w:rPr>
        <w:t>1 变压器分列运行；     </w:t>
      </w:r>
    </w:p>
    <w:p>
      <w:pPr>
        <w:ind w:firstLine="420" w:firstLineChars="200"/>
        <w:rPr>
          <w:color w:val="auto"/>
        </w:rPr>
      </w:pPr>
      <w:r>
        <w:rPr>
          <w:color w:val="auto"/>
        </w:rPr>
        <w:t> 2 采用高阻抗变压器；     </w:t>
      </w:r>
    </w:p>
    <w:p>
      <w:pPr>
        <w:ind w:firstLine="420" w:firstLineChars="200"/>
        <w:rPr>
          <w:color w:val="auto"/>
        </w:rPr>
      </w:pPr>
      <w:r>
        <w:rPr>
          <w:color w:val="auto"/>
        </w:rPr>
        <w:t> 3 在变压器回路中串联限流装置</w:t>
      </w:r>
      <w:r>
        <w:t>。</w:t>
      </w:r>
    </w:p>
    <w:p>
      <w:r>
        <w:rPr>
          <w:rFonts w:hint="eastAsia"/>
          <w:color w:val="auto"/>
        </w:rPr>
        <w:t>4.3.5</w:t>
      </w:r>
      <w:r>
        <w:t xml:space="preserve"> 接在母线上的避雷器和电压互感器，可合用一组隔离开关。接在变压器引出线上的避雷器，不宜装设隔离开关。</w:t>
      </w:r>
    </w:p>
    <w:p>
      <w:pPr>
        <w:rPr>
          <w:color w:val="auto"/>
        </w:rPr>
      </w:pPr>
      <w:r>
        <w:rPr>
          <w:rFonts w:hint="eastAsia"/>
          <w:color w:val="auto"/>
        </w:rPr>
        <w:t>4.3.</w:t>
      </w:r>
      <w:r>
        <w:rPr>
          <w:color w:val="auto"/>
        </w:rPr>
        <w:t xml:space="preserve">6 </w:t>
      </w:r>
      <w:r>
        <w:rPr>
          <w:rFonts w:hint="eastAsia"/>
          <w:color w:val="auto"/>
        </w:rPr>
        <w:t>具有两条及</w:t>
      </w:r>
      <w:r>
        <w:rPr>
          <w:color w:val="auto"/>
        </w:rPr>
        <w:t>以上</w:t>
      </w:r>
      <w:r>
        <w:rPr>
          <w:rFonts w:hint="eastAsia"/>
          <w:color w:val="auto"/>
        </w:rPr>
        <w:t>生产</w:t>
      </w:r>
      <w:r>
        <w:rPr>
          <w:color w:val="auto"/>
        </w:rPr>
        <w:t>线的</w:t>
      </w:r>
      <w:r>
        <w:rPr>
          <w:rFonts w:hint="eastAsia"/>
          <w:color w:val="auto"/>
        </w:rPr>
        <w:t>生产工段，每条</w:t>
      </w:r>
      <w:r>
        <w:rPr>
          <w:color w:val="auto"/>
        </w:rPr>
        <w:t>生产线的用电设备应</w:t>
      </w:r>
      <w:r>
        <w:rPr>
          <w:rFonts w:hint="eastAsia"/>
          <w:color w:val="auto"/>
        </w:rPr>
        <w:t>由</w:t>
      </w:r>
      <w:r>
        <w:rPr>
          <w:color w:val="auto"/>
        </w:rPr>
        <w:t>同一</w:t>
      </w:r>
      <w:r>
        <w:rPr>
          <w:rFonts w:hint="eastAsia"/>
          <w:color w:val="auto"/>
        </w:rPr>
        <w:t>母线</w:t>
      </w:r>
      <w:r>
        <w:rPr>
          <w:color w:val="auto"/>
        </w:rPr>
        <w:t>段供电，生产线内直接</w:t>
      </w:r>
      <w:r>
        <w:rPr>
          <w:rFonts w:hint="eastAsia"/>
          <w:color w:val="auto"/>
        </w:rPr>
        <w:t>由总变（配）电站供电</w:t>
      </w:r>
      <w:r>
        <w:rPr>
          <w:color w:val="auto"/>
        </w:rPr>
        <w:t>的大容量电动机，宜和向该生产线供电的电源共同接至同一母线段上。</w:t>
      </w:r>
    </w:p>
    <w:p>
      <w:pPr>
        <w:rPr>
          <w:color w:val="auto"/>
        </w:rPr>
      </w:pPr>
      <w:r>
        <w:rPr>
          <w:rFonts w:hint="eastAsia"/>
          <w:color w:val="auto"/>
        </w:rPr>
        <w:t>4.3.7  当</w:t>
      </w:r>
      <w:r>
        <w:rPr>
          <w:color w:val="auto"/>
        </w:rPr>
        <w:t>发电机</w:t>
      </w:r>
      <w:r>
        <w:rPr>
          <w:rFonts w:hint="eastAsia"/>
          <w:color w:val="auto"/>
        </w:rPr>
        <w:t>组</w:t>
      </w:r>
      <w:r>
        <w:rPr>
          <w:color w:val="auto"/>
        </w:rPr>
        <w:t>直接接入</w:t>
      </w:r>
      <w:r>
        <w:rPr>
          <w:rFonts w:hint="eastAsia"/>
          <w:color w:val="auto"/>
        </w:rPr>
        <w:t>总变（配）电站</w:t>
      </w:r>
      <w:r>
        <w:t>6kV～10kV</w:t>
      </w:r>
      <w:r>
        <w:rPr>
          <w:rFonts w:hint="eastAsia"/>
        </w:rPr>
        <w:t>系统时</w:t>
      </w:r>
      <w:r>
        <w:t>，</w:t>
      </w:r>
      <w:r>
        <w:rPr>
          <w:rFonts w:hint="eastAsia"/>
        </w:rPr>
        <w:t>应在</w:t>
      </w:r>
      <w:r>
        <w:t>其断路器两侧均</w:t>
      </w:r>
      <w:r>
        <w:rPr>
          <w:rFonts w:hint="eastAsia"/>
        </w:rPr>
        <w:t>装设隔离</w:t>
      </w:r>
      <w:r>
        <w:t>开关。</w:t>
      </w:r>
    </w:p>
    <w:p>
      <w:pPr>
        <w:rPr>
          <w:color w:val="auto"/>
          <w:highlight w:val="yellow"/>
        </w:rPr>
        <w:sectPr>
          <w:headerReference w:type="default" r:id="rId16"/>
          <w:footerReference w:type="default" r:id="rId17"/>
          <w:type w:val="nextPage"/>
          <w:pgSz w:w="11906" w:h="16838"/>
          <w:pgMar w:top="1440" w:right="1800" w:bottom="1440" w:left="1800" w:header="851" w:footer="992" w:gutter="0"/>
          <w:pgNumType w:start="6"/>
          <w:cols w:num="1" w:space="425"/>
          <w:titlePg w:val="0"/>
          <w:docGrid w:type="lines" w:linePitch="312" w:charSpace="0"/>
        </w:sectPr>
      </w:pPr>
    </w:p>
    <w:p>
      <w:pPr>
        <w:pStyle w:val="Heading2"/>
        <w:jc w:val="center"/>
        <w:rPr>
          <w:color w:val="auto"/>
        </w:rPr>
      </w:pPr>
      <w:bookmarkStart w:id="79" w:name="_Toc150789571"/>
      <w:bookmarkStart w:id="80" w:name="_Toc150520736"/>
      <w:bookmarkStart w:id="81" w:name="_Toc150841325"/>
      <w:bookmarkStart w:id="82" w:name="_Toc153204815"/>
      <w:bookmarkStart w:id="83" w:name="_Toc153207291"/>
      <w:bookmarkStart w:id="84" w:name="_Toc150521603"/>
      <w:r>
        <w:rPr>
          <w:rFonts w:hint="eastAsia"/>
          <w:color w:val="auto"/>
        </w:rPr>
        <w:t>4.4</w:t>
      </w:r>
      <w:r>
        <w:rPr>
          <w:rFonts w:ascii="宋体" w:hAnsi="宋体" w:cs="宋体" w:hint="eastAsia"/>
        </w:rPr>
        <w:t>供电系统接地方式</w:t>
      </w:r>
      <w:bookmarkEnd w:id="79"/>
      <w:bookmarkEnd w:id="80"/>
      <w:bookmarkEnd w:id="81"/>
      <w:bookmarkEnd w:id="82"/>
      <w:bookmarkEnd w:id="83"/>
      <w:bookmarkEnd w:id="84"/>
    </w:p>
    <w:p>
      <w:pPr>
        <w:rPr>
          <w:color w:val="auto"/>
        </w:rPr>
      </w:pPr>
      <w:r>
        <w:rPr>
          <w:rFonts w:hint="eastAsia"/>
          <w:color w:val="auto"/>
        </w:rPr>
        <w:t>4.4.1  主变压器110</w:t>
      </w:r>
      <w:r>
        <w:rPr>
          <w:color w:val="auto"/>
        </w:rPr>
        <w:t>kV</w:t>
      </w:r>
      <w:r>
        <w:rPr>
          <w:rFonts w:hint="eastAsia"/>
          <w:color w:val="auto"/>
        </w:rPr>
        <w:t>侧</w:t>
      </w:r>
      <w:r>
        <w:rPr>
          <w:color w:val="auto"/>
        </w:rPr>
        <w:t>中性点</w:t>
      </w:r>
      <w:r>
        <w:rPr>
          <w:rFonts w:hint="eastAsia"/>
          <w:color w:val="auto"/>
        </w:rPr>
        <w:t>应装设</w:t>
      </w:r>
      <w:r>
        <w:rPr>
          <w:color w:val="auto"/>
        </w:rPr>
        <w:t>直接接地的隔离</w:t>
      </w:r>
      <w:r>
        <w:rPr>
          <w:rFonts w:hint="eastAsia"/>
          <w:color w:val="auto"/>
        </w:rPr>
        <w:t>开关</w:t>
      </w:r>
      <w:r>
        <w:rPr>
          <w:color w:val="auto"/>
        </w:rPr>
        <w:t>。</w:t>
      </w:r>
    </w:p>
    <w:p>
      <w:pPr>
        <w:rPr>
          <w:color w:val="auto"/>
        </w:rPr>
      </w:pPr>
      <w:r>
        <w:rPr>
          <w:rFonts w:hint="eastAsia"/>
          <w:color w:val="auto"/>
        </w:rPr>
        <w:t>4.4.2  工厂6</w:t>
      </w:r>
      <w:r>
        <w:rPr>
          <w:color w:val="auto"/>
        </w:rPr>
        <w:t>kV~66kV</w:t>
      </w:r>
      <w:r>
        <w:rPr>
          <w:rFonts w:hint="eastAsia"/>
          <w:color w:val="auto"/>
        </w:rPr>
        <w:t>供电</w:t>
      </w:r>
      <w:r>
        <w:rPr>
          <w:color w:val="auto"/>
        </w:rPr>
        <w:t>系统</w:t>
      </w:r>
      <w:r>
        <w:rPr>
          <w:rFonts w:hint="eastAsia"/>
          <w:color w:val="auto"/>
        </w:rPr>
        <w:t>，</w:t>
      </w:r>
      <w:r>
        <w:rPr>
          <w:color w:val="auto"/>
        </w:rPr>
        <w:t>应根据单</w:t>
      </w:r>
      <w:r>
        <w:rPr>
          <w:rFonts w:hint="eastAsia"/>
          <w:color w:val="auto"/>
        </w:rPr>
        <w:t>相接地</w:t>
      </w:r>
      <w:r>
        <w:rPr>
          <w:color w:val="auto"/>
        </w:rPr>
        <w:t>电容电流</w:t>
      </w:r>
      <w:r>
        <w:rPr>
          <w:rFonts w:hint="eastAsia"/>
          <w:color w:val="auto"/>
        </w:rPr>
        <w:t>值以及</w:t>
      </w:r>
      <w:r>
        <w:rPr>
          <w:color w:val="auto"/>
        </w:rPr>
        <w:t>系统</w:t>
      </w:r>
      <w:r>
        <w:rPr>
          <w:rFonts w:hint="eastAsia"/>
          <w:color w:val="auto"/>
        </w:rPr>
        <w:t>5年</w:t>
      </w:r>
      <w:r>
        <w:rPr>
          <w:color w:val="auto"/>
        </w:rPr>
        <w:t>~10</w:t>
      </w:r>
      <w:r>
        <w:rPr>
          <w:rFonts w:hint="eastAsia"/>
          <w:color w:val="auto"/>
        </w:rPr>
        <w:t>年</w:t>
      </w:r>
      <w:r>
        <w:rPr>
          <w:color w:val="auto"/>
        </w:rPr>
        <w:t>的发展规划</w:t>
      </w:r>
      <w:r>
        <w:rPr>
          <w:rFonts w:hint="eastAsia"/>
          <w:color w:val="auto"/>
        </w:rPr>
        <w:t>预先</w:t>
      </w:r>
      <w:r>
        <w:rPr>
          <w:color w:val="auto"/>
        </w:rPr>
        <w:t>确定接地方式</w:t>
      </w:r>
      <w:r>
        <w:rPr>
          <w:rFonts w:hint="eastAsia"/>
          <w:color w:val="auto"/>
        </w:rPr>
        <w:t>。</w:t>
      </w:r>
    </w:p>
    <w:p>
      <w:pPr>
        <w:ind w:firstLine="420"/>
        <w:rPr>
          <w:color w:val="auto"/>
        </w:rPr>
      </w:pPr>
      <w:r>
        <w:rPr>
          <w:rFonts w:hint="eastAsia"/>
          <w:color w:val="auto"/>
        </w:rPr>
        <w:t>1</w:t>
      </w:r>
      <w:r>
        <w:rPr>
          <w:color w:val="auto"/>
        </w:rPr>
        <w:t xml:space="preserve"> </w:t>
      </w:r>
      <w:r>
        <w:rPr>
          <w:rFonts w:hint="eastAsia"/>
          <w:color w:val="auto"/>
        </w:rPr>
        <w:t>当</w:t>
      </w:r>
      <w:r>
        <w:rPr>
          <w:color w:val="auto"/>
        </w:rPr>
        <w:t>工厂</w:t>
      </w:r>
      <w:r>
        <w:rPr>
          <w:rFonts w:hint="eastAsia"/>
          <w:color w:val="auto"/>
        </w:rPr>
        <w:t>35</w:t>
      </w:r>
      <w:r>
        <w:rPr>
          <w:color w:val="auto"/>
        </w:rPr>
        <w:t>kV</w:t>
      </w:r>
      <w:r>
        <w:rPr>
          <w:rFonts w:hint="eastAsia"/>
          <w:color w:val="auto"/>
        </w:rPr>
        <w:t>、66</w:t>
      </w:r>
      <w:r>
        <w:rPr>
          <w:color w:val="auto"/>
        </w:rPr>
        <w:t>kV</w:t>
      </w:r>
      <w:r>
        <w:rPr>
          <w:rFonts w:hint="eastAsia"/>
          <w:color w:val="auto"/>
        </w:rPr>
        <w:t>系统</w:t>
      </w:r>
      <w:r>
        <w:rPr>
          <w:color w:val="auto"/>
        </w:rPr>
        <w:t>单相接地电容电流大于</w:t>
      </w:r>
      <w:r>
        <w:rPr>
          <w:rFonts w:hint="eastAsia"/>
          <w:color w:val="auto"/>
        </w:rPr>
        <w:t>10A</w:t>
      </w:r>
      <w:r>
        <w:rPr>
          <w:color w:val="auto"/>
        </w:rPr>
        <w:t>,</w:t>
      </w:r>
      <w:r>
        <w:rPr>
          <w:rFonts w:hint="eastAsia"/>
          <w:color w:val="auto"/>
        </w:rPr>
        <w:t>或6</w:t>
      </w:r>
      <w:r>
        <w:rPr>
          <w:color w:val="auto"/>
        </w:rPr>
        <w:t>kV~20kV</w:t>
      </w:r>
      <w:r>
        <w:rPr>
          <w:rFonts w:hint="eastAsia"/>
          <w:color w:val="auto"/>
        </w:rPr>
        <w:t>电缆线路</w:t>
      </w:r>
      <w:r>
        <w:rPr>
          <w:color w:val="auto"/>
        </w:rPr>
        <w:t>构成的系统单相接地电容电流</w:t>
      </w:r>
      <w:r>
        <w:rPr>
          <w:rFonts w:hint="eastAsia"/>
          <w:color w:val="auto"/>
        </w:rPr>
        <w:t>大于10A时</w:t>
      </w:r>
      <w:r>
        <w:rPr>
          <w:color w:val="auto"/>
        </w:rPr>
        <w:t>，</w:t>
      </w:r>
      <w:r>
        <w:rPr>
          <w:rFonts w:hint="eastAsia"/>
          <w:color w:val="auto"/>
        </w:rPr>
        <w:t>中</w:t>
      </w:r>
      <w:r>
        <w:rPr>
          <w:color w:val="auto"/>
        </w:rPr>
        <w:t>性点应</w:t>
      </w:r>
      <w:r>
        <w:rPr>
          <w:rFonts w:hint="eastAsia"/>
          <w:color w:val="auto"/>
        </w:rPr>
        <w:t>经中性点</w:t>
      </w:r>
      <w:r>
        <w:rPr>
          <w:color w:val="auto"/>
        </w:rPr>
        <w:t>谐振</w:t>
      </w:r>
      <w:r>
        <w:rPr>
          <w:rFonts w:hint="eastAsia"/>
          <w:color w:val="auto"/>
        </w:rPr>
        <w:t>接地</w:t>
      </w:r>
      <w:r>
        <w:rPr>
          <w:color w:val="auto"/>
        </w:rPr>
        <w:t>装置</w:t>
      </w:r>
      <w:r>
        <w:rPr>
          <w:rFonts w:hint="eastAsia"/>
          <w:color w:val="auto"/>
        </w:rPr>
        <w:t>接地，当系统</w:t>
      </w:r>
      <w:r>
        <w:rPr>
          <w:color w:val="auto"/>
        </w:rPr>
        <w:t>单相接地电容电流</w:t>
      </w:r>
      <w:r>
        <w:rPr>
          <w:rFonts w:hint="eastAsia"/>
          <w:color w:val="auto"/>
        </w:rPr>
        <w:t>不大于10</w:t>
      </w:r>
      <w:r>
        <w:rPr>
          <w:color w:val="auto"/>
        </w:rPr>
        <w:t>A</w:t>
      </w:r>
      <w:r>
        <w:rPr>
          <w:rFonts w:hint="eastAsia"/>
          <w:color w:val="auto"/>
        </w:rPr>
        <w:t>时可采取</w:t>
      </w:r>
      <w:r>
        <w:rPr>
          <w:color w:val="auto"/>
        </w:rPr>
        <w:t>中性点不接地方式。</w:t>
      </w:r>
    </w:p>
    <w:p>
      <w:pPr>
        <w:ind w:firstLine="420"/>
        <w:rPr>
          <w:color w:val="auto"/>
        </w:rPr>
      </w:pPr>
      <w:r>
        <w:rPr>
          <w:rFonts w:hint="eastAsia"/>
          <w:color w:val="auto"/>
        </w:rPr>
        <w:t xml:space="preserve">2 </w:t>
      </w:r>
      <w:r>
        <w:rPr>
          <w:color w:val="auto"/>
        </w:rPr>
        <w:t xml:space="preserve"> </w:t>
      </w:r>
      <w:r>
        <w:t>6kV～35kV主要由电缆线路构成的配电系统</w:t>
      </w:r>
      <w:r>
        <w:rPr>
          <w:rFonts w:hint="eastAsia"/>
        </w:rPr>
        <w:t>，</w:t>
      </w:r>
      <w:r>
        <w:t>单相接地故障电容电流较大时，可采用中性点低电阻接地方式。</w:t>
      </w:r>
    </w:p>
    <w:p>
      <w:pPr>
        <w:ind w:firstLine="420"/>
        <w:rPr>
          <w:color w:val="auto"/>
        </w:rPr>
      </w:pPr>
      <w:r>
        <w:rPr>
          <w:rFonts w:hint="eastAsia"/>
          <w:color w:val="auto"/>
        </w:rPr>
        <w:t>3 中性</w:t>
      </w:r>
      <w:r>
        <w:rPr>
          <w:color w:val="auto"/>
        </w:rPr>
        <w:t>点不接地或</w:t>
      </w:r>
      <w:r>
        <w:rPr>
          <w:rFonts w:hint="eastAsia"/>
          <w:color w:val="auto"/>
        </w:rPr>
        <w:t>中性点</w:t>
      </w:r>
      <w:r>
        <w:rPr>
          <w:color w:val="auto"/>
        </w:rPr>
        <w:t>谐振</w:t>
      </w:r>
      <w:r>
        <w:rPr>
          <w:rFonts w:hint="eastAsia"/>
          <w:color w:val="auto"/>
        </w:rPr>
        <w:t>接地</w:t>
      </w:r>
      <w:r>
        <w:rPr>
          <w:color w:val="auto"/>
        </w:rPr>
        <w:t>装置</w:t>
      </w:r>
      <w:r>
        <w:rPr>
          <w:rFonts w:hint="eastAsia"/>
          <w:color w:val="auto"/>
        </w:rPr>
        <w:t>接地的6</w:t>
      </w:r>
      <w:r>
        <w:rPr>
          <w:color w:val="auto"/>
        </w:rPr>
        <w:t>kV~35kV</w:t>
      </w:r>
      <w:r>
        <w:rPr>
          <w:rFonts w:hint="eastAsia"/>
          <w:color w:val="auto"/>
        </w:rPr>
        <w:t>供电</w:t>
      </w:r>
      <w:r>
        <w:rPr>
          <w:color w:val="auto"/>
        </w:rPr>
        <w:t>系统</w:t>
      </w:r>
      <w:r>
        <w:rPr>
          <w:rFonts w:hint="eastAsia"/>
          <w:color w:val="auto"/>
        </w:rPr>
        <w:t>，应有</w:t>
      </w:r>
      <w:r>
        <w:rPr>
          <w:color w:val="auto"/>
        </w:rPr>
        <w:t>限制接地故障危</w:t>
      </w:r>
      <w:r>
        <w:rPr>
          <w:rFonts w:hint="eastAsia"/>
          <w:color w:val="auto"/>
        </w:rPr>
        <w:t>及系统及设备</w:t>
      </w:r>
      <w:r>
        <w:rPr>
          <w:color w:val="auto"/>
        </w:rPr>
        <w:t>安全运行</w:t>
      </w:r>
      <w:r>
        <w:rPr>
          <w:rFonts w:hint="eastAsia"/>
          <w:color w:val="auto"/>
        </w:rPr>
        <w:t>的</w:t>
      </w:r>
      <w:r>
        <w:rPr>
          <w:color w:val="auto"/>
        </w:rPr>
        <w:t>措施</w:t>
      </w:r>
    </w:p>
    <w:p>
      <w:r>
        <w:rPr>
          <w:rFonts w:hint="eastAsia"/>
          <w:color w:val="auto"/>
        </w:rPr>
        <w:t xml:space="preserve">4.4.3  </w:t>
      </w:r>
      <w:r>
        <w:t>6kV～66kV系统采用中性点谐振接地</w:t>
      </w:r>
      <w:r>
        <w:rPr>
          <w:rFonts w:hint="eastAsia"/>
        </w:rPr>
        <w:t>装置</w:t>
      </w:r>
      <w:r>
        <w:t>接地时，应满足下列要求：</w:t>
      </w:r>
    </w:p>
    <w:p>
      <w:pPr>
        <w:ind w:firstLine="420"/>
      </w:pPr>
      <w:r>
        <w:rPr>
          <w:rFonts w:hint="eastAsia"/>
        </w:rPr>
        <w:t xml:space="preserve">1 </w:t>
      </w:r>
      <w:r>
        <w:t>谐振接地</w:t>
      </w:r>
      <w:r>
        <w:rPr>
          <w:rFonts w:hint="eastAsia"/>
        </w:rPr>
        <w:t>装置</w:t>
      </w:r>
      <w:r>
        <w:t>宜采用具有自动跟踪补偿功能的消弧装置；</w:t>
      </w:r>
    </w:p>
    <w:p>
      <w:pPr>
        <w:ind w:firstLine="420"/>
        <w:rPr>
          <w:color w:val="auto"/>
        </w:rPr>
      </w:pPr>
      <w:r>
        <w:rPr>
          <w:rFonts w:hint="eastAsia"/>
          <w:color w:val="auto"/>
        </w:rPr>
        <w:t xml:space="preserve">2 </w:t>
      </w:r>
      <w:r>
        <w:rPr>
          <w:color w:val="auto"/>
        </w:rPr>
        <w:t>正常运行时，自动跟踪补偿消弧装置应确保中性点的长时间电压位移不超过系统标称相电压的15％；</w:t>
      </w:r>
    </w:p>
    <w:p>
      <w:pPr>
        <w:ind w:firstLine="420"/>
      </w:pPr>
      <w:r>
        <w:rPr>
          <w:rFonts w:hint="eastAsia"/>
          <w:color w:val="auto"/>
        </w:rPr>
        <w:t xml:space="preserve">3 </w:t>
      </w:r>
      <w:r>
        <w:t>采用自动跟踪补偿消弧装置时，系统接地故障残余电流不应大于10A；</w:t>
      </w:r>
    </w:p>
    <w:p>
      <w:pPr>
        <w:ind w:firstLine="420"/>
        <w:rPr>
          <w:color w:val="auto"/>
        </w:rPr>
      </w:pPr>
      <w:r>
        <w:rPr>
          <w:rFonts w:hint="eastAsia"/>
        </w:rPr>
        <w:t xml:space="preserve">4 </w:t>
      </w:r>
      <w:r>
        <w:t>当</w:t>
      </w:r>
      <w:r>
        <w:rPr>
          <w:rFonts w:hint="eastAsia"/>
        </w:rPr>
        <w:t>主</w:t>
      </w:r>
      <w:r>
        <w:t>变压器无中性点或中性点未引出时，应装设专用接地变压器以连接自动跟踪补偿消弧装置，接地变压器容量应与消弧部分的容量相配合。对新建变电站，接地变压器可根据站用电的需要兼作站用变压器。</w:t>
      </w:r>
    </w:p>
    <w:p>
      <w:pPr>
        <w:rPr>
          <w:color w:val="auto"/>
        </w:rPr>
      </w:pPr>
      <w:r>
        <w:rPr>
          <w:color w:val="auto"/>
        </w:rPr>
        <w:t xml:space="preserve">4.4.4  </w:t>
      </w:r>
      <w:r>
        <w:rPr>
          <w:rFonts w:hint="eastAsia"/>
          <w:color w:val="auto"/>
        </w:rPr>
        <w:t>不宜</w:t>
      </w:r>
      <w:r>
        <w:rPr>
          <w:color w:val="auto"/>
        </w:rPr>
        <w:t>将</w:t>
      </w:r>
      <w:r>
        <w:rPr>
          <w:rFonts w:hint="eastAsia"/>
          <w:color w:val="auto"/>
        </w:rPr>
        <w:t>多台中性点</w:t>
      </w:r>
      <w:r>
        <w:rPr>
          <w:color w:val="auto"/>
        </w:rPr>
        <w:t>谐振</w:t>
      </w:r>
      <w:r>
        <w:rPr>
          <w:rFonts w:hint="eastAsia"/>
          <w:color w:val="auto"/>
        </w:rPr>
        <w:t>接地</w:t>
      </w:r>
      <w:r>
        <w:rPr>
          <w:color w:val="auto"/>
        </w:rPr>
        <w:t>装置</w:t>
      </w:r>
      <w:r>
        <w:rPr>
          <w:rFonts w:hint="eastAsia"/>
          <w:color w:val="auto"/>
        </w:rPr>
        <w:t>集中</w:t>
      </w:r>
      <w:r>
        <w:rPr>
          <w:color w:val="auto"/>
        </w:rPr>
        <w:t>安装在系统中的</w:t>
      </w:r>
      <w:r>
        <w:rPr>
          <w:rFonts w:hint="eastAsia"/>
          <w:color w:val="auto"/>
        </w:rPr>
        <w:t>一处</w:t>
      </w:r>
      <w:r>
        <w:rPr>
          <w:color w:val="auto"/>
        </w:rPr>
        <w:t>。</w:t>
      </w:r>
    </w:p>
    <w:p>
      <w:pPr>
        <w:rPr>
          <w:color w:val="auto"/>
        </w:rPr>
      </w:pPr>
    </w:p>
    <w:p>
      <w:pPr>
        <w:pStyle w:val="Heading2"/>
        <w:jc w:val="center"/>
        <w:rPr>
          <w:color w:val="auto"/>
        </w:rPr>
      </w:pPr>
      <w:bookmarkStart w:id="85" w:name="_Toc150520737"/>
      <w:bookmarkStart w:id="86" w:name="_Toc150521604"/>
      <w:bookmarkStart w:id="87" w:name="_Toc153207292"/>
      <w:bookmarkStart w:id="88" w:name="_Toc150841326"/>
      <w:bookmarkStart w:id="89" w:name="_Toc153204816"/>
      <w:bookmarkStart w:id="90" w:name="_Toc150789572"/>
      <w:r>
        <w:rPr>
          <w:rFonts w:hint="eastAsia"/>
          <w:color w:val="auto"/>
        </w:rPr>
        <w:t>4.5</w:t>
      </w:r>
      <w:r>
        <w:rPr>
          <w:rFonts w:ascii="宋体" w:hAnsi="宋体" w:cs="宋体" w:hint="eastAsia"/>
        </w:rPr>
        <w:t>功率因数</w:t>
      </w:r>
      <w:bookmarkEnd w:id="85"/>
      <w:bookmarkEnd w:id="86"/>
      <w:bookmarkEnd w:id="87"/>
      <w:bookmarkEnd w:id="88"/>
      <w:bookmarkEnd w:id="89"/>
      <w:bookmarkEnd w:id="90"/>
    </w:p>
    <w:p>
      <w:pPr>
        <w:rPr>
          <w:color w:val="auto"/>
        </w:rPr>
      </w:pPr>
      <w:r>
        <w:rPr>
          <w:rFonts w:hint="eastAsia"/>
          <w:color w:val="auto"/>
        </w:rPr>
        <w:t>4.5</w:t>
      </w:r>
      <w:r>
        <w:rPr>
          <w:color w:val="auto"/>
        </w:rPr>
        <w:t>.</w:t>
      </w:r>
      <w:r>
        <w:rPr>
          <w:rFonts w:hint="eastAsia"/>
          <w:color w:val="auto"/>
        </w:rPr>
        <w:t>1  工厂用电</w:t>
      </w:r>
      <w:r>
        <w:rPr>
          <w:color w:val="auto"/>
        </w:rPr>
        <w:t>负荷</w:t>
      </w:r>
      <w:r>
        <w:rPr>
          <w:rFonts w:hint="eastAsia"/>
          <w:color w:val="auto"/>
        </w:rPr>
        <w:t>的</w:t>
      </w:r>
      <w:r>
        <w:rPr>
          <w:color w:val="auto"/>
        </w:rPr>
        <w:t>功率因数</w:t>
      </w:r>
      <w:r>
        <w:rPr>
          <w:rFonts w:hint="eastAsia"/>
          <w:color w:val="auto"/>
        </w:rPr>
        <w:t>不宜</w:t>
      </w:r>
      <w:r>
        <w:rPr>
          <w:color w:val="auto"/>
        </w:rPr>
        <w:t>低于</w:t>
      </w:r>
      <w:r>
        <w:rPr>
          <w:rFonts w:hint="eastAsia"/>
          <w:color w:val="auto"/>
        </w:rPr>
        <w:t>0.9</w:t>
      </w:r>
      <w:r>
        <w:rPr>
          <w:color w:val="auto"/>
        </w:rPr>
        <w:t>5</w:t>
      </w:r>
      <w:r>
        <w:rPr>
          <w:rFonts w:hint="eastAsia"/>
          <w:color w:val="auto"/>
        </w:rPr>
        <w:t>。</w:t>
      </w:r>
    </w:p>
    <w:p>
      <w:pPr>
        <w:rPr>
          <w:color w:val="auto"/>
        </w:rPr>
      </w:pPr>
      <w:r>
        <w:rPr>
          <w:rFonts w:hint="eastAsia"/>
          <w:color w:val="auto"/>
        </w:rPr>
        <w:t>4.5.2  长期连续</w:t>
      </w:r>
      <w:r>
        <w:rPr>
          <w:color w:val="auto"/>
        </w:rPr>
        <w:t>运行的大、中</w:t>
      </w:r>
      <w:r>
        <w:rPr>
          <w:rFonts w:hint="eastAsia"/>
          <w:color w:val="auto"/>
        </w:rPr>
        <w:t>型</w:t>
      </w:r>
      <w:r>
        <w:rPr>
          <w:color w:val="auto"/>
        </w:rPr>
        <w:t>电动机</w:t>
      </w:r>
      <w:r>
        <w:rPr>
          <w:rFonts w:hint="eastAsia"/>
          <w:color w:val="auto"/>
        </w:rPr>
        <w:t>，</w:t>
      </w:r>
      <w:r>
        <w:rPr>
          <w:color w:val="auto"/>
        </w:rPr>
        <w:t>宜采用</w:t>
      </w:r>
      <w:r>
        <w:rPr>
          <w:rFonts w:hint="eastAsia"/>
          <w:color w:val="auto"/>
        </w:rPr>
        <w:t>同步</w:t>
      </w:r>
      <w:r>
        <w:rPr>
          <w:color w:val="auto"/>
        </w:rPr>
        <w:t>电动机。</w:t>
      </w:r>
    </w:p>
    <w:p>
      <w:pPr>
        <w:rPr>
          <w:color w:val="auto"/>
        </w:rPr>
      </w:pPr>
      <w:r>
        <w:rPr>
          <w:rFonts w:hint="eastAsia"/>
          <w:color w:val="auto"/>
        </w:rPr>
        <w:t>4.5.3  在</w:t>
      </w:r>
      <w:r>
        <w:rPr>
          <w:color w:val="auto"/>
        </w:rPr>
        <w:t>中性点非直接接地</w:t>
      </w:r>
      <w:r>
        <w:rPr>
          <w:rFonts w:hint="eastAsia"/>
          <w:color w:val="auto"/>
        </w:rPr>
        <w:t>的</w:t>
      </w:r>
      <w:r>
        <w:rPr>
          <w:color w:val="auto"/>
        </w:rPr>
        <w:t>系统中</w:t>
      </w:r>
      <w:r>
        <w:rPr>
          <w:rFonts w:hint="eastAsia"/>
          <w:color w:val="auto"/>
        </w:rPr>
        <w:t>，电容器</w:t>
      </w:r>
      <w:r>
        <w:rPr>
          <w:color w:val="auto"/>
        </w:rPr>
        <w:t>装置</w:t>
      </w:r>
      <w:r>
        <w:rPr>
          <w:rFonts w:hint="eastAsia"/>
          <w:color w:val="auto"/>
        </w:rPr>
        <w:t>应采用</w:t>
      </w:r>
      <w:r>
        <w:rPr>
          <w:color w:val="auto"/>
        </w:rPr>
        <w:t>中</w:t>
      </w:r>
      <w:r>
        <w:rPr>
          <w:rFonts w:hint="eastAsia"/>
          <w:color w:val="auto"/>
        </w:rPr>
        <w:t>性点</w:t>
      </w:r>
      <w:r>
        <w:rPr>
          <w:color w:val="auto"/>
        </w:rPr>
        <w:t>不接地</w:t>
      </w:r>
      <w:r>
        <w:rPr>
          <w:rFonts w:hint="eastAsia"/>
          <w:color w:val="auto"/>
        </w:rPr>
        <w:t>的</w:t>
      </w:r>
      <w:r>
        <w:rPr>
          <w:color w:val="auto"/>
        </w:rPr>
        <w:t>星形接线。</w:t>
      </w:r>
    </w:p>
    <w:p>
      <w:pPr>
        <w:rPr>
          <w:color w:val="auto"/>
        </w:rPr>
      </w:pPr>
      <w:r>
        <w:rPr>
          <w:rFonts w:hint="eastAsia"/>
          <w:color w:val="auto"/>
        </w:rPr>
        <w:t>4.5.4  电容器补偿</w:t>
      </w:r>
      <w:r>
        <w:rPr>
          <w:color w:val="auto"/>
        </w:rPr>
        <w:t>装置</w:t>
      </w:r>
      <w:r>
        <w:rPr>
          <w:rFonts w:hint="eastAsia"/>
          <w:color w:val="auto"/>
        </w:rPr>
        <w:t>回路</w:t>
      </w:r>
      <w:r>
        <w:rPr>
          <w:color w:val="auto"/>
        </w:rPr>
        <w:t>,</w:t>
      </w:r>
      <w:r>
        <w:rPr>
          <w:rFonts w:hint="eastAsia"/>
          <w:color w:val="auto"/>
        </w:rPr>
        <w:t>严禁</w:t>
      </w:r>
      <w:r>
        <w:rPr>
          <w:color w:val="auto"/>
        </w:rPr>
        <w:t>装</w:t>
      </w:r>
      <w:r>
        <w:rPr>
          <w:rFonts w:hint="eastAsia"/>
          <w:color w:val="auto"/>
        </w:rPr>
        <w:t>设自动重合</w:t>
      </w:r>
      <w:r>
        <w:rPr>
          <w:color w:val="auto"/>
        </w:rPr>
        <w:t>闸</w:t>
      </w:r>
      <w:r>
        <w:rPr>
          <w:rFonts w:hint="eastAsia"/>
          <w:color w:val="auto"/>
        </w:rPr>
        <w:t>装置</w:t>
      </w:r>
      <w:r>
        <w:rPr>
          <w:color w:val="auto"/>
        </w:rPr>
        <w:t>。</w:t>
      </w:r>
    </w:p>
    <w:p>
      <w:pPr>
        <w:rPr>
          <w:color w:val="auto"/>
        </w:rPr>
      </w:pPr>
      <w:r>
        <w:rPr>
          <w:rFonts w:hint="eastAsia"/>
          <w:color w:val="auto"/>
        </w:rPr>
        <w:t>4.5.5  电容器</w:t>
      </w:r>
      <w:r>
        <w:rPr>
          <w:color w:val="auto"/>
        </w:rPr>
        <w:t>的分组容量</w:t>
      </w:r>
      <w:r>
        <w:rPr>
          <w:rFonts w:hint="eastAsia"/>
          <w:color w:val="auto"/>
        </w:rPr>
        <w:t>，</w:t>
      </w:r>
      <w:r>
        <w:rPr>
          <w:color w:val="auto"/>
        </w:rPr>
        <w:t>应满足</w:t>
      </w:r>
      <w:r>
        <w:rPr>
          <w:rFonts w:hint="eastAsia"/>
          <w:color w:val="auto"/>
        </w:rPr>
        <w:t>其投</w:t>
      </w:r>
      <w:r>
        <w:rPr>
          <w:color w:val="auto"/>
        </w:rPr>
        <w:t>切</w:t>
      </w:r>
      <w:r>
        <w:rPr>
          <w:rFonts w:hint="eastAsia"/>
          <w:color w:val="auto"/>
        </w:rPr>
        <w:t>时</w:t>
      </w:r>
      <w:r>
        <w:rPr>
          <w:color w:val="auto"/>
        </w:rPr>
        <w:t>产生的母线电压波动不超过额定电压值的</w:t>
      </w:r>
      <w:r>
        <w:rPr>
          <w:rFonts w:hint="eastAsia"/>
          <w:color w:val="auto"/>
        </w:rPr>
        <w:t>±2.5</w:t>
      </w:r>
      <w:r>
        <w:rPr>
          <w:color w:val="auto"/>
        </w:rPr>
        <w:t>%和不发生谐振的要求</w:t>
      </w:r>
      <w:r>
        <w:rPr>
          <w:rFonts w:hint="eastAsia"/>
          <w:color w:val="auto"/>
        </w:rPr>
        <w:t>，</w:t>
      </w:r>
      <w:r>
        <w:rPr>
          <w:color w:val="auto"/>
        </w:rPr>
        <w:t>在满足上述要求的条件下，宜加大每组电容器的容量、减少组数。</w:t>
      </w:r>
    </w:p>
    <w:p>
      <w:pPr>
        <w:rPr>
          <w:color w:val="auto"/>
        </w:rPr>
      </w:pPr>
      <w:r>
        <w:rPr>
          <w:color w:val="auto"/>
        </w:rPr>
        <w:t xml:space="preserve">4.5.6  </w:t>
      </w:r>
      <w:r>
        <w:rPr>
          <w:rFonts w:hint="eastAsia"/>
          <w:color w:val="auto"/>
        </w:rPr>
        <w:t>为</w:t>
      </w:r>
      <w:r>
        <w:rPr>
          <w:color w:val="auto"/>
        </w:rPr>
        <w:t>限制电容器组合闸</w:t>
      </w:r>
      <w:r>
        <w:rPr>
          <w:rFonts w:hint="eastAsia"/>
          <w:color w:val="auto"/>
        </w:rPr>
        <w:t>时</w:t>
      </w:r>
      <w:r>
        <w:rPr>
          <w:color w:val="auto"/>
        </w:rPr>
        <w:t>产生的涌流和抑制谐波电压，在电容器组回路中应串联电抗器，在谐波电压允许范围内，宜选用较小电抗值</w:t>
      </w:r>
      <w:r>
        <w:rPr>
          <w:rFonts w:hint="eastAsia"/>
          <w:color w:val="auto"/>
        </w:rPr>
        <w:t>。</w:t>
      </w:r>
      <w:r>
        <w:rPr>
          <w:color w:val="auto"/>
        </w:rPr>
        <w:t>串联电抗器感抗值选择，应使在可能产生的任何高次谐波下，电容器回路总阻抗值均为感抗性质。</w:t>
      </w:r>
    </w:p>
    <w:p>
      <w:pPr>
        <w:rPr>
          <w:color w:val="auto"/>
        </w:rPr>
      </w:pPr>
      <w:r>
        <w:rPr>
          <w:rFonts w:hint="eastAsia"/>
          <w:color w:val="auto"/>
        </w:rPr>
        <w:t xml:space="preserve">4.5.7 </w:t>
      </w:r>
      <w:r>
        <w:rPr>
          <w:bCs/>
          <w:color w:val="auto"/>
        </w:rPr>
        <w:t>电容器并联总容量不应超过3900kvar。</w:t>
      </w:r>
    </w:p>
    <w:p>
      <w:pPr>
        <w:rPr>
          <w:color w:val="auto"/>
          <w:highlight w:val="yellow"/>
        </w:rPr>
        <w:sectPr>
          <w:headerReference w:type="default" r:id="rId18"/>
          <w:footerReference w:type="default" r:id="rId19"/>
          <w:type w:val="nextPage"/>
          <w:pgSz w:w="11906" w:h="16838"/>
          <w:pgMar w:top="1440" w:right="1800" w:bottom="1440" w:left="1800" w:header="851" w:footer="992" w:gutter="0"/>
          <w:pgNumType w:start="7"/>
          <w:cols w:num="1" w:space="425"/>
          <w:titlePg w:val="0"/>
          <w:docGrid w:type="lines" w:linePitch="312" w:charSpace="0"/>
        </w:sectPr>
      </w:pPr>
    </w:p>
    <w:p>
      <w:pPr>
        <w:pStyle w:val="Heading1"/>
        <w:jc w:val="center"/>
        <w:rPr>
          <w:color w:val="auto"/>
        </w:rPr>
      </w:pPr>
      <w:bookmarkStart w:id="91" w:name="_Toc153207293"/>
      <w:bookmarkStart w:id="92" w:name="_Toc150520738"/>
      <w:bookmarkStart w:id="93" w:name="_Toc2223"/>
      <w:bookmarkStart w:id="94" w:name="_Toc150841327"/>
      <w:bookmarkStart w:id="95" w:name="_Toc150789573"/>
      <w:bookmarkStart w:id="96" w:name="_Toc8271"/>
      <w:bookmarkStart w:id="97" w:name="_Toc150521605"/>
      <w:bookmarkStart w:id="98" w:name="_Toc153204817"/>
      <w:r>
        <w:rPr>
          <w:rFonts w:hint="eastAsia"/>
          <w:color w:val="auto"/>
        </w:rPr>
        <w:t xml:space="preserve">5  </w:t>
      </w:r>
      <w:r>
        <w:rPr>
          <w:rFonts w:ascii="宋体" w:hAnsi="宋体" w:cs="宋体" w:hint="eastAsia"/>
        </w:rPr>
        <w:t>总变（配）电站</w:t>
      </w:r>
      <w:bookmarkEnd w:id="91"/>
      <w:bookmarkEnd w:id="92"/>
      <w:bookmarkEnd w:id="93"/>
      <w:bookmarkEnd w:id="94"/>
      <w:bookmarkEnd w:id="95"/>
      <w:bookmarkEnd w:id="96"/>
      <w:bookmarkEnd w:id="97"/>
      <w:bookmarkEnd w:id="98"/>
    </w:p>
    <w:p>
      <w:pPr>
        <w:pStyle w:val="Heading2"/>
        <w:tabs>
          <w:tab w:val="left" w:pos="2935"/>
          <w:tab w:val="center" w:pos="4212"/>
        </w:tabs>
        <w:jc w:val="left"/>
        <w:rPr>
          <w:color w:val="auto"/>
        </w:rPr>
      </w:pPr>
      <w:r>
        <w:rPr>
          <w:rFonts w:hint="eastAsia"/>
          <w:color w:val="auto"/>
        </w:rPr>
        <w:tab/>
      </w:r>
      <w:bookmarkStart w:id="99" w:name="_Toc150789574"/>
      <w:bookmarkStart w:id="100" w:name="_Toc150520739"/>
      <w:bookmarkStart w:id="101" w:name="_Toc150841328"/>
      <w:bookmarkStart w:id="102" w:name="_Toc153204818"/>
      <w:bookmarkStart w:id="103" w:name="_Toc153207294"/>
      <w:bookmarkStart w:id="104" w:name="_Toc150521606"/>
      <w:r>
        <w:rPr>
          <w:rFonts w:hint="eastAsia"/>
          <w:color w:val="auto"/>
        </w:rPr>
        <w:t>5.1</w:t>
      </w:r>
      <w:r>
        <w:rPr>
          <w:rFonts w:ascii="宋体" w:hAnsi="宋体" w:cs="宋体" w:hint="eastAsia"/>
        </w:rPr>
        <w:t>站址选择和整体布局</w:t>
      </w:r>
      <w:bookmarkEnd w:id="99"/>
      <w:bookmarkEnd w:id="100"/>
      <w:bookmarkEnd w:id="101"/>
      <w:bookmarkEnd w:id="102"/>
      <w:bookmarkEnd w:id="103"/>
      <w:bookmarkEnd w:id="104"/>
    </w:p>
    <w:p>
      <w:r>
        <w:rPr>
          <w:color w:val="auto"/>
        </w:rPr>
        <w:t>5</w:t>
      </w:r>
      <w:r>
        <w:rPr>
          <w:rFonts w:hint="eastAsia"/>
          <w:color w:val="auto"/>
        </w:rPr>
        <w:t>.1.1  总变（配）电站</w:t>
      </w:r>
      <w:r>
        <w:rPr>
          <w:color w:val="auto"/>
        </w:rPr>
        <w:t>站址应符合下列要求</w:t>
      </w:r>
      <w:r>
        <w:t>：</w:t>
      </w:r>
    </w:p>
    <w:p>
      <w:pPr>
        <w:ind w:firstLine="420" w:firstLineChars="200"/>
      </w:pPr>
      <w:r>
        <w:t>1 应靠近负荷中心</w:t>
      </w:r>
      <w:r>
        <w:rPr>
          <w:rFonts w:hint="eastAsia"/>
        </w:rPr>
        <w:t>；</w:t>
      </w:r>
    </w:p>
    <w:p>
      <w:pPr>
        <w:ind w:firstLine="420" w:firstLineChars="200"/>
      </w:pPr>
      <w:r>
        <w:rPr>
          <w:rFonts w:hint="eastAsia"/>
        </w:rPr>
        <w:t>2 宜</w:t>
      </w:r>
      <w:r>
        <w:t>位于靠近厂区边缘且地势较高地段</w:t>
      </w:r>
      <w:r>
        <w:rPr>
          <w:rFonts w:hint="eastAsia"/>
        </w:rPr>
        <w:t>；</w:t>
      </w:r>
    </w:p>
    <w:p>
      <w:pPr>
        <w:ind w:firstLine="420" w:firstLineChars="200"/>
      </w:pPr>
      <w:r>
        <w:t>3</w:t>
      </w:r>
      <w:r>
        <w:rPr>
          <w:rFonts w:hint="eastAsia"/>
        </w:rPr>
        <w:t xml:space="preserve"> 考虑</w:t>
      </w:r>
      <w:r>
        <w:t>风向朝向的影响，宜避开粉尘、蒸汽</w:t>
      </w:r>
      <w:r>
        <w:rPr>
          <w:rFonts w:hint="eastAsia"/>
        </w:rPr>
        <w:t>、</w:t>
      </w:r>
      <w:r>
        <w:t>水</w:t>
      </w:r>
      <w:r>
        <w:rPr>
          <w:rFonts w:hint="eastAsia"/>
        </w:rPr>
        <w:t>雾</w:t>
      </w:r>
      <w:r>
        <w:t>、腐蚀性气体等污染源，不应设在污染源盛行风向的下风侧</w:t>
      </w:r>
      <w:r>
        <w:rPr>
          <w:rFonts w:hint="eastAsia"/>
        </w:rPr>
        <w:t>；</w:t>
      </w:r>
    </w:p>
    <w:p>
      <w:pPr>
        <w:ind w:firstLine="420" w:firstLineChars="200"/>
      </w:pPr>
      <w:r>
        <w:rPr>
          <w:rFonts w:hint="eastAsia"/>
        </w:rPr>
        <w:t>4 应</w:t>
      </w:r>
      <w:r>
        <w:t>便于线路的</w:t>
      </w:r>
      <w:r>
        <w:rPr>
          <w:rFonts w:hint="eastAsia"/>
        </w:rPr>
        <w:t>引入</w:t>
      </w:r>
      <w:r>
        <w:t>和引出；</w:t>
      </w:r>
    </w:p>
    <w:p>
      <w:pPr>
        <w:ind w:firstLine="420" w:firstLineChars="200"/>
      </w:pPr>
      <w:r>
        <w:t xml:space="preserve">5 </w:t>
      </w:r>
      <w:r>
        <w:rPr>
          <w:rFonts w:hint="eastAsia"/>
        </w:rPr>
        <w:t>宜</w:t>
      </w:r>
      <w:r>
        <w:t>留有发展、扩建的余地。</w:t>
      </w:r>
    </w:p>
    <w:p>
      <w:r>
        <w:rPr>
          <w:color w:val="auto"/>
        </w:rPr>
        <w:t>5</w:t>
      </w:r>
      <w:r>
        <w:rPr>
          <w:rFonts w:hint="eastAsia"/>
          <w:color w:val="auto"/>
        </w:rPr>
        <w:t>.1.2  总变（配）电站整体</w:t>
      </w:r>
      <w:r>
        <w:rPr>
          <w:color w:val="auto"/>
        </w:rPr>
        <w:t>布置的基本原则</w:t>
      </w:r>
      <w:r>
        <w:t>：</w:t>
      </w:r>
    </w:p>
    <w:p>
      <w:pPr>
        <w:ind w:firstLine="420" w:firstLineChars="200"/>
      </w:pPr>
      <w:r>
        <w:t>1 应</w:t>
      </w:r>
      <w:r>
        <w:rPr>
          <w:rFonts w:hint="eastAsia"/>
        </w:rPr>
        <w:t>满足</w:t>
      </w:r>
      <w:r>
        <w:t>供电系统的运行要求，利于运行人员的监视、控制和操作，</w:t>
      </w:r>
      <w:r>
        <w:rPr>
          <w:rFonts w:hint="eastAsia"/>
        </w:rPr>
        <w:t>保证</w:t>
      </w:r>
      <w:r>
        <w:t>电气设备安全运行及方便检修</w:t>
      </w:r>
      <w:r>
        <w:rPr>
          <w:rFonts w:hint="eastAsia"/>
        </w:rPr>
        <w:t>；</w:t>
      </w:r>
    </w:p>
    <w:p>
      <w:pPr>
        <w:ind w:firstLine="420" w:firstLineChars="200"/>
      </w:pPr>
      <w:r>
        <w:rPr>
          <w:rFonts w:hint="eastAsia"/>
        </w:rPr>
        <w:t>2 应和</w:t>
      </w:r>
      <w:r>
        <w:t>工厂的发展</w:t>
      </w:r>
      <w:r>
        <w:rPr>
          <w:rFonts w:hint="eastAsia"/>
        </w:rPr>
        <w:t>规模</w:t>
      </w:r>
      <w:r>
        <w:t>、规划想配合，妥善处理分期建设的问题；</w:t>
      </w:r>
    </w:p>
    <w:p>
      <w:pPr>
        <w:ind w:firstLine="420" w:firstLineChars="200"/>
      </w:pPr>
      <w:r>
        <w:t xml:space="preserve">3 </w:t>
      </w:r>
      <w:r>
        <w:rPr>
          <w:rFonts w:hint="eastAsia"/>
        </w:rPr>
        <w:t>布置</w:t>
      </w:r>
      <w:r>
        <w:t>紧凑合理、</w:t>
      </w:r>
      <w:r>
        <w:rPr>
          <w:rFonts w:hint="eastAsia"/>
        </w:rPr>
        <w:t>节约</w:t>
      </w:r>
      <w:r>
        <w:t>用地</w:t>
      </w:r>
      <w:r>
        <w:rPr>
          <w:rFonts w:hint="eastAsia"/>
        </w:rPr>
        <w:t>，</w:t>
      </w:r>
      <w:r>
        <w:t>并注意建、构筑物的协调和环境的美化；</w:t>
      </w:r>
    </w:p>
    <w:p>
      <w:pPr>
        <w:ind w:firstLine="420" w:firstLineChars="200"/>
      </w:pPr>
      <w:r>
        <w:t xml:space="preserve">4 </w:t>
      </w:r>
      <w:r>
        <w:rPr>
          <w:rFonts w:hint="eastAsia"/>
        </w:rPr>
        <w:t>站内</w:t>
      </w:r>
      <w:r>
        <w:t>各建、构筑物的布置应满足防火要求；</w:t>
      </w:r>
    </w:p>
    <w:p>
      <w:pPr>
        <w:ind w:firstLine="420" w:firstLineChars="200"/>
        <w:rPr>
          <w:color w:val="auto"/>
        </w:rPr>
      </w:pPr>
      <w:r>
        <w:t xml:space="preserve">5 </w:t>
      </w:r>
      <w:r>
        <w:rPr>
          <w:rFonts w:hint="eastAsia"/>
          <w:color w:val="auto"/>
        </w:rPr>
        <w:t>总变（配）电站应</w:t>
      </w:r>
      <w:r>
        <w:rPr>
          <w:color w:val="auto"/>
        </w:rPr>
        <w:t>按地形</w:t>
      </w:r>
      <w:r>
        <w:rPr>
          <w:rFonts w:hint="eastAsia"/>
          <w:color w:val="auto"/>
        </w:rPr>
        <w:t>和</w:t>
      </w:r>
      <w:r>
        <w:rPr>
          <w:color w:val="auto"/>
        </w:rPr>
        <w:t>地</w:t>
      </w:r>
      <w:r>
        <w:rPr>
          <w:rFonts w:hint="eastAsia"/>
          <w:color w:val="auto"/>
        </w:rPr>
        <w:t>质</w:t>
      </w:r>
      <w:r>
        <w:rPr>
          <w:color w:val="auto"/>
        </w:rPr>
        <w:t>条件，因地制宜进行布置；</w:t>
      </w:r>
    </w:p>
    <w:p>
      <w:pPr>
        <w:ind w:firstLine="420" w:firstLineChars="200"/>
        <w:rPr>
          <w:color w:val="auto"/>
        </w:rPr>
      </w:pPr>
      <w:r>
        <w:rPr>
          <w:color w:val="auto"/>
        </w:rPr>
        <w:t xml:space="preserve">6 </w:t>
      </w:r>
      <w:r>
        <w:rPr>
          <w:rFonts w:hint="eastAsia"/>
          <w:color w:val="auto"/>
        </w:rPr>
        <w:t>合理</w:t>
      </w:r>
      <w:r>
        <w:rPr>
          <w:color w:val="auto"/>
        </w:rPr>
        <w:t>进行竖向布置和确定建筑物的标高，以利于排水；</w:t>
      </w:r>
    </w:p>
    <w:p>
      <w:pPr>
        <w:ind w:firstLine="420" w:firstLineChars="200"/>
      </w:pPr>
      <w:r>
        <w:rPr>
          <w:color w:val="auto"/>
        </w:rPr>
        <w:t xml:space="preserve">7 </w:t>
      </w:r>
      <w:r>
        <w:rPr>
          <w:rFonts w:hint="eastAsia"/>
          <w:color w:val="auto"/>
        </w:rPr>
        <w:t>道路</w:t>
      </w:r>
      <w:r>
        <w:rPr>
          <w:color w:val="auto"/>
        </w:rPr>
        <w:t>的设置应便于运输、运行巡视和设备检修，且满足火灾消防的要求。</w:t>
      </w:r>
    </w:p>
    <w:p/>
    <w:p>
      <w:pPr>
        <w:rPr>
          <w:color w:val="auto"/>
          <w:highlight w:val="yellow"/>
        </w:rPr>
      </w:pPr>
    </w:p>
    <w:p>
      <w:pPr>
        <w:pStyle w:val="Heading2"/>
        <w:tabs>
          <w:tab w:val="left" w:pos="2935"/>
          <w:tab w:val="center" w:pos="4212"/>
        </w:tabs>
        <w:jc w:val="left"/>
        <w:rPr>
          <w:color w:val="auto"/>
        </w:rPr>
      </w:pPr>
      <w:r>
        <w:rPr>
          <w:rFonts w:hint="eastAsia"/>
          <w:color w:val="auto"/>
        </w:rPr>
        <w:tab/>
      </w:r>
      <w:bookmarkStart w:id="105" w:name="_Toc150841329"/>
      <w:bookmarkStart w:id="106" w:name="_Toc150520740"/>
      <w:bookmarkStart w:id="107" w:name="_Toc153207295"/>
      <w:bookmarkStart w:id="108" w:name="_Toc150789575"/>
      <w:bookmarkStart w:id="109" w:name="_Toc150521607"/>
      <w:bookmarkStart w:id="110" w:name="_Toc153204819"/>
      <w:r>
        <w:rPr>
          <w:rFonts w:hint="eastAsia"/>
          <w:color w:val="auto"/>
        </w:rPr>
        <w:t>5.2</w:t>
      </w:r>
      <w:r>
        <w:rPr>
          <w:rFonts w:ascii="宋体" w:hAnsi="宋体" w:cs="宋体" w:hint="eastAsia"/>
        </w:rPr>
        <w:t>主要电气设备的选择和选型</w:t>
      </w:r>
      <w:bookmarkEnd w:id="105"/>
      <w:bookmarkEnd w:id="106"/>
      <w:bookmarkEnd w:id="107"/>
      <w:bookmarkEnd w:id="108"/>
      <w:bookmarkEnd w:id="109"/>
      <w:bookmarkEnd w:id="110"/>
    </w:p>
    <w:p>
      <w:pPr>
        <w:rPr>
          <w:color w:val="auto"/>
        </w:rPr>
      </w:pPr>
      <w:r>
        <w:rPr>
          <w:rFonts w:hint="eastAsia"/>
          <w:color w:val="auto"/>
        </w:rPr>
        <w:t>5.2.1  电气</w:t>
      </w:r>
      <w:r>
        <w:rPr>
          <w:color w:val="auto"/>
        </w:rPr>
        <w:t>设备的选择应符合下列要求</w:t>
      </w:r>
      <w:r>
        <w:rPr>
          <w:rFonts w:hint="eastAsia"/>
          <w:color w:val="auto"/>
        </w:rPr>
        <w:t>：</w:t>
      </w:r>
    </w:p>
    <w:p>
      <w:pPr>
        <w:ind w:firstLine="420"/>
        <w:rPr>
          <w:color w:val="auto"/>
        </w:rPr>
      </w:pPr>
      <w:r>
        <w:rPr>
          <w:rFonts w:hint="eastAsia"/>
          <w:color w:val="auto"/>
        </w:rPr>
        <w:t>1</w:t>
      </w:r>
      <w:r>
        <w:rPr>
          <w:color w:val="auto"/>
        </w:rPr>
        <w:t xml:space="preserve"> </w:t>
      </w:r>
      <w:r>
        <w:rPr>
          <w:rFonts w:hint="eastAsia"/>
          <w:color w:val="auto"/>
        </w:rPr>
        <w:t>满足</w:t>
      </w:r>
      <w:r>
        <w:rPr>
          <w:color w:val="auto"/>
        </w:rPr>
        <w:t>正常运行、检修、短路和过电压等情况下的要求，并考虑远景</w:t>
      </w:r>
      <w:r>
        <w:rPr>
          <w:rFonts w:hint="eastAsia"/>
          <w:color w:val="auto"/>
        </w:rPr>
        <w:t>发展</w:t>
      </w:r>
      <w:r>
        <w:rPr>
          <w:color w:val="auto"/>
        </w:rPr>
        <w:t>；</w:t>
      </w:r>
    </w:p>
    <w:p>
      <w:pPr>
        <w:ind w:firstLine="420"/>
        <w:rPr>
          <w:color w:val="auto"/>
        </w:rPr>
      </w:pPr>
      <w:r>
        <w:rPr>
          <w:rFonts w:hint="eastAsia"/>
          <w:color w:val="auto"/>
        </w:rPr>
        <w:t>2 符合</w:t>
      </w:r>
      <w:r>
        <w:rPr>
          <w:color w:val="auto"/>
        </w:rPr>
        <w:t>当地环境条件；</w:t>
      </w:r>
    </w:p>
    <w:p>
      <w:pPr>
        <w:ind w:firstLine="420"/>
        <w:rPr>
          <w:color w:val="auto"/>
        </w:rPr>
      </w:pPr>
      <w:r>
        <w:rPr>
          <w:rFonts w:hint="eastAsia"/>
          <w:color w:val="auto"/>
        </w:rPr>
        <w:t>3 质量</w:t>
      </w:r>
      <w:r>
        <w:rPr>
          <w:color w:val="auto"/>
        </w:rPr>
        <w:t>可靠</w:t>
      </w:r>
      <w:r>
        <w:rPr>
          <w:rFonts w:hint="eastAsia"/>
          <w:color w:val="auto"/>
        </w:rPr>
        <w:t>、</w:t>
      </w:r>
      <w:r>
        <w:rPr>
          <w:color w:val="auto"/>
        </w:rPr>
        <w:t>经济合理并力求技术先进；</w:t>
      </w:r>
    </w:p>
    <w:p>
      <w:pPr>
        <w:ind w:firstLine="420"/>
        <w:rPr>
          <w:color w:val="auto"/>
        </w:rPr>
      </w:pPr>
      <w:r>
        <w:rPr>
          <w:rFonts w:hint="eastAsia"/>
          <w:color w:val="auto"/>
        </w:rPr>
        <w:t>4 和</w:t>
      </w:r>
      <w:r>
        <w:rPr>
          <w:color w:val="auto"/>
        </w:rPr>
        <w:t>整个工程的建设标准协调一致</w:t>
      </w:r>
      <w:r>
        <w:rPr>
          <w:rFonts w:hint="eastAsia"/>
          <w:color w:val="auto"/>
        </w:rPr>
        <w:t>，</w:t>
      </w:r>
      <w:r>
        <w:rPr>
          <w:color w:val="auto"/>
        </w:rPr>
        <w:t>同类设备应减少品种；</w:t>
      </w:r>
    </w:p>
    <w:p>
      <w:pPr>
        <w:ind w:firstLine="420"/>
        <w:rPr>
          <w:color w:val="auto"/>
        </w:rPr>
      </w:pPr>
      <w:r>
        <w:rPr>
          <w:rFonts w:hint="eastAsia"/>
          <w:color w:val="auto"/>
        </w:rPr>
        <w:t>5 电器的一般技术</w:t>
      </w:r>
      <w:r>
        <w:rPr>
          <w:color w:val="auto"/>
        </w:rPr>
        <w:t>要求和环境条件应执行相关</w:t>
      </w:r>
      <w:r>
        <w:rPr>
          <w:rFonts w:hint="eastAsia"/>
          <w:color w:val="auto"/>
        </w:rPr>
        <w:t>国家</w:t>
      </w:r>
      <w:r>
        <w:rPr>
          <w:color w:val="auto"/>
        </w:rPr>
        <w:t>标准的规定。</w:t>
      </w:r>
    </w:p>
    <w:p>
      <w:pPr>
        <w:rPr>
          <w:color w:val="auto"/>
        </w:rPr>
      </w:pPr>
      <w:r>
        <w:rPr>
          <w:color w:val="auto"/>
        </w:rPr>
        <w:t xml:space="preserve">5.2.2 </w:t>
      </w:r>
      <w:r>
        <w:rPr>
          <w:rFonts w:hint="eastAsia"/>
          <w:color w:val="auto"/>
        </w:rPr>
        <w:t>电气</w:t>
      </w:r>
      <w:r>
        <w:rPr>
          <w:color w:val="auto"/>
        </w:rPr>
        <w:t>设备的选型应符合下列要求：</w:t>
      </w:r>
    </w:p>
    <w:p>
      <w:pPr>
        <w:ind w:firstLine="420"/>
        <w:rPr>
          <w:color w:val="auto"/>
        </w:rPr>
      </w:pPr>
      <w:r>
        <w:rPr>
          <w:color w:val="auto"/>
        </w:rPr>
        <w:t xml:space="preserve">1 </w:t>
      </w:r>
      <w:r>
        <w:rPr>
          <w:rFonts w:hint="eastAsia"/>
          <w:color w:val="auto"/>
        </w:rPr>
        <w:t>方便</w:t>
      </w:r>
      <w:r>
        <w:rPr>
          <w:color w:val="auto"/>
        </w:rPr>
        <w:t>施工和减少维护工作量；</w:t>
      </w:r>
    </w:p>
    <w:p>
      <w:pPr>
        <w:ind w:firstLine="420"/>
        <w:rPr>
          <w:color w:val="auto"/>
        </w:rPr>
      </w:pPr>
      <w:r>
        <w:rPr>
          <w:rFonts w:hint="eastAsia"/>
          <w:color w:val="auto"/>
        </w:rPr>
        <w:t>2 对</w:t>
      </w:r>
      <w:r>
        <w:rPr>
          <w:color w:val="auto"/>
        </w:rPr>
        <w:t>断路器、</w:t>
      </w:r>
      <w:r>
        <w:rPr>
          <w:rFonts w:hint="eastAsia"/>
          <w:color w:val="auto"/>
        </w:rPr>
        <w:t>主</w:t>
      </w:r>
      <w:r>
        <w:rPr>
          <w:color w:val="auto"/>
        </w:rPr>
        <w:t>变压器等主要电气设备应进行技术经济比较。</w:t>
      </w:r>
    </w:p>
    <w:p>
      <w:pPr>
        <w:rPr>
          <w:color w:val="auto"/>
        </w:rPr>
      </w:pPr>
      <w:r>
        <w:rPr>
          <w:color w:val="auto"/>
        </w:rPr>
        <w:t xml:space="preserve">5.2.3 </w:t>
      </w:r>
      <w:r>
        <w:rPr>
          <w:rFonts w:hint="eastAsia"/>
          <w:color w:val="auto"/>
        </w:rPr>
        <w:t>断路器</w:t>
      </w:r>
      <w:r>
        <w:rPr>
          <w:color w:val="auto"/>
        </w:rPr>
        <w:t>的选择应符合下列要求：</w:t>
      </w:r>
    </w:p>
    <w:p>
      <w:pPr>
        <w:ind w:firstLine="420"/>
        <w:rPr>
          <w:color w:val="auto"/>
        </w:rPr>
      </w:pPr>
      <w:r>
        <w:rPr>
          <w:color w:val="auto"/>
        </w:rPr>
        <w:t xml:space="preserve">1 </w:t>
      </w:r>
      <w:r>
        <w:rPr>
          <w:rFonts w:hint="eastAsia"/>
          <w:color w:val="auto"/>
        </w:rPr>
        <w:t>质量</w:t>
      </w:r>
      <w:r>
        <w:rPr>
          <w:color w:val="auto"/>
        </w:rPr>
        <w:t>可靠、价格合理并力求技术先进；</w:t>
      </w:r>
    </w:p>
    <w:p>
      <w:pPr>
        <w:ind w:firstLine="420"/>
        <w:rPr>
          <w:color w:val="auto"/>
        </w:rPr>
      </w:pPr>
      <w:r>
        <w:rPr>
          <w:color w:val="auto"/>
        </w:rPr>
        <w:t>2 35kV及以下电压等级的断路器，宜选用真空断路器</w:t>
      </w:r>
      <w:r>
        <w:rPr>
          <w:rFonts w:hint="eastAsia"/>
          <w:color w:val="auto"/>
        </w:rPr>
        <w:t>，</w:t>
      </w:r>
      <w:r>
        <w:rPr>
          <w:color w:val="auto"/>
        </w:rPr>
        <w:t>也可以采用SF</w:t>
      </w:r>
      <w:r>
        <w:rPr>
          <w:color w:val="auto"/>
          <w:vertAlign w:val="subscript"/>
        </w:rPr>
        <w:t>6</w:t>
      </w:r>
      <w:r>
        <w:rPr>
          <w:color w:val="auto"/>
        </w:rPr>
        <w:t>断路器；</w:t>
      </w:r>
    </w:p>
    <w:p>
      <w:pPr>
        <w:ind w:firstLine="420"/>
        <w:rPr>
          <w:color w:val="auto"/>
        </w:rPr>
      </w:pPr>
      <w:r>
        <w:rPr>
          <w:rFonts w:hint="eastAsia"/>
          <w:color w:val="auto"/>
        </w:rPr>
        <w:t xml:space="preserve">3 </w:t>
      </w:r>
      <w:r>
        <w:rPr>
          <w:color w:val="auto"/>
        </w:rPr>
        <w:t>66kV和110kV电压等级的断路器宜选用SF</w:t>
      </w:r>
      <w:r>
        <w:rPr>
          <w:color w:val="auto"/>
          <w:vertAlign w:val="subscript"/>
        </w:rPr>
        <w:t>6</w:t>
      </w:r>
      <w:r>
        <w:rPr>
          <w:color w:val="auto"/>
        </w:rPr>
        <w:t>断路器。</w:t>
      </w:r>
    </w:p>
    <w:p>
      <w:pPr>
        <w:rPr>
          <w:color w:val="auto"/>
        </w:rPr>
      </w:pPr>
      <w:r>
        <w:rPr>
          <w:rFonts w:hint="eastAsia"/>
          <w:color w:val="auto"/>
        </w:rPr>
        <w:t>5.2.4 主变压器</w:t>
      </w:r>
      <w:r>
        <w:rPr>
          <w:color w:val="auto"/>
        </w:rPr>
        <w:t>的选择</w:t>
      </w:r>
      <w:r>
        <w:rPr>
          <w:rFonts w:hint="eastAsia"/>
          <w:color w:val="auto"/>
        </w:rPr>
        <w:t>应符合</w:t>
      </w:r>
      <w:r>
        <w:rPr>
          <w:color w:val="auto"/>
        </w:rPr>
        <w:t>下列</w:t>
      </w:r>
      <w:r>
        <w:rPr>
          <w:rFonts w:hint="eastAsia"/>
          <w:color w:val="auto"/>
        </w:rPr>
        <w:t>条件：</w:t>
      </w:r>
    </w:p>
    <w:p>
      <w:pPr>
        <w:ind w:firstLine="420"/>
        <w:rPr>
          <w:color w:val="auto"/>
        </w:rPr>
        <w:sectPr>
          <w:headerReference w:type="default" r:id="rId20"/>
          <w:footerReference w:type="default" r:id="rId21"/>
          <w:pgSz w:w="11906" w:h="16838"/>
          <w:pgMar w:top="1440" w:right="1800" w:bottom="1440" w:left="1800" w:header="851" w:footer="992" w:gutter="0"/>
          <w:pgNumType w:start="8"/>
          <w:cols w:num="1" w:space="425"/>
          <w:docGrid w:type="lines" w:linePitch="312" w:charSpace="0"/>
        </w:sectPr>
      </w:pPr>
      <w:r>
        <w:rPr>
          <w:rFonts w:hint="eastAsia"/>
          <w:color w:val="auto"/>
        </w:rPr>
        <w:t>1 绕组</w:t>
      </w:r>
      <w:r>
        <w:rPr>
          <w:color w:val="auto"/>
        </w:rPr>
        <w:t>数量</w:t>
      </w:r>
      <w:r>
        <w:rPr>
          <w:rFonts w:hint="eastAsia"/>
          <w:color w:val="auto"/>
        </w:rPr>
        <w:t>应和</w:t>
      </w:r>
      <w:r>
        <w:rPr>
          <w:color w:val="auto"/>
        </w:rPr>
        <w:t>工厂供电系统主接线的电压级数</w:t>
      </w:r>
      <w:r>
        <w:rPr>
          <w:rFonts w:hint="eastAsia"/>
          <w:color w:val="auto"/>
        </w:rPr>
        <w:t>相配合</w:t>
      </w:r>
      <w:r>
        <w:rPr>
          <w:color w:val="auto"/>
        </w:rPr>
        <w:t>；</w:t>
      </w:r>
    </w:p>
    <w:p>
      <w:pPr>
        <w:ind w:firstLine="420"/>
        <w:rPr>
          <w:color w:val="auto"/>
        </w:rPr>
      </w:pPr>
      <w:r>
        <w:rPr>
          <w:rFonts w:hint="eastAsia"/>
          <w:color w:val="auto"/>
        </w:rPr>
        <w:t xml:space="preserve">2 </w:t>
      </w:r>
      <w:r>
        <w:rPr>
          <w:color w:val="auto"/>
        </w:rPr>
        <w:t>11</w:t>
      </w:r>
      <w:r>
        <w:rPr>
          <w:rFonts w:hint="eastAsia"/>
          <w:color w:val="auto"/>
        </w:rPr>
        <w:t>0kV绕组采用Y</w:t>
      </w:r>
      <w:r>
        <w:rPr>
          <w:color w:val="auto"/>
        </w:rPr>
        <w:t>n</w:t>
      </w:r>
      <w:r>
        <w:rPr>
          <w:rFonts w:hint="eastAsia"/>
          <w:color w:val="auto"/>
        </w:rPr>
        <w:t>结线；</w:t>
      </w:r>
    </w:p>
    <w:p>
      <w:pPr>
        <w:ind w:firstLine="420"/>
        <w:rPr>
          <w:color w:val="auto"/>
        </w:rPr>
      </w:pPr>
      <w:r>
        <w:rPr>
          <w:rFonts w:hint="eastAsia"/>
          <w:color w:val="auto"/>
        </w:rPr>
        <w:t>3 当</w:t>
      </w:r>
      <w:r>
        <w:rPr>
          <w:color w:val="auto"/>
        </w:rPr>
        <w:t>电压偏差过大而不能保证电压质量时，应</w:t>
      </w:r>
      <w:r>
        <w:rPr>
          <w:rFonts w:hint="eastAsia"/>
          <w:color w:val="auto"/>
        </w:rPr>
        <w:t>采</w:t>
      </w:r>
      <w:r>
        <w:rPr>
          <w:color w:val="auto"/>
        </w:rPr>
        <w:t>用有载调压变压器</w:t>
      </w:r>
      <w:r>
        <w:rPr>
          <w:rFonts w:hint="eastAsia"/>
          <w:color w:val="auto"/>
        </w:rPr>
        <w:t>。</w:t>
      </w:r>
    </w:p>
    <w:p>
      <w:pPr>
        <w:ind w:firstLine="420"/>
        <w:rPr>
          <w:color w:val="auto"/>
        </w:rPr>
      </w:pPr>
      <w:r>
        <w:rPr>
          <w:rFonts w:hint="eastAsia"/>
          <w:color w:val="auto"/>
        </w:rPr>
        <w:t xml:space="preserve">4 </w:t>
      </w:r>
      <w:r>
        <w:rPr>
          <w:color w:val="auto"/>
        </w:rPr>
        <w:t>电力变压器的能效水平应高于能效限定值或能效等级3级的要求</w:t>
      </w:r>
    </w:p>
    <w:p>
      <w:pPr>
        <w:rPr>
          <w:color w:val="auto"/>
        </w:rPr>
      </w:pPr>
      <w:r>
        <w:rPr>
          <w:rFonts w:hint="eastAsia"/>
          <w:color w:val="auto"/>
        </w:rPr>
        <w:t>5.2.5 电流</w:t>
      </w:r>
      <w:r>
        <w:rPr>
          <w:color w:val="auto"/>
        </w:rPr>
        <w:t>互感器、电压互感器的选择</w:t>
      </w:r>
      <w:r>
        <w:rPr>
          <w:rFonts w:hint="eastAsia"/>
          <w:color w:val="auto"/>
        </w:rPr>
        <w:t>宜符合</w:t>
      </w:r>
      <w:r>
        <w:rPr>
          <w:color w:val="auto"/>
        </w:rPr>
        <w:t>下列</w:t>
      </w:r>
      <w:r>
        <w:rPr>
          <w:rFonts w:hint="eastAsia"/>
          <w:color w:val="auto"/>
        </w:rPr>
        <w:t>条件：</w:t>
      </w:r>
    </w:p>
    <w:p>
      <w:pPr>
        <w:ind w:firstLine="420"/>
        <w:rPr>
          <w:color w:val="auto"/>
        </w:rPr>
      </w:pPr>
      <w:r>
        <w:rPr>
          <w:color w:val="auto"/>
        </w:rPr>
        <w:t>1 3～35kV配电装置的电流互感器、电压互感器宜选用树脂浇注绝缘结构</w:t>
      </w:r>
      <w:r>
        <w:rPr>
          <w:rFonts w:hint="eastAsia"/>
          <w:color w:val="auto"/>
        </w:rPr>
        <w:t>；</w:t>
      </w:r>
    </w:p>
    <w:p>
      <w:pPr>
        <w:ind w:firstLine="420"/>
        <w:rPr>
          <w:sz w:val="20"/>
          <w:szCs w:val="20"/>
        </w:rPr>
      </w:pPr>
      <w:r>
        <w:rPr>
          <w:rFonts w:hint="eastAsia"/>
          <w:color w:val="auto"/>
        </w:rPr>
        <w:t xml:space="preserve">2 </w:t>
      </w:r>
      <w:r>
        <w:rPr>
          <w:color w:val="auto"/>
        </w:rPr>
        <w:t>66～110kV配电装置的电流互感器、电压互感器可根据安装使用条件及产品制造水平选</w:t>
      </w:r>
      <w:r>
        <w:rPr>
          <w:sz w:val="20"/>
          <w:szCs w:val="20"/>
        </w:rPr>
        <w:t>择。</w:t>
      </w:r>
    </w:p>
    <w:p>
      <w:pPr>
        <w:rPr>
          <w:color w:val="auto"/>
        </w:rPr>
      </w:pPr>
      <w:r>
        <w:rPr>
          <w:rFonts w:hint="eastAsia"/>
          <w:color w:val="auto"/>
        </w:rPr>
        <w:t>5.2.6 避雷</w:t>
      </w:r>
      <w:r>
        <w:rPr>
          <w:color w:val="auto"/>
        </w:rPr>
        <w:t>器的选择</w:t>
      </w:r>
      <w:r>
        <w:rPr>
          <w:rFonts w:hint="eastAsia"/>
          <w:color w:val="auto"/>
        </w:rPr>
        <w:t>宜符合</w:t>
      </w:r>
      <w:r>
        <w:rPr>
          <w:color w:val="auto"/>
        </w:rPr>
        <w:t>下列</w:t>
      </w:r>
      <w:r>
        <w:rPr>
          <w:rFonts w:hint="eastAsia"/>
          <w:color w:val="auto"/>
        </w:rPr>
        <w:t>条件：</w:t>
      </w:r>
    </w:p>
    <w:p>
      <w:pPr>
        <w:ind w:firstLine="420"/>
        <w:rPr>
          <w:color w:val="auto"/>
        </w:rPr>
      </w:pPr>
      <w:r>
        <w:rPr>
          <w:rFonts w:hint="eastAsia"/>
          <w:color w:val="auto"/>
        </w:rPr>
        <w:t xml:space="preserve">1 </w:t>
      </w:r>
      <w:r>
        <w:rPr>
          <w:color w:val="auto"/>
        </w:rPr>
        <w:t>35kV及以下采用真空断路器的回路，宜根据被操作回路的负载性质(容性或感性负载)，选用金属氧化物避雷器或阻容吸收器进行过电压保护</w:t>
      </w:r>
      <w:r>
        <w:rPr>
          <w:rFonts w:hint="eastAsia"/>
          <w:color w:val="auto"/>
        </w:rPr>
        <w:t>；</w:t>
      </w:r>
    </w:p>
    <w:p>
      <w:pPr>
        <w:ind w:firstLine="420"/>
        <w:rPr>
          <w:color w:val="auto"/>
        </w:rPr>
      </w:pPr>
      <w:r>
        <w:rPr>
          <w:rFonts w:hint="eastAsia"/>
          <w:color w:val="auto"/>
        </w:rPr>
        <w:t xml:space="preserve">2 </w:t>
      </w:r>
      <w:r>
        <w:rPr>
          <w:color w:val="auto"/>
        </w:rPr>
        <w:t>66～110kV配电装置，宜采用金属氧化物避雷器进行过电压保护。</w:t>
      </w:r>
    </w:p>
    <w:p>
      <w:pPr>
        <w:rPr>
          <w:color w:val="auto"/>
        </w:rPr>
      </w:pPr>
      <w:r>
        <w:rPr>
          <w:rFonts w:hint="eastAsia"/>
          <w:color w:val="auto"/>
        </w:rPr>
        <w:t xml:space="preserve">5.2.7 </w:t>
      </w:r>
      <w:r>
        <w:rPr>
          <w:color w:val="auto"/>
        </w:rPr>
        <w:t>消弧线圈的选择</w:t>
      </w:r>
      <w:r>
        <w:rPr>
          <w:rFonts w:hint="eastAsia"/>
          <w:color w:val="auto"/>
        </w:rPr>
        <w:t>宜符合</w:t>
      </w:r>
      <w:r>
        <w:rPr>
          <w:color w:val="auto"/>
        </w:rPr>
        <w:t>下列</w:t>
      </w:r>
      <w:r>
        <w:rPr>
          <w:rFonts w:hint="eastAsia"/>
          <w:color w:val="auto"/>
        </w:rPr>
        <w:t>条件：</w:t>
      </w:r>
    </w:p>
    <w:p>
      <w:pPr>
        <w:ind w:firstLine="420"/>
        <w:rPr>
          <w:color w:val="auto"/>
        </w:rPr>
      </w:pPr>
      <w:r>
        <w:rPr>
          <w:rFonts w:hint="eastAsia"/>
          <w:color w:val="auto"/>
        </w:rPr>
        <w:t xml:space="preserve">1 </w:t>
      </w:r>
      <w:r>
        <w:rPr>
          <w:color w:val="auto"/>
        </w:rPr>
        <w:t>装设在屋外的消弧线圈宜选用油浸式；</w:t>
      </w:r>
    </w:p>
    <w:p>
      <w:pPr>
        <w:ind w:firstLine="420"/>
        <w:rPr>
          <w:color w:val="auto"/>
        </w:rPr>
      </w:pPr>
      <w:r>
        <w:rPr>
          <w:rFonts w:hint="eastAsia"/>
          <w:color w:val="auto"/>
        </w:rPr>
        <w:t xml:space="preserve">2 </w:t>
      </w:r>
      <w:r>
        <w:rPr>
          <w:color w:val="auto"/>
        </w:rPr>
        <w:t>装设在屋内的消弧线圈宜选用干式。</w:t>
      </w:r>
    </w:p>
    <w:p>
      <w:pPr>
        <w:rPr>
          <w:sz w:val="20"/>
          <w:szCs w:val="20"/>
        </w:rPr>
      </w:pPr>
      <w:r>
        <w:rPr>
          <w:rFonts w:hint="eastAsia"/>
          <w:color w:val="auto"/>
        </w:rPr>
        <w:t xml:space="preserve">5.2.8 </w:t>
      </w:r>
      <w:r>
        <w:rPr>
          <w:color w:val="auto"/>
        </w:rPr>
        <w:t>35kV及以下电压等级的配电装置宜采用金属封闭开关设备，金属成套开关设备应具备下列功能：   </w:t>
      </w:r>
      <w:r>
        <w:rPr>
          <w:sz w:val="20"/>
          <w:szCs w:val="20"/>
        </w:rPr>
        <w:t xml:space="preserve"> </w:t>
      </w:r>
    </w:p>
    <w:p>
      <w:pPr>
        <w:ind w:firstLine="420"/>
        <w:rPr>
          <w:color w:val="auto"/>
        </w:rPr>
      </w:pPr>
      <w:r>
        <w:rPr>
          <w:color w:val="auto"/>
        </w:rPr>
        <w:t>1 防止误分、误合断路器</w:t>
      </w:r>
      <w:r>
        <w:rPr>
          <w:rFonts w:hint="eastAsia"/>
          <w:color w:val="auto"/>
        </w:rPr>
        <w:t>；</w:t>
      </w:r>
    </w:p>
    <w:p>
      <w:pPr>
        <w:ind w:firstLine="420"/>
        <w:rPr>
          <w:color w:val="auto"/>
        </w:rPr>
      </w:pPr>
      <w:r>
        <w:rPr>
          <w:color w:val="auto"/>
        </w:rPr>
        <w:t>2 防止带负荷拉合隔离开关</w:t>
      </w:r>
      <w:r>
        <w:rPr>
          <w:rFonts w:hint="eastAsia"/>
          <w:color w:val="auto"/>
        </w:rPr>
        <w:t>；</w:t>
      </w:r>
    </w:p>
    <w:p>
      <w:pPr>
        <w:ind w:firstLine="420"/>
        <w:rPr>
          <w:color w:val="auto"/>
        </w:rPr>
      </w:pPr>
      <w:r>
        <w:rPr>
          <w:color w:val="auto"/>
        </w:rPr>
        <w:t>3 防止带电挂接地线(合接地开关)</w:t>
      </w:r>
      <w:r>
        <w:rPr>
          <w:rFonts w:hint="eastAsia"/>
          <w:color w:val="auto"/>
        </w:rPr>
        <w:t>；</w:t>
      </w:r>
    </w:p>
    <w:p>
      <w:pPr>
        <w:ind w:firstLine="420"/>
        <w:rPr>
          <w:color w:val="auto"/>
        </w:rPr>
      </w:pPr>
      <w:r>
        <w:rPr>
          <w:color w:val="auto"/>
        </w:rPr>
        <w:t>4 防止带接地线关(合)断路器(隔离开关)</w:t>
      </w:r>
      <w:r>
        <w:rPr>
          <w:rFonts w:hint="eastAsia"/>
          <w:color w:val="auto"/>
        </w:rPr>
        <w:t>；</w:t>
      </w:r>
    </w:p>
    <w:p>
      <w:pPr>
        <w:ind w:firstLine="420"/>
        <w:rPr>
          <w:color w:val="auto"/>
        </w:rPr>
      </w:pPr>
      <w:r>
        <w:rPr>
          <w:color w:val="auto"/>
        </w:rPr>
        <w:t>5 防止误入带电间隔。</w:t>
      </w:r>
    </w:p>
    <w:p>
      <w:pPr>
        <w:pStyle w:val="Heading2"/>
        <w:tabs>
          <w:tab w:val="left" w:pos="2935"/>
          <w:tab w:val="center" w:pos="4212"/>
        </w:tabs>
        <w:jc w:val="left"/>
        <w:rPr>
          <w:color w:val="auto"/>
        </w:rPr>
      </w:pPr>
      <w:r>
        <w:rPr>
          <w:rFonts w:hint="eastAsia"/>
          <w:color w:val="auto"/>
        </w:rPr>
        <w:tab/>
      </w:r>
      <w:bookmarkStart w:id="111" w:name="_Toc150789576"/>
      <w:bookmarkStart w:id="112" w:name="_Toc153207296"/>
      <w:bookmarkStart w:id="113" w:name="_Toc150520741"/>
      <w:bookmarkStart w:id="114" w:name="_Toc150521608"/>
      <w:bookmarkStart w:id="115" w:name="_Toc150841330"/>
      <w:bookmarkStart w:id="116" w:name="_Toc153204820"/>
      <w:r>
        <w:rPr>
          <w:rFonts w:hint="eastAsia"/>
          <w:color w:val="auto"/>
        </w:rPr>
        <w:t>5.3</w:t>
      </w:r>
      <w:r>
        <w:rPr>
          <w:rFonts w:ascii="宋体" w:hAnsi="宋体" w:cs="宋体" w:hint="eastAsia"/>
        </w:rPr>
        <w:t>配电装置的布置</w:t>
      </w:r>
      <w:bookmarkEnd w:id="111"/>
      <w:bookmarkEnd w:id="112"/>
      <w:bookmarkEnd w:id="113"/>
      <w:bookmarkEnd w:id="114"/>
      <w:bookmarkEnd w:id="115"/>
      <w:bookmarkEnd w:id="116"/>
    </w:p>
    <w:p>
      <w:pPr>
        <w:rPr>
          <w:color w:val="auto"/>
        </w:rPr>
      </w:pPr>
      <w:r>
        <w:rPr>
          <w:rFonts w:hint="eastAsia"/>
          <w:color w:val="auto"/>
        </w:rPr>
        <w:t>5.3.1  配电</w:t>
      </w:r>
      <w:r>
        <w:rPr>
          <w:color w:val="auto"/>
        </w:rPr>
        <w:t>装置布置</w:t>
      </w:r>
      <w:r>
        <w:rPr>
          <w:rFonts w:hint="eastAsia"/>
          <w:color w:val="auto"/>
        </w:rPr>
        <w:t>应</w:t>
      </w:r>
      <w:r>
        <w:rPr>
          <w:color w:val="auto"/>
        </w:rPr>
        <w:t>整齐</w:t>
      </w:r>
      <w:r>
        <w:rPr>
          <w:rFonts w:hint="eastAsia"/>
          <w:color w:val="auto"/>
        </w:rPr>
        <w:t>，</w:t>
      </w:r>
      <w:r>
        <w:rPr>
          <w:color w:val="auto"/>
        </w:rPr>
        <w:t>并应满足运行中对人身和设备安全的要求，且便于</w:t>
      </w:r>
      <w:r>
        <w:rPr>
          <w:rFonts w:hint="eastAsia"/>
          <w:color w:val="auto"/>
        </w:rPr>
        <w:t>操作</w:t>
      </w:r>
      <w:r>
        <w:rPr>
          <w:color w:val="auto"/>
        </w:rPr>
        <w:t>、巡视</w:t>
      </w:r>
      <w:r>
        <w:rPr>
          <w:rFonts w:hint="eastAsia"/>
          <w:color w:val="auto"/>
        </w:rPr>
        <w:t>、</w:t>
      </w:r>
      <w:r>
        <w:rPr>
          <w:color w:val="auto"/>
        </w:rPr>
        <w:t>检修及安装</w:t>
      </w:r>
      <w:r>
        <w:rPr>
          <w:rFonts w:hint="eastAsia"/>
          <w:color w:val="auto"/>
        </w:rPr>
        <w:t>。</w:t>
      </w:r>
    </w:p>
    <w:p>
      <w:pPr>
        <w:rPr>
          <w:color w:val="auto"/>
        </w:rPr>
      </w:pPr>
      <w:r>
        <w:rPr>
          <w:rFonts w:hint="eastAsia"/>
          <w:color w:val="auto"/>
        </w:rPr>
        <w:t>5.3.2  配电</w:t>
      </w:r>
      <w:r>
        <w:rPr>
          <w:color w:val="auto"/>
        </w:rPr>
        <w:t>装置</w:t>
      </w:r>
      <w:r>
        <w:rPr>
          <w:rFonts w:hint="eastAsia"/>
          <w:color w:val="auto"/>
        </w:rPr>
        <w:t>的</w:t>
      </w:r>
      <w:r>
        <w:rPr>
          <w:color w:val="auto"/>
        </w:rPr>
        <w:t>安全间距应符合</w:t>
      </w:r>
      <w:r>
        <w:rPr>
          <w:rFonts w:hint="eastAsia"/>
          <w:color w:val="auto"/>
        </w:rPr>
        <w:t>现行</w:t>
      </w:r>
      <w:r>
        <w:rPr>
          <w:color w:val="auto"/>
        </w:rPr>
        <w:t>国家标准《</w:t>
      </w:r>
      <w:r>
        <w:rPr>
          <w:rFonts w:hint="eastAsia"/>
          <w:color w:val="auto"/>
        </w:rPr>
        <w:t>3kV-110kV高压配电装置</w:t>
      </w:r>
      <w:r>
        <w:rPr>
          <w:color w:val="auto"/>
        </w:rPr>
        <w:t>》GB50060</w:t>
      </w:r>
      <w:r>
        <w:rPr>
          <w:rFonts w:hint="eastAsia"/>
          <w:color w:val="auto"/>
        </w:rPr>
        <w:t>的</w:t>
      </w:r>
      <w:r>
        <w:rPr>
          <w:color w:val="auto"/>
        </w:rPr>
        <w:t>规定。</w:t>
      </w:r>
    </w:p>
    <w:p>
      <w:pPr>
        <w:rPr>
          <w:color w:val="auto"/>
        </w:rPr>
      </w:pPr>
      <w:r>
        <w:rPr>
          <w:rFonts w:hint="eastAsia"/>
          <w:color w:val="auto"/>
        </w:rPr>
        <w:t>5.3.3  同类</w:t>
      </w:r>
      <w:r>
        <w:rPr>
          <w:color w:val="auto"/>
        </w:rPr>
        <w:t>设备宜布置在同一中心线或同一标高上。</w:t>
      </w:r>
    </w:p>
    <w:p>
      <w:pPr>
        <w:rPr>
          <w:color w:val="auto"/>
        </w:rPr>
      </w:pPr>
      <w:r>
        <w:rPr>
          <w:rFonts w:hint="eastAsia"/>
          <w:color w:val="auto"/>
        </w:rPr>
        <w:t>5.3.4  金属</w:t>
      </w:r>
      <w:r>
        <w:rPr>
          <w:color w:val="auto"/>
        </w:rPr>
        <w:t>封闭开关设备布置要求如下：</w:t>
      </w:r>
    </w:p>
    <w:p>
      <w:pPr>
        <w:ind w:firstLine="420"/>
        <w:rPr>
          <w:color w:val="auto"/>
        </w:rPr>
      </w:pPr>
      <w:r>
        <w:rPr>
          <w:color w:val="auto"/>
        </w:rPr>
        <w:t>1  3～35kV金属封闭高压开关</w:t>
      </w:r>
      <w:r>
        <w:rPr>
          <w:rFonts w:hint="eastAsia"/>
          <w:color w:val="auto"/>
        </w:rPr>
        <w:t>设备配电</w:t>
      </w:r>
      <w:r>
        <w:rPr>
          <w:color w:val="auto"/>
        </w:rPr>
        <w:t>装置应</w:t>
      </w:r>
      <w:r>
        <w:rPr>
          <w:rFonts w:hint="eastAsia"/>
          <w:color w:val="auto"/>
        </w:rPr>
        <w:t>在户</w:t>
      </w:r>
      <w:r>
        <w:rPr>
          <w:color w:val="auto"/>
        </w:rPr>
        <w:t>内布置</w:t>
      </w:r>
      <w:r>
        <w:rPr>
          <w:rFonts w:hint="eastAsia"/>
          <w:color w:val="auto"/>
        </w:rPr>
        <w:t>；</w:t>
      </w:r>
    </w:p>
    <w:p>
      <w:pPr>
        <w:ind w:firstLine="420"/>
        <w:rPr>
          <w:color w:val="auto"/>
        </w:rPr>
      </w:pPr>
      <w:r>
        <w:rPr>
          <w:color w:val="auto"/>
        </w:rPr>
        <w:t>2  110kV气体绝缘金属封闭开关设备</w:t>
      </w:r>
      <w:r>
        <w:rPr>
          <w:rFonts w:hint="eastAsia"/>
          <w:color w:val="auto"/>
        </w:rPr>
        <w:t>配电</w:t>
      </w:r>
      <w:r>
        <w:rPr>
          <w:color w:val="auto"/>
        </w:rPr>
        <w:t>装置可</w:t>
      </w:r>
      <w:r>
        <w:rPr>
          <w:rFonts w:hint="eastAsia"/>
          <w:color w:val="auto"/>
        </w:rPr>
        <w:t>在</w:t>
      </w:r>
      <w:r>
        <w:rPr>
          <w:color w:val="auto"/>
        </w:rPr>
        <w:t>户内或户外布置。</w:t>
      </w:r>
    </w:p>
    <w:p>
      <w:pPr>
        <w:rPr>
          <w:color w:val="auto"/>
        </w:rPr>
      </w:pPr>
      <w:r>
        <w:rPr>
          <w:color w:val="auto"/>
        </w:rPr>
        <w:t xml:space="preserve">5.3.5  </w:t>
      </w:r>
      <w:r>
        <w:rPr>
          <w:sz w:val="20"/>
          <w:szCs w:val="20"/>
        </w:rPr>
        <w:t>SF</w:t>
      </w:r>
      <w:r>
        <w:rPr>
          <w:sz w:val="20"/>
          <w:szCs w:val="20"/>
          <w:vertAlign w:val="subscript"/>
        </w:rPr>
        <w:t>6</w:t>
      </w:r>
      <w:r>
        <w:rPr>
          <w:rFonts w:hint="eastAsia"/>
          <w:color w:val="auto"/>
        </w:rPr>
        <w:t>配电装置</w:t>
      </w:r>
      <w:r>
        <w:rPr>
          <w:color w:val="auto"/>
        </w:rPr>
        <w:t>户内布置时，宜设置</w:t>
      </w:r>
      <w:r>
        <w:rPr>
          <w:rFonts w:hint="eastAsia"/>
          <w:color w:val="auto"/>
        </w:rPr>
        <w:t>在</w:t>
      </w:r>
      <w:r>
        <w:rPr>
          <w:color w:val="auto"/>
        </w:rPr>
        <w:t>独立的房间内</w:t>
      </w:r>
      <w:r>
        <w:rPr>
          <w:rFonts w:hint="eastAsia"/>
          <w:color w:val="auto"/>
        </w:rPr>
        <w:t>，并应</w:t>
      </w:r>
      <w:r>
        <w:rPr>
          <w:color w:val="auto"/>
        </w:rPr>
        <w:t>设</w:t>
      </w:r>
      <w:r>
        <w:rPr>
          <w:rFonts w:hint="eastAsia"/>
          <w:color w:val="auto"/>
        </w:rPr>
        <w:t>通风</w:t>
      </w:r>
      <w:r>
        <w:rPr>
          <w:color w:val="auto"/>
        </w:rPr>
        <w:t>、</w:t>
      </w:r>
      <w:r>
        <w:rPr>
          <w:rFonts w:hint="eastAsia"/>
          <w:color w:val="auto"/>
        </w:rPr>
        <w:t>排风</w:t>
      </w:r>
      <w:r>
        <w:rPr>
          <w:color w:val="auto"/>
        </w:rPr>
        <w:t>装置，</w:t>
      </w:r>
      <w:r>
        <w:rPr>
          <w:rFonts w:hint="eastAsia"/>
          <w:color w:val="auto"/>
        </w:rPr>
        <w:t>不宜</w:t>
      </w:r>
      <w:r>
        <w:rPr>
          <w:color w:val="auto"/>
        </w:rPr>
        <w:t>设置在人员经常活动的的设施上方。</w:t>
      </w:r>
    </w:p>
    <w:p>
      <w:pPr>
        <w:rPr>
          <w:color w:val="auto"/>
        </w:rPr>
      </w:pPr>
      <w:r>
        <w:rPr>
          <w:color w:val="auto"/>
        </w:rPr>
        <w:t xml:space="preserve">5.3.6  </w:t>
      </w:r>
      <w:r>
        <w:rPr>
          <w:rFonts w:hint="eastAsia"/>
          <w:color w:val="auto"/>
        </w:rPr>
        <w:t>当</w:t>
      </w:r>
      <w:r>
        <w:rPr>
          <w:color w:val="auto"/>
        </w:rPr>
        <w:t>工厂</w:t>
      </w:r>
      <w:r>
        <w:rPr>
          <w:rFonts w:hint="eastAsia"/>
          <w:color w:val="auto"/>
        </w:rPr>
        <w:t>66</w:t>
      </w:r>
      <w:r>
        <w:rPr>
          <w:color w:val="auto"/>
        </w:rPr>
        <w:t>kV</w:t>
      </w:r>
      <w:r>
        <w:rPr>
          <w:rFonts w:hint="eastAsia"/>
          <w:color w:val="auto"/>
        </w:rPr>
        <w:t>、110</w:t>
      </w:r>
      <w:r>
        <w:rPr>
          <w:color w:val="auto"/>
        </w:rPr>
        <w:t>kV</w:t>
      </w:r>
      <w:r>
        <w:rPr>
          <w:rFonts w:hint="eastAsia"/>
          <w:color w:val="auto"/>
        </w:rPr>
        <w:t>供电</w:t>
      </w:r>
      <w:r>
        <w:rPr>
          <w:color w:val="auto"/>
        </w:rPr>
        <w:t>系统采用</w:t>
      </w:r>
      <w:r>
        <w:rPr>
          <w:sz w:val="20"/>
          <w:szCs w:val="20"/>
        </w:rPr>
        <w:t>SF</w:t>
      </w:r>
      <w:r>
        <w:rPr>
          <w:sz w:val="20"/>
          <w:szCs w:val="20"/>
          <w:vertAlign w:val="subscript"/>
        </w:rPr>
        <w:t>6</w:t>
      </w:r>
      <w:r>
        <w:rPr>
          <w:rFonts w:hint="eastAsia"/>
          <w:color w:val="auto"/>
        </w:rPr>
        <w:t>配电装置时</w:t>
      </w:r>
      <w:r>
        <w:rPr>
          <w:color w:val="auto"/>
        </w:rPr>
        <w:t>，终端杆塔尽量靠近</w:t>
      </w:r>
      <w:r>
        <w:rPr>
          <w:rFonts w:hint="eastAsia"/>
          <w:color w:val="auto"/>
        </w:rPr>
        <w:t>总变（配）电站边缘</w:t>
      </w:r>
      <w:r>
        <w:rPr>
          <w:color w:val="auto"/>
        </w:rPr>
        <w:t>设置，架空线路的交叉换位应在终端杆塔之前完成，其相序排列应和进线套管的相位一致。</w:t>
      </w:r>
    </w:p>
    <w:p>
      <w:pPr>
        <w:rPr>
          <w:color w:val="auto"/>
          <w:highlight w:val="yellow"/>
        </w:rPr>
      </w:pPr>
      <w:r>
        <w:rPr>
          <w:rFonts w:hint="eastAsia"/>
          <w:color w:val="auto"/>
        </w:rPr>
        <w:t>5.3.</w:t>
      </w:r>
      <w:r>
        <w:rPr>
          <w:color w:val="auto"/>
        </w:rPr>
        <w:t>7</w:t>
      </w:r>
      <w:r>
        <w:rPr>
          <w:rFonts w:hint="eastAsia"/>
          <w:color w:val="auto"/>
        </w:rPr>
        <w:t xml:space="preserve">  配电</w:t>
      </w:r>
      <w:r>
        <w:rPr>
          <w:color w:val="auto"/>
        </w:rPr>
        <w:t>装置的布置应避免供配电线路进</w:t>
      </w:r>
      <w:r>
        <w:rPr>
          <w:rFonts w:hint="eastAsia"/>
          <w:color w:val="auto"/>
        </w:rPr>
        <w:t>、</w:t>
      </w:r>
      <w:r>
        <w:rPr>
          <w:color w:val="auto"/>
        </w:rPr>
        <w:t>出线</w:t>
      </w:r>
      <w:r>
        <w:rPr>
          <w:rFonts w:hint="eastAsia"/>
          <w:color w:val="auto"/>
        </w:rPr>
        <w:t>的</w:t>
      </w:r>
      <w:r>
        <w:rPr>
          <w:color w:val="auto"/>
        </w:rPr>
        <w:t>交叉。</w:t>
      </w:r>
    </w:p>
    <w:p>
      <w:pPr>
        <w:rPr>
          <w:color w:val="auto"/>
          <w:highlight w:val="yellow"/>
        </w:rPr>
      </w:pPr>
    </w:p>
    <w:p>
      <w:pPr>
        <w:pStyle w:val="Heading2"/>
        <w:tabs>
          <w:tab w:val="left" w:pos="2935"/>
          <w:tab w:val="center" w:pos="4212"/>
        </w:tabs>
        <w:jc w:val="left"/>
        <w:rPr>
          <w:color w:val="auto"/>
        </w:rPr>
      </w:pPr>
      <w:r>
        <w:rPr>
          <w:rFonts w:hint="eastAsia"/>
          <w:color w:val="auto"/>
        </w:rPr>
        <w:tab/>
      </w:r>
      <w:bookmarkStart w:id="117" w:name="_Toc150520742"/>
      <w:bookmarkStart w:id="118" w:name="_Toc150789577"/>
      <w:bookmarkStart w:id="119" w:name="_Toc150841331"/>
      <w:bookmarkStart w:id="120" w:name="_Toc153204821"/>
      <w:bookmarkStart w:id="121" w:name="_Toc150521609"/>
      <w:bookmarkStart w:id="122" w:name="_Toc153207297"/>
      <w:r>
        <w:rPr>
          <w:rFonts w:hint="eastAsia"/>
          <w:color w:val="auto"/>
        </w:rPr>
        <w:t>5.</w:t>
      </w:r>
      <w:r>
        <w:rPr>
          <w:color w:val="auto"/>
        </w:rPr>
        <w:t>4</w:t>
      </w:r>
      <w:r>
        <w:rPr>
          <w:rFonts w:ascii="宋体" w:hAnsi="宋体" w:cs="宋体" w:hint="eastAsia"/>
        </w:rPr>
        <w:t>继电保护、自动装置及电气测量</w:t>
      </w:r>
      <w:bookmarkEnd w:id="117"/>
      <w:bookmarkEnd w:id="118"/>
      <w:bookmarkEnd w:id="119"/>
      <w:bookmarkEnd w:id="120"/>
      <w:bookmarkEnd w:id="121"/>
      <w:bookmarkEnd w:id="122"/>
    </w:p>
    <w:p>
      <w:pPr>
        <w:rPr>
          <w:color w:val="auto"/>
        </w:rPr>
        <w:sectPr>
          <w:headerReference w:type="default" r:id="rId22"/>
          <w:footerReference w:type="default" r:id="rId23"/>
          <w:type w:val="nextPage"/>
          <w:pgSz w:w="11906" w:h="16838"/>
          <w:pgMar w:top="1440" w:right="1800" w:bottom="1440" w:left="1800" w:header="851" w:footer="992" w:gutter="0"/>
          <w:pgNumType w:start="9"/>
          <w:cols w:num="1" w:space="425"/>
          <w:titlePg w:val="0"/>
          <w:docGrid w:type="lines" w:linePitch="312" w:charSpace="0"/>
        </w:sectPr>
      </w:pPr>
      <w:r>
        <w:rPr>
          <w:rFonts w:hint="eastAsia"/>
          <w:color w:val="auto"/>
        </w:rPr>
        <w:t>5.4.1  工厂供配电系统继电</w:t>
      </w:r>
      <w:r>
        <w:rPr>
          <w:color w:val="auto"/>
        </w:rPr>
        <w:t>保护</w:t>
      </w:r>
      <w:r>
        <w:rPr>
          <w:rFonts w:hint="eastAsia"/>
          <w:color w:val="auto"/>
        </w:rPr>
        <w:t>和</w:t>
      </w:r>
      <w:r>
        <w:rPr>
          <w:color w:val="auto"/>
        </w:rPr>
        <w:t>自动装置的设置，应符合</w:t>
      </w:r>
      <w:r>
        <w:rPr>
          <w:rFonts w:hint="eastAsia"/>
          <w:color w:val="auto"/>
        </w:rPr>
        <w:t>现行</w:t>
      </w:r>
      <w:r>
        <w:rPr>
          <w:color w:val="auto"/>
        </w:rPr>
        <w:t>国家标准</w:t>
      </w:r>
    </w:p>
    <w:p>
      <w:pPr>
        <w:rPr>
          <w:color w:val="auto"/>
        </w:rPr>
      </w:pPr>
      <w:r>
        <w:rPr>
          <w:rFonts w:hint="eastAsia"/>
          <w:color w:val="auto"/>
        </w:rPr>
        <w:t>《电力装置的继电保护和自动装置设计规范》GB50062和</w:t>
      </w:r>
      <w:r>
        <w:rPr>
          <w:color w:val="auto"/>
        </w:rPr>
        <w:t>电力行业</w:t>
      </w:r>
      <w:r>
        <w:rPr>
          <w:rFonts w:hint="eastAsia"/>
          <w:color w:val="auto"/>
        </w:rPr>
        <w:t>有关规范、</w:t>
      </w:r>
      <w:r>
        <w:rPr>
          <w:color w:val="auto"/>
        </w:rPr>
        <w:t>规程的</w:t>
      </w:r>
      <w:r>
        <w:rPr>
          <w:rFonts w:hint="eastAsia"/>
          <w:color w:val="auto"/>
        </w:rPr>
        <w:t>规定，工厂</w:t>
      </w:r>
      <w:r>
        <w:rPr>
          <w:color w:val="auto"/>
        </w:rPr>
        <w:t>电源</w:t>
      </w:r>
      <w:r>
        <w:rPr>
          <w:rFonts w:hint="eastAsia"/>
          <w:color w:val="auto"/>
        </w:rPr>
        <w:t>接入系统的</w:t>
      </w:r>
      <w:r>
        <w:rPr>
          <w:color w:val="auto"/>
        </w:rPr>
        <w:t>继电保护和自动化装置</w:t>
      </w:r>
      <w:r>
        <w:rPr>
          <w:rFonts w:hint="eastAsia"/>
          <w:color w:val="auto"/>
        </w:rPr>
        <w:t>的</w:t>
      </w:r>
      <w:r>
        <w:rPr>
          <w:color w:val="auto"/>
        </w:rPr>
        <w:t>设置</w:t>
      </w:r>
      <w:r>
        <w:rPr>
          <w:rFonts w:hint="eastAsia"/>
          <w:color w:val="auto"/>
        </w:rPr>
        <w:t>除</w:t>
      </w:r>
      <w:r>
        <w:rPr>
          <w:color w:val="auto"/>
        </w:rPr>
        <w:t>满足用户要求外，</w:t>
      </w:r>
      <w:r>
        <w:rPr>
          <w:rFonts w:hint="eastAsia"/>
          <w:color w:val="auto"/>
        </w:rPr>
        <w:t>尚需</w:t>
      </w:r>
      <w:r>
        <w:rPr>
          <w:color w:val="auto"/>
        </w:rPr>
        <w:t>与供电部门的要求相适应</w:t>
      </w:r>
      <w:r>
        <w:rPr>
          <w:rFonts w:hint="eastAsia"/>
          <w:color w:val="auto"/>
        </w:rPr>
        <w:t>。</w:t>
      </w:r>
    </w:p>
    <w:p>
      <w:pPr>
        <w:rPr>
          <w:color w:val="auto"/>
        </w:rPr>
      </w:pPr>
      <w:r>
        <w:rPr>
          <w:rFonts w:hint="eastAsia"/>
          <w:color w:val="auto"/>
        </w:rPr>
        <w:t>5.4.2  总变（配）电站与下级变配电所的自动</w:t>
      </w:r>
      <w:r>
        <w:rPr>
          <w:color w:val="auto"/>
        </w:rPr>
        <w:t>装置</w:t>
      </w:r>
      <w:r>
        <w:rPr>
          <w:rFonts w:hint="eastAsia"/>
          <w:color w:val="auto"/>
        </w:rPr>
        <w:t>之间整定时限</w:t>
      </w:r>
      <w:r>
        <w:rPr>
          <w:color w:val="auto"/>
        </w:rPr>
        <w:t>应相互配合，</w:t>
      </w:r>
      <w:r>
        <w:rPr>
          <w:rFonts w:hint="eastAsia"/>
          <w:color w:val="auto"/>
        </w:rPr>
        <w:t>并满足各级电动机</w:t>
      </w:r>
      <w:r>
        <w:rPr>
          <w:color w:val="auto"/>
        </w:rPr>
        <w:t>再启动的要求</w:t>
      </w:r>
      <w:r>
        <w:rPr>
          <w:rFonts w:hint="eastAsia"/>
          <w:color w:val="auto"/>
        </w:rPr>
        <w:t>。</w:t>
      </w:r>
    </w:p>
    <w:p>
      <w:pPr>
        <w:rPr>
          <w:color w:val="auto"/>
        </w:rPr>
      </w:pPr>
      <w:r>
        <w:rPr>
          <w:rFonts w:hint="eastAsia"/>
          <w:color w:val="auto"/>
        </w:rPr>
        <w:t xml:space="preserve">5.4.3  </w:t>
      </w:r>
      <w:r>
        <w:rPr>
          <w:color w:val="auto"/>
        </w:rPr>
        <w:t>10</w:t>
      </w:r>
      <w:r>
        <w:rPr>
          <w:rFonts w:hint="eastAsia"/>
          <w:color w:val="auto"/>
        </w:rPr>
        <w:t>kV</w:t>
      </w:r>
      <w:r>
        <w:rPr>
          <w:color w:val="auto"/>
        </w:rPr>
        <w:t>进户断路器应具有短路电流延时速断保护功能</w:t>
      </w:r>
      <w:r>
        <w:rPr>
          <w:rFonts w:hint="eastAsia"/>
          <w:color w:val="auto"/>
        </w:rPr>
        <w:t>。</w:t>
      </w:r>
    </w:p>
    <w:p>
      <w:pPr>
        <w:rPr>
          <w:color w:val="auto"/>
        </w:rPr>
      </w:pPr>
      <w:r>
        <w:rPr>
          <w:rFonts w:hint="eastAsia"/>
          <w:color w:val="auto"/>
        </w:rPr>
        <w:t>5.4.4工厂供配电系统电气</w:t>
      </w:r>
      <w:r>
        <w:rPr>
          <w:color w:val="auto"/>
        </w:rPr>
        <w:t>测量</w:t>
      </w:r>
      <w:r>
        <w:rPr>
          <w:rFonts w:hint="eastAsia"/>
          <w:color w:val="auto"/>
        </w:rPr>
        <w:t>的</w:t>
      </w:r>
      <w:r>
        <w:rPr>
          <w:color w:val="auto"/>
        </w:rPr>
        <w:t>设置，应符合</w:t>
      </w:r>
      <w:r>
        <w:rPr>
          <w:rFonts w:hint="eastAsia"/>
          <w:color w:val="auto"/>
        </w:rPr>
        <w:t>现行</w:t>
      </w:r>
      <w:r>
        <w:rPr>
          <w:color w:val="auto"/>
        </w:rPr>
        <w:t>国家标准</w:t>
      </w:r>
      <w:r>
        <w:rPr>
          <w:rFonts w:hint="eastAsia"/>
          <w:color w:val="auto"/>
        </w:rPr>
        <w:t>《电力装置电测量仪表装置设计规范》GB5006</w:t>
      </w:r>
      <w:r>
        <w:rPr>
          <w:color w:val="auto"/>
        </w:rPr>
        <w:t>3</w:t>
      </w:r>
      <w:r>
        <w:rPr>
          <w:rFonts w:hint="eastAsia"/>
          <w:color w:val="auto"/>
        </w:rPr>
        <w:t>和</w:t>
      </w:r>
      <w:r>
        <w:rPr>
          <w:color w:val="auto"/>
        </w:rPr>
        <w:t>电力行业</w:t>
      </w:r>
      <w:r>
        <w:rPr>
          <w:rFonts w:hint="eastAsia"/>
          <w:color w:val="auto"/>
        </w:rPr>
        <w:t>有关规范、</w:t>
      </w:r>
      <w:r>
        <w:rPr>
          <w:color w:val="auto"/>
        </w:rPr>
        <w:t>规程的</w:t>
      </w:r>
      <w:r>
        <w:rPr>
          <w:rFonts w:hint="eastAsia"/>
          <w:color w:val="auto"/>
        </w:rPr>
        <w:t>规定，工厂</w:t>
      </w:r>
      <w:r>
        <w:rPr>
          <w:color w:val="auto"/>
        </w:rPr>
        <w:t>电源</w:t>
      </w:r>
      <w:r>
        <w:rPr>
          <w:rFonts w:hint="eastAsia"/>
          <w:color w:val="auto"/>
        </w:rPr>
        <w:t>接入系统的电能计</w:t>
      </w:r>
      <w:r>
        <w:rPr>
          <w:color w:val="auto"/>
        </w:rPr>
        <w:t>量</w:t>
      </w:r>
      <w:r>
        <w:rPr>
          <w:rFonts w:hint="eastAsia"/>
          <w:color w:val="auto"/>
        </w:rPr>
        <w:t>的</w:t>
      </w:r>
      <w:r>
        <w:rPr>
          <w:color w:val="auto"/>
        </w:rPr>
        <w:t>设置</w:t>
      </w:r>
      <w:r>
        <w:rPr>
          <w:rFonts w:hint="eastAsia"/>
          <w:color w:val="auto"/>
        </w:rPr>
        <w:t>除</w:t>
      </w:r>
      <w:r>
        <w:rPr>
          <w:color w:val="auto"/>
        </w:rPr>
        <w:t>满足用户要求外，</w:t>
      </w:r>
      <w:r>
        <w:rPr>
          <w:rFonts w:hint="eastAsia"/>
          <w:color w:val="auto"/>
        </w:rPr>
        <w:t>尚需满足</w:t>
      </w:r>
      <w:r>
        <w:rPr>
          <w:color w:val="auto"/>
        </w:rPr>
        <w:t>供电部门的要求</w:t>
      </w:r>
      <w:r>
        <w:rPr>
          <w:rFonts w:hint="eastAsia"/>
          <w:color w:val="auto"/>
        </w:rPr>
        <w:t>。</w:t>
      </w:r>
    </w:p>
    <w:p>
      <w:pPr>
        <w:rPr>
          <w:color w:val="auto"/>
        </w:rPr>
      </w:pPr>
    </w:p>
    <w:p>
      <w:pPr>
        <w:rPr>
          <w:color w:val="auto"/>
          <w:highlight w:val="yellow"/>
        </w:rPr>
      </w:pPr>
    </w:p>
    <w:p>
      <w:pPr>
        <w:pStyle w:val="Heading2"/>
        <w:tabs>
          <w:tab w:val="left" w:pos="2935"/>
          <w:tab w:val="center" w:pos="4212"/>
        </w:tabs>
        <w:jc w:val="left"/>
        <w:rPr>
          <w:color w:val="auto"/>
        </w:rPr>
      </w:pPr>
      <w:r>
        <w:rPr>
          <w:rFonts w:hint="eastAsia"/>
          <w:color w:val="auto"/>
        </w:rPr>
        <w:tab/>
      </w:r>
      <w:bookmarkStart w:id="123" w:name="_Toc153204822"/>
      <w:bookmarkStart w:id="124" w:name="_Toc150841332"/>
      <w:bookmarkStart w:id="125" w:name="_Toc150789578"/>
      <w:bookmarkStart w:id="126" w:name="_Toc153207298"/>
      <w:bookmarkStart w:id="127" w:name="_Toc150520743"/>
      <w:bookmarkStart w:id="128" w:name="_Toc150521610"/>
      <w:r>
        <w:rPr>
          <w:rFonts w:hint="eastAsia"/>
          <w:color w:val="auto"/>
        </w:rPr>
        <w:t>5.</w:t>
      </w:r>
      <w:r>
        <w:rPr>
          <w:color w:val="auto"/>
        </w:rPr>
        <w:t>5</w:t>
      </w:r>
      <w:r>
        <w:rPr>
          <w:rFonts w:ascii="宋体" w:hAnsi="宋体" w:cs="宋体" w:hint="eastAsia"/>
        </w:rPr>
        <w:t>所用电和操作电源</w:t>
      </w:r>
      <w:bookmarkEnd w:id="123"/>
      <w:bookmarkEnd w:id="124"/>
      <w:bookmarkEnd w:id="125"/>
      <w:bookmarkEnd w:id="126"/>
      <w:bookmarkEnd w:id="127"/>
      <w:bookmarkEnd w:id="128"/>
    </w:p>
    <w:p>
      <w:pPr>
        <w:rPr>
          <w:color w:val="auto"/>
        </w:rPr>
      </w:pPr>
      <w:r>
        <w:rPr>
          <w:rFonts w:hint="eastAsia"/>
          <w:color w:val="auto"/>
        </w:rPr>
        <w:t>5.5.1  总变（配）电站宜</w:t>
      </w:r>
      <w:r>
        <w:rPr>
          <w:color w:val="auto"/>
        </w:rPr>
        <w:t>装设两台</w:t>
      </w:r>
      <w:r>
        <w:t>容量相同可互为备用的</w:t>
      </w:r>
      <w:r>
        <w:rPr>
          <w:color w:val="auto"/>
        </w:rPr>
        <w:t>所用变压器</w:t>
      </w:r>
      <w:r>
        <w:rPr>
          <w:rFonts w:hint="eastAsia"/>
          <w:color w:val="auto"/>
        </w:rPr>
        <w:t>，</w:t>
      </w:r>
      <w:r>
        <w:rPr>
          <w:color w:val="auto"/>
        </w:rPr>
        <w:t>两台所用变压器二次侧宜装设电源自动切换装置</w:t>
      </w:r>
      <w:r>
        <w:rPr>
          <w:rFonts w:hint="eastAsia"/>
          <w:color w:val="auto"/>
        </w:rPr>
        <w:t>。</w:t>
      </w:r>
    </w:p>
    <w:p>
      <w:pPr>
        <w:rPr>
          <w:color w:val="auto"/>
        </w:rPr>
      </w:pPr>
      <w:r>
        <w:rPr>
          <w:rFonts w:hint="eastAsia"/>
          <w:color w:val="auto"/>
        </w:rPr>
        <w:t>5.5.2 所用</w:t>
      </w:r>
      <w:r>
        <w:rPr>
          <w:color w:val="auto"/>
        </w:rPr>
        <w:t>变压器</w:t>
      </w:r>
      <w:r>
        <w:rPr>
          <w:rFonts w:hint="eastAsia"/>
          <w:color w:val="auto"/>
        </w:rPr>
        <w:t>宜</w:t>
      </w:r>
      <w:r>
        <w:rPr>
          <w:color w:val="auto"/>
        </w:rPr>
        <w:t>采用干式变压器</w:t>
      </w:r>
      <w:r>
        <w:rPr>
          <w:rFonts w:hint="eastAsia"/>
          <w:color w:val="auto"/>
        </w:rPr>
        <w:t>。</w:t>
      </w:r>
    </w:p>
    <w:p>
      <w:pPr>
        <w:rPr>
          <w:color w:val="auto"/>
        </w:rPr>
      </w:pPr>
      <w:r>
        <w:rPr>
          <w:rFonts w:hint="eastAsia"/>
          <w:color w:val="auto"/>
        </w:rPr>
        <w:t>5.5.3 所用</w:t>
      </w:r>
      <w:r>
        <w:rPr>
          <w:color w:val="auto"/>
        </w:rPr>
        <w:t>变压器应独立</w:t>
      </w:r>
      <w:r>
        <w:rPr>
          <w:rFonts w:hint="eastAsia"/>
          <w:color w:val="auto"/>
        </w:rPr>
        <w:t>设置</w:t>
      </w:r>
      <w:r>
        <w:rPr>
          <w:color w:val="auto"/>
        </w:rPr>
        <w:t>，不宜利用接地变压器兼做所用变压器。</w:t>
      </w:r>
    </w:p>
    <w:p>
      <w:pPr>
        <w:rPr>
          <w:color w:val="auto"/>
        </w:rPr>
      </w:pPr>
      <w:r>
        <w:rPr>
          <w:rFonts w:hint="eastAsia"/>
          <w:color w:val="auto"/>
        </w:rPr>
        <w:t>5.5.4 所用</w:t>
      </w:r>
      <w:r>
        <w:rPr>
          <w:color w:val="auto"/>
        </w:rPr>
        <w:t>变压器一次侧电压按其接入母线的空载电压选</w:t>
      </w:r>
      <w:r>
        <w:rPr>
          <w:rFonts w:hint="eastAsia"/>
          <w:color w:val="auto"/>
        </w:rPr>
        <w:t>取</w:t>
      </w:r>
      <w:r>
        <w:rPr>
          <w:color w:val="auto"/>
        </w:rPr>
        <w:t>。</w:t>
      </w:r>
    </w:p>
    <w:p>
      <w:pPr>
        <w:rPr>
          <w:color w:val="auto"/>
        </w:rPr>
      </w:pPr>
      <w:r>
        <w:rPr>
          <w:rFonts w:hint="eastAsia"/>
          <w:color w:val="auto"/>
        </w:rPr>
        <w:t>5.5.5 所用变压器</w:t>
      </w:r>
      <w:r>
        <w:rPr>
          <w:color w:val="auto"/>
        </w:rPr>
        <w:t>的容量应按</w:t>
      </w:r>
      <w:r>
        <w:rPr>
          <w:rFonts w:hint="eastAsia"/>
          <w:color w:val="auto"/>
        </w:rPr>
        <w:t>总变（配）电站最大</w:t>
      </w:r>
      <w:r>
        <w:rPr>
          <w:color w:val="auto"/>
        </w:rPr>
        <w:t>计算负荷确定。</w:t>
      </w:r>
    </w:p>
    <w:p>
      <w:r>
        <w:rPr>
          <w:rFonts w:hint="eastAsia"/>
          <w:color w:val="auto"/>
        </w:rPr>
        <w:t>5.5.6 总变（配）电站的</w:t>
      </w:r>
      <w:r>
        <w:rPr>
          <w:color w:val="auto"/>
        </w:rPr>
        <w:t>操作电源应采用</w:t>
      </w:r>
      <w:r>
        <w:t>110V或220V</w:t>
      </w:r>
      <w:r>
        <w:rPr>
          <w:color w:val="auto"/>
        </w:rPr>
        <w:t>成套直流电源装置</w:t>
      </w:r>
      <w:r>
        <w:rPr>
          <w:rFonts w:hint="eastAsia"/>
          <w:color w:val="auto"/>
        </w:rPr>
        <w:t>，成套</w:t>
      </w:r>
      <w:r>
        <w:t>蓄电池组容量应符合下列要求：</w:t>
      </w:r>
    </w:p>
    <w:p>
      <w:pPr>
        <w:ind w:firstLine="420"/>
      </w:pPr>
      <w:r>
        <w:rPr>
          <w:rFonts w:hint="eastAsia"/>
        </w:rPr>
        <w:t xml:space="preserve">1 </w:t>
      </w:r>
      <w:r>
        <w:t>有人值班</w:t>
      </w:r>
      <w:r>
        <w:rPr>
          <w:rFonts w:hint="eastAsia"/>
          <w:color w:val="auto"/>
        </w:rPr>
        <w:t>总变（配）电站</w:t>
      </w:r>
      <w:r>
        <w:t>为全站事故停电1h的放电容量</w:t>
      </w:r>
      <w:r>
        <w:rPr>
          <w:rFonts w:hint="eastAsia"/>
        </w:rPr>
        <w:t>；</w:t>
      </w:r>
    </w:p>
    <w:p>
      <w:pPr>
        <w:ind w:firstLine="420"/>
      </w:pPr>
      <w:r>
        <w:t>2 无人值班</w:t>
      </w:r>
      <w:r>
        <w:rPr>
          <w:rFonts w:hint="eastAsia"/>
          <w:color w:val="auto"/>
        </w:rPr>
        <w:t>总变（配）电站</w:t>
      </w:r>
      <w:r>
        <w:t>为全站事故停电2h的放电容量</w:t>
      </w:r>
      <w:r>
        <w:rPr>
          <w:rFonts w:hint="eastAsia"/>
        </w:rPr>
        <w:t>；</w:t>
      </w:r>
    </w:p>
    <w:p>
      <w:pPr>
        <w:ind w:firstLine="420"/>
        <w:rPr>
          <w:color w:val="auto"/>
        </w:rPr>
      </w:pPr>
      <w:r>
        <w:rPr>
          <w:rFonts w:hint="eastAsia"/>
        </w:rPr>
        <w:t xml:space="preserve">3 </w:t>
      </w:r>
      <w:r>
        <w:t>应满足事故放电末期最大冲击负荷的要求。</w:t>
      </w:r>
    </w:p>
    <w:p>
      <w:pPr>
        <w:pStyle w:val="Heading2"/>
        <w:tabs>
          <w:tab w:val="left" w:pos="2935"/>
          <w:tab w:val="center" w:pos="4212"/>
        </w:tabs>
        <w:jc w:val="left"/>
        <w:rPr>
          <w:color w:val="auto"/>
        </w:rPr>
      </w:pPr>
      <w:r>
        <w:rPr>
          <w:rFonts w:hint="eastAsia"/>
          <w:color w:val="auto"/>
        </w:rPr>
        <w:tab/>
      </w:r>
      <w:bookmarkStart w:id="129" w:name="_Toc153207299"/>
      <w:bookmarkStart w:id="130" w:name="_Toc150841333"/>
      <w:bookmarkStart w:id="131" w:name="_Toc153204823"/>
      <w:bookmarkStart w:id="132" w:name="_Toc150521611"/>
      <w:bookmarkStart w:id="133" w:name="_Toc150789579"/>
      <w:bookmarkStart w:id="134" w:name="_Toc150520744"/>
      <w:r>
        <w:rPr>
          <w:rFonts w:hint="eastAsia"/>
          <w:color w:val="auto"/>
        </w:rPr>
        <w:t>5.</w:t>
      </w:r>
      <w:r>
        <w:rPr>
          <w:color w:val="auto"/>
        </w:rPr>
        <w:t>6</w:t>
      </w:r>
      <w:r>
        <w:rPr>
          <w:rFonts w:ascii="宋体" w:hAnsi="宋体" w:cs="宋体" w:hint="eastAsia"/>
        </w:rPr>
        <w:t>电力设备过电压保护</w:t>
      </w:r>
      <w:bookmarkEnd w:id="129"/>
      <w:bookmarkEnd w:id="130"/>
      <w:bookmarkEnd w:id="131"/>
      <w:bookmarkEnd w:id="132"/>
      <w:bookmarkEnd w:id="133"/>
      <w:bookmarkEnd w:id="134"/>
    </w:p>
    <w:p>
      <w:pPr>
        <w:rPr>
          <w:color w:val="auto"/>
        </w:rPr>
      </w:pPr>
      <w:r>
        <w:rPr>
          <w:rFonts w:hint="eastAsia"/>
          <w:color w:val="auto"/>
        </w:rPr>
        <w:t>5.6.1  总变（配）电站电力</w:t>
      </w:r>
      <w:r>
        <w:rPr>
          <w:color w:val="auto"/>
        </w:rPr>
        <w:t>设备</w:t>
      </w:r>
      <w:r>
        <w:rPr>
          <w:rFonts w:hint="eastAsia"/>
          <w:color w:val="auto"/>
        </w:rPr>
        <w:t>过电压保护</w:t>
      </w:r>
      <w:r>
        <w:rPr>
          <w:color w:val="auto"/>
        </w:rPr>
        <w:t>装置的配置</w:t>
      </w:r>
      <w:r>
        <w:rPr>
          <w:rFonts w:hint="eastAsia"/>
          <w:color w:val="auto"/>
        </w:rPr>
        <w:t>应符合现行</w:t>
      </w:r>
      <w:r>
        <w:rPr>
          <w:color w:val="auto"/>
        </w:rPr>
        <w:t>国家标准《</w:t>
      </w:r>
      <w:r>
        <w:rPr>
          <w:rFonts w:hint="eastAsia"/>
          <w:color w:val="auto"/>
        </w:rPr>
        <w:t>交流电气装置的过电压保护和绝缘配合设计规范</w:t>
      </w:r>
      <w:r>
        <w:rPr>
          <w:color w:val="auto"/>
        </w:rPr>
        <w:t>》GB/T 50064</w:t>
      </w:r>
      <w:r>
        <w:rPr>
          <w:rFonts w:hint="eastAsia"/>
          <w:color w:val="auto"/>
        </w:rPr>
        <w:t>的</w:t>
      </w:r>
      <w:r>
        <w:rPr>
          <w:color w:val="auto"/>
        </w:rPr>
        <w:t>规定</w:t>
      </w:r>
      <w:r>
        <w:rPr>
          <w:rFonts w:hint="eastAsia"/>
          <w:color w:val="auto"/>
        </w:rPr>
        <w:t>。</w:t>
      </w:r>
    </w:p>
    <w:p>
      <w:pPr>
        <w:rPr>
          <w:color w:val="auto"/>
        </w:rPr>
      </w:pPr>
      <w:r>
        <w:rPr>
          <w:rFonts w:hint="eastAsia"/>
          <w:color w:val="auto"/>
        </w:rPr>
        <w:t>5.6.2 当使用</w:t>
      </w:r>
      <w:r>
        <w:rPr>
          <w:color w:val="auto"/>
        </w:rPr>
        <w:t>电磁式电压互感器时，应采取防止铁磁谐振过电压的措施，宜在</w:t>
      </w:r>
      <w:r>
        <w:rPr>
          <w:rFonts w:hint="eastAsia"/>
          <w:color w:val="auto"/>
        </w:rPr>
        <w:t>零序</w:t>
      </w:r>
      <w:r>
        <w:rPr>
          <w:color w:val="auto"/>
        </w:rPr>
        <w:t>回路中设置阻尼电阻或专用的消谐器。</w:t>
      </w:r>
    </w:p>
    <w:p>
      <w:pPr>
        <w:rPr>
          <w:color w:val="auto"/>
        </w:rPr>
      </w:pPr>
      <w:r>
        <w:rPr>
          <w:rFonts w:hint="eastAsia"/>
          <w:color w:val="auto"/>
        </w:rPr>
        <w:t>5.6.3 架空</w:t>
      </w:r>
      <w:r>
        <w:rPr>
          <w:color w:val="auto"/>
        </w:rPr>
        <w:t>电力线路在进户</w:t>
      </w:r>
      <w:r>
        <w:rPr>
          <w:rFonts w:hint="eastAsia"/>
          <w:color w:val="auto"/>
        </w:rPr>
        <w:t>前</w:t>
      </w:r>
      <w:r>
        <w:rPr>
          <w:color w:val="auto"/>
        </w:rPr>
        <w:t>的杆塔处</w:t>
      </w:r>
      <w:r>
        <w:rPr>
          <w:rFonts w:hint="eastAsia"/>
          <w:color w:val="auto"/>
        </w:rPr>
        <w:t>应</w:t>
      </w:r>
      <w:r>
        <w:rPr>
          <w:color w:val="auto"/>
        </w:rPr>
        <w:t>装设</w:t>
      </w:r>
      <w:r>
        <w:rPr>
          <w:rFonts w:hint="eastAsia"/>
          <w:color w:val="auto"/>
        </w:rPr>
        <w:t>避雷器</w:t>
      </w:r>
      <w:r>
        <w:rPr>
          <w:color w:val="auto"/>
        </w:rPr>
        <w:t>。</w:t>
      </w:r>
    </w:p>
    <w:p>
      <w:pPr>
        <w:rPr>
          <w:color w:val="auto"/>
        </w:rPr>
      </w:pPr>
      <w:r>
        <w:rPr>
          <w:rFonts w:hint="eastAsia"/>
          <w:color w:val="auto"/>
        </w:rPr>
        <w:t xml:space="preserve">5.6.4 </w:t>
      </w:r>
      <w:r>
        <w:rPr>
          <w:color w:val="auto"/>
        </w:rPr>
        <w:t>6</w:t>
      </w:r>
      <w:r>
        <w:rPr>
          <w:rFonts w:hint="eastAsia"/>
          <w:color w:val="auto"/>
        </w:rPr>
        <w:t>kV~66</w:t>
      </w:r>
      <w:r>
        <w:rPr>
          <w:color w:val="auto"/>
        </w:rPr>
        <w:t>kV</w:t>
      </w:r>
      <w:r>
        <w:rPr>
          <w:rFonts w:hint="eastAsia"/>
          <w:color w:val="auto"/>
        </w:rPr>
        <w:t>配电</w:t>
      </w:r>
      <w:r>
        <w:rPr>
          <w:color w:val="auto"/>
        </w:rPr>
        <w:t>装置</w:t>
      </w:r>
      <w:r>
        <w:rPr>
          <w:rFonts w:hint="eastAsia"/>
          <w:color w:val="auto"/>
        </w:rPr>
        <w:t>的过电压保护</w:t>
      </w:r>
      <w:r>
        <w:rPr>
          <w:color w:val="auto"/>
        </w:rPr>
        <w:t>器</w:t>
      </w:r>
      <w:r>
        <w:rPr>
          <w:rFonts w:hint="eastAsia"/>
          <w:color w:val="auto"/>
        </w:rPr>
        <w:t>应符合</w:t>
      </w:r>
      <w:r>
        <w:rPr>
          <w:color w:val="auto"/>
        </w:rPr>
        <w:t>下列要求：</w:t>
      </w:r>
    </w:p>
    <w:p>
      <w:pPr>
        <w:ind w:firstLine="420"/>
        <w:rPr>
          <w:color w:val="auto"/>
        </w:rPr>
      </w:pPr>
      <w:r>
        <w:rPr>
          <w:rFonts w:hint="eastAsia"/>
          <w:color w:val="auto"/>
        </w:rPr>
        <w:t>1 在</w:t>
      </w:r>
      <w:r>
        <w:rPr>
          <w:color w:val="auto"/>
        </w:rPr>
        <w:t>系统</w:t>
      </w:r>
      <w:r>
        <w:rPr>
          <w:rFonts w:hint="eastAsia"/>
          <w:color w:val="auto"/>
        </w:rPr>
        <w:t>最高</w:t>
      </w:r>
      <w:r>
        <w:rPr>
          <w:color w:val="auto"/>
        </w:rPr>
        <w:t>运行电压下</w:t>
      </w:r>
      <w:r>
        <w:rPr>
          <w:rFonts w:hint="eastAsia"/>
          <w:color w:val="auto"/>
        </w:rPr>
        <w:t>应</w:t>
      </w:r>
      <w:r>
        <w:rPr>
          <w:color w:val="auto"/>
        </w:rPr>
        <w:t>保证自身的安全；</w:t>
      </w:r>
    </w:p>
    <w:p>
      <w:pPr>
        <w:ind w:firstLine="420"/>
        <w:rPr>
          <w:color w:val="auto"/>
        </w:rPr>
      </w:pPr>
      <w:r>
        <w:rPr>
          <w:rFonts w:hint="eastAsia"/>
          <w:color w:val="auto"/>
        </w:rPr>
        <w:t>2 雷电</w:t>
      </w:r>
      <w:r>
        <w:rPr>
          <w:color w:val="auto"/>
        </w:rPr>
        <w:t>过电压</w:t>
      </w:r>
      <w:r>
        <w:rPr>
          <w:rFonts w:hint="eastAsia"/>
          <w:color w:val="auto"/>
        </w:rPr>
        <w:t>和</w:t>
      </w:r>
      <w:r>
        <w:rPr>
          <w:color w:val="auto"/>
        </w:rPr>
        <w:t>内部过电压</w:t>
      </w:r>
      <w:r>
        <w:rPr>
          <w:rFonts w:hint="eastAsia"/>
          <w:color w:val="auto"/>
        </w:rPr>
        <w:t>宜</w:t>
      </w:r>
      <w:r>
        <w:rPr>
          <w:color w:val="auto"/>
        </w:rPr>
        <w:t>限制在</w:t>
      </w:r>
      <w:r>
        <w:rPr>
          <w:rFonts w:hint="eastAsia"/>
          <w:color w:val="auto"/>
        </w:rPr>
        <w:t>3.5倍相电压</w:t>
      </w:r>
      <w:r>
        <w:rPr>
          <w:color w:val="auto"/>
        </w:rPr>
        <w:t>水平以下</w:t>
      </w:r>
      <w:r>
        <w:rPr>
          <w:rFonts w:hint="eastAsia"/>
          <w:color w:val="auto"/>
        </w:rPr>
        <w:t>；</w:t>
      </w:r>
    </w:p>
    <w:p>
      <w:pPr>
        <w:ind w:firstLine="420"/>
        <w:rPr>
          <w:color w:val="auto"/>
        </w:rPr>
      </w:pPr>
      <w:r>
        <w:rPr>
          <w:rFonts w:hint="eastAsia"/>
          <w:color w:val="auto"/>
        </w:rPr>
        <w:t>3 相间过电压</w:t>
      </w:r>
      <w:r>
        <w:rPr>
          <w:color w:val="auto"/>
        </w:rPr>
        <w:t>和相对</w:t>
      </w:r>
      <w:r>
        <w:rPr>
          <w:rFonts w:hint="eastAsia"/>
          <w:color w:val="auto"/>
        </w:rPr>
        <w:t>地过电压</w:t>
      </w:r>
      <w:r>
        <w:rPr>
          <w:color w:val="auto"/>
        </w:rPr>
        <w:t>宜限制在同一水平。</w:t>
      </w:r>
    </w:p>
    <w:p>
      <w:pPr>
        <w:rPr>
          <w:color w:val="auto"/>
          <w:highlight w:val="yellow"/>
        </w:rPr>
      </w:pPr>
    </w:p>
    <w:p>
      <w:pPr>
        <w:rPr>
          <w:color w:val="auto"/>
          <w:highlight w:val="yellow"/>
        </w:rPr>
      </w:pPr>
    </w:p>
    <w:p>
      <w:pPr>
        <w:rPr>
          <w:color w:val="auto"/>
          <w:highlight w:val="yellow"/>
        </w:rPr>
      </w:pPr>
    </w:p>
    <w:p>
      <w:pPr>
        <w:rPr>
          <w:color w:val="auto"/>
          <w:highlight w:val="yellow"/>
        </w:rPr>
      </w:pPr>
    </w:p>
    <w:p>
      <w:pPr>
        <w:rPr>
          <w:color w:val="auto"/>
          <w:highlight w:val="yellow"/>
        </w:rPr>
        <w:sectPr>
          <w:headerReference w:type="default" r:id="rId24"/>
          <w:footerReference w:type="default" r:id="rId25"/>
          <w:type w:val="nextPage"/>
          <w:pgSz w:w="11906" w:h="16838"/>
          <w:pgMar w:top="1440" w:right="1800" w:bottom="1440" w:left="1800" w:header="851" w:footer="992" w:gutter="0"/>
          <w:pgNumType w:start="10"/>
          <w:cols w:num="1" w:space="425"/>
          <w:titlePg w:val="0"/>
          <w:docGrid w:type="lines" w:linePitch="312" w:charSpace="0"/>
        </w:sectPr>
      </w:pPr>
    </w:p>
    <w:p>
      <w:pPr>
        <w:pStyle w:val="Heading1"/>
        <w:jc w:val="center"/>
        <w:rPr>
          <w:color w:val="auto"/>
        </w:rPr>
      </w:pPr>
      <w:bookmarkStart w:id="135" w:name="_Toc153207300"/>
      <w:bookmarkStart w:id="136" w:name="_Toc153204824"/>
      <w:bookmarkStart w:id="137" w:name="_Toc150520745"/>
      <w:bookmarkStart w:id="138" w:name="_Toc150521612"/>
      <w:bookmarkStart w:id="139" w:name="_Toc150789580"/>
      <w:bookmarkStart w:id="140" w:name="_Toc150841334"/>
      <w:r>
        <w:rPr>
          <w:rFonts w:hint="eastAsia"/>
          <w:color w:val="auto"/>
        </w:rPr>
        <w:t xml:space="preserve">6  </w:t>
      </w:r>
      <w:r>
        <w:rPr>
          <w:rFonts w:ascii="宋体" w:hAnsi="宋体" w:cs="宋体" w:hint="eastAsia"/>
        </w:rPr>
        <w:t>低压配电</w:t>
      </w:r>
      <w:bookmarkEnd w:id="135"/>
      <w:bookmarkEnd w:id="136"/>
      <w:bookmarkEnd w:id="137"/>
      <w:bookmarkEnd w:id="138"/>
      <w:bookmarkEnd w:id="139"/>
      <w:bookmarkEnd w:id="140"/>
    </w:p>
    <w:p>
      <w:pPr>
        <w:pStyle w:val="Heading2"/>
        <w:tabs>
          <w:tab w:val="left" w:pos="2935"/>
          <w:tab w:val="center" w:pos="4212"/>
        </w:tabs>
        <w:jc w:val="left"/>
        <w:rPr>
          <w:color w:val="auto"/>
        </w:rPr>
      </w:pPr>
      <w:r>
        <w:rPr>
          <w:rFonts w:hint="eastAsia"/>
          <w:color w:val="auto"/>
        </w:rPr>
        <w:tab/>
      </w:r>
      <w:bookmarkStart w:id="141" w:name="_Toc150841335"/>
      <w:bookmarkStart w:id="142" w:name="_Toc150521613"/>
      <w:bookmarkStart w:id="143" w:name="_Toc150789581"/>
      <w:bookmarkStart w:id="144" w:name="_Toc150520746"/>
      <w:bookmarkStart w:id="145" w:name="_Toc153207301"/>
      <w:bookmarkStart w:id="146" w:name="_Toc153204825"/>
      <w:r>
        <w:rPr>
          <w:rFonts w:hint="eastAsia"/>
          <w:color w:val="auto"/>
        </w:rPr>
        <w:t>6.1</w:t>
      </w:r>
      <w:r>
        <w:rPr>
          <w:rFonts w:ascii="宋体" w:hAnsi="宋体" w:cs="宋体" w:hint="eastAsia"/>
        </w:rPr>
        <w:t>配电线路的保护</w:t>
      </w:r>
      <w:bookmarkEnd w:id="141"/>
      <w:bookmarkEnd w:id="142"/>
      <w:bookmarkEnd w:id="143"/>
      <w:bookmarkEnd w:id="144"/>
      <w:bookmarkEnd w:id="145"/>
      <w:bookmarkEnd w:id="146"/>
    </w:p>
    <w:p>
      <w:pPr>
        <w:rPr>
          <w:color w:val="auto"/>
        </w:rPr>
      </w:pPr>
      <w:r>
        <w:rPr>
          <w:rFonts w:hint="eastAsia"/>
          <w:color w:val="auto"/>
        </w:rPr>
        <w:t>6.1.1  从</w:t>
      </w:r>
      <w:r>
        <w:rPr>
          <w:color w:val="auto"/>
        </w:rPr>
        <w:t>由</w:t>
      </w:r>
      <w:r>
        <w:rPr>
          <w:rFonts w:hint="eastAsia"/>
          <w:color w:val="auto"/>
        </w:rPr>
        <w:t>户</w:t>
      </w:r>
      <w:r>
        <w:rPr>
          <w:color w:val="auto"/>
        </w:rPr>
        <w:t>外引入的低压电源线路，应在总配电箱（柜）的受电端装设具有隔离功能的电器。</w:t>
      </w:r>
    </w:p>
    <w:p>
      <w:pPr>
        <w:rPr>
          <w:color w:val="auto"/>
        </w:rPr>
      </w:pPr>
      <w:r>
        <w:rPr>
          <w:color w:val="auto"/>
        </w:rPr>
        <w:t xml:space="preserve">6.1.2  </w:t>
      </w:r>
      <w:r>
        <w:rPr>
          <w:rFonts w:hint="eastAsia"/>
          <w:color w:val="auto"/>
        </w:rPr>
        <w:t>在TN系统</w:t>
      </w:r>
      <w:r>
        <w:rPr>
          <w:color w:val="auto"/>
        </w:rPr>
        <w:t>中，宜采用</w:t>
      </w:r>
      <w:r>
        <w:rPr>
          <w:rFonts w:hint="eastAsia"/>
          <w:color w:val="auto"/>
        </w:rPr>
        <w:t>TN-S系统</w:t>
      </w:r>
      <w:r>
        <w:rPr>
          <w:color w:val="auto"/>
        </w:rPr>
        <w:t>，</w:t>
      </w:r>
      <w:r>
        <w:rPr>
          <w:rFonts w:hint="eastAsia"/>
          <w:color w:val="auto"/>
        </w:rPr>
        <w:t>在</w:t>
      </w:r>
      <w:r>
        <w:rPr>
          <w:color w:val="auto"/>
        </w:rPr>
        <w:t>人员可能接触到</w:t>
      </w:r>
      <w:r>
        <w:rPr>
          <w:rFonts w:hint="eastAsia"/>
          <w:color w:val="auto"/>
        </w:rPr>
        <w:t>电气</w:t>
      </w:r>
      <w:r>
        <w:rPr>
          <w:color w:val="auto"/>
        </w:rPr>
        <w:t>装置外露可导电部分</w:t>
      </w:r>
      <w:r>
        <w:rPr>
          <w:rFonts w:hint="eastAsia"/>
          <w:color w:val="auto"/>
        </w:rPr>
        <w:t>的</w:t>
      </w:r>
      <w:r>
        <w:rPr>
          <w:color w:val="auto"/>
        </w:rPr>
        <w:t>潮湿场所，</w:t>
      </w:r>
      <w:r>
        <w:rPr>
          <w:rFonts w:hint="eastAsia"/>
          <w:color w:val="auto"/>
        </w:rPr>
        <w:t>宜</w:t>
      </w:r>
      <w:r>
        <w:rPr>
          <w:color w:val="auto"/>
        </w:rPr>
        <w:t>采用</w:t>
      </w:r>
      <w:r>
        <w:t>安全特低电压系统(SELV)</w:t>
      </w:r>
      <w:r>
        <w:rPr>
          <w:rFonts w:hint="eastAsia"/>
        </w:rPr>
        <w:t>。</w:t>
      </w:r>
    </w:p>
    <w:p>
      <w:pPr>
        <w:rPr>
          <w:color w:val="auto"/>
        </w:rPr>
      </w:pPr>
      <w:r>
        <w:rPr>
          <w:color w:val="auto"/>
        </w:rPr>
        <w:t>6</w:t>
      </w:r>
      <w:r>
        <w:rPr>
          <w:rFonts w:hint="eastAsia"/>
          <w:color w:val="auto"/>
        </w:rPr>
        <w:t xml:space="preserve">.1.3  </w:t>
      </w:r>
      <w:r>
        <w:rPr>
          <w:color w:val="auto"/>
        </w:rPr>
        <w:t>低压配电线路应根据不同故障类别装设短路保护、过负荷保护、过电压及欠电压保护、电弧故障保护， 当配电线路发生故障时，保护装置应切断供电电源或发出报警信号，或将状态及故障信息上传</w:t>
      </w:r>
      <w:r>
        <w:rPr>
          <w:rFonts w:hint="eastAsia"/>
          <w:color w:val="auto"/>
        </w:rPr>
        <w:t>。</w:t>
      </w:r>
    </w:p>
    <w:p>
      <w:r>
        <w:rPr>
          <w:rFonts w:hint="eastAsia"/>
        </w:rPr>
        <w:t xml:space="preserve">6.1.4 </w:t>
      </w:r>
      <w:r>
        <w:t>低压配电线路采用的上、下级保护电器，其动作</w:t>
      </w:r>
      <w:r>
        <w:rPr>
          <w:rFonts w:hint="eastAsia"/>
        </w:rPr>
        <w:t>应</w:t>
      </w:r>
      <w:r>
        <w:t>具有选择性，各级保护电器之间应能协调配合</w:t>
      </w:r>
      <w:r>
        <w:rPr>
          <w:rFonts w:hint="eastAsia"/>
        </w:rPr>
        <w:t>；</w:t>
      </w:r>
      <w:r>
        <w:t>对于非重要负荷的保护电器，可采用无选择性切断</w:t>
      </w:r>
      <w:r>
        <w:rPr>
          <w:rFonts w:hint="eastAsia"/>
        </w:rPr>
        <w:t>。</w:t>
      </w:r>
    </w:p>
    <w:p>
      <w:r>
        <w:rPr>
          <w:rFonts w:hint="eastAsia"/>
        </w:rPr>
        <w:t xml:space="preserve">6.1.5 </w:t>
      </w:r>
      <w:r>
        <w:t>用电设备末端配电线路的保护，除应符合现行国家标准</w:t>
      </w:r>
      <w:r>
        <w:rPr>
          <w:rFonts w:hint="eastAsia"/>
        </w:rPr>
        <w:t>《低压配电设计规范》</w:t>
      </w:r>
      <w:r>
        <w:t>GB 50054的规定外，尚应符合现行国家标准《通用用电设备配电设计规范》GB 50055的有关规定。</w:t>
      </w:r>
    </w:p>
    <w:p>
      <w:r>
        <w:rPr>
          <w:rFonts w:hint="eastAsia"/>
        </w:rPr>
        <w:t xml:space="preserve">6.1.6 </w:t>
      </w:r>
      <w:r>
        <w:t>对于因过负荷引起断电而造成更大损失的供电回路，过负荷保护应作用于信号报警，不应切断电源。</w:t>
      </w:r>
    </w:p>
    <w:p>
      <w:pPr>
        <w:pStyle w:val="Heading2"/>
        <w:tabs>
          <w:tab w:val="left" w:pos="2935"/>
          <w:tab w:val="center" w:pos="4212"/>
        </w:tabs>
        <w:jc w:val="left"/>
        <w:rPr>
          <w:color w:val="auto"/>
        </w:rPr>
      </w:pPr>
      <w:r>
        <w:rPr>
          <w:rFonts w:hint="eastAsia"/>
          <w:color w:val="auto"/>
        </w:rPr>
        <w:tab/>
      </w:r>
      <w:bookmarkStart w:id="147" w:name="_Toc150521614"/>
      <w:bookmarkStart w:id="148" w:name="_Toc150789582"/>
      <w:bookmarkStart w:id="149" w:name="_Toc150841336"/>
      <w:bookmarkStart w:id="150" w:name="_Toc150520747"/>
      <w:bookmarkStart w:id="151" w:name="_Toc153207302"/>
      <w:bookmarkStart w:id="152" w:name="_Toc153204826"/>
      <w:r>
        <w:rPr>
          <w:rFonts w:hint="eastAsia"/>
          <w:color w:val="auto"/>
        </w:rPr>
        <w:t>6.2</w:t>
      </w:r>
      <w:r>
        <w:rPr>
          <w:rFonts w:ascii="宋体" w:hAnsi="宋体" w:cs="宋体" w:hint="eastAsia"/>
        </w:rPr>
        <w:t>电动机控制设备的设置</w:t>
      </w:r>
      <w:bookmarkEnd w:id="147"/>
      <w:bookmarkEnd w:id="148"/>
      <w:bookmarkEnd w:id="149"/>
      <w:bookmarkEnd w:id="150"/>
      <w:bookmarkEnd w:id="151"/>
      <w:bookmarkEnd w:id="152"/>
    </w:p>
    <w:p>
      <w:r>
        <w:rPr>
          <w:rFonts w:hint="eastAsia"/>
          <w:color w:val="auto"/>
        </w:rPr>
        <w:t>6.2.1</w:t>
      </w:r>
      <w:r>
        <w:rPr>
          <w:rFonts w:hint="eastAsia"/>
        </w:rPr>
        <w:t xml:space="preserve"> 电动机</w:t>
      </w:r>
      <w:r>
        <w:t>宜</w:t>
      </w:r>
      <w:r>
        <w:rPr>
          <w:rFonts w:hint="eastAsia"/>
        </w:rPr>
        <w:t>就地</w:t>
      </w:r>
      <w:r>
        <w:t>控制</w:t>
      </w:r>
      <w:r>
        <w:rPr>
          <w:rFonts w:hint="eastAsia"/>
        </w:rPr>
        <w:t>和</w:t>
      </w:r>
      <w:r>
        <w:t>监视</w:t>
      </w:r>
      <w:r>
        <w:rPr>
          <w:rFonts w:hint="eastAsia"/>
        </w:rPr>
        <w:t>，当存在</w:t>
      </w:r>
      <w:r>
        <w:t>下列情况之一时，</w:t>
      </w:r>
      <w:r>
        <w:rPr>
          <w:rFonts w:hint="eastAsia"/>
        </w:rPr>
        <w:t>可</w:t>
      </w:r>
      <w:r>
        <w:t>远距离</w:t>
      </w:r>
      <w:r>
        <w:rPr>
          <w:rFonts w:hint="eastAsia"/>
        </w:rPr>
        <w:t>或集</w:t>
      </w:r>
      <w:r>
        <w:t>中</w:t>
      </w:r>
      <w:r>
        <w:rPr>
          <w:rFonts w:hint="eastAsia"/>
        </w:rPr>
        <w:t>控制和</w:t>
      </w:r>
      <w:r>
        <w:t>监视</w:t>
      </w:r>
      <w:r>
        <w:rPr>
          <w:rFonts w:hint="eastAsia"/>
        </w:rPr>
        <w:t>。</w:t>
      </w:r>
    </w:p>
    <w:p>
      <w:pPr>
        <w:ind w:firstLine="420"/>
      </w:pPr>
      <w:r>
        <w:rPr>
          <w:rFonts w:hint="eastAsia"/>
        </w:rPr>
        <w:t>1 现场环境</w:t>
      </w:r>
      <w:r>
        <w:t>恶劣</w:t>
      </w:r>
      <w:r>
        <w:rPr>
          <w:rFonts w:hint="eastAsia"/>
        </w:rPr>
        <w:t>，</w:t>
      </w:r>
      <w:r>
        <w:t>操作人员不宜久留的场所；</w:t>
      </w:r>
    </w:p>
    <w:p>
      <w:pPr>
        <w:ind w:firstLine="420"/>
      </w:pPr>
      <w:r>
        <w:rPr>
          <w:rFonts w:hint="eastAsia"/>
        </w:rPr>
        <w:t>2 控制</w:t>
      </w:r>
      <w:r>
        <w:t>对象分散</w:t>
      </w:r>
      <w:r>
        <w:rPr>
          <w:rFonts w:hint="eastAsia"/>
        </w:rPr>
        <w:t>，</w:t>
      </w:r>
      <w:r>
        <w:t>不便于</w:t>
      </w:r>
      <w:r>
        <w:rPr>
          <w:rFonts w:hint="eastAsia"/>
        </w:rPr>
        <w:t>统一调度和</w:t>
      </w:r>
      <w:r>
        <w:t>控制；</w:t>
      </w:r>
    </w:p>
    <w:p>
      <w:pPr>
        <w:ind w:firstLine="420"/>
      </w:pPr>
      <w:r>
        <w:rPr>
          <w:rFonts w:hint="eastAsia"/>
        </w:rPr>
        <w:t>3 控制</w:t>
      </w:r>
      <w:r>
        <w:t>对象</w:t>
      </w:r>
      <w:r>
        <w:rPr>
          <w:rFonts w:hint="eastAsia"/>
        </w:rPr>
        <w:t>较</w:t>
      </w:r>
      <w:r>
        <w:t>远</w:t>
      </w:r>
      <w:r>
        <w:rPr>
          <w:rFonts w:hint="eastAsia"/>
        </w:rPr>
        <w:t>且不</w:t>
      </w:r>
      <w:r>
        <w:t>经常</w:t>
      </w:r>
      <w:r>
        <w:rPr>
          <w:rFonts w:hint="eastAsia"/>
        </w:rPr>
        <w:t>巡视；</w:t>
      </w:r>
    </w:p>
    <w:p>
      <w:pPr>
        <w:ind w:firstLine="420"/>
      </w:pPr>
      <w:r>
        <w:rPr>
          <w:rFonts w:hint="eastAsia"/>
        </w:rPr>
        <w:t>4 高水平</w:t>
      </w:r>
      <w:r>
        <w:t>自动化</w:t>
      </w:r>
      <w:r>
        <w:rPr>
          <w:rFonts w:hint="eastAsia"/>
        </w:rPr>
        <w:t>或工</w:t>
      </w:r>
      <w:r>
        <w:t>艺专业</w:t>
      </w:r>
      <w:r>
        <w:rPr>
          <w:rFonts w:hint="eastAsia"/>
        </w:rPr>
        <w:t>的</w:t>
      </w:r>
      <w:r>
        <w:t>要求。</w:t>
      </w:r>
    </w:p>
    <w:p>
      <w:r>
        <w:rPr>
          <w:rFonts w:hint="eastAsia"/>
          <w:color w:val="auto"/>
        </w:rPr>
        <w:t>6.2.2</w:t>
      </w:r>
      <w:r>
        <w:rPr>
          <w:rFonts w:hint="eastAsia"/>
        </w:rPr>
        <w:t xml:space="preserve"> 当</w:t>
      </w:r>
      <w:r>
        <w:t>就地</w:t>
      </w:r>
      <w:r>
        <w:rPr>
          <w:rFonts w:hint="eastAsia"/>
        </w:rPr>
        <w:t>控制时，在</w:t>
      </w:r>
      <w:r>
        <w:t>机旁设置</w:t>
      </w:r>
      <w:r>
        <w:rPr>
          <w:rFonts w:hint="eastAsia"/>
        </w:rPr>
        <w:t>启</w:t>
      </w:r>
      <w:r>
        <w:t>、停控制开关</w:t>
      </w:r>
      <w:r>
        <w:rPr>
          <w:rFonts w:hint="eastAsia"/>
        </w:rPr>
        <w:t>；</w:t>
      </w:r>
      <w:r>
        <w:t>当多处控制时，宜按下列要求装设控制开关：</w:t>
      </w:r>
    </w:p>
    <w:p>
      <w:pPr>
        <w:ind w:firstLine="420"/>
      </w:pPr>
      <w:r>
        <w:rPr>
          <w:rFonts w:hint="eastAsia"/>
        </w:rPr>
        <w:t>1 在控制</w:t>
      </w:r>
      <w:r>
        <w:t>室</w:t>
      </w:r>
      <w:r>
        <w:rPr>
          <w:rFonts w:hint="eastAsia"/>
        </w:rPr>
        <w:t>装设</w:t>
      </w:r>
      <w:r>
        <w:t>启、停控制开关及工作制选择开关；</w:t>
      </w:r>
    </w:p>
    <w:p>
      <w:pPr>
        <w:ind w:firstLine="420"/>
      </w:pPr>
      <w:r>
        <w:rPr>
          <w:rFonts w:hint="eastAsia"/>
        </w:rPr>
        <w:t>2 在</w:t>
      </w:r>
      <w:r>
        <w:t>机旁根据具体情况按下列方式之一装设控制开关：</w:t>
      </w:r>
    </w:p>
    <w:p>
      <w:pPr>
        <w:ind w:firstLine="735" w:firstLineChars="350"/>
      </w:pPr>
      <w:r>
        <w:rPr>
          <w:rFonts w:hint="eastAsia"/>
        </w:rPr>
        <w:t>1）</w:t>
      </w:r>
      <w:r>
        <w:t>启</w:t>
      </w:r>
      <w:r>
        <w:rPr>
          <w:rFonts w:hint="eastAsia"/>
        </w:rPr>
        <w:t>、</w:t>
      </w:r>
      <w:r>
        <w:t>停</w:t>
      </w:r>
      <w:r>
        <w:rPr>
          <w:rFonts w:hint="eastAsia"/>
        </w:rPr>
        <w:t>控制</w:t>
      </w:r>
      <w:r>
        <w:t>开关和工作制选择开关；</w:t>
      </w:r>
    </w:p>
    <w:p>
      <w:pPr>
        <w:ind w:firstLine="735" w:firstLineChars="350"/>
      </w:pPr>
      <w:r>
        <w:rPr>
          <w:rFonts w:hint="eastAsia"/>
        </w:rPr>
        <w:t>2）紧急</w:t>
      </w:r>
      <w:r>
        <w:t>停车开关（</w:t>
      </w:r>
      <w:r>
        <w:rPr>
          <w:rFonts w:hint="eastAsia"/>
        </w:rPr>
        <w:t>工艺</w:t>
      </w:r>
      <w:r>
        <w:t>专业要求时）</w:t>
      </w:r>
      <w:r>
        <w:rPr>
          <w:rFonts w:hint="eastAsia"/>
        </w:rPr>
        <w:t>。</w:t>
      </w:r>
    </w:p>
    <w:p>
      <w:pPr>
        <w:ind w:firstLine="420"/>
        <w:rPr>
          <w:color w:val="auto"/>
        </w:rPr>
      </w:pPr>
      <w:r>
        <w:rPr>
          <w:rFonts w:hint="eastAsia"/>
          <w:color w:val="auto"/>
        </w:rPr>
        <w:t>工作</w:t>
      </w:r>
      <w:r>
        <w:rPr>
          <w:color w:val="auto"/>
        </w:rPr>
        <w:t>制</w:t>
      </w:r>
      <w:r>
        <w:rPr>
          <w:rFonts w:hint="eastAsia"/>
          <w:color w:val="auto"/>
        </w:rPr>
        <w:t>选择</w:t>
      </w:r>
      <w:r>
        <w:rPr>
          <w:color w:val="auto"/>
        </w:rPr>
        <w:t>开关应装设在机旁或控制室其中的一个地方，</w:t>
      </w:r>
      <w:r>
        <w:rPr>
          <w:rFonts w:hint="eastAsia"/>
          <w:color w:val="auto"/>
        </w:rPr>
        <w:t>当工</w:t>
      </w:r>
      <w:r>
        <w:rPr>
          <w:color w:val="auto"/>
        </w:rPr>
        <w:t>作制</w:t>
      </w:r>
      <w:r>
        <w:rPr>
          <w:rFonts w:hint="eastAsia"/>
          <w:color w:val="auto"/>
        </w:rPr>
        <w:t>选择</w:t>
      </w:r>
      <w:r>
        <w:rPr>
          <w:color w:val="auto"/>
        </w:rPr>
        <w:t>开关</w:t>
      </w:r>
      <w:r>
        <w:rPr>
          <w:rFonts w:hint="eastAsia"/>
          <w:color w:val="auto"/>
        </w:rPr>
        <w:t>装设</w:t>
      </w:r>
      <w:r>
        <w:rPr>
          <w:color w:val="auto"/>
        </w:rPr>
        <w:t>在控制室</w:t>
      </w:r>
      <w:r>
        <w:rPr>
          <w:rFonts w:hint="eastAsia"/>
          <w:color w:val="auto"/>
        </w:rPr>
        <w:t>时，</w:t>
      </w:r>
      <w:r>
        <w:rPr>
          <w:color w:val="auto"/>
        </w:rPr>
        <w:t>现场控制开关</w:t>
      </w:r>
      <w:r>
        <w:rPr>
          <w:rFonts w:hint="eastAsia"/>
          <w:color w:val="auto"/>
        </w:rPr>
        <w:t>应设锁</w:t>
      </w:r>
      <w:r>
        <w:rPr>
          <w:color w:val="auto"/>
        </w:rPr>
        <w:t>停</w:t>
      </w:r>
      <w:r>
        <w:rPr>
          <w:rFonts w:hint="eastAsia"/>
          <w:color w:val="auto"/>
        </w:rPr>
        <w:t>功能</w:t>
      </w:r>
      <w:r>
        <w:rPr>
          <w:color w:val="auto"/>
        </w:rPr>
        <w:t>。</w:t>
      </w:r>
    </w:p>
    <w:p>
      <w:pPr>
        <w:rPr>
          <w:color w:val="auto"/>
        </w:rPr>
      </w:pPr>
      <w:r>
        <w:rPr>
          <w:rFonts w:hint="eastAsia"/>
          <w:color w:val="auto"/>
        </w:rPr>
        <w:t>6.</w:t>
      </w:r>
      <w:r>
        <w:rPr>
          <w:color w:val="auto"/>
        </w:rPr>
        <w:t xml:space="preserve">2.3 </w:t>
      </w:r>
      <w:r>
        <w:rPr>
          <w:rFonts w:hint="eastAsia"/>
          <w:color w:val="auto"/>
        </w:rPr>
        <w:t>就</w:t>
      </w:r>
      <w:r>
        <w:rPr>
          <w:color w:val="auto"/>
        </w:rPr>
        <w:t>地控制设备</w:t>
      </w:r>
      <w:r>
        <w:rPr>
          <w:rFonts w:hint="eastAsia"/>
          <w:color w:val="auto"/>
        </w:rPr>
        <w:t>宜</w:t>
      </w:r>
      <w:r>
        <w:rPr>
          <w:color w:val="auto"/>
        </w:rPr>
        <w:t>安装在</w:t>
      </w:r>
      <w:r>
        <w:rPr>
          <w:rFonts w:hint="eastAsia"/>
          <w:color w:val="auto"/>
        </w:rPr>
        <w:t>靠近电动机便于操作</w:t>
      </w:r>
      <w:r>
        <w:rPr>
          <w:color w:val="auto"/>
        </w:rPr>
        <w:t>的地方，</w:t>
      </w:r>
      <w:r>
        <w:rPr>
          <w:rFonts w:hint="eastAsia"/>
          <w:color w:val="auto"/>
        </w:rPr>
        <w:t>如</w:t>
      </w:r>
      <w:r>
        <w:rPr>
          <w:color w:val="auto"/>
        </w:rPr>
        <w:t>该处</w:t>
      </w:r>
      <w:r>
        <w:rPr>
          <w:rFonts w:hint="eastAsia"/>
          <w:color w:val="auto"/>
        </w:rPr>
        <w:t>看不见机</w:t>
      </w:r>
      <w:r>
        <w:rPr>
          <w:color w:val="auto"/>
        </w:rPr>
        <w:t>械</w:t>
      </w:r>
      <w:r>
        <w:rPr>
          <w:rFonts w:hint="eastAsia"/>
          <w:color w:val="auto"/>
        </w:rPr>
        <w:t>传</w:t>
      </w:r>
      <w:r>
        <w:rPr>
          <w:color w:val="auto"/>
        </w:rPr>
        <w:t>动</w:t>
      </w:r>
      <w:r>
        <w:rPr>
          <w:rFonts w:hint="eastAsia"/>
          <w:color w:val="auto"/>
        </w:rPr>
        <w:t>部</w:t>
      </w:r>
      <w:r>
        <w:rPr>
          <w:color w:val="auto"/>
        </w:rPr>
        <w:t>分</w:t>
      </w:r>
      <w:r>
        <w:rPr>
          <w:rFonts w:hint="eastAsia"/>
          <w:color w:val="auto"/>
        </w:rPr>
        <w:t>，应</w:t>
      </w:r>
      <w:r>
        <w:rPr>
          <w:color w:val="auto"/>
        </w:rPr>
        <w:t>有下列</w:t>
      </w:r>
      <w:r>
        <w:rPr>
          <w:rFonts w:hint="eastAsia"/>
          <w:color w:val="auto"/>
        </w:rPr>
        <w:t>预防</w:t>
      </w:r>
      <w:r>
        <w:rPr>
          <w:color w:val="auto"/>
        </w:rPr>
        <w:t>事故的措施：</w:t>
      </w:r>
    </w:p>
    <w:p>
      <w:pPr>
        <w:ind w:firstLine="420"/>
        <w:rPr>
          <w:color w:val="auto"/>
        </w:rPr>
      </w:pPr>
      <w:r>
        <w:rPr>
          <w:rFonts w:hint="eastAsia"/>
          <w:color w:val="auto"/>
        </w:rPr>
        <w:t>1 装设启动</w:t>
      </w:r>
      <w:r>
        <w:rPr>
          <w:color w:val="auto"/>
        </w:rPr>
        <w:t>预告</w:t>
      </w:r>
      <w:r>
        <w:rPr>
          <w:rFonts w:hint="eastAsia"/>
          <w:color w:val="auto"/>
        </w:rPr>
        <w:t>音响信号</w:t>
      </w:r>
      <w:r>
        <w:rPr>
          <w:color w:val="auto"/>
        </w:rPr>
        <w:t>装置</w:t>
      </w:r>
      <w:r>
        <w:rPr>
          <w:rFonts w:hint="eastAsia"/>
          <w:color w:val="auto"/>
        </w:rPr>
        <w:t>；</w:t>
      </w:r>
    </w:p>
    <w:p>
      <w:pPr>
        <w:ind w:firstLine="420"/>
        <w:rPr>
          <w:color w:val="auto"/>
        </w:rPr>
      </w:pPr>
      <w:r>
        <w:rPr>
          <w:rFonts w:hint="eastAsia"/>
          <w:color w:val="auto"/>
        </w:rPr>
        <w:t>2 靠近</w:t>
      </w:r>
      <w:r>
        <w:rPr>
          <w:color w:val="auto"/>
        </w:rPr>
        <w:t>电动机和传动</w:t>
      </w:r>
      <w:r>
        <w:rPr>
          <w:rFonts w:hint="eastAsia"/>
          <w:color w:val="auto"/>
        </w:rPr>
        <w:t>机</w:t>
      </w:r>
      <w:r>
        <w:rPr>
          <w:color w:val="auto"/>
        </w:rPr>
        <w:t>械</w:t>
      </w:r>
      <w:r>
        <w:rPr>
          <w:rFonts w:hint="eastAsia"/>
          <w:color w:val="auto"/>
        </w:rPr>
        <w:t>处装设阻止启动</w:t>
      </w:r>
      <w:r>
        <w:rPr>
          <w:color w:val="auto"/>
        </w:rPr>
        <w:t>的开关。</w:t>
      </w:r>
    </w:p>
    <w:p>
      <w:pPr>
        <w:rPr>
          <w:color w:val="auto"/>
        </w:rPr>
        <w:sectPr>
          <w:headerReference w:type="default" r:id="rId26"/>
          <w:footerReference w:type="default" r:id="rId27"/>
          <w:pgSz w:w="11906" w:h="16838"/>
          <w:pgMar w:top="1440" w:right="1800" w:bottom="1440" w:left="1800" w:header="851" w:footer="992" w:gutter="0"/>
          <w:pgNumType w:start="11"/>
          <w:cols w:num="1" w:space="425"/>
          <w:docGrid w:type="lines" w:linePitch="312" w:charSpace="0"/>
        </w:sectPr>
      </w:pPr>
      <w:r>
        <w:rPr>
          <w:rFonts w:hint="eastAsia"/>
          <w:color w:val="auto"/>
        </w:rPr>
        <w:t>6.2.4 电动</w:t>
      </w:r>
      <w:r>
        <w:rPr>
          <w:color w:val="auto"/>
        </w:rPr>
        <w:t>机或成组电动机，可根据工艺流程要求设置必要的联锁和自动控制系统，该系统应满足</w:t>
      </w:r>
      <w:r>
        <w:rPr>
          <w:rFonts w:hint="eastAsia"/>
          <w:color w:val="auto"/>
        </w:rPr>
        <w:t>以下</w:t>
      </w:r>
      <w:r>
        <w:rPr>
          <w:color w:val="auto"/>
        </w:rPr>
        <w:t>要求：</w:t>
      </w:r>
    </w:p>
    <w:p>
      <w:pPr>
        <w:ind w:firstLine="420"/>
        <w:rPr>
          <w:color w:val="auto"/>
        </w:rPr>
      </w:pPr>
      <w:r>
        <w:rPr>
          <w:rFonts w:hint="eastAsia"/>
          <w:color w:val="auto"/>
        </w:rPr>
        <w:t>1 对</w:t>
      </w:r>
      <w:r>
        <w:rPr>
          <w:color w:val="auto"/>
        </w:rPr>
        <w:t>成组或连续启动的电动机应符合电压波动的规定；</w:t>
      </w:r>
    </w:p>
    <w:p>
      <w:pPr>
        <w:ind w:firstLine="420"/>
        <w:rPr>
          <w:color w:val="auto"/>
        </w:rPr>
      </w:pPr>
      <w:r>
        <w:rPr>
          <w:rFonts w:hint="eastAsia"/>
          <w:color w:val="auto"/>
        </w:rPr>
        <w:t>2 非</w:t>
      </w:r>
      <w:r>
        <w:rPr>
          <w:color w:val="auto"/>
        </w:rPr>
        <w:t>电量接点应满足接通和断开的要求，必要时应进行接点转换；</w:t>
      </w:r>
    </w:p>
    <w:p>
      <w:pPr>
        <w:ind w:firstLine="420"/>
        <w:rPr>
          <w:color w:val="auto"/>
        </w:rPr>
      </w:pPr>
      <w:r>
        <w:rPr>
          <w:rFonts w:hint="eastAsia"/>
          <w:color w:val="auto"/>
        </w:rPr>
        <w:t>3 应</w:t>
      </w:r>
      <w:r>
        <w:rPr>
          <w:color w:val="auto"/>
        </w:rPr>
        <w:t>设置选择或切换开关</w:t>
      </w:r>
      <w:r>
        <w:rPr>
          <w:rFonts w:hint="eastAsia"/>
          <w:color w:val="auto"/>
        </w:rPr>
        <w:t>，</w:t>
      </w:r>
      <w:r>
        <w:rPr>
          <w:color w:val="auto"/>
        </w:rPr>
        <w:t>控制联锁的投切等。</w:t>
      </w:r>
    </w:p>
    <w:p>
      <w:pPr>
        <w:rPr>
          <w:color w:val="auto"/>
        </w:rPr>
      </w:pPr>
    </w:p>
    <w:p>
      <w:pPr>
        <w:rPr>
          <w:color w:val="auto"/>
        </w:rPr>
      </w:pPr>
    </w:p>
    <w:p>
      <w:pPr>
        <w:rPr>
          <w:color w:val="auto"/>
        </w:rPr>
      </w:pPr>
    </w:p>
    <w:p>
      <w:pPr>
        <w:rPr>
          <w:color w:val="auto"/>
        </w:rPr>
      </w:pPr>
    </w:p>
    <w:p>
      <w:pPr>
        <w:rPr>
          <w:color w:val="auto"/>
          <w:highlight w:val="yellow"/>
        </w:rPr>
        <w:sectPr>
          <w:headerReference w:type="default" r:id="rId28"/>
          <w:footerReference w:type="default" r:id="rId29"/>
          <w:type w:val="nextPage"/>
          <w:pgSz w:w="11906" w:h="16838"/>
          <w:pgMar w:top="1440" w:right="1800" w:bottom="1440" w:left="1800" w:header="851" w:footer="992" w:gutter="0"/>
          <w:pgNumType w:start="12"/>
          <w:cols w:num="1" w:space="425"/>
          <w:titlePg w:val="0"/>
          <w:docGrid w:type="lines" w:linePitch="312" w:charSpace="0"/>
        </w:sectPr>
      </w:pPr>
    </w:p>
    <w:p>
      <w:pPr>
        <w:pStyle w:val="Heading1"/>
        <w:jc w:val="center"/>
        <w:rPr>
          <w:color w:val="auto"/>
        </w:rPr>
      </w:pPr>
      <w:bookmarkStart w:id="153" w:name="_Toc153204827"/>
      <w:bookmarkStart w:id="154" w:name="_Toc150520748"/>
      <w:bookmarkStart w:id="155" w:name="_Toc150521615"/>
      <w:bookmarkStart w:id="156" w:name="_Toc153207303"/>
      <w:bookmarkStart w:id="157" w:name="_Toc150789583"/>
      <w:bookmarkStart w:id="158" w:name="_Toc150841337"/>
      <w:r>
        <w:rPr>
          <w:rFonts w:hint="eastAsia"/>
          <w:color w:val="auto"/>
        </w:rPr>
        <w:t xml:space="preserve">7  </w:t>
      </w:r>
      <w:r>
        <w:rPr>
          <w:rFonts w:ascii="宋体" w:hAnsi="宋体" w:cs="宋体" w:hint="eastAsia"/>
        </w:rPr>
        <w:t>供配电线路</w:t>
      </w:r>
      <w:bookmarkEnd w:id="153"/>
      <w:bookmarkEnd w:id="154"/>
      <w:bookmarkEnd w:id="155"/>
      <w:bookmarkEnd w:id="156"/>
      <w:bookmarkEnd w:id="157"/>
      <w:bookmarkEnd w:id="158"/>
    </w:p>
    <w:p>
      <w:pPr>
        <w:pStyle w:val="Heading2"/>
        <w:tabs>
          <w:tab w:val="left" w:pos="2935"/>
          <w:tab w:val="center" w:pos="4212"/>
        </w:tabs>
        <w:jc w:val="left"/>
        <w:rPr>
          <w:color w:val="auto"/>
        </w:rPr>
      </w:pPr>
      <w:r>
        <w:rPr>
          <w:rFonts w:hint="eastAsia"/>
          <w:color w:val="auto"/>
        </w:rPr>
        <w:tab/>
      </w:r>
      <w:bookmarkStart w:id="159" w:name="_Toc150521616"/>
      <w:bookmarkStart w:id="160" w:name="_Toc150841338"/>
      <w:bookmarkStart w:id="161" w:name="_Toc150520749"/>
      <w:bookmarkStart w:id="162" w:name="_Toc153204828"/>
      <w:bookmarkStart w:id="163" w:name="_Toc150789584"/>
      <w:bookmarkStart w:id="164" w:name="_Toc153207304"/>
      <w:r>
        <w:rPr>
          <w:rFonts w:hint="eastAsia"/>
          <w:color w:val="auto"/>
        </w:rPr>
        <w:t>7.1</w:t>
      </w:r>
      <w:r>
        <w:rPr>
          <w:rFonts w:ascii="宋体" w:hAnsi="宋体" w:cs="宋体" w:hint="eastAsia"/>
        </w:rPr>
        <w:t>电缆选择</w:t>
      </w:r>
      <w:bookmarkEnd w:id="159"/>
      <w:bookmarkEnd w:id="160"/>
      <w:bookmarkEnd w:id="161"/>
      <w:bookmarkEnd w:id="162"/>
      <w:bookmarkEnd w:id="163"/>
      <w:bookmarkEnd w:id="164"/>
    </w:p>
    <w:p>
      <w:pPr>
        <w:rPr>
          <w:color w:val="auto"/>
        </w:rPr>
      </w:pPr>
      <w:r>
        <w:rPr>
          <w:rFonts w:hint="eastAsia"/>
          <w:color w:val="auto"/>
        </w:rPr>
        <w:t>7.1.1  电缆</w:t>
      </w:r>
      <w:r>
        <w:rPr>
          <w:color w:val="auto"/>
        </w:rPr>
        <w:t>选择应根据环境特征、用电设备的技术参数和敷设方式等条件进行选择，并应符合防火和安全方面的要求</w:t>
      </w:r>
      <w:r>
        <w:rPr>
          <w:rFonts w:hint="eastAsia"/>
          <w:color w:val="auto"/>
        </w:rPr>
        <w:t>。</w:t>
      </w:r>
    </w:p>
    <w:p>
      <w:pPr>
        <w:rPr>
          <w:color w:val="auto"/>
        </w:rPr>
      </w:pPr>
      <w:r>
        <w:rPr>
          <w:rFonts w:hint="eastAsia"/>
          <w:color w:val="auto"/>
        </w:rPr>
        <w:t>7.1.2</w:t>
      </w:r>
      <w:r>
        <w:rPr>
          <w:color w:val="auto"/>
        </w:rPr>
        <w:t xml:space="preserve"> </w:t>
      </w:r>
      <w:r>
        <w:rPr>
          <w:rFonts w:hint="eastAsia"/>
          <w:color w:val="auto"/>
        </w:rPr>
        <w:t>电缆的</w:t>
      </w:r>
      <w:r>
        <w:rPr>
          <w:color w:val="auto"/>
        </w:rPr>
        <w:t>选择应符合</w:t>
      </w:r>
      <w:r>
        <w:t>现行国家标准</w:t>
      </w:r>
      <w:r>
        <w:rPr>
          <w:rFonts w:hint="eastAsia"/>
          <w:color w:val="auto"/>
        </w:rPr>
        <w:t>《电力工程电缆设计标准》GB50217</w:t>
      </w:r>
      <w:r>
        <w:rPr>
          <w:color w:val="auto"/>
        </w:rPr>
        <w:t>的规定</w:t>
      </w:r>
      <w:r>
        <w:rPr>
          <w:rFonts w:hint="eastAsia"/>
          <w:color w:val="auto"/>
        </w:rPr>
        <w:t>。</w:t>
      </w:r>
    </w:p>
    <w:p>
      <w:pPr>
        <w:rPr>
          <w:color w:val="auto"/>
          <w:highlight w:val="yellow"/>
        </w:rPr>
      </w:pPr>
    </w:p>
    <w:p>
      <w:pPr>
        <w:pStyle w:val="Heading2"/>
        <w:tabs>
          <w:tab w:val="left" w:pos="2935"/>
          <w:tab w:val="center" w:pos="4212"/>
        </w:tabs>
        <w:jc w:val="left"/>
        <w:rPr>
          <w:color w:val="auto"/>
        </w:rPr>
      </w:pPr>
      <w:r>
        <w:rPr>
          <w:rFonts w:hint="eastAsia"/>
          <w:color w:val="auto"/>
        </w:rPr>
        <w:tab/>
      </w:r>
      <w:bookmarkStart w:id="165" w:name="_Toc150841339"/>
      <w:bookmarkStart w:id="166" w:name="_Toc153207305"/>
      <w:bookmarkStart w:id="167" w:name="_Toc153204829"/>
      <w:bookmarkStart w:id="168" w:name="_Toc150521617"/>
      <w:bookmarkStart w:id="169" w:name="_Toc150520750"/>
      <w:bookmarkStart w:id="170" w:name="_Toc150789585"/>
      <w:r>
        <w:rPr>
          <w:rFonts w:hint="eastAsia"/>
          <w:color w:val="auto"/>
        </w:rPr>
        <w:t>7.2</w:t>
      </w:r>
      <w:r>
        <w:rPr>
          <w:rFonts w:ascii="宋体" w:hAnsi="宋体" w:cs="宋体" w:hint="eastAsia"/>
        </w:rPr>
        <w:t>电缆敷设要求</w:t>
      </w:r>
      <w:bookmarkEnd w:id="165"/>
      <w:bookmarkEnd w:id="166"/>
      <w:bookmarkEnd w:id="167"/>
      <w:bookmarkEnd w:id="168"/>
      <w:bookmarkEnd w:id="169"/>
      <w:bookmarkEnd w:id="170"/>
    </w:p>
    <w:p>
      <w:pPr>
        <w:rPr>
          <w:color w:val="auto"/>
        </w:rPr>
      </w:pPr>
      <w:r>
        <w:rPr>
          <w:color w:val="auto"/>
        </w:rPr>
        <w:t>7</w:t>
      </w:r>
      <w:r>
        <w:rPr>
          <w:rFonts w:hint="eastAsia"/>
          <w:color w:val="auto"/>
        </w:rPr>
        <w:t>.2.1  电缆</w:t>
      </w:r>
      <w:r>
        <w:rPr>
          <w:color w:val="auto"/>
        </w:rPr>
        <w:t>敷设的路径</w:t>
      </w:r>
      <w:r>
        <w:rPr>
          <w:rFonts w:hint="eastAsia"/>
          <w:color w:val="auto"/>
        </w:rPr>
        <w:t>需</w:t>
      </w:r>
      <w:r>
        <w:rPr>
          <w:color w:val="auto"/>
        </w:rPr>
        <w:t>满足下列要求：</w:t>
      </w:r>
    </w:p>
    <w:p>
      <w:pPr>
        <w:ind w:firstLine="420"/>
        <w:rPr>
          <w:color w:val="auto"/>
        </w:rPr>
      </w:pPr>
      <w:r>
        <w:rPr>
          <w:color w:val="auto"/>
        </w:rPr>
        <w:t xml:space="preserve">1 </w:t>
      </w:r>
      <w:r>
        <w:rPr>
          <w:rFonts w:hint="eastAsia"/>
          <w:color w:val="auto"/>
        </w:rPr>
        <w:t>应敷设</w:t>
      </w:r>
      <w:r>
        <w:rPr>
          <w:color w:val="auto"/>
        </w:rPr>
        <w:t>方便、路径较短</w:t>
      </w:r>
      <w:r>
        <w:rPr>
          <w:rFonts w:hint="eastAsia"/>
          <w:color w:val="auto"/>
        </w:rPr>
        <w:t>、</w:t>
      </w:r>
      <w:r>
        <w:rPr>
          <w:color w:val="auto"/>
        </w:rPr>
        <w:t>便于维护和检修；</w:t>
      </w:r>
    </w:p>
    <w:p>
      <w:pPr>
        <w:ind w:firstLine="420"/>
        <w:rPr>
          <w:color w:val="auto"/>
        </w:rPr>
      </w:pPr>
      <w:r>
        <w:rPr>
          <w:color w:val="auto"/>
        </w:rPr>
        <w:t xml:space="preserve">2 </w:t>
      </w:r>
      <w:r>
        <w:rPr>
          <w:rFonts w:hint="eastAsia"/>
          <w:color w:val="auto"/>
        </w:rPr>
        <w:t>应</w:t>
      </w:r>
      <w:r>
        <w:rPr>
          <w:color w:val="auto"/>
        </w:rPr>
        <w:t>避开外力损伤、振动、腐蚀</w:t>
      </w:r>
      <w:r>
        <w:rPr>
          <w:rFonts w:hint="eastAsia"/>
          <w:color w:val="auto"/>
        </w:rPr>
        <w:t>及</w:t>
      </w:r>
      <w:r>
        <w:rPr>
          <w:color w:val="auto"/>
        </w:rPr>
        <w:t>可能受热的地方；</w:t>
      </w:r>
    </w:p>
    <w:p>
      <w:pPr>
        <w:ind w:firstLine="420"/>
        <w:rPr>
          <w:color w:val="auto"/>
        </w:rPr>
      </w:pPr>
      <w:r>
        <w:rPr>
          <w:color w:val="auto"/>
        </w:rPr>
        <w:t xml:space="preserve">3 </w:t>
      </w:r>
      <w:r>
        <w:rPr>
          <w:rFonts w:hint="eastAsia"/>
          <w:color w:val="auto"/>
        </w:rPr>
        <w:t>宜</w:t>
      </w:r>
      <w:r>
        <w:rPr>
          <w:color w:val="auto"/>
        </w:rPr>
        <w:t>在爆炸危险</w:t>
      </w:r>
      <w:r>
        <w:rPr>
          <w:rFonts w:hint="eastAsia"/>
          <w:color w:val="auto"/>
        </w:rPr>
        <w:t>较</w:t>
      </w:r>
      <w:r>
        <w:rPr>
          <w:color w:val="auto"/>
        </w:rPr>
        <w:t>小的</w:t>
      </w:r>
      <w:r>
        <w:rPr>
          <w:rFonts w:hint="eastAsia"/>
          <w:color w:val="auto"/>
        </w:rPr>
        <w:t>环境</w:t>
      </w:r>
      <w:r>
        <w:rPr>
          <w:color w:val="auto"/>
        </w:rPr>
        <w:t>或远离释放源的地方</w:t>
      </w:r>
      <w:r>
        <w:rPr>
          <w:rFonts w:hint="eastAsia"/>
          <w:color w:val="auto"/>
        </w:rPr>
        <w:t>；</w:t>
      </w:r>
    </w:p>
    <w:p>
      <w:pPr>
        <w:ind w:firstLine="420"/>
      </w:pPr>
      <w:r>
        <w:rPr>
          <w:color w:val="auto"/>
        </w:rPr>
        <w:t xml:space="preserve">4 </w:t>
      </w:r>
      <w:r>
        <w:t>宜避开将要挖掘施工的地方</w:t>
      </w:r>
    </w:p>
    <w:p>
      <w:pPr>
        <w:rPr>
          <w:color w:val="auto"/>
        </w:rPr>
      </w:pPr>
      <w:r>
        <w:rPr>
          <w:rFonts w:hint="eastAsia"/>
          <w:color w:val="auto"/>
        </w:rPr>
        <w:t>7.2.2  低</w:t>
      </w:r>
      <w:r>
        <w:rPr>
          <w:color w:val="auto"/>
        </w:rPr>
        <w:t>电平模拟信号电缆和</w:t>
      </w:r>
      <w:r>
        <w:rPr>
          <w:rFonts w:hint="eastAsia"/>
          <w:color w:val="auto"/>
        </w:rPr>
        <w:t>动力</w:t>
      </w:r>
      <w:r>
        <w:rPr>
          <w:color w:val="auto"/>
        </w:rPr>
        <w:t>电缆应保持最大可能的敷设间距，且不应</w:t>
      </w:r>
      <w:r>
        <w:rPr>
          <w:rFonts w:hint="eastAsia"/>
          <w:color w:val="auto"/>
        </w:rPr>
        <w:t>同管</w:t>
      </w:r>
      <w:r>
        <w:rPr>
          <w:color w:val="auto"/>
        </w:rPr>
        <w:t>敷设。</w:t>
      </w:r>
    </w:p>
    <w:p>
      <w:pPr>
        <w:rPr>
          <w:color w:val="auto"/>
        </w:rPr>
      </w:pPr>
      <w:r>
        <w:rPr>
          <w:color w:val="auto"/>
        </w:rPr>
        <w:t>7</w:t>
      </w:r>
      <w:r>
        <w:rPr>
          <w:rFonts w:hint="eastAsia"/>
          <w:color w:val="auto"/>
        </w:rPr>
        <w:t>.2.</w:t>
      </w:r>
      <w:r>
        <w:rPr>
          <w:color w:val="auto"/>
        </w:rPr>
        <w:t>3</w:t>
      </w:r>
      <w:r>
        <w:rPr>
          <w:rFonts w:hint="eastAsia"/>
          <w:color w:val="auto"/>
        </w:rPr>
        <w:t xml:space="preserve">  </w:t>
      </w:r>
      <w:r>
        <w:rPr>
          <w:color w:val="auto"/>
        </w:rPr>
        <w:t>电缆穿墙或穿楼板时，应穿管保护或采取其他措施</w:t>
      </w:r>
      <w:r>
        <w:rPr>
          <w:rFonts w:hint="eastAsia"/>
          <w:color w:val="auto"/>
        </w:rPr>
        <w:t>。电缆构筑物</w:t>
      </w:r>
      <w:r>
        <w:rPr>
          <w:color w:val="auto"/>
        </w:rPr>
        <w:t>中的电缆引至电气柜、盘或控制柜、台的开孔部位，</w:t>
      </w:r>
      <w:r>
        <w:rPr>
          <w:rFonts w:hint="eastAsia"/>
          <w:color w:val="auto"/>
        </w:rPr>
        <w:t>贯穿</w:t>
      </w:r>
      <w:r>
        <w:rPr>
          <w:color w:val="auto"/>
        </w:rPr>
        <w:t>隔墙、楼板的孔洞处，工作井中电缆管孔等处应采取阻火封堵。</w:t>
      </w:r>
    </w:p>
    <w:p>
      <w:pPr>
        <w:rPr>
          <w:color w:val="auto"/>
          <w:highlight w:val="yellow"/>
        </w:rPr>
      </w:pPr>
      <w:r>
        <w:rPr>
          <w:rFonts w:hint="eastAsia"/>
          <w:color w:val="auto"/>
        </w:rPr>
        <w:t>7.2.4  在</w:t>
      </w:r>
      <w:r>
        <w:rPr>
          <w:color w:val="auto"/>
        </w:rPr>
        <w:t>隧道、沟、浅槽、竖井、夹层等封闭电缆通道中，不得布置热力管道，不得有</w:t>
      </w:r>
      <w:r>
        <w:rPr>
          <w:rFonts w:hint="eastAsia"/>
          <w:color w:val="auto"/>
        </w:rPr>
        <w:t>可</w:t>
      </w:r>
      <w:r>
        <w:rPr>
          <w:color w:val="auto"/>
        </w:rPr>
        <w:t>燃气体或</w:t>
      </w:r>
      <w:r>
        <w:rPr>
          <w:rFonts w:hint="eastAsia"/>
          <w:color w:val="auto"/>
        </w:rPr>
        <w:t>可燃</w:t>
      </w:r>
      <w:r>
        <w:rPr>
          <w:color w:val="auto"/>
        </w:rPr>
        <w:t>液体</w:t>
      </w:r>
      <w:r>
        <w:rPr>
          <w:rFonts w:hint="eastAsia"/>
          <w:color w:val="auto"/>
        </w:rPr>
        <w:t>的</w:t>
      </w:r>
      <w:r>
        <w:rPr>
          <w:color w:val="auto"/>
        </w:rPr>
        <w:t>管道</w:t>
      </w:r>
      <w:r>
        <w:rPr>
          <w:rFonts w:hint="eastAsia"/>
          <w:color w:val="auto"/>
        </w:rPr>
        <w:t>穿越</w:t>
      </w:r>
      <w:r>
        <w:rPr>
          <w:color w:val="auto"/>
        </w:rPr>
        <w:t>。</w:t>
      </w:r>
    </w:p>
    <w:p>
      <w:pPr>
        <w:rPr>
          <w:color w:val="auto"/>
          <w:highlight w:val="yellow"/>
        </w:rPr>
      </w:pPr>
      <w:r>
        <w:rPr>
          <w:rFonts w:hint="eastAsia"/>
          <w:color w:val="auto"/>
        </w:rPr>
        <w:t>7.2.5</w:t>
      </w:r>
      <w:r>
        <w:rPr>
          <w:color w:val="auto"/>
        </w:rPr>
        <w:t xml:space="preserve"> </w:t>
      </w:r>
      <w:r>
        <w:rPr>
          <w:rFonts w:hint="eastAsia"/>
          <w:color w:val="auto"/>
        </w:rPr>
        <w:t>电缆敷设</w:t>
      </w:r>
      <w:r>
        <w:rPr>
          <w:color w:val="auto"/>
        </w:rPr>
        <w:t>应符合</w:t>
      </w:r>
      <w:r>
        <w:t>现行国家标准</w:t>
      </w:r>
      <w:r>
        <w:rPr>
          <w:rFonts w:hint="eastAsia"/>
          <w:color w:val="auto"/>
        </w:rPr>
        <w:t>《电力工程电缆设计标准》GB50217</w:t>
      </w:r>
      <w:r>
        <w:rPr>
          <w:color w:val="auto"/>
        </w:rPr>
        <w:t>的规定</w:t>
      </w:r>
      <w:r>
        <w:rPr>
          <w:rFonts w:hint="eastAsia"/>
          <w:color w:val="auto"/>
        </w:rPr>
        <w:t>。</w:t>
      </w:r>
    </w:p>
    <w:p>
      <w:pPr>
        <w:rPr>
          <w:color w:val="auto"/>
          <w:highlight w:val="yellow"/>
        </w:rPr>
      </w:pPr>
    </w:p>
    <w:p>
      <w:pPr>
        <w:pStyle w:val="Heading2"/>
        <w:tabs>
          <w:tab w:val="left" w:pos="2935"/>
          <w:tab w:val="center" w:pos="4212"/>
        </w:tabs>
        <w:jc w:val="left"/>
        <w:rPr>
          <w:color w:val="auto"/>
        </w:rPr>
      </w:pPr>
      <w:r>
        <w:rPr>
          <w:rFonts w:hint="eastAsia"/>
          <w:color w:val="auto"/>
        </w:rPr>
        <w:tab/>
      </w:r>
      <w:bookmarkStart w:id="171" w:name="_Toc150521618"/>
      <w:bookmarkStart w:id="172" w:name="_Toc150520751"/>
      <w:bookmarkStart w:id="173" w:name="_Toc150789586"/>
      <w:bookmarkStart w:id="174" w:name="_Toc150841340"/>
      <w:bookmarkStart w:id="175" w:name="_Toc153204830"/>
      <w:bookmarkStart w:id="176" w:name="_Toc153207306"/>
      <w:r>
        <w:rPr>
          <w:rFonts w:hint="eastAsia"/>
          <w:color w:val="auto"/>
        </w:rPr>
        <w:t>7.3</w:t>
      </w:r>
      <w:r>
        <w:rPr>
          <w:rFonts w:ascii="宋体" w:hAnsi="宋体" w:cs="宋体" w:hint="eastAsia"/>
        </w:rPr>
        <w:t>电缆敷设方式</w:t>
      </w:r>
      <w:bookmarkEnd w:id="171"/>
      <w:bookmarkEnd w:id="172"/>
      <w:bookmarkEnd w:id="173"/>
      <w:bookmarkEnd w:id="174"/>
      <w:bookmarkEnd w:id="175"/>
      <w:bookmarkEnd w:id="176"/>
    </w:p>
    <w:p>
      <w:pPr>
        <w:rPr>
          <w:color w:val="auto"/>
        </w:rPr>
      </w:pPr>
      <w:r>
        <w:rPr>
          <w:rFonts w:hint="eastAsia"/>
          <w:color w:val="auto"/>
        </w:rPr>
        <w:t xml:space="preserve">7.3.1  </w:t>
      </w:r>
      <w:r>
        <w:t>电缆敷设方式应</w:t>
      </w:r>
      <w:r>
        <w:rPr>
          <w:rFonts w:hint="eastAsia"/>
        </w:rPr>
        <w:t>根据</w:t>
      </w:r>
      <w:r>
        <w:t>工程条件、环境</w:t>
      </w:r>
      <w:r>
        <w:rPr>
          <w:rFonts w:hint="eastAsia"/>
        </w:rPr>
        <w:t>特征、和</w:t>
      </w:r>
      <w:r>
        <w:t>电缆类型、数量等</w:t>
      </w:r>
      <w:r>
        <w:rPr>
          <w:rFonts w:hint="eastAsia"/>
        </w:rPr>
        <w:t>条件</w:t>
      </w:r>
      <w:r>
        <w:t>，以及满足运行可靠、便于维护和技术经济合理的要求选择</w:t>
      </w:r>
      <w:r>
        <w:rPr>
          <w:rFonts w:hint="eastAsia"/>
        </w:rPr>
        <w:t>，</w:t>
      </w:r>
      <w:r>
        <w:rPr>
          <w:color w:val="auto"/>
        </w:rPr>
        <w:t>并应符合防火和安全方面的要求</w:t>
      </w:r>
      <w:r>
        <w:rPr>
          <w:rFonts w:hint="eastAsia"/>
          <w:color w:val="auto"/>
        </w:rPr>
        <w:t>。</w:t>
      </w:r>
    </w:p>
    <w:p>
      <w:pPr>
        <w:rPr>
          <w:color w:val="auto"/>
        </w:rPr>
      </w:pPr>
      <w:r>
        <w:rPr>
          <w:rFonts w:hint="eastAsia"/>
          <w:color w:val="auto"/>
        </w:rPr>
        <w:t>7.3.2  电缆</w:t>
      </w:r>
      <w:r>
        <w:rPr>
          <w:color w:val="auto"/>
        </w:rPr>
        <w:t>敷设主要有</w:t>
      </w:r>
      <w:r>
        <w:rPr>
          <w:rFonts w:hint="eastAsia"/>
          <w:color w:val="auto"/>
        </w:rPr>
        <w:t>下列</w:t>
      </w:r>
      <w:r>
        <w:rPr>
          <w:color w:val="auto"/>
        </w:rPr>
        <w:t>方式：</w:t>
      </w:r>
    </w:p>
    <w:p>
      <w:pPr>
        <w:ind w:firstLine="420"/>
      </w:pPr>
      <w:r>
        <w:rPr>
          <w:color w:val="auto"/>
        </w:rPr>
        <w:t xml:space="preserve">1 </w:t>
      </w:r>
      <w:r>
        <w:t>电缆直埋敷设</w:t>
      </w:r>
      <w:r>
        <w:rPr>
          <w:rFonts w:hint="eastAsia"/>
        </w:rPr>
        <w:t>；</w:t>
      </w:r>
    </w:p>
    <w:p>
      <w:pPr>
        <w:ind w:firstLine="420"/>
      </w:pPr>
      <w:r>
        <w:rPr>
          <w:rFonts w:hint="eastAsia"/>
        </w:rPr>
        <w:t>2</w:t>
      </w:r>
      <w:r>
        <w:t xml:space="preserve"> 电缆</w:t>
      </w:r>
      <w:r>
        <w:rPr>
          <w:rFonts w:hint="eastAsia"/>
        </w:rPr>
        <w:t>穿</w:t>
      </w:r>
      <w:r>
        <w:t>保护管</w:t>
      </w:r>
      <w:r>
        <w:rPr>
          <w:rFonts w:hint="eastAsia"/>
        </w:rPr>
        <w:t>敷设</w:t>
      </w:r>
      <w:r>
        <w:t>；</w:t>
      </w:r>
    </w:p>
    <w:p>
      <w:pPr>
        <w:ind w:firstLine="420"/>
      </w:pPr>
      <w:r>
        <w:rPr>
          <w:rFonts w:hint="eastAsia"/>
        </w:rPr>
        <w:t>3</w:t>
      </w:r>
      <w:r>
        <w:t xml:space="preserve"> </w:t>
      </w:r>
      <w:r>
        <w:rPr>
          <w:rFonts w:hint="eastAsia"/>
        </w:rPr>
        <w:t>电缆</w:t>
      </w:r>
      <w:r>
        <w:t>在电缆沟敷设</w:t>
      </w:r>
      <w:r>
        <w:rPr>
          <w:rFonts w:hint="eastAsia"/>
        </w:rPr>
        <w:t>；</w:t>
      </w:r>
    </w:p>
    <w:p>
      <w:pPr>
        <w:ind w:firstLine="420"/>
      </w:pPr>
      <w:r>
        <w:rPr>
          <w:rFonts w:hint="eastAsia"/>
        </w:rPr>
        <w:t>4</w:t>
      </w:r>
      <w:r>
        <w:t xml:space="preserve"> </w:t>
      </w:r>
      <w:r>
        <w:rPr>
          <w:rFonts w:hint="eastAsia"/>
        </w:rPr>
        <w:t>电缆</w:t>
      </w:r>
      <w:r>
        <w:t>在电缆隧道敷设</w:t>
      </w:r>
      <w:r>
        <w:rPr>
          <w:rFonts w:hint="eastAsia"/>
        </w:rPr>
        <w:t>；</w:t>
      </w:r>
    </w:p>
    <w:p>
      <w:pPr>
        <w:ind w:firstLine="420"/>
      </w:pPr>
      <w:r>
        <w:rPr>
          <w:rFonts w:hint="eastAsia"/>
        </w:rPr>
        <w:t>5</w:t>
      </w:r>
      <w:r>
        <w:t xml:space="preserve"> </w:t>
      </w:r>
      <w:r>
        <w:rPr>
          <w:rFonts w:hint="eastAsia"/>
        </w:rPr>
        <w:t>电缆</w:t>
      </w:r>
      <w:r>
        <w:t>在电缆夹层敷设</w:t>
      </w:r>
      <w:r>
        <w:rPr>
          <w:rFonts w:hint="eastAsia"/>
        </w:rPr>
        <w:t>；</w:t>
      </w:r>
    </w:p>
    <w:p>
      <w:pPr>
        <w:ind w:firstLine="420"/>
      </w:pPr>
      <w:r>
        <w:rPr>
          <w:rFonts w:hint="eastAsia"/>
        </w:rPr>
        <w:t>6 电缆在厂房</w:t>
      </w:r>
      <w:r>
        <w:t>、厂区等其他公用设施中敷设</w:t>
      </w:r>
      <w:r>
        <w:rPr>
          <w:rFonts w:hint="eastAsia"/>
        </w:rPr>
        <w:t>。</w:t>
      </w:r>
    </w:p>
    <w:p>
      <w:pPr>
        <w:rPr>
          <w:color w:val="auto"/>
        </w:rPr>
      </w:pPr>
      <w:r>
        <w:rPr>
          <w:rFonts w:hint="eastAsia"/>
          <w:color w:val="auto"/>
        </w:rPr>
        <w:t>7.3.3</w:t>
      </w:r>
      <w:r>
        <w:rPr>
          <w:color w:val="auto"/>
        </w:rPr>
        <w:t xml:space="preserve"> </w:t>
      </w:r>
      <w:r>
        <w:t>电缆敷设方式</w:t>
      </w:r>
      <w:r>
        <w:rPr>
          <w:rFonts w:hint="eastAsia"/>
          <w:color w:val="auto"/>
        </w:rPr>
        <w:t>的</w:t>
      </w:r>
      <w:r>
        <w:rPr>
          <w:color w:val="auto"/>
        </w:rPr>
        <w:t>选择应符合</w:t>
      </w:r>
      <w:r>
        <w:t>现行国家标准</w:t>
      </w:r>
      <w:r>
        <w:rPr>
          <w:rFonts w:hint="eastAsia"/>
          <w:color w:val="auto"/>
        </w:rPr>
        <w:t>《电力工程电缆设计标准》GB50217</w:t>
      </w:r>
      <w:r>
        <w:rPr>
          <w:color w:val="auto"/>
        </w:rPr>
        <w:t>的规定</w:t>
      </w:r>
      <w:r>
        <w:rPr>
          <w:rFonts w:hint="eastAsia"/>
          <w:color w:val="auto"/>
        </w:rPr>
        <w:t>。</w:t>
      </w:r>
    </w:p>
    <w:p>
      <w:pPr>
        <w:rPr>
          <w:color w:val="auto"/>
          <w:highlight w:val="yellow"/>
        </w:rPr>
      </w:pPr>
    </w:p>
    <w:p>
      <w:pPr>
        <w:rPr>
          <w:color w:val="auto"/>
          <w:highlight w:val="yellow"/>
        </w:rPr>
      </w:pPr>
    </w:p>
    <w:p>
      <w:pPr>
        <w:rPr>
          <w:color w:val="auto"/>
          <w:highlight w:val="yellow"/>
        </w:rPr>
      </w:pPr>
      <w:r>
        <w:rPr>
          <w:color w:val="auto"/>
          <w:highlight w:val="yellow"/>
        </w:rPr>
        <w:br/>
      </w:r>
      <w:r>
        <w:rPr>
          <w:color w:val="auto"/>
          <w:highlight w:val="yellow"/>
        </w:rPr>
        <w:br/>
      </w:r>
    </w:p>
    <w:p>
      <w:pPr>
        <w:widowControl/>
        <w:jc w:val="left"/>
        <w:rPr>
          <w:rFonts w:ascii="SimSun" w:eastAsia="SimSun" w:hAnsi="SimSun" w:cs="SimSun"/>
          <w:b/>
          <w:bCs/>
          <w:kern w:val="0"/>
          <w:sz w:val="30"/>
          <w:szCs w:val="30"/>
        </w:rPr>
      </w:pPr>
      <w:r>
        <w:rPr>
          <w:rFonts w:ascii="SimSun" w:eastAsia="SimSun" w:hAnsi="SimSun" w:cs="SimSun"/>
          <w:b/>
          <w:bCs/>
          <w:kern w:val="0"/>
          <w:sz w:val="30"/>
          <w:szCs w:val="30"/>
        </w:rPr>
        <w:t>以上内容仅为本文档的试下载部分，为可阅读页数的一半内容。如要下载或阅读全文，请访问：</w:t>
      </w:r>
      <w:hyperlink r:id="rId30" w:history="1">
        <w:r>
          <w:rPr>
            <w:rFonts w:ascii="SimSun" w:eastAsia="SimSun" w:hAnsi="SimSun" w:cs="SimSun"/>
            <w:b/>
            <w:bCs/>
            <w:color w:val="0000EE"/>
            <w:kern w:val="0"/>
            <w:sz w:val="30"/>
            <w:szCs w:val="30"/>
            <w:u w:val="single" w:color="0000EE"/>
          </w:rPr>
          <w:t>https://d.book118.com/886145224031010103</w:t>
        </w:r>
      </w:hyperlink>
    </w:p>
    <w:p>
      <w:pPr>
        <w:rPr>
          <w:color w:val="auto"/>
          <w:highlight w:val="yellow"/>
        </w:rPr>
      </w:pPr>
    </w:p>
    <w:sectPr>
      <w:headerReference w:type="default" r:id="rId31"/>
      <w:footerReference w:type="default" r:id="rId32"/>
      <w:pgSz w:w="11906" w:h="16838"/>
      <w:pgMar w:top="1440" w:right="1800" w:bottom="1440" w:left="1800" w:header="851" w:footer="992" w:gutter="0"/>
      <w:pgNumType w:start="13"/>
      <w:cols w:num="1" w:space="425"/>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Franklin Gothic Demi Cond">
    <w:panose1 w:val="020B0706030402020204"/>
    <w:charset w:val="00"/>
    <w:family w:val="swiss"/>
    <w:pitch w:val="default"/>
    <w:sig w:usb0="00000287" w:usb1="00000000" w:usb2="00000000" w:usb3="00000000" w:csb0="2000009F" w:csb1="DFD70000"/>
  </w:font>
  <w:font w:name="Elephant">
    <w:panose1 w:val="02020904090505020303"/>
    <w:charset w:val="00"/>
    <w:family w:val="roman"/>
    <w:pitch w:val="default"/>
    <w:sig w:usb0="00000003" w:usb1="00000000" w:usb2="00000000" w:usb3="00000000" w:csb0="20000001" w:csb1="00000000"/>
  </w:font>
  <w:font w:name="Arial Unicode MS">
    <w:altName w:val="宋体"/>
    <w:panose1 w:val="020B0604020202020204"/>
    <w:charset w:val="86"/>
    <w:family w:val="swiss"/>
    <w:pitch w:val="default"/>
    <w:sig w:usb0="00000000" w:usb1="00000000" w:usb2="0000003F" w:usb3="00000000" w:csb0="003F01FF" w:csb1="00000000"/>
  </w:font>
  <w:font w:name="Cambria Math">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mc:AlternateContent>
        <mc:Choice Requires="wps">
          <w:drawing>
            <wp:anchor distT="0" distB="0" distL="114300" distR="114300" simplePos="0" relativeHeight="251659264" behindDoc="0" locked="0" layoutInCell="1" allowOverlap="1">
              <wp:simplePos x="0" y="0"/>
              <wp:positionH relativeFrom="margin">
                <wp:align>inside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ind w:firstLine="360"/>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49" type="#_x0000_t202" style="width:2in;height:2in;margin-top:0;margin-left:0;mso-position-horizontal:inside;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ind w:firstLine="360"/>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mc:AlternateContent>
        <mc:Choice Requires="wps">
          <w:drawing>
            <wp:anchor distT="0" distB="0" distL="114300" distR="114300" simplePos="0" relativeHeight="251661312" behindDoc="0" locked="0" layoutInCell="1" allowOverlap="1">
              <wp:simplePos x="0" y="0"/>
              <wp:positionH relativeFrom="margin">
                <wp:align>inside</wp:align>
              </wp:positionH>
              <wp:positionV relativeFrom="paragraph">
                <wp:posOffset>0</wp:posOffset>
              </wp:positionV>
              <wp:extent cx="1828800" cy="1828800"/>
              <wp:effectExtent l="0" t="0" r="0" b="0"/>
              <wp:wrapNone/>
              <wp:docPr id="1362240354"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ind w:firstLine="360"/>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0" type="#_x0000_t202" style="width:2in;height:2in;margin-top:0;margin-left:0;mso-position-horizontal:inside;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ind w:firstLine="360"/>
                    </w:pPr>
                    <w:r>
                      <w:fldChar w:fldCharType="begin"/>
                    </w:r>
                    <w:r>
                      <w:instrText xml:space="preserve"> PAGE  \* MERGEFORMAT </w:instrText>
                    </w:r>
                    <w:r>
                      <w:fldChar w:fldCharType="separate"/>
                    </w:r>
                    <w:r>
                      <w:t>2</w:t>
                    </w:r>
                    <w: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mc:AlternateContent>
        <mc:Choice Requires="wps">
          <w:drawing>
            <wp:anchor distT="0" distB="0" distL="114300" distR="114300" simplePos="0" relativeHeight="251663360" behindDoc="0" locked="0" layoutInCell="1" allowOverlap="1">
              <wp:simplePos x="0" y="0"/>
              <wp:positionH relativeFrom="margin">
                <wp:align>inside</wp:align>
              </wp:positionH>
              <wp:positionV relativeFrom="paragraph">
                <wp:posOffset>0</wp:posOffset>
              </wp:positionV>
              <wp:extent cx="1828800" cy="1828800"/>
              <wp:effectExtent l="0" t="0" r="0" b="0"/>
              <wp:wrapNone/>
              <wp:docPr id="2115884583"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ind w:firstLine="360"/>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1" type="#_x0000_t202" style="width:2in;height:2in;margin-top:0;margin-left:0;mso-position-horizontal:inside;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Footer"/>
                      <w:ind w:firstLine="360"/>
                    </w:pPr>
                    <w:r>
                      <w:fldChar w:fldCharType="begin"/>
                    </w:r>
                    <w:r>
                      <w:instrText xml:space="preserve"> PAGE  \* MERGEFORMAT </w:instrText>
                    </w:r>
                    <w:r>
                      <w:fldChar w:fldCharType="separate"/>
                    </w:r>
                    <w:r>
                      <w:t>3</w:t>
                    </w:r>
                    <w:r>
                      <w:fldChar w:fldCharType="end"/>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mc:AlternateContent>
        <mc:Choice Requires="wps">
          <w:drawing>
            <wp:anchor distT="0" distB="0" distL="114300" distR="114300" simplePos="0" relativeHeight="251665408" behindDoc="0" locked="0" layoutInCell="1" allowOverlap="1">
              <wp:simplePos x="0" y="0"/>
              <wp:positionH relativeFrom="margin">
                <wp:align>inside</wp:align>
              </wp:positionH>
              <wp:positionV relativeFrom="paragraph">
                <wp:posOffset>0</wp:posOffset>
              </wp:positionV>
              <wp:extent cx="1828800" cy="1828800"/>
              <wp:effectExtent l="0" t="0" r="0" b="0"/>
              <wp:wrapNone/>
              <wp:docPr id="1189968593"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ind w:firstLine="360"/>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2" type="#_x0000_t202" style="width:2in;height:2in;margin-top:0;margin-left:0;mso-position-horizontal:inside;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Footer"/>
                      <w:ind w:firstLine="360"/>
                    </w:pPr>
                    <w:r>
                      <w:fldChar w:fldCharType="begin"/>
                    </w:r>
                    <w:r>
                      <w:instrText xml:space="preserve"> PAGE  \* MERGEFORMAT </w:instrText>
                    </w:r>
                    <w:r>
                      <w:fldChar w:fldCharType="separate"/>
                    </w:r>
                    <w:r>
                      <w:t>4</w:t>
                    </w:r>
                    <w: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mc:AlternateContent>
        <mc:Choice Requires="wps">
          <w:drawing>
            <wp:anchor distT="0" distB="0" distL="114300" distR="114300" simplePos="0" relativeHeight="251667456" behindDoc="0" locked="0" layoutInCell="1" allowOverlap="1">
              <wp:simplePos x="0" y="0"/>
              <wp:positionH relativeFrom="margin">
                <wp:align>inside</wp:align>
              </wp:positionH>
              <wp:positionV relativeFrom="paragraph">
                <wp:posOffset>0</wp:posOffset>
              </wp:positionV>
              <wp:extent cx="1828800" cy="1828800"/>
              <wp:effectExtent l="0" t="0" r="0" b="0"/>
              <wp:wrapNone/>
              <wp:docPr id="257779962"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ind w:firstLine="360"/>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3" type="#_x0000_t202" style="width:2in;height:2in;margin-top:0;margin-left:0;mso-position-horizontal:inside;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pPr>
                      <w:pStyle w:val="Footer"/>
                      <w:ind w:firstLine="360"/>
                    </w:pPr>
                    <w:r>
                      <w:fldChar w:fldCharType="begin"/>
                    </w:r>
                    <w:r>
                      <w:instrText xml:space="preserve"> PAGE  \* MERGEFORMAT </w:instrText>
                    </w:r>
                    <w:r>
                      <w:fldChar w:fldCharType="separate"/>
                    </w:r>
                    <w:r>
                      <w:t>5</w:t>
                    </w:r>
                    <w: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mc:AlternateContent>
        <mc:Choice Requires="wps">
          <w:drawing>
            <wp:anchor distT="0" distB="0" distL="114300" distR="114300" simplePos="0" relativeHeight="251669504" behindDoc="0" locked="0" layoutInCell="1" allowOverlap="1">
              <wp:simplePos x="0" y="0"/>
              <wp:positionH relativeFrom="margin">
                <wp:align>inside</wp:align>
              </wp:positionH>
              <wp:positionV relativeFrom="paragraph">
                <wp:posOffset>0</wp:posOffset>
              </wp:positionV>
              <wp:extent cx="1828800" cy="1828800"/>
              <wp:effectExtent l="0" t="0" r="0" b="0"/>
              <wp:wrapNone/>
              <wp:docPr id="310088004"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ind w:firstLine="360"/>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4" type="#_x0000_t202" style="width:2in;height:2in;margin-top:0;margin-left:0;mso-position-horizontal:inside;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pPr>
                      <w:pStyle w:val="Footer"/>
                      <w:ind w:firstLine="360"/>
                    </w:pPr>
                    <w:r>
                      <w:fldChar w:fldCharType="begin"/>
                    </w:r>
                    <w:r>
                      <w:instrText xml:space="preserve"> PAGE  \* MERGEFORMAT </w:instrText>
                    </w:r>
                    <w:r>
                      <w:fldChar w:fldCharType="separate"/>
                    </w:r>
                    <w:r>
                      <w:t>6</w:t>
                    </w:r>
                    <w:r>
                      <w:fldChar w:fldCharType="end"/>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mc:AlternateContent>
        <mc:Choice Requires="wps">
          <w:drawing>
            <wp:anchor distT="0" distB="0" distL="114300" distR="114300" simplePos="0" relativeHeight="251671552" behindDoc="0" locked="0" layoutInCell="1" allowOverlap="1">
              <wp:simplePos x="0" y="0"/>
              <wp:positionH relativeFrom="margin">
                <wp:align>inside</wp:align>
              </wp:positionH>
              <wp:positionV relativeFrom="paragraph">
                <wp:posOffset>0</wp:posOffset>
              </wp:positionV>
              <wp:extent cx="1828800" cy="1828800"/>
              <wp:effectExtent l="0" t="0" r="0" b="0"/>
              <wp:wrapNone/>
              <wp:docPr id="337954827"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ind w:firstLine="360"/>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5" type="#_x0000_t202" style="width:2in;height:2in;margin-top:0;margin-left:0;mso-position-horizontal:inside;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p>
                    <w:pPr>
                      <w:pStyle w:val="Footer"/>
                      <w:ind w:firstLine="360"/>
                    </w:pPr>
                    <w:r>
                      <w:fldChar w:fldCharType="begin"/>
                    </w:r>
                    <w:r>
                      <w:instrText xml:space="preserve"> PAGE  \* MERGEFORMAT </w:instrText>
                    </w:r>
                    <w:r>
                      <w:fldChar w:fldCharType="separate"/>
                    </w:r>
                    <w:r>
                      <w:t>7</w:t>
                    </w:r>
                    <w:r>
                      <w:fldChar w:fldCharType="end"/>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mc:AlternateContent>
        <mc:Choice Requires="wps">
          <w:drawing>
            <wp:anchor distT="0" distB="0" distL="114300" distR="114300" simplePos="0" relativeHeight="251673600" behindDoc="0" locked="0" layoutInCell="1" allowOverlap="1">
              <wp:simplePos x="0" y="0"/>
              <wp:positionH relativeFrom="margin">
                <wp:align>inside</wp:align>
              </wp:positionH>
              <wp:positionV relativeFrom="paragraph">
                <wp:posOffset>0</wp:posOffset>
              </wp:positionV>
              <wp:extent cx="1828800" cy="1828800"/>
              <wp:effectExtent l="0" t="0" r="0" b="0"/>
              <wp:wrapNone/>
              <wp:docPr id="1487793457"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ind w:firstLine="360"/>
                          </w:pPr>
                          <w:r>
                            <w:fldChar w:fldCharType="begin"/>
                          </w:r>
                          <w:r>
                            <w:instrText xml:space="preserve"> PAGE  \* MERGEFORMAT </w:instrText>
                          </w:r>
                          <w:r>
                            <w:fldChar w:fldCharType="separate"/>
                          </w:r>
                          <w:r>
                            <w:t>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6" type="#_x0000_t202" style="width:2in;height:2in;margin-top:0;margin-left:0;mso-position-horizontal:inside;mso-position-horizontal-relative:margin;mso-wrap-distance-bottom:0;mso-wrap-distance-left:9pt;mso-wrap-distance-right:9pt;mso-wrap-distance-top:0;mso-wrap-style:none;position:absolute;v-text-anchor:top;z-index:251672576" filled="f" fillcolor="this" stroked="f" strokeweight="0.5pt">
              <v:textbox style="mso-fit-shape-to-text:t" inset="0,0,0,0">
                <w:txbxContent>
                  <w:p>
                    <w:pPr>
                      <w:pStyle w:val="Footer"/>
                      <w:ind w:firstLine="360"/>
                    </w:pPr>
                    <w:r>
                      <w:fldChar w:fldCharType="begin"/>
                    </w:r>
                    <w:r>
                      <w:instrText xml:space="preserve"> PAGE  \* MERGEFORMAT </w:instrText>
                    </w:r>
                    <w:r>
                      <w:fldChar w:fldCharType="separate"/>
                    </w:r>
                    <w:r>
                      <w:t>8</w:t>
                    </w:r>
                    <w:r>
                      <w:fldChar w:fldCharType="end"/>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mc:AlternateContent>
        <mc:Choice Requires="wps">
          <w:drawing>
            <wp:anchor distT="0" distB="0" distL="114300" distR="114300" simplePos="0" relativeHeight="251675648" behindDoc="0" locked="0" layoutInCell="1" allowOverlap="1">
              <wp:simplePos x="0" y="0"/>
              <wp:positionH relativeFrom="margin">
                <wp:align>inside</wp:align>
              </wp:positionH>
              <wp:positionV relativeFrom="paragraph">
                <wp:posOffset>0</wp:posOffset>
              </wp:positionV>
              <wp:extent cx="1828800" cy="1828800"/>
              <wp:effectExtent l="0" t="0" r="0" b="0"/>
              <wp:wrapNone/>
              <wp:docPr id="263991700"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ind w:firstLine="360"/>
                          </w:pPr>
                          <w:r>
                            <w:fldChar w:fldCharType="begin"/>
                          </w:r>
                          <w:r>
                            <w:instrText xml:space="preserve"> PAGE  \* MERGEFORMAT </w:instrText>
                          </w:r>
                          <w:r>
                            <w:fldChar w:fldCharType="separate"/>
                          </w:r>
                          <w:r>
                            <w:t>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7" type="#_x0000_t202" style="width:2in;height:2in;margin-top:0;margin-left:0;mso-position-horizontal:inside;mso-position-horizontal-relative:margin;mso-wrap-distance-bottom:0;mso-wrap-distance-left:9pt;mso-wrap-distance-right:9pt;mso-wrap-distance-top:0;mso-wrap-style:none;position:absolute;v-text-anchor:top;z-index:251674624" filled="f" fillcolor="this" stroked="f" strokeweight="0.5pt">
              <v:textbox style="mso-fit-shape-to-text:t" inset="0,0,0,0">
                <w:txbxContent>
                  <w:p>
                    <w:pPr>
                      <w:pStyle w:val="Footer"/>
                      <w:ind w:firstLine="360"/>
                    </w:pPr>
                    <w:r>
                      <w:fldChar w:fldCharType="begin"/>
                    </w:r>
                    <w:r>
                      <w:instrText xml:space="preserve"> PAGE  \* MERGEFORMAT </w:instrText>
                    </w:r>
                    <w:r>
                      <w:fldChar w:fldCharType="separate"/>
                    </w:r>
                    <w:r>
                      <w:t>9</w:t>
                    </w:r>
                    <w:r>
                      <w:fldChar w:fldCharType="end"/>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mc:AlternateContent>
        <mc:Choice Requires="wps">
          <w:drawing>
            <wp:anchor distT="0" distB="0" distL="114300" distR="114300" simplePos="0" relativeHeight="251677696" behindDoc="0" locked="0" layoutInCell="1" allowOverlap="1">
              <wp:simplePos x="0" y="0"/>
              <wp:positionH relativeFrom="margin">
                <wp:align>inside</wp:align>
              </wp:positionH>
              <wp:positionV relativeFrom="paragraph">
                <wp:posOffset>0</wp:posOffset>
              </wp:positionV>
              <wp:extent cx="1828800" cy="1828800"/>
              <wp:effectExtent l="0" t="0" r="0" b="0"/>
              <wp:wrapNone/>
              <wp:docPr id="180498975"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ind w:firstLine="360"/>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8" type="#_x0000_t202" style="width:2in;height:2in;margin-top:0;margin-left:0;mso-position-horizontal:inside;mso-position-horizontal-relative:margin;mso-wrap-distance-bottom:0;mso-wrap-distance-left:9pt;mso-wrap-distance-right:9pt;mso-wrap-distance-top:0;mso-wrap-style:none;position:absolute;v-text-anchor:top;z-index:251676672" filled="f" fillcolor="this" stroked="f" strokeweight="0.5pt">
              <v:textbox style="mso-fit-shape-to-text:t" inset="0,0,0,0">
                <w:txbxContent>
                  <w:p>
                    <w:pPr>
                      <w:pStyle w:val="Footer"/>
                      <w:ind w:firstLine="360"/>
                    </w:pPr>
                    <w:r>
                      <w:fldChar w:fldCharType="begin"/>
                    </w:r>
                    <w:r>
                      <w:instrText xml:space="preserve"> PAGE  \* MERGEFORMAT </w:instrText>
                    </w:r>
                    <w:r>
                      <w:fldChar w:fldCharType="separate"/>
                    </w:r>
                    <w:r>
                      <w:t>10</w:t>
                    </w:r>
                    <w:r>
                      <w:fldChar w:fldCharType="end"/>
                    </w:r>
                  </w:p>
                </w:txbxContent>
              </v:textbox>
              <w10:wrap anchorx="margin"/>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mc:AlternateContent>
        <mc:Choice Requires="wps">
          <w:drawing>
            <wp:anchor distT="0" distB="0" distL="114300" distR="114300" simplePos="0" relativeHeight="251679744" behindDoc="0" locked="0" layoutInCell="1" allowOverlap="1">
              <wp:simplePos x="0" y="0"/>
              <wp:positionH relativeFrom="margin">
                <wp:align>inside</wp:align>
              </wp:positionH>
              <wp:positionV relativeFrom="paragraph">
                <wp:posOffset>0</wp:posOffset>
              </wp:positionV>
              <wp:extent cx="1828800" cy="1828800"/>
              <wp:effectExtent l="0" t="0" r="0" b="0"/>
              <wp:wrapNone/>
              <wp:docPr id="1574222521"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ind w:firstLine="360"/>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9" type="#_x0000_t202" style="width:2in;height:2in;margin-top:0;margin-left:0;mso-position-horizontal:inside;mso-position-horizontal-relative:margin;mso-wrap-distance-bottom:0;mso-wrap-distance-left:9pt;mso-wrap-distance-right:9pt;mso-wrap-distance-top:0;mso-wrap-style:none;position:absolute;v-text-anchor:top;z-index:251678720" filled="f" fillcolor="this" stroked="f" strokeweight="0.5pt">
              <v:textbox style="mso-fit-shape-to-text:t" inset="0,0,0,0">
                <w:txbxContent>
                  <w:p>
                    <w:pPr>
                      <w:pStyle w:val="Footer"/>
                      <w:ind w:firstLine="360"/>
                    </w:pPr>
                    <w:r>
                      <w:fldChar w:fldCharType="begin"/>
                    </w:r>
                    <w:r>
                      <w:instrText xml:space="preserve"> PAGE  \* MERGEFORMAT </w:instrText>
                    </w:r>
                    <w:r>
                      <w:fldChar w:fldCharType="separate"/>
                    </w:r>
                    <w:r>
                      <w:t>11</w:t>
                    </w:r>
                    <w:r>
                      <w:fldChar w:fldCharType="end"/>
                    </w:r>
                  </w:p>
                </w:txbxContent>
              </v:textbox>
              <w10:wrap anchorx="margin"/>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mc:AlternateContent>
        <mc:Choice Requires="wps">
          <w:drawing>
            <wp:anchor distT="0" distB="0" distL="114300" distR="114300" simplePos="0" relativeHeight="251681792" behindDoc="0" locked="0" layoutInCell="1" allowOverlap="1">
              <wp:simplePos x="0" y="0"/>
              <wp:positionH relativeFrom="margin">
                <wp:align>inside</wp:align>
              </wp:positionH>
              <wp:positionV relativeFrom="paragraph">
                <wp:posOffset>0</wp:posOffset>
              </wp:positionV>
              <wp:extent cx="1828800" cy="1828800"/>
              <wp:effectExtent l="0" t="0" r="0" b="0"/>
              <wp:wrapNone/>
              <wp:docPr id="1459214650"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ind w:firstLine="360"/>
                          </w:pPr>
                          <w:r>
                            <w:fldChar w:fldCharType="begin"/>
                          </w:r>
                          <w:r>
                            <w:instrText xml:space="preserve"> PAGE  \* MERGEFORMAT </w:instrText>
                          </w:r>
                          <w:r>
                            <w:fldChar w:fldCharType="separate"/>
                          </w:r>
                          <w:r>
                            <w:t>12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60" type="#_x0000_t202" style="width:2in;height:2in;margin-top:0;margin-left:0;mso-position-horizontal:inside;mso-position-horizontal-relative:margin;mso-wrap-distance-bottom:0;mso-wrap-distance-left:9pt;mso-wrap-distance-right:9pt;mso-wrap-distance-top:0;mso-wrap-style:none;position:absolute;v-text-anchor:top;z-index:251680768" filled="f" fillcolor="this" stroked="f" strokeweight="0.5pt">
              <v:textbox style="mso-fit-shape-to-text:t" inset="0,0,0,0">
                <w:txbxContent>
                  <w:p>
                    <w:pPr>
                      <w:pStyle w:val="Footer"/>
                      <w:ind w:firstLine="360"/>
                    </w:pPr>
                    <w:r>
                      <w:fldChar w:fldCharType="begin"/>
                    </w:r>
                    <w:r>
                      <w:instrText xml:space="preserve"> PAGE  \* MERGEFORMAT </w:instrText>
                    </w:r>
                    <w:r>
                      <w:fldChar w:fldCharType="separate"/>
                    </w:r>
                    <w:r>
                      <w:t>12</w:t>
                    </w:r>
                    <w:r>
                      <w:fldChar w:fldCharType="end"/>
                    </w:r>
                  </w:p>
                </w:txbxContent>
              </v:textbox>
              <w10:wrap anchorx="margin"/>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mc:AlternateContent>
        <mc:Choice Requires="wps">
          <w:drawing>
            <wp:anchor distT="0" distB="0" distL="114300" distR="114300" simplePos="0" relativeHeight="251683840" behindDoc="0" locked="0" layoutInCell="1" allowOverlap="1">
              <wp:simplePos x="0" y="0"/>
              <wp:positionH relativeFrom="margin">
                <wp:align>inside</wp:align>
              </wp:positionH>
              <wp:positionV relativeFrom="paragraph">
                <wp:posOffset>0</wp:posOffset>
              </wp:positionV>
              <wp:extent cx="1828800" cy="1828800"/>
              <wp:effectExtent l="0" t="0" r="0" b="0"/>
              <wp:wrapNone/>
              <wp:docPr id="1641846171"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ind w:firstLine="360"/>
                          </w:pPr>
                          <w:r>
                            <w:fldChar w:fldCharType="begin"/>
                          </w:r>
                          <w:r>
                            <w:instrText xml:space="preserve"> PAGE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61" type="#_x0000_t202" style="width:2in;height:2in;margin-top:0;margin-left:0;mso-position-horizontal:inside;mso-position-horizontal-relative:margin;mso-wrap-distance-bottom:0;mso-wrap-distance-left:9pt;mso-wrap-distance-right:9pt;mso-wrap-distance-top:0;mso-wrap-style:none;position:absolute;v-text-anchor:top;z-index:251682816" filled="f" fillcolor="this" stroked="f" strokeweight="0.5pt">
              <v:textbox style="mso-fit-shape-to-text:t" inset="0,0,0,0">
                <w:txbxContent>
                  <w:p>
                    <w:pPr>
                      <w:pStyle w:val="Footer"/>
                      <w:ind w:firstLine="360"/>
                    </w:pPr>
                    <w:r>
                      <w:fldChar w:fldCharType="begin"/>
                    </w:r>
                    <w:r>
                      <w:instrText xml:space="preserve"> PAGE  \* MERGEFORMAT </w:instrText>
                    </w:r>
                    <w:r>
                      <w:fldChar w:fldCharType="separate"/>
                    </w:r>
                    <w:r>
                      <w:t>14</w:t>
                    </w:r>
                    <w:r>
                      <w:fldChar w:fldCharType="end"/>
                    </w:r>
                  </w:p>
                </w:txbxContent>
              </v:textbox>
              <w10:wrap anchorx="margin"/>
            </v:shape>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6BED17E0"/>
    <w:multiLevelType w:val="singleLevel"/>
    <w:tmpl w:val="6BED17E0"/>
    <w:lvl w:ilvl="0">
      <w:start w:val="1"/>
      <w:numFmt w:val="decimal"/>
      <w:suff w:val="nothing"/>
      <w:lvlText w:val="%1）"/>
      <w:lvlJc w:val="left"/>
    </w:lvl>
  </w:abstractNum>
  <w:num w:numId="1">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15:person w15:author="寇渭新">
    <w15:presenceInfo w15:providerId="None" w15:userId="寇渭新"/>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HorizontalSpacing w:val="105"/>
  <w:drawingGridVerticalSpacing w:val="156"/>
  <w:displayHorizontalDrawingGridEvery w:val="2"/>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C5068"/>
    <w:rsid w:val="000036D1"/>
    <w:rsid w:val="00006C98"/>
    <w:rsid w:val="00012114"/>
    <w:rsid w:val="0001610E"/>
    <w:rsid w:val="000167DA"/>
    <w:rsid w:val="00016916"/>
    <w:rsid w:val="00017AF9"/>
    <w:rsid w:val="00017C88"/>
    <w:rsid w:val="00024062"/>
    <w:rsid w:val="000244AB"/>
    <w:rsid w:val="00026E17"/>
    <w:rsid w:val="0002702B"/>
    <w:rsid w:val="00027AAC"/>
    <w:rsid w:val="0003370C"/>
    <w:rsid w:val="00036CD8"/>
    <w:rsid w:val="00050320"/>
    <w:rsid w:val="000539AF"/>
    <w:rsid w:val="000542DC"/>
    <w:rsid w:val="000602B7"/>
    <w:rsid w:val="0006168B"/>
    <w:rsid w:val="0006264F"/>
    <w:rsid w:val="000718BC"/>
    <w:rsid w:val="00072551"/>
    <w:rsid w:val="00075AF9"/>
    <w:rsid w:val="00077F08"/>
    <w:rsid w:val="0008128E"/>
    <w:rsid w:val="000822A1"/>
    <w:rsid w:val="0008265A"/>
    <w:rsid w:val="000844B4"/>
    <w:rsid w:val="00095B8C"/>
    <w:rsid w:val="000A5EB5"/>
    <w:rsid w:val="000B02A3"/>
    <w:rsid w:val="000B3380"/>
    <w:rsid w:val="000B424A"/>
    <w:rsid w:val="000B515E"/>
    <w:rsid w:val="000C0214"/>
    <w:rsid w:val="000C34BC"/>
    <w:rsid w:val="000C6370"/>
    <w:rsid w:val="000D1038"/>
    <w:rsid w:val="000D1967"/>
    <w:rsid w:val="000D2F43"/>
    <w:rsid w:val="000D3AFD"/>
    <w:rsid w:val="000D5EB9"/>
    <w:rsid w:val="000D6D5F"/>
    <w:rsid w:val="000E074B"/>
    <w:rsid w:val="000E1B43"/>
    <w:rsid w:val="000E43A8"/>
    <w:rsid w:val="000E6E1C"/>
    <w:rsid w:val="000E7ECA"/>
    <w:rsid w:val="000F2617"/>
    <w:rsid w:val="00101B52"/>
    <w:rsid w:val="00106553"/>
    <w:rsid w:val="001136AE"/>
    <w:rsid w:val="00115B2D"/>
    <w:rsid w:val="001163AF"/>
    <w:rsid w:val="00116433"/>
    <w:rsid w:val="00120498"/>
    <w:rsid w:val="00123314"/>
    <w:rsid w:val="00125196"/>
    <w:rsid w:val="001251D8"/>
    <w:rsid w:val="00130EC5"/>
    <w:rsid w:val="00132BFF"/>
    <w:rsid w:val="0013307D"/>
    <w:rsid w:val="00133E79"/>
    <w:rsid w:val="00137A31"/>
    <w:rsid w:val="00137BF6"/>
    <w:rsid w:val="00137D03"/>
    <w:rsid w:val="001424D8"/>
    <w:rsid w:val="00142FAC"/>
    <w:rsid w:val="00145208"/>
    <w:rsid w:val="00145C32"/>
    <w:rsid w:val="00152954"/>
    <w:rsid w:val="00155363"/>
    <w:rsid w:val="00164CC7"/>
    <w:rsid w:val="0017351D"/>
    <w:rsid w:val="00175AEC"/>
    <w:rsid w:val="00176F60"/>
    <w:rsid w:val="00180F85"/>
    <w:rsid w:val="00182DEF"/>
    <w:rsid w:val="00183189"/>
    <w:rsid w:val="00185074"/>
    <w:rsid w:val="00185C33"/>
    <w:rsid w:val="00191478"/>
    <w:rsid w:val="001916D7"/>
    <w:rsid w:val="00194D13"/>
    <w:rsid w:val="00194FD6"/>
    <w:rsid w:val="00197131"/>
    <w:rsid w:val="00197AF1"/>
    <w:rsid w:val="001B045D"/>
    <w:rsid w:val="001B1624"/>
    <w:rsid w:val="001B1BE3"/>
    <w:rsid w:val="001B2892"/>
    <w:rsid w:val="001B574F"/>
    <w:rsid w:val="001B5829"/>
    <w:rsid w:val="001B789A"/>
    <w:rsid w:val="001C00D7"/>
    <w:rsid w:val="001C228A"/>
    <w:rsid w:val="001C2ED0"/>
    <w:rsid w:val="001C4CA5"/>
    <w:rsid w:val="001C565F"/>
    <w:rsid w:val="001C5902"/>
    <w:rsid w:val="001C5C1A"/>
    <w:rsid w:val="001D1BD7"/>
    <w:rsid w:val="001D3A35"/>
    <w:rsid w:val="001D4739"/>
    <w:rsid w:val="001D537F"/>
    <w:rsid w:val="001E180D"/>
    <w:rsid w:val="001E55C1"/>
    <w:rsid w:val="001E59B4"/>
    <w:rsid w:val="001F0359"/>
    <w:rsid w:val="001F4F94"/>
    <w:rsid w:val="001F5A2F"/>
    <w:rsid w:val="001F5B13"/>
    <w:rsid w:val="001F5FDA"/>
    <w:rsid w:val="002027A7"/>
    <w:rsid w:val="00207A26"/>
    <w:rsid w:val="002159FA"/>
    <w:rsid w:val="00216E6D"/>
    <w:rsid w:val="002202BD"/>
    <w:rsid w:val="00221B24"/>
    <w:rsid w:val="00221E50"/>
    <w:rsid w:val="0022200F"/>
    <w:rsid w:val="00226B76"/>
    <w:rsid w:val="002277A2"/>
    <w:rsid w:val="00234A6E"/>
    <w:rsid w:val="002358AB"/>
    <w:rsid w:val="0024032B"/>
    <w:rsid w:val="0024565A"/>
    <w:rsid w:val="00262D4B"/>
    <w:rsid w:val="00264CAE"/>
    <w:rsid w:val="00266850"/>
    <w:rsid w:val="0027185F"/>
    <w:rsid w:val="00273CE1"/>
    <w:rsid w:val="00274567"/>
    <w:rsid w:val="002847C8"/>
    <w:rsid w:val="0028621B"/>
    <w:rsid w:val="002876B1"/>
    <w:rsid w:val="00290143"/>
    <w:rsid w:val="00290FCE"/>
    <w:rsid w:val="00291E36"/>
    <w:rsid w:val="0029222D"/>
    <w:rsid w:val="00292C03"/>
    <w:rsid w:val="002978A1"/>
    <w:rsid w:val="002A5D24"/>
    <w:rsid w:val="002A62B3"/>
    <w:rsid w:val="002A7A2D"/>
    <w:rsid w:val="002A7E2B"/>
    <w:rsid w:val="002B0F2D"/>
    <w:rsid w:val="002B15AB"/>
    <w:rsid w:val="002B3EE4"/>
    <w:rsid w:val="002B6DE9"/>
    <w:rsid w:val="002C388A"/>
    <w:rsid w:val="002D0A01"/>
    <w:rsid w:val="002D1563"/>
    <w:rsid w:val="002D4CBE"/>
    <w:rsid w:val="002D57D4"/>
    <w:rsid w:val="002D6366"/>
    <w:rsid w:val="002E5C64"/>
    <w:rsid w:val="002E5D11"/>
    <w:rsid w:val="002F2077"/>
    <w:rsid w:val="002F34C4"/>
    <w:rsid w:val="002F3553"/>
    <w:rsid w:val="002F56E2"/>
    <w:rsid w:val="002F6029"/>
    <w:rsid w:val="00301B8A"/>
    <w:rsid w:val="00301C68"/>
    <w:rsid w:val="003067AA"/>
    <w:rsid w:val="00307866"/>
    <w:rsid w:val="0031073F"/>
    <w:rsid w:val="00313F08"/>
    <w:rsid w:val="00315294"/>
    <w:rsid w:val="00322C89"/>
    <w:rsid w:val="00326B2F"/>
    <w:rsid w:val="00330D74"/>
    <w:rsid w:val="00337442"/>
    <w:rsid w:val="00347174"/>
    <w:rsid w:val="00347CB6"/>
    <w:rsid w:val="003511BB"/>
    <w:rsid w:val="003516CD"/>
    <w:rsid w:val="00351A92"/>
    <w:rsid w:val="00352011"/>
    <w:rsid w:val="00354592"/>
    <w:rsid w:val="00356454"/>
    <w:rsid w:val="00371A63"/>
    <w:rsid w:val="00371ED8"/>
    <w:rsid w:val="0037517E"/>
    <w:rsid w:val="00382091"/>
    <w:rsid w:val="00384ADB"/>
    <w:rsid w:val="0039286D"/>
    <w:rsid w:val="003A5D44"/>
    <w:rsid w:val="003B04CA"/>
    <w:rsid w:val="003B2639"/>
    <w:rsid w:val="003B45CD"/>
    <w:rsid w:val="003B7148"/>
    <w:rsid w:val="003B7D25"/>
    <w:rsid w:val="003C15AE"/>
    <w:rsid w:val="003C1AF5"/>
    <w:rsid w:val="003C582F"/>
    <w:rsid w:val="003D110F"/>
    <w:rsid w:val="003D4480"/>
    <w:rsid w:val="003D54D2"/>
    <w:rsid w:val="003D7E64"/>
    <w:rsid w:val="003E1155"/>
    <w:rsid w:val="003E1CDE"/>
    <w:rsid w:val="003E227E"/>
    <w:rsid w:val="003E2F4C"/>
    <w:rsid w:val="003E48F1"/>
    <w:rsid w:val="003E6CD0"/>
    <w:rsid w:val="003E6F72"/>
    <w:rsid w:val="003F06AC"/>
    <w:rsid w:val="003F55BD"/>
    <w:rsid w:val="00400EFE"/>
    <w:rsid w:val="00400F25"/>
    <w:rsid w:val="00402398"/>
    <w:rsid w:val="0041282A"/>
    <w:rsid w:val="00413E9A"/>
    <w:rsid w:val="00421EA3"/>
    <w:rsid w:val="00421F98"/>
    <w:rsid w:val="00423743"/>
    <w:rsid w:val="004301CF"/>
    <w:rsid w:val="004303C1"/>
    <w:rsid w:val="00430945"/>
    <w:rsid w:val="00432E81"/>
    <w:rsid w:val="0043576C"/>
    <w:rsid w:val="00437978"/>
    <w:rsid w:val="004461A9"/>
    <w:rsid w:val="00452FDD"/>
    <w:rsid w:val="00454E7E"/>
    <w:rsid w:val="00457CAD"/>
    <w:rsid w:val="0046117D"/>
    <w:rsid w:val="004624FB"/>
    <w:rsid w:val="004626D6"/>
    <w:rsid w:val="004635D4"/>
    <w:rsid w:val="004736D2"/>
    <w:rsid w:val="00473FD8"/>
    <w:rsid w:val="004809BB"/>
    <w:rsid w:val="00484BF2"/>
    <w:rsid w:val="0049117B"/>
    <w:rsid w:val="004929D5"/>
    <w:rsid w:val="004947F0"/>
    <w:rsid w:val="0049619F"/>
    <w:rsid w:val="0049788C"/>
    <w:rsid w:val="004A042E"/>
    <w:rsid w:val="004A0D22"/>
    <w:rsid w:val="004B23E4"/>
    <w:rsid w:val="004B364B"/>
    <w:rsid w:val="004B494F"/>
    <w:rsid w:val="004B5F2C"/>
    <w:rsid w:val="004B70B9"/>
    <w:rsid w:val="004B7BA8"/>
    <w:rsid w:val="004C1822"/>
    <w:rsid w:val="004C19A0"/>
    <w:rsid w:val="004C4A82"/>
    <w:rsid w:val="004C7EA2"/>
    <w:rsid w:val="004D11D4"/>
    <w:rsid w:val="004D2E83"/>
    <w:rsid w:val="004D3A8A"/>
    <w:rsid w:val="004D4294"/>
    <w:rsid w:val="004D7ACC"/>
    <w:rsid w:val="004E00D0"/>
    <w:rsid w:val="004E1F17"/>
    <w:rsid w:val="004E689E"/>
    <w:rsid w:val="004F0669"/>
    <w:rsid w:val="004F486F"/>
    <w:rsid w:val="004F4D18"/>
    <w:rsid w:val="005008B8"/>
    <w:rsid w:val="00501A54"/>
    <w:rsid w:val="0050383B"/>
    <w:rsid w:val="005039A1"/>
    <w:rsid w:val="00510753"/>
    <w:rsid w:val="00511FA2"/>
    <w:rsid w:val="00513F00"/>
    <w:rsid w:val="0051652A"/>
    <w:rsid w:val="00517389"/>
    <w:rsid w:val="005235B4"/>
    <w:rsid w:val="00531B95"/>
    <w:rsid w:val="00531F8B"/>
    <w:rsid w:val="00533AFB"/>
    <w:rsid w:val="005418A6"/>
    <w:rsid w:val="00542753"/>
    <w:rsid w:val="00542E62"/>
    <w:rsid w:val="00544079"/>
    <w:rsid w:val="0054535A"/>
    <w:rsid w:val="00551DD1"/>
    <w:rsid w:val="005528B0"/>
    <w:rsid w:val="00560195"/>
    <w:rsid w:val="00560536"/>
    <w:rsid w:val="005629CB"/>
    <w:rsid w:val="00563153"/>
    <w:rsid w:val="00564518"/>
    <w:rsid w:val="00570D0D"/>
    <w:rsid w:val="0057100B"/>
    <w:rsid w:val="00576E25"/>
    <w:rsid w:val="0057762F"/>
    <w:rsid w:val="005807EE"/>
    <w:rsid w:val="00583843"/>
    <w:rsid w:val="00584B1D"/>
    <w:rsid w:val="00585405"/>
    <w:rsid w:val="005862E2"/>
    <w:rsid w:val="00591BAF"/>
    <w:rsid w:val="00592CC2"/>
    <w:rsid w:val="00594325"/>
    <w:rsid w:val="00595550"/>
    <w:rsid w:val="005963D9"/>
    <w:rsid w:val="00597AC9"/>
    <w:rsid w:val="005A26EC"/>
    <w:rsid w:val="005A3645"/>
    <w:rsid w:val="005A4CCC"/>
    <w:rsid w:val="005A5A97"/>
    <w:rsid w:val="005A5E7B"/>
    <w:rsid w:val="005A6495"/>
    <w:rsid w:val="005A736F"/>
    <w:rsid w:val="005B02EF"/>
    <w:rsid w:val="005C0658"/>
    <w:rsid w:val="005C7587"/>
    <w:rsid w:val="005C789B"/>
    <w:rsid w:val="005D4590"/>
    <w:rsid w:val="005D4D19"/>
    <w:rsid w:val="005D4E82"/>
    <w:rsid w:val="005F25D9"/>
    <w:rsid w:val="005F25F1"/>
    <w:rsid w:val="005F282F"/>
    <w:rsid w:val="00600DC0"/>
    <w:rsid w:val="00601378"/>
    <w:rsid w:val="00601C4B"/>
    <w:rsid w:val="00606E55"/>
    <w:rsid w:val="00612CAB"/>
    <w:rsid w:val="00613F78"/>
    <w:rsid w:val="00616029"/>
    <w:rsid w:val="00625C7F"/>
    <w:rsid w:val="00627510"/>
    <w:rsid w:val="00630344"/>
    <w:rsid w:val="00630B1F"/>
    <w:rsid w:val="00632610"/>
    <w:rsid w:val="00634C72"/>
    <w:rsid w:val="00635D1F"/>
    <w:rsid w:val="0063608E"/>
    <w:rsid w:val="0063714E"/>
    <w:rsid w:val="00647750"/>
    <w:rsid w:val="00651C00"/>
    <w:rsid w:val="00652C2D"/>
    <w:rsid w:val="006551A2"/>
    <w:rsid w:val="006612AF"/>
    <w:rsid w:val="00664E26"/>
    <w:rsid w:val="00666C39"/>
    <w:rsid w:val="00667086"/>
    <w:rsid w:val="0066729F"/>
    <w:rsid w:val="00667393"/>
    <w:rsid w:val="006758BB"/>
    <w:rsid w:val="00676865"/>
    <w:rsid w:val="00677AA2"/>
    <w:rsid w:val="00680380"/>
    <w:rsid w:val="00681F5E"/>
    <w:rsid w:val="006827C1"/>
    <w:rsid w:val="0069432B"/>
    <w:rsid w:val="0069460B"/>
    <w:rsid w:val="00694BD8"/>
    <w:rsid w:val="006B1274"/>
    <w:rsid w:val="006B53B8"/>
    <w:rsid w:val="006C262D"/>
    <w:rsid w:val="006D2F18"/>
    <w:rsid w:val="006D46E7"/>
    <w:rsid w:val="006D4BEC"/>
    <w:rsid w:val="006D4BF7"/>
    <w:rsid w:val="006D543B"/>
    <w:rsid w:val="006D7765"/>
    <w:rsid w:val="006E7946"/>
    <w:rsid w:val="006F25F2"/>
    <w:rsid w:val="006F2E94"/>
    <w:rsid w:val="006F4456"/>
    <w:rsid w:val="006F541A"/>
    <w:rsid w:val="006F69F1"/>
    <w:rsid w:val="00705021"/>
    <w:rsid w:val="00707344"/>
    <w:rsid w:val="00707BEF"/>
    <w:rsid w:val="00710AC4"/>
    <w:rsid w:val="007120CD"/>
    <w:rsid w:val="00713CF6"/>
    <w:rsid w:val="00715A59"/>
    <w:rsid w:val="00717C6F"/>
    <w:rsid w:val="00723EA1"/>
    <w:rsid w:val="007250E6"/>
    <w:rsid w:val="00725B66"/>
    <w:rsid w:val="00726C4B"/>
    <w:rsid w:val="007301AE"/>
    <w:rsid w:val="0073385B"/>
    <w:rsid w:val="00734D91"/>
    <w:rsid w:val="00735C88"/>
    <w:rsid w:val="007360EA"/>
    <w:rsid w:val="007422AA"/>
    <w:rsid w:val="007459BC"/>
    <w:rsid w:val="0074732F"/>
    <w:rsid w:val="00747DE2"/>
    <w:rsid w:val="00751995"/>
    <w:rsid w:val="00754304"/>
    <w:rsid w:val="00761444"/>
    <w:rsid w:val="0076213D"/>
    <w:rsid w:val="007715AD"/>
    <w:rsid w:val="00772171"/>
    <w:rsid w:val="00774227"/>
    <w:rsid w:val="00783791"/>
    <w:rsid w:val="007842C5"/>
    <w:rsid w:val="00786BD8"/>
    <w:rsid w:val="007873C2"/>
    <w:rsid w:val="007879F1"/>
    <w:rsid w:val="00795933"/>
    <w:rsid w:val="00795E35"/>
    <w:rsid w:val="00796628"/>
    <w:rsid w:val="007A4E3B"/>
    <w:rsid w:val="007A632B"/>
    <w:rsid w:val="007A6900"/>
    <w:rsid w:val="007B2FC3"/>
    <w:rsid w:val="007B416B"/>
    <w:rsid w:val="007C13B4"/>
    <w:rsid w:val="007C5068"/>
    <w:rsid w:val="007C5767"/>
    <w:rsid w:val="007C6F10"/>
    <w:rsid w:val="007D15A4"/>
    <w:rsid w:val="007D37FA"/>
    <w:rsid w:val="007D6887"/>
    <w:rsid w:val="007E0025"/>
    <w:rsid w:val="007E29D8"/>
    <w:rsid w:val="007F0123"/>
    <w:rsid w:val="007F12C0"/>
    <w:rsid w:val="007F19F5"/>
    <w:rsid w:val="007F28E0"/>
    <w:rsid w:val="007F5F18"/>
    <w:rsid w:val="007F790B"/>
    <w:rsid w:val="008003EA"/>
    <w:rsid w:val="00803297"/>
    <w:rsid w:val="00803954"/>
    <w:rsid w:val="00803F2E"/>
    <w:rsid w:val="0080430D"/>
    <w:rsid w:val="00806417"/>
    <w:rsid w:val="00810C92"/>
    <w:rsid w:val="0081393B"/>
    <w:rsid w:val="00815E84"/>
    <w:rsid w:val="0081649E"/>
    <w:rsid w:val="00820D9C"/>
    <w:rsid w:val="00820FD7"/>
    <w:rsid w:val="0082569E"/>
    <w:rsid w:val="00825746"/>
    <w:rsid w:val="00826248"/>
    <w:rsid w:val="00826DAE"/>
    <w:rsid w:val="00831B7E"/>
    <w:rsid w:val="00832CE9"/>
    <w:rsid w:val="00833EE5"/>
    <w:rsid w:val="008358D2"/>
    <w:rsid w:val="00840330"/>
    <w:rsid w:val="0084076C"/>
    <w:rsid w:val="00841579"/>
    <w:rsid w:val="00844D0B"/>
    <w:rsid w:val="00844D4E"/>
    <w:rsid w:val="00846AAA"/>
    <w:rsid w:val="00846E8F"/>
    <w:rsid w:val="00850358"/>
    <w:rsid w:val="00851142"/>
    <w:rsid w:val="008521DF"/>
    <w:rsid w:val="008540A3"/>
    <w:rsid w:val="00854DE5"/>
    <w:rsid w:val="008646D2"/>
    <w:rsid w:val="00864A76"/>
    <w:rsid w:val="00865698"/>
    <w:rsid w:val="008735C0"/>
    <w:rsid w:val="00875431"/>
    <w:rsid w:val="0088045E"/>
    <w:rsid w:val="0088495D"/>
    <w:rsid w:val="00885BA4"/>
    <w:rsid w:val="0089342C"/>
    <w:rsid w:val="008948B5"/>
    <w:rsid w:val="008A0726"/>
    <w:rsid w:val="008A164D"/>
    <w:rsid w:val="008A3E91"/>
    <w:rsid w:val="008A4BAB"/>
    <w:rsid w:val="008A6556"/>
    <w:rsid w:val="008A6690"/>
    <w:rsid w:val="008B0B15"/>
    <w:rsid w:val="008B389D"/>
    <w:rsid w:val="008B6686"/>
    <w:rsid w:val="008C37FE"/>
    <w:rsid w:val="008C4A3D"/>
    <w:rsid w:val="008C50AD"/>
    <w:rsid w:val="008D078E"/>
    <w:rsid w:val="008D624F"/>
    <w:rsid w:val="008D7197"/>
    <w:rsid w:val="008E080C"/>
    <w:rsid w:val="008E2B6F"/>
    <w:rsid w:val="008E526D"/>
    <w:rsid w:val="008F1592"/>
    <w:rsid w:val="008F1869"/>
    <w:rsid w:val="00900BC3"/>
    <w:rsid w:val="009014A3"/>
    <w:rsid w:val="00901D29"/>
    <w:rsid w:val="0090267B"/>
    <w:rsid w:val="00903211"/>
    <w:rsid w:val="009057B1"/>
    <w:rsid w:val="00906BE2"/>
    <w:rsid w:val="009141A5"/>
    <w:rsid w:val="00915404"/>
    <w:rsid w:val="0091603A"/>
    <w:rsid w:val="00920771"/>
    <w:rsid w:val="00920DE0"/>
    <w:rsid w:val="00930D08"/>
    <w:rsid w:val="00932571"/>
    <w:rsid w:val="009415D0"/>
    <w:rsid w:val="009418D6"/>
    <w:rsid w:val="00943246"/>
    <w:rsid w:val="00945053"/>
    <w:rsid w:val="00945686"/>
    <w:rsid w:val="009462D1"/>
    <w:rsid w:val="00947853"/>
    <w:rsid w:val="00954752"/>
    <w:rsid w:val="00957223"/>
    <w:rsid w:val="009635AB"/>
    <w:rsid w:val="00963752"/>
    <w:rsid w:val="0096538B"/>
    <w:rsid w:val="00971602"/>
    <w:rsid w:val="0097541D"/>
    <w:rsid w:val="00980157"/>
    <w:rsid w:val="0098710E"/>
    <w:rsid w:val="009956E6"/>
    <w:rsid w:val="00997204"/>
    <w:rsid w:val="009A0CC2"/>
    <w:rsid w:val="009A6C2C"/>
    <w:rsid w:val="009B0FC6"/>
    <w:rsid w:val="009B1D87"/>
    <w:rsid w:val="009B39A8"/>
    <w:rsid w:val="009B5B46"/>
    <w:rsid w:val="009C02D5"/>
    <w:rsid w:val="009C05EF"/>
    <w:rsid w:val="009C0DCA"/>
    <w:rsid w:val="009C25C8"/>
    <w:rsid w:val="009C4EC2"/>
    <w:rsid w:val="009C6003"/>
    <w:rsid w:val="009D2C74"/>
    <w:rsid w:val="009D3E2D"/>
    <w:rsid w:val="009D6C06"/>
    <w:rsid w:val="009E0098"/>
    <w:rsid w:val="009E1E4E"/>
    <w:rsid w:val="009E2B3C"/>
    <w:rsid w:val="009E34BF"/>
    <w:rsid w:val="009E4F67"/>
    <w:rsid w:val="009E7A83"/>
    <w:rsid w:val="009F076F"/>
    <w:rsid w:val="009F17F6"/>
    <w:rsid w:val="009F3367"/>
    <w:rsid w:val="009F7389"/>
    <w:rsid w:val="00A001FD"/>
    <w:rsid w:val="00A02996"/>
    <w:rsid w:val="00A05A1A"/>
    <w:rsid w:val="00A069A4"/>
    <w:rsid w:val="00A07145"/>
    <w:rsid w:val="00A10D09"/>
    <w:rsid w:val="00A11385"/>
    <w:rsid w:val="00A12E37"/>
    <w:rsid w:val="00A20D15"/>
    <w:rsid w:val="00A22DB0"/>
    <w:rsid w:val="00A22E4B"/>
    <w:rsid w:val="00A244E1"/>
    <w:rsid w:val="00A303BD"/>
    <w:rsid w:val="00A30556"/>
    <w:rsid w:val="00A330AB"/>
    <w:rsid w:val="00A36210"/>
    <w:rsid w:val="00A371B8"/>
    <w:rsid w:val="00A42082"/>
    <w:rsid w:val="00A43BCE"/>
    <w:rsid w:val="00A45E5F"/>
    <w:rsid w:val="00A50C59"/>
    <w:rsid w:val="00A554E0"/>
    <w:rsid w:val="00A56238"/>
    <w:rsid w:val="00A56A99"/>
    <w:rsid w:val="00A65933"/>
    <w:rsid w:val="00A67F9A"/>
    <w:rsid w:val="00A71AA8"/>
    <w:rsid w:val="00A7291C"/>
    <w:rsid w:val="00A73F73"/>
    <w:rsid w:val="00A74F3D"/>
    <w:rsid w:val="00A819ED"/>
    <w:rsid w:val="00A87E60"/>
    <w:rsid w:val="00A93340"/>
    <w:rsid w:val="00A94619"/>
    <w:rsid w:val="00A96326"/>
    <w:rsid w:val="00AA0F0F"/>
    <w:rsid w:val="00AB4664"/>
    <w:rsid w:val="00AB6ADB"/>
    <w:rsid w:val="00AB77C1"/>
    <w:rsid w:val="00AB7BBE"/>
    <w:rsid w:val="00AC29C3"/>
    <w:rsid w:val="00AC466A"/>
    <w:rsid w:val="00AC7884"/>
    <w:rsid w:val="00AD07A8"/>
    <w:rsid w:val="00AD093F"/>
    <w:rsid w:val="00AD4255"/>
    <w:rsid w:val="00AD55B8"/>
    <w:rsid w:val="00AD63F4"/>
    <w:rsid w:val="00AD681E"/>
    <w:rsid w:val="00AD69A1"/>
    <w:rsid w:val="00AD7ABE"/>
    <w:rsid w:val="00AE03A0"/>
    <w:rsid w:val="00AE3515"/>
    <w:rsid w:val="00AE4D96"/>
    <w:rsid w:val="00AE648D"/>
    <w:rsid w:val="00AE71C6"/>
    <w:rsid w:val="00AF12A9"/>
    <w:rsid w:val="00AF55B8"/>
    <w:rsid w:val="00B0104C"/>
    <w:rsid w:val="00B01F20"/>
    <w:rsid w:val="00B025B0"/>
    <w:rsid w:val="00B03995"/>
    <w:rsid w:val="00B0418B"/>
    <w:rsid w:val="00B04364"/>
    <w:rsid w:val="00B1219E"/>
    <w:rsid w:val="00B12637"/>
    <w:rsid w:val="00B1480C"/>
    <w:rsid w:val="00B1581C"/>
    <w:rsid w:val="00B20117"/>
    <w:rsid w:val="00B21265"/>
    <w:rsid w:val="00B26F91"/>
    <w:rsid w:val="00B2760D"/>
    <w:rsid w:val="00B322FB"/>
    <w:rsid w:val="00B41313"/>
    <w:rsid w:val="00B44408"/>
    <w:rsid w:val="00B45C57"/>
    <w:rsid w:val="00B504EE"/>
    <w:rsid w:val="00B5241F"/>
    <w:rsid w:val="00B52E95"/>
    <w:rsid w:val="00B55065"/>
    <w:rsid w:val="00B5572A"/>
    <w:rsid w:val="00B5778E"/>
    <w:rsid w:val="00B64C1A"/>
    <w:rsid w:val="00B65B02"/>
    <w:rsid w:val="00B71018"/>
    <w:rsid w:val="00B769F2"/>
    <w:rsid w:val="00B81EF8"/>
    <w:rsid w:val="00B9050F"/>
    <w:rsid w:val="00B908F7"/>
    <w:rsid w:val="00B934FD"/>
    <w:rsid w:val="00BA0DCE"/>
    <w:rsid w:val="00BA1394"/>
    <w:rsid w:val="00BA1E30"/>
    <w:rsid w:val="00BA73F7"/>
    <w:rsid w:val="00BB37EA"/>
    <w:rsid w:val="00BC3D2F"/>
    <w:rsid w:val="00BC7AE8"/>
    <w:rsid w:val="00BD00A4"/>
    <w:rsid w:val="00BD0393"/>
    <w:rsid w:val="00BD2707"/>
    <w:rsid w:val="00BD2979"/>
    <w:rsid w:val="00BD323A"/>
    <w:rsid w:val="00BD3633"/>
    <w:rsid w:val="00BD6AF1"/>
    <w:rsid w:val="00BD72A9"/>
    <w:rsid w:val="00BE23E7"/>
    <w:rsid w:val="00BE2C79"/>
    <w:rsid w:val="00BE6AF5"/>
    <w:rsid w:val="00BF17FF"/>
    <w:rsid w:val="00BF735D"/>
    <w:rsid w:val="00BF7741"/>
    <w:rsid w:val="00C04F60"/>
    <w:rsid w:val="00C0524D"/>
    <w:rsid w:val="00C14B58"/>
    <w:rsid w:val="00C15E61"/>
    <w:rsid w:val="00C1778B"/>
    <w:rsid w:val="00C20511"/>
    <w:rsid w:val="00C245C6"/>
    <w:rsid w:val="00C2542D"/>
    <w:rsid w:val="00C31B73"/>
    <w:rsid w:val="00C3287E"/>
    <w:rsid w:val="00C362B5"/>
    <w:rsid w:val="00C36EEE"/>
    <w:rsid w:val="00C377AC"/>
    <w:rsid w:val="00C42A81"/>
    <w:rsid w:val="00C43FCA"/>
    <w:rsid w:val="00C4588F"/>
    <w:rsid w:val="00C50AD4"/>
    <w:rsid w:val="00C52568"/>
    <w:rsid w:val="00C532A6"/>
    <w:rsid w:val="00C61FF4"/>
    <w:rsid w:val="00C66A4E"/>
    <w:rsid w:val="00C74304"/>
    <w:rsid w:val="00C75287"/>
    <w:rsid w:val="00C75ECF"/>
    <w:rsid w:val="00C771F9"/>
    <w:rsid w:val="00C773C0"/>
    <w:rsid w:val="00C81D4B"/>
    <w:rsid w:val="00C83277"/>
    <w:rsid w:val="00C84FB3"/>
    <w:rsid w:val="00C853B4"/>
    <w:rsid w:val="00C90227"/>
    <w:rsid w:val="00C90C57"/>
    <w:rsid w:val="00C94262"/>
    <w:rsid w:val="00C95EC9"/>
    <w:rsid w:val="00C97275"/>
    <w:rsid w:val="00C979DB"/>
    <w:rsid w:val="00CA1FCF"/>
    <w:rsid w:val="00CC1ECA"/>
    <w:rsid w:val="00CC4D45"/>
    <w:rsid w:val="00CC694E"/>
    <w:rsid w:val="00CD0622"/>
    <w:rsid w:val="00CD0C1D"/>
    <w:rsid w:val="00CD0FDF"/>
    <w:rsid w:val="00CD1B15"/>
    <w:rsid w:val="00CD1B31"/>
    <w:rsid w:val="00CD3C7B"/>
    <w:rsid w:val="00CE4D28"/>
    <w:rsid w:val="00CE5D35"/>
    <w:rsid w:val="00CE641F"/>
    <w:rsid w:val="00CE7955"/>
    <w:rsid w:val="00CF38F0"/>
    <w:rsid w:val="00CF5D60"/>
    <w:rsid w:val="00D00A30"/>
    <w:rsid w:val="00D05FD2"/>
    <w:rsid w:val="00D10AFA"/>
    <w:rsid w:val="00D144E6"/>
    <w:rsid w:val="00D150E0"/>
    <w:rsid w:val="00D2121D"/>
    <w:rsid w:val="00D224FF"/>
    <w:rsid w:val="00D23370"/>
    <w:rsid w:val="00D27DF2"/>
    <w:rsid w:val="00D33550"/>
    <w:rsid w:val="00D43DF6"/>
    <w:rsid w:val="00D4605E"/>
    <w:rsid w:val="00D47C35"/>
    <w:rsid w:val="00D57551"/>
    <w:rsid w:val="00D6150A"/>
    <w:rsid w:val="00D624EC"/>
    <w:rsid w:val="00D630D2"/>
    <w:rsid w:val="00D631B7"/>
    <w:rsid w:val="00D67263"/>
    <w:rsid w:val="00D73F1D"/>
    <w:rsid w:val="00D741AD"/>
    <w:rsid w:val="00D82CF8"/>
    <w:rsid w:val="00D94848"/>
    <w:rsid w:val="00D94B39"/>
    <w:rsid w:val="00D94FA0"/>
    <w:rsid w:val="00D95383"/>
    <w:rsid w:val="00D97302"/>
    <w:rsid w:val="00DA1BEF"/>
    <w:rsid w:val="00DA55B4"/>
    <w:rsid w:val="00DA7F2A"/>
    <w:rsid w:val="00DB0A8A"/>
    <w:rsid w:val="00DB0F9F"/>
    <w:rsid w:val="00DB1B4D"/>
    <w:rsid w:val="00DB586F"/>
    <w:rsid w:val="00DB6F32"/>
    <w:rsid w:val="00DC07A2"/>
    <w:rsid w:val="00DC2A2A"/>
    <w:rsid w:val="00DC3D14"/>
    <w:rsid w:val="00DC5F45"/>
    <w:rsid w:val="00DC7810"/>
    <w:rsid w:val="00DD1F1F"/>
    <w:rsid w:val="00DD27CC"/>
    <w:rsid w:val="00DD33EF"/>
    <w:rsid w:val="00DE1FB3"/>
    <w:rsid w:val="00DE2E40"/>
    <w:rsid w:val="00DE34C9"/>
    <w:rsid w:val="00DE7AD8"/>
    <w:rsid w:val="00DF530C"/>
    <w:rsid w:val="00E00A19"/>
    <w:rsid w:val="00E01F7A"/>
    <w:rsid w:val="00E0514C"/>
    <w:rsid w:val="00E07D29"/>
    <w:rsid w:val="00E11D88"/>
    <w:rsid w:val="00E12650"/>
    <w:rsid w:val="00E14E31"/>
    <w:rsid w:val="00E173A8"/>
    <w:rsid w:val="00E24183"/>
    <w:rsid w:val="00E25100"/>
    <w:rsid w:val="00E275A9"/>
    <w:rsid w:val="00E3688F"/>
    <w:rsid w:val="00E3725F"/>
    <w:rsid w:val="00E373E6"/>
    <w:rsid w:val="00E3750C"/>
    <w:rsid w:val="00E419DD"/>
    <w:rsid w:val="00E45D87"/>
    <w:rsid w:val="00E463FE"/>
    <w:rsid w:val="00E46E55"/>
    <w:rsid w:val="00E50B46"/>
    <w:rsid w:val="00E71EAA"/>
    <w:rsid w:val="00E724E8"/>
    <w:rsid w:val="00E74C7C"/>
    <w:rsid w:val="00E76665"/>
    <w:rsid w:val="00E76A07"/>
    <w:rsid w:val="00E81B88"/>
    <w:rsid w:val="00E86294"/>
    <w:rsid w:val="00E9163F"/>
    <w:rsid w:val="00E933AE"/>
    <w:rsid w:val="00E97AE4"/>
    <w:rsid w:val="00EA0AFD"/>
    <w:rsid w:val="00EA0F9A"/>
    <w:rsid w:val="00EA5229"/>
    <w:rsid w:val="00EB3AA6"/>
    <w:rsid w:val="00EC2952"/>
    <w:rsid w:val="00ED33A5"/>
    <w:rsid w:val="00ED6654"/>
    <w:rsid w:val="00EE2525"/>
    <w:rsid w:val="00EE3B7E"/>
    <w:rsid w:val="00EE4343"/>
    <w:rsid w:val="00EF012C"/>
    <w:rsid w:val="00EF086E"/>
    <w:rsid w:val="00EF424C"/>
    <w:rsid w:val="00EF7DC0"/>
    <w:rsid w:val="00F01450"/>
    <w:rsid w:val="00F029F6"/>
    <w:rsid w:val="00F048B6"/>
    <w:rsid w:val="00F07916"/>
    <w:rsid w:val="00F10E45"/>
    <w:rsid w:val="00F16520"/>
    <w:rsid w:val="00F260ED"/>
    <w:rsid w:val="00F265B5"/>
    <w:rsid w:val="00F3077E"/>
    <w:rsid w:val="00F31CA4"/>
    <w:rsid w:val="00F3529C"/>
    <w:rsid w:val="00F3560A"/>
    <w:rsid w:val="00F4331F"/>
    <w:rsid w:val="00F4421D"/>
    <w:rsid w:val="00F44A38"/>
    <w:rsid w:val="00F45755"/>
    <w:rsid w:val="00F46E2D"/>
    <w:rsid w:val="00F52816"/>
    <w:rsid w:val="00F63451"/>
    <w:rsid w:val="00F66EC9"/>
    <w:rsid w:val="00F7512D"/>
    <w:rsid w:val="00F76B0C"/>
    <w:rsid w:val="00F80861"/>
    <w:rsid w:val="00F80CC1"/>
    <w:rsid w:val="00F91C5E"/>
    <w:rsid w:val="00F94F7F"/>
    <w:rsid w:val="00F955C6"/>
    <w:rsid w:val="00F95E50"/>
    <w:rsid w:val="00F96DFB"/>
    <w:rsid w:val="00FA4765"/>
    <w:rsid w:val="00FA569E"/>
    <w:rsid w:val="00FB08BA"/>
    <w:rsid w:val="00FB0900"/>
    <w:rsid w:val="00FB0ED4"/>
    <w:rsid w:val="00FB1BE4"/>
    <w:rsid w:val="00FB56D1"/>
    <w:rsid w:val="00FC12B8"/>
    <w:rsid w:val="00FC14B3"/>
    <w:rsid w:val="00FC4A26"/>
    <w:rsid w:val="00FC77DC"/>
    <w:rsid w:val="00FD54FB"/>
    <w:rsid w:val="00FE312E"/>
    <w:rsid w:val="00FE535D"/>
    <w:rsid w:val="00FF3113"/>
    <w:rsid w:val="00FF6CA8"/>
    <w:rsid w:val="037F6BF4"/>
    <w:rsid w:val="0A753623"/>
    <w:rsid w:val="13846F2C"/>
    <w:rsid w:val="14E36644"/>
    <w:rsid w:val="1A2A4F21"/>
    <w:rsid w:val="1ED77314"/>
    <w:rsid w:val="284F31C4"/>
    <w:rsid w:val="2B880BB1"/>
    <w:rsid w:val="2CE556B7"/>
    <w:rsid w:val="32A637FB"/>
    <w:rsid w:val="38BF7F3F"/>
    <w:rsid w:val="3E843348"/>
    <w:rsid w:val="4E2F4D4E"/>
    <w:rsid w:val="51D003BB"/>
    <w:rsid w:val="55C1308C"/>
    <w:rsid w:val="58517D8B"/>
    <w:rsid w:val="79F50B4C"/>
    <w:rsid w:val="7AB6702C"/>
    <w:rsid w:val="7E662BB8"/>
  </w:rsids>
  <w:docVars>
    <w:docVar w:name="commondata" w:val="eyJoZGlkIjoiNzgyYjI0MGRkMmY4NDE0YjgxYzdjMzBiNDQ0OTk1MmM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semiHidden="0" w:uiPriority="0" w:unhideWhenUsed="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index 2" w:uiPriority="0"/>
    <w:lsdException w:name="index 3" w:uiPriority="0"/>
    <w:lsdException w:name="index 4" w:uiPriority="0"/>
    <w:lsdException w:name="index 5" w:uiPriority="0"/>
    <w:lsdException w:name="index 6" w:uiPriority="0"/>
    <w:lsdException w:name="index 7" w:uiPriority="0"/>
    <w:lsdException w:name="index 8" w:uiPriority="0"/>
    <w:lsdException w:name="index 9" w:uiPriority="0"/>
    <w:lsdException w:name="toc 1" w:semiHidden="0" w:uiPriority="39" w:unhideWhenUsed="0" w:qFormat="1"/>
    <w:lsdException w:name="toc 2" w:semiHidden="0" w:uiPriority="39" w:unhideWhenUsed="0" w:qFormat="1"/>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uiPriority="0"/>
    <w:lsdException w:name="footnote text" w:uiPriority="0"/>
    <w:lsdException w:name="annotation text" w:semiHidden="0" w:uiPriority="0"/>
    <w:lsdException w:name="header" w:semiHidden="0" w:uiPriority="0" w:unhideWhenUsed="0" w:qFormat="1"/>
    <w:lsdException w:name="footer" w:semiHidden="0" w:uiPriority="0" w:unhideWhenUsed="0" w:qFormat="1"/>
    <w:lsdException w:name="index heading" w:uiPriority="0"/>
    <w:lsdException w:name="caption" w:uiPriority="0" w:qFormat="1"/>
    <w:lsdException w:name="table of figures" w:uiPriority="0"/>
    <w:lsdException w:name="envelope address" w:uiPriority="0"/>
    <w:lsdException w:name="envelope return" w:uiPriority="0"/>
    <w:lsdException w:name="footnote reference" w:uiPriority="0"/>
    <w:lsdException w:name="annotation reference" w:uiPriority="0" w:qFormat="1"/>
    <w:lsdException w:name="line number" w:uiPriority="0"/>
    <w:lsdException w:name="page number" w:uiPriority="0"/>
    <w:lsdException w:name="endnote reference" w:uiPriority="0"/>
    <w:lsdException w:name="endnote text" w:uiPriority="0"/>
    <w:lsdException w:name="table of authorities" w:uiPriority="0"/>
    <w:lsdException w:name="macro" w:uiPriority="0"/>
    <w:lsdException w:name="toa heading" w:uiPriority="0"/>
    <w:lsdException w:name="List" w:uiPriority="0"/>
    <w:lsdException w:name="List Bullet" w:uiPriority="0"/>
    <w:lsdException w:name="List Number" w:semiHidden="0" w:uiPriority="0" w:unhideWhenUsed="0"/>
    <w:lsdException w:name="List 2" w:uiPriority="0"/>
    <w:lsdException w:name="List 3" w:uiPriority="0"/>
    <w:lsdException w:name="List 4" w:semiHidden="0" w:uiPriority="0" w:unhideWhenUsed="0"/>
    <w:lsdException w:name="List 5" w:semiHidden="0" w:uiPriority="0" w:unhideWhenUsed="0"/>
    <w:lsdException w:name="List Bullet 2" w:uiPriority="0"/>
    <w:lsdException w:name="List Bullet 3" w:uiPriority="0"/>
    <w:lsdException w:name="List Bullet 4" w:uiPriority="0"/>
    <w:lsdException w:name="List Bullet 5" w:uiPriority="0"/>
    <w:lsdException w:name="List Number 2" w:uiPriority="0"/>
    <w:lsdException w:name="List Number 3" w:uiPriority="0"/>
    <w:lsdException w:name="List Number 4" w:uiPriority="0"/>
    <w:lsdException w:name="List Number 5" w:uiPriority="0"/>
    <w:lsdException w:name="Title" w:semiHidden="0" w:uiPriority="0" w:unhideWhenUsed="0" w:qFormat="1"/>
    <w:lsdException w:name="Closing" w:uiPriority="0"/>
    <w:lsdException w:name="Signature" w:uiPriority="0"/>
    <w:lsdException w:name="Default Paragraph Font" w:semiHidden="0" w:uiPriority="1"/>
    <w:lsdException w:name="Body Text" w:uiPriority="0"/>
    <w:lsdException w:name="Body Text Indent" w:semiHidden="0" w:uiPriority="0" w:unhideWhenUsed="0" w:qFormat="1"/>
    <w:lsdException w:name="List Continue" w:uiPriority="0"/>
    <w:lsdException w:name="List Continue 2" w:uiPriority="0"/>
    <w:lsdException w:name="List Continue 3" w:uiPriority="0"/>
    <w:lsdException w:name="List Continue 4" w:uiPriority="0"/>
    <w:lsdException w:name="List Continue 5" w:uiPriority="0"/>
    <w:lsdException w:name="Message Header" w:uiPriority="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uiPriority="0"/>
    <w:lsdException w:name="Note Heading" w:uiPriority="0"/>
    <w:lsdException w:name="Body Text 2" w:uiPriority="0"/>
    <w:lsdException w:name="Body Text 3" w:uiPriority="0"/>
    <w:lsdException w:name="Body Text Indent 2" w:uiPriority="0"/>
    <w:lsdException w:name="Body Text Indent 3" w:uiPriority="0"/>
    <w:lsdException w:name="Block Text" w:uiPriority="0"/>
    <w:lsdException w:name="Hyperlink" w:semiHidden="0"/>
    <w:lsdException w:name="FollowedHyperlink" w:uiPriority="0"/>
    <w:lsdException w:name="Strong" w:semiHidden="0" w:uiPriority="22" w:unhideWhenUsed="0" w:qFormat="1"/>
    <w:lsdException w:name="Emphasis" w:semiHidden="0" w:uiPriority="0" w:unhideWhenUsed="0" w:qFormat="1"/>
    <w:lsdException w:name="Document Map" w:uiPriority="0"/>
    <w:lsdException w:name="Plain Text" w:uiPriority="0"/>
    <w:lsdException w:name="E-mail Signature" w:uiPriority="0"/>
    <w:lsdException w:name="Normal (Web)" w:semiHidden="0" w:unhideWhenUsed="0" w:qFormat="1"/>
    <w:lsdException w:name="HTML Acronym" w:uiPriority="0"/>
    <w:lsdException w:name="HTML Address" w:uiPriority="0"/>
    <w:lsdException w:name="HTML Cite" w:uiPriority="0"/>
    <w:lsdException w:name="HTML Code" w:uiPriority="0"/>
    <w:lsdException w:name="HTML Definition" w:uiPriority="0"/>
    <w:lsdException w:name="HTML Keyboard" w:uiPriority="0"/>
    <w:lsdException w:name="HTML Preformatted" w:uiPriority="0"/>
    <w:lsdException w:name="HTML Sample" w:uiPriority="0"/>
    <w:lsdException w:name="HTML Typewriter" w:uiPriority="0"/>
    <w:lsdException w:name="HTML Variable" w:uiPriority="0"/>
    <w:lsdException w:name="Normal Table" w:qFormat="1"/>
    <w:lsdException w:name="annotation subject" w:uiPriority="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uiPriority="0"/>
    <w:lsdException w:name="Table Grid" w:semiHidden="0" w:uiPriority="0" w:unhideWhenUsed="0"/>
    <w:lsdException w:name="Table Theme" w:uiPriority="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Arial" w:eastAsia="宋体" w:hAnsi="Arial" w:cs="Arial"/>
      <w:color w:val="000000"/>
      <w:kern w:val="2"/>
      <w:sz w:val="21"/>
      <w:szCs w:val="21"/>
      <w:lang w:val="en-US" w:eastAsia="zh-CN" w:bidi="ar-SA"/>
    </w:rPr>
  </w:style>
  <w:style w:type="paragraph" w:styleId="Heading1">
    <w:name w:val="heading 1"/>
    <w:basedOn w:val="Normal"/>
    <w:next w:val="Normal"/>
    <w:autoRedefine/>
    <w:qFormat/>
    <w:pPr>
      <w:keepNext/>
      <w:keepLines/>
      <w:spacing w:before="340" w:after="330" w:line="578" w:lineRule="auto"/>
      <w:outlineLvl w:val="0"/>
    </w:pPr>
    <w:rPr>
      <w:b/>
      <w:bCs/>
      <w:kern w:val="44"/>
      <w:sz w:val="44"/>
      <w:szCs w:val="44"/>
    </w:rPr>
  </w:style>
  <w:style w:type="paragraph" w:styleId="Heading2">
    <w:name w:val="heading 2"/>
    <w:basedOn w:val="Normal"/>
    <w:next w:val="Normal"/>
    <w:link w:val="2"/>
    <w:unhideWhenUsed/>
    <w:qFormat/>
    <w:pPr>
      <w:keepNext/>
      <w:keepLines/>
      <w:spacing w:before="260" w:after="260" w:line="413" w:lineRule="auto"/>
      <w:outlineLvl w:val="1"/>
    </w:pPr>
    <w:rPr>
      <w:rFonts w:eastAsia="黑体"/>
      <w:b/>
      <w:sz w:val="32"/>
    </w:rPr>
  </w:style>
  <w:style w:type="paragraph" w:styleId="Heading3">
    <w:name w:val="heading 3"/>
    <w:basedOn w:val="Normal"/>
    <w:next w:val="Normal"/>
    <w:qFormat/>
    <w:pPr>
      <w:keepNext/>
      <w:keepLines/>
      <w:spacing w:before="260" w:after="260" w:line="416" w:lineRule="auto"/>
      <w:outlineLvl w:val="2"/>
    </w:pPr>
    <w:rPr>
      <w:b/>
      <w:bCs/>
      <w:sz w:val="32"/>
      <w:szCs w:val="32"/>
    </w:rPr>
  </w:style>
  <w:style w:type="character" w:default="1" w:styleId="DefaultParagraphFont">
    <w:name w:val="Default Paragraph Font"/>
    <w:autoRedefine/>
    <w:uiPriority w:val="1"/>
    <w:unhideWhenUsed/>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CommentText">
    <w:name w:val="annotation text"/>
    <w:basedOn w:val="Normal"/>
    <w:link w:val="a0"/>
    <w:unhideWhenUsed/>
    <w:pPr>
      <w:jc w:val="left"/>
    </w:pPr>
  </w:style>
  <w:style w:type="paragraph" w:styleId="BodyTextIndent">
    <w:name w:val="Body Text Indent"/>
    <w:basedOn w:val="Normal"/>
    <w:autoRedefine/>
    <w:qFormat/>
    <w:pPr>
      <w:spacing w:after="120"/>
      <w:ind w:left="420" w:leftChars="200"/>
    </w:pPr>
    <w:rPr>
      <w:rFonts w:ascii="Times New Roman" w:hAnsi="Times New Roman" w:cs="Times New Roman"/>
      <w:color w:val="auto"/>
      <w:sz w:val="28"/>
      <w:szCs w:val="24"/>
    </w:rPr>
  </w:style>
  <w:style w:type="paragraph" w:styleId="Date">
    <w:name w:val="Date"/>
    <w:basedOn w:val="Normal"/>
    <w:next w:val="Normal"/>
    <w:link w:val="a3"/>
    <w:pPr>
      <w:ind w:left="100" w:leftChars="2500"/>
    </w:pPr>
  </w:style>
  <w:style w:type="paragraph" w:styleId="BalloonText">
    <w:name w:val="Balloon Text"/>
    <w:basedOn w:val="Normal"/>
    <w:link w:val="a2"/>
    <w:semiHidden/>
    <w:unhideWhenUsed/>
    <w:rPr>
      <w:sz w:val="18"/>
      <w:szCs w:val="18"/>
    </w:rPr>
  </w:style>
  <w:style w:type="paragraph" w:styleId="Footer">
    <w:name w:val="footer"/>
    <w:basedOn w:val="Normal"/>
    <w:autoRedefine/>
    <w:qFormat/>
    <w:pPr>
      <w:tabs>
        <w:tab w:val="center" w:pos="4153"/>
        <w:tab w:val="right" w:pos="8306"/>
      </w:tabs>
      <w:snapToGrid w:val="0"/>
      <w:jc w:val="left"/>
    </w:pPr>
    <w:rPr>
      <w:sz w:val="18"/>
      <w:szCs w:val="18"/>
    </w:rPr>
  </w:style>
  <w:style w:type="paragraph" w:styleId="Header">
    <w:name w:val="header"/>
    <w:basedOn w:val="Normal"/>
    <w:qFormat/>
    <w:pPr>
      <w:pBdr>
        <w:top w:val="none" w:sz="0" w:space="1" w:color="auto"/>
        <w:left w:val="none" w:sz="0" w:space="4" w:color="auto"/>
        <w:bottom w:val="none" w:sz="0" w:space="1" w:color="auto"/>
        <w:right w:val="none" w:sz="0" w:space="4" w:color="auto"/>
      </w:pBdr>
      <w:tabs>
        <w:tab w:val="center" w:pos="4153"/>
        <w:tab w:val="right" w:pos="8306"/>
      </w:tabs>
      <w:snapToGrid w:val="0"/>
    </w:pPr>
    <w:rPr>
      <w:rFonts w:ascii="Times New Roman" w:hAnsi="Times New Roman" w:cs="Times New Roman"/>
      <w:color w:val="auto"/>
      <w:sz w:val="18"/>
      <w:szCs w:val="20"/>
    </w:rPr>
  </w:style>
  <w:style w:type="paragraph" w:styleId="TOC1">
    <w:name w:val="toc 1"/>
    <w:basedOn w:val="Normal"/>
    <w:next w:val="Normal"/>
    <w:uiPriority w:val="39"/>
    <w:qFormat/>
  </w:style>
  <w:style w:type="paragraph" w:styleId="TOC2">
    <w:name w:val="toc 2"/>
    <w:basedOn w:val="Normal"/>
    <w:next w:val="Normal"/>
    <w:uiPriority w:val="39"/>
    <w:qFormat/>
    <w:pPr>
      <w:ind w:left="420" w:leftChars="200"/>
    </w:pPr>
  </w:style>
  <w:style w:type="paragraph" w:styleId="NormalWeb">
    <w:name w:val="Normal (Web)"/>
    <w:basedOn w:val="Normal"/>
    <w:uiPriority w:val="99"/>
    <w:qFormat/>
    <w:pPr>
      <w:widowControl/>
      <w:spacing w:before="100" w:beforeAutospacing="1" w:after="100" w:afterAutospacing="1"/>
      <w:jc w:val="left"/>
    </w:pPr>
    <w:rPr>
      <w:rFonts w:ascii="宋体" w:hAnsi="宋体" w:cs="宋体"/>
      <w:kern w:val="0"/>
      <w:sz w:val="24"/>
      <w:szCs w:val="24"/>
    </w:rPr>
  </w:style>
  <w:style w:type="paragraph" w:styleId="CommentSubject">
    <w:name w:val="annotation subject"/>
    <w:basedOn w:val="CommentText"/>
    <w:next w:val="CommentText"/>
    <w:link w:val="a1"/>
    <w:semiHidden/>
    <w:unhideWhenUsed/>
    <w:rPr>
      <w:b/>
      <w:bCs/>
    </w:rPr>
  </w:style>
  <w:style w:type="table" w:styleId="TableGrid">
    <w:name w:val="Table Grid"/>
    <w:basedOn w:val="Table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autoRedefine/>
    <w:uiPriority w:val="22"/>
    <w:qFormat/>
    <w:rPr>
      <w:b/>
      <w:bCs/>
    </w:rPr>
  </w:style>
  <w:style w:type="character" w:styleId="FollowedHyperlink">
    <w:name w:val="FollowedHyperlink"/>
    <w:basedOn w:val="DefaultParagraphFont"/>
    <w:semiHidden/>
    <w:unhideWhenUsed/>
    <w:rPr>
      <w:color w:val="800080" w:themeColor="followedHyperlink"/>
      <w:u w:val="single"/>
      <w14:textFill>
        <w14:solidFill>
          <w14:schemeClr w14:val="folHlink"/>
        </w14:solidFill>
      </w14:textFill>
    </w:rPr>
  </w:style>
  <w:style w:type="character" w:styleId="Hyperlink">
    <w:name w:val="Hyperlink"/>
    <w:basedOn w:val="DefaultParagraphFont"/>
    <w:uiPriority w:val="99"/>
    <w:unhideWhenUsed/>
    <w:rPr>
      <w:color w:val="0000FF" w:themeColor="hyperlink"/>
      <w:u w:val="single"/>
      <w14:textFill>
        <w14:solidFill>
          <w14:schemeClr w14:val="hlink"/>
        </w14:solidFill>
      </w14:textFill>
    </w:rPr>
  </w:style>
  <w:style w:type="character" w:styleId="CommentReference">
    <w:name w:val="annotation reference"/>
    <w:basedOn w:val="DefaultParagraphFont"/>
    <w:semiHidden/>
    <w:unhideWhenUsed/>
    <w:qFormat/>
    <w:rPr>
      <w:sz w:val="21"/>
      <w:szCs w:val="21"/>
    </w:rPr>
  </w:style>
  <w:style w:type="character" w:customStyle="1" w:styleId="Char">
    <w:name w:val="前言 Char"/>
    <w:link w:val="a"/>
    <w:autoRedefine/>
    <w:qFormat/>
    <w:rPr>
      <w:kern w:val="2"/>
      <w:sz w:val="24"/>
      <w:lang w:bidi="ar-SA"/>
    </w:rPr>
  </w:style>
  <w:style w:type="paragraph" w:customStyle="1" w:styleId="a">
    <w:name w:val="前言"/>
    <w:basedOn w:val="Normal"/>
    <w:link w:val="Char"/>
    <w:autoRedefine/>
    <w:qFormat/>
    <w:pPr>
      <w:spacing w:line="420" w:lineRule="exact"/>
      <w:ind w:firstLine="640" w:firstLineChars="200"/>
    </w:pPr>
    <w:rPr>
      <w:rFonts w:ascii="Times New Roman" w:hAnsi="Times New Roman" w:cs="Times New Roman"/>
      <w:color w:val="auto"/>
      <w:sz w:val="24"/>
      <w:szCs w:val="20"/>
    </w:rPr>
  </w:style>
  <w:style w:type="paragraph" w:styleId="ListParagraph">
    <w:name w:val="List Paragraph"/>
    <w:basedOn w:val="Normal"/>
    <w:autoRedefine/>
    <w:uiPriority w:val="34"/>
    <w:qFormat/>
    <w:pPr>
      <w:ind w:firstLine="420" w:firstLineChars="200"/>
    </w:pPr>
  </w:style>
  <w:style w:type="character" w:customStyle="1" w:styleId="2">
    <w:name w:val="标题 2 字符"/>
    <w:link w:val="Heading2"/>
    <w:qFormat/>
    <w:rPr>
      <w:rFonts w:eastAsia="黑体"/>
      <w:b/>
      <w:sz w:val="32"/>
    </w:rPr>
  </w:style>
  <w:style w:type="character" w:customStyle="1" w:styleId="a0">
    <w:name w:val="批注文字 字符"/>
    <w:basedOn w:val="DefaultParagraphFont"/>
    <w:link w:val="CommentText"/>
    <w:autoRedefine/>
    <w:rPr>
      <w:rFonts w:ascii="Arial" w:hAnsi="Arial" w:cs="Arial"/>
      <w:color w:val="000000"/>
      <w:kern w:val="2"/>
      <w:sz w:val="21"/>
      <w:szCs w:val="21"/>
    </w:rPr>
  </w:style>
  <w:style w:type="character" w:customStyle="1" w:styleId="a1">
    <w:name w:val="批注主题 字符"/>
    <w:basedOn w:val="a0"/>
    <w:link w:val="CommentSubject"/>
    <w:semiHidden/>
    <w:rPr>
      <w:rFonts w:ascii="Arial" w:hAnsi="Arial" w:cs="Arial"/>
      <w:b/>
      <w:bCs/>
      <w:color w:val="000000"/>
      <w:kern w:val="2"/>
      <w:sz w:val="21"/>
      <w:szCs w:val="21"/>
    </w:rPr>
  </w:style>
  <w:style w:type="character" w:customStyle="1" w:styleId="a2">
    <w:name w:val="批注框文本 字符"/>
    <w:basedOn w:val="DefaultParagraphFont"/>
    <w:link w:val="BalloonText"/>
    <w:semiHidden/>
    <w:rPr>
      <w:rFonts w:ascii="Arial" w:hAnsi="Arial" w:cs="Arial"/>
      <w:color w:val="000000"/>
      <w:kern w:val="2"/>
      <w:sz w:val="18"/>
      <w:szCs w:val="18"/>
    </w:rPr>
  </w:style>
  <w:style w:type="character" w:customStyle="1" w:styleId="a3">
    <w:name w:val="日期 字符"/>
    <w:basedOn w:val="DefaultParagraphFont"/>
    <w:link w:val="Date"/>
    <w:rPr>
      <w:rFonts w:ascii="Arial" w:hAnsi="Arial" w:cs="Arial"/>
      <w:color w:val="000000"/>
      <w:kern w:val="2"/>
      <w:sz w:val="21"/>
      <w:szCs w:val="21"/>
    </w:rPr>
  </w:style>
  <w:style w:type="table" w:customStyle="1" w:styleId="TableGrid0">
    <w:name w:val="Table Grid_0"/>
    <w:basedOn w:val="Table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header" Target="header4.xml" /><Relationship Id="rId13" Type="http://schemas.openxmlformats.org/officeDocument/2006/relationships/footer" Target="footer4.xml" /><Relationship Id="rId14" Type="http://schemas.openxmlformats.org/officeDocument/2006/relationships/header" Target="header5.xml" /><Relationship Id="rId15" Type="http://schemas.openxmlformats.org/officeDocument/2006/relationships/footer" Target="footer5.xml" /><Relationship Id="rId16" Type="http://schemas.openxmlformats.org/officeDocument/2006/relationships/header" Target="header6.xml" /><Relationship Id="rId17" Type="http://schemas.openxmlformats.org/officeDocument/2006/relationships/footer" Target="footer6.xml" /><Relationship Id="rId18" Type="http://schemas.openxmlformats.org/officeDocument/2006/relationships/header" Target="header7.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header" Target="header8.xml" /><Relationship Id="rId21" Type="http://schemas.openxmlformats.org/officeDocument/2006/relationships/footer" Target="footer8.xml" /><Relationship Id="rId22" Type="http://schemas.openxmlformats.org/officeDocument/2006/relationships/header" Target="header9.xml" /><Relationship Id="rId23" Type="http://schemas.openxmlformats.org/officeDocument/2006/relationships/footer" Target="footer9.xml" /><Relationship Id="rId24" Type="http://schemas.openxmlformats.org/officeDocument/2006/relationships/header" Target="header10.xml" /><Relationship Id="rId25" Type="http://schemas.openxmlformats.org/officeDocument/2006/relationships/footer" Target="footer10.xml" /><Relationship Id="rId26" Type="http://schemas.openxmlformats.org/officeDocument/2006/relationships/header" Target="header11.xml" /><Relationship Id="rId27" Type="http://schemas.openxmlformats.org/officeDocument/2006/relationships/footer" Target="footer11.xml" /><Relationship Id="rId28" Type="http://schemas.openxmlformats.org/officeDocument/2006/relationships/header" Target="header12.xml" /><Relationship Id="rId29" Type="http://schemas.openxmlformats.org/officeDocument/2006/relationships/footer" Target="footer12.xml" /><Relationship Id="rId3" Type="http://schemas.openxmlformats.org/officeDocument/2006/relationships/fontTable" Target="fontTable.xml" /><Relationship Id="rId30" Type="http://schemas.openxmlformats.org/officeDocument/2006/relationships/hyperlink" Target="https://d.book118.com/886145224031010103" TargetMode="External" /><Relationship Id="rId31" Type="http://schemas.openxmlformats.org/officeDocument/2006/relationships/header" Target="header13.xml" /><Relationship Id="rId32" Type="http://schemas.openxmlformats.org/officeDocument/2006/relationships/footer" Target="footer13.xml" /><Relationship Id="rId33" Type="http://schemas.openxmlformats.org/officeDocument/2006/relationships/theme" Target="theme/theme1.xml" /><Relationship Id="rId34" Type="http://schemas.openxmlformats.org/officeDocument/2006/relationships/numbering" Target="numbering.xml" /><Relationship Id="rId35" Type="http://schemas.openxmlformats.org/officeDocument/2006/relationships/styles" Target="styles.xml" /><Relationship Id="rId36" Type="http://schemas.microsoft.com/office/2011/relationships/people" Target="people.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header" Target="header2.xml" /><Relationship Id="rId9" Type="http://schemas.openxmlformats.org/officeDocument/2006/relationships/footer" Target="foot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EC12EEE-680A-4051-81F1-B18DE17769EB}">
  <ds:schemaRefs/>
</ds:datastoreItem>
</file>

<file path=docProps/app.xml><?xml version="1.0" encoding="utf-8"?>
<Properties xmlns="http://schemas.openxmlformats.org/officeDocument/2006/extended-properties" xmlns:vt="http://schemas.openxmlformats.org/officeDocument/2006/docPropsVTypes">
  <Template>Normal.dotm</Template>
  <TotalTime>4215</TotalTime>
  <Pages>14</Pages>
  <Words>3936</Words>
  <Characters>22438</Characters>
  <Application>Microsoft Office Word</Application>
  <DocSecurity>0</DocSecurity>
  <Lines>186</Lines>
  <Paragraphs>52</Paragraphs>
  <ScaleCrop>false</ScaleCrop>
  <Company>ccesda</Company>
  <LinksUpToDate>false</LinksUpToDate>
  <CharactersWithSpaces>26322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中国石油和化工勘察设计协会团体标准管理办法（试行）</dc:title>
  <dc:creator>卢继国</dc:creator>
  <cp:lastModifiedBy>xwbjl</cp:lastModifiedBy>
  <cp:revision>263</cp:revision>
  <cp:lastPrinted>2023-11-13T09:34:00Z</cp:lastPrinted>
  <dcterms:created xsi:type="dcterms:W3CDTF">2022-02-18T07:25:00Z</dcterms:created>
  <dcterms:modified xsi:type="dcterms:W3CDTF">2024-03-18T08:59:49Z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0B5FDC2A27194FAEAB5078DC31511999_12</vt:lpwstr>
  </property>
  <property fmtid="{D5CDD505-2E9C-101B-9397-08002B2CF9AE}" pid="3" name="KSOProductBuildVer">
    <vt:lpwstr>2052-12.1.0.16388</vt:lpwstr>
  </property>
</Properties>
</file>