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显示仪表项目工作报告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40" w:history="1">
        <w:r>
          <w:rPr>
            <w:rFonts w:ascii="仿宋" w:eastAsia="仿宋" w:hAnsi="仿宋" w:cs="仿宋" w:hint="eastAsia"/>
            <w:lang w:eastAsia="zh-CN"/>
          </w:rPr>
          <w:t>前言</w:t>
        </w:r>
        <w:r>
          <w:tab/>
        </w:r>
        <w:r>
          <w:fldChar w:fldCharType="begin"/>
        </w:r>
        <w:r>
          <w:instrText xml:space="preserve"> PAGEREF _Toc31140 \h </w:instrText>
        </w:r>
        <w:r>
          <w:fldChar w:fldCharType="separate"/>
        </w:r>
        <w:r>
          <w:t>3</w:t>
        </w:r>
        <w:r>
          <w:fldChar w:fldCharType="end"/>
        </w:r>
      </w:hyperlink>
    </w:p>
    <w:p>
      <w:pPr>
        <w:pStyle w:val="TOC1"/>
        <w:tabs>
          <w:tab w:val="right" w:leader="dot" w:pos="8306"/>
        </w:tabs>
      </w:pPr>
      <w:hyperlink w:anchor="_Toc5884" w:history="1">
        <w:r>
          <w:rPr>
            <w:rFonts w:ascii="仿宋" w:eastAsia="仿宋" w:hAnsi="仿宋" w:cs="仿宋" w:hint="eastAsia"/>
            <w:lang w:eastAsia="zh-CN"/>
          </w:rPr>
          <w:t>一、显示仪表项目市场前景分析</w:t>
        </w:r>
        <w:r>
          <w:tab/>
        </w:r>
        <w:r>
          <w:fldChar w:fldCharType="begin"/>
        </w:r>
        <w:r>
          <w:instrText xml:space="preserve"> PAGEREF _Toc5884 \h </w:instrText>
        </w:r>
        <w:r>
          <w:fldChar w:fldCharType="separate"/>
        </w:r>
        <w:r>
          <w:t>3</w:t>
        </w:r>
        <w:r>
          <w:fldChar w:fldCharType="end"/>
        </w:r>
      </w:hyperlink>
    </w:p>
    <w:p>
      <w:pPr>
        <w:pStyle w:val="TOC2"/>
        <w:tabs>
          <w:tab w:val="right" w:leader="dot" w:pos="8306"/>
        </w:tabs>
      </w:pPr>
      <w:hyperlink w:anchor="_Toc2733" w:history="1">
        <w:r>
          <w:rPr>
            <w:rFonts w:ascii="仿宋" w:eastAsia="仿宋" w:hAnsi="仿宋" w:cs="仿宋" w:hint="eastAsia"/>
            <w:lang w:eastAsia="zh-CN"/>
          </w:rPr>
          <w:t>(一)、建设地经济发展概况</w:t>
        </w:r>
        <w:r>
          <w:tab/>
        </w:r>
        <w:r>
          <w:fldChar w:fldCharType="begin"/>
        </w:r>
        <w:r>
          <w:instrText xml:space="preserve"> PAGEREF _Toc2733 \h </w:instrText>
        </w:r>
        <w:r>
          <w:fldChar w:fldCharType="separate"/>
        </w:r>
        <w:r>
          <w:t>3</w:t>
        </w:r>
        <w:r>
          <w:fldChar w:fldCharType="end"/>
        </w:r>
      </w:hyperlink>
    </w:p>
    <w:p>
      <w:pPr>
        <w:pStyle w:val="TOC2"/>
        <w:tabs>
          <w:tab w:val="right" w:leader="dot" w:pos="8306"/>
        </w:tabs>
      </w:pPr>
      <w:hyperlink w:anchor="_Toc1374" w:history="1">
        <w:r>
          <w:rPr>
            <w:rFonts w:ascii="仿宋" w:eastAsia="仿宋" w:hAnsi="仿宋" w:cs="仿宋" w:hint="eastAsia"/>
            <w:lang w:eastAsia="zh-CN"/>
          </w:rPr>
          <w:t>(二)、行业市场分析</w:t>
        </w:r>
        <w:r>
          <w:tab/>
        </w:r>
        <w:r>
          <w:fldChar w:fldCharType="begin"/>
        </w:r>
        <w:r>
          <w:instrText xml:space="preserve"> PAGEREF _Toc1374 \h </w:instrText>
        </w:r>
        <w:r>
          <w:fldChar w:fldCharType="separate"/>
        </w:r>
        <w:r>
          <w:t>5</w:t>
        </w:r>
        <w:r>
          <w:fldChar w:fldCharType="end"/>
        </w:r>
      </w:hyperlink>
    </w:p>
    <w:p>
      <w:pPr>
        <w:pStyle w:val="TOC1"/>
        <w:tabs>
          <w:tab w:val="right" w:leader="dot" w:pos="8306"/>
        </w:tabs>
      </w:pPr>
      <w:hyperlink w:anchor="_Toc10543" w:history="1">
        <w:r>
          <w:rPr>
            <w:rFonts w:ascii="仿宋" w:eastAsia="仿宋" w:hAnsi="仿宋" w:cs="仿宋" w:hint="eastAsia"/>
            <w:lang w:eastAsia="zh-CN"/>
          </w:rPr>
          <w:t>二、显示仪表项目选址说明</w:t>
        </w:r>
        <w:r>
          <w:tab/>
        </w:r>
        <w:r>
          <w:fldChar w:fldCharType="begin"/>
        </w:r>
        <w:r>
          <w:instrText xml:space="preserve"> PAGEREF _Toc10543 \h </w:instrText>
        </w:r>
        <w:r>
          <w:fldChar w:fldCharType="separate"/>
        </w:r>
        <w:r>
          <w:t>6</w:t>
        </w:r>
        <w:r>
          <w:fldChar w:fldCharType="end"/>
        </w:r>
      </w:hyperlink>
    </w:p>
    <w:p>
      <w:pPr>
        <w:pStyle w:val="TOC2"/>
        <w:tabs>
          <w:tab w:val="right" w:leader="dot" w:pos="8306"/>
        </w:tabs>
      </w:pPr>
      <w:hyperlink w:anchor="_Toc637" w:history="1">
        <w:r>
          <w:rPr>
            <w:rFonts w:ascii="仿宋" w:eastAsia="仿宋" w:hAnsi="仿宋" w:cs="仿宋" w:hint="eastAsia"/>
            <w:lang w:eastAsia="zh-CN"/>
          </w:rPr>
          <w:t>(一)、显示仪表项目选址</w:t>
        </w:r>
        <w:r>
          <w:tab/>
        </w:r>
        <w:r>
          <w:fldChar w:fldCharType="begin"/>
        </w:r>
        <w:r>
          <w:instrText xml:space="preserve"> PAGEREF _Toc637 \h </w:instrText>
        </w:r>
        <w:r>
          <w:fldChar w:fldCharType="separate"/>
        </w:r>
        <w:r>
          <w:t>6</w:t>
        </w:r>
        <w:r>
          <w:fldChar w:fldCharType="end"/>
        </w:r>
      </w:hyperlink>
    </w:p>
    <w:p>
      <w:pPr>
        <w:pStyle w:val="TOC2"/>
        <w:tabs>
          <w:tab w:val="right" w:leader="dot" w:pos="8306"/>
        </w:tabs>
      </w:pPr>
      <w:hyperlink w:anchor="_Toc26370" w:history="1">
        <w:r>
          <w:rPr>
            <w:rFonts w:ascii="仿宋" w:eastAsia="仿宋" w:hAnsi="仿宋" w:cs="仿宋" w:hint="eastAsia"/>
            <w:lang w:eastAsia="zh-CN"/>
          </w:rPr>
          <w:t>(二)、用地控制指标</w:t>
        </w:r>
        <w:r>
          <w:tab/>
        </w:r>
        <w:r>
          <w:fldChar w:fldCharType="begin"/>
        </w:r>
        <w:r>
          <w:instrText xml:space="preserve"> PAGEREF _Toc26370 \h </w:instrText>
        </w:r>
        <w:r>
          <w:fldChar w:fldCharType="separate"/>
        </w:r>
        <w:r>
          <w:t>7</w:t>
        </w:r>
        <w:r>
          <w:fldChar w:fldCharType="end"/>
        </w:r>
      </w:hyperlink>
    </w:p>
    <w:p>
      <w:pPr>
        <w:pStyle w:val="TOC2"/>
        <w:tabs>
          <w:tab w:val="right" w:leader="dot" w:pos="8306"/>
        </w:tabs>
      </w:pPr>
      <w:hyperlink w:anchor="_Toc27667" w:history="1">
        <w:r>
          <w:rPr>
            <w:rFonts w:ascii="仿宋" w:eastAsia="仿宋" w:hAnsi="仿宋" w:cs="仿宋" w:hint="eastAsia"/>
            <w:lang w:eastAsia="zh-CN"/>
          </w:rPr>
          <w:t>(三)、节约用地措施</w:t>
        </w:r>
        <w:r>
          <w:tab/>
        </w:r>
        <w:r>
          <w:fldChar w:fldCharType="begin"/>
        </w:r>
        <w:r>
          <w:instrText xml:space="preserve"> PAGEREF _Toc27667 \h </w:instrText>
        </w:r>
        <w:r>
          <w:fldChar w:fldCharType="separate"/>
        </w:r>
        <w:r>
          <w:t>7</w:t>
        </w:r>
        <w:r>
          <w:fldChar w:fldCharType="end"/>
        </w:r>
      </w:hyperlink>
    </w:p>
    <w:p>
      <w:pPr>
        <w:pStyle w:val="TOC2"/>
        <w:tabs>
          <w:tab w:val="right" w:leader="dot" w:pos="8306"/>
        </w:tabs>
      </w:pPr>
      <w:hyperlink w:anchor="_Toc31025" w:history="1">
        <w:r>
          <w:rPr>
            <w:rFonts w:ascii="仿宋" w:eastAsia="仿宋" w:hAnsi="仿宋" w:cs="仿宋" w:hint="eastAsia"/>
            <w:lang w:eastAsia="zh-CN"/>
          </w:rPr>
          <w:t>(四)、总图布置方案</w:t>
        </w:r>
        <w:r>
          <w:tab/>
        </w:r>
        <w:r>
          <w:fldChar w:fldCharType="begin"/>
        </w:r>
        <w:r>
          <w:instrText xml:space="preserve"> PAGEREF _Toc31025 \h </w:instrText>
        </w:r>
        <w:r>
          <w:fldChar w:fldCharType="separate"/>
        </w:r>
        <w:r>
          <w:t>8</w:t>
        </w:r>
        <w:r>
          <w:fldChar w:fldCharType="end"/>
        </w:r>
      </w:hyperlink>
    </w:p>
    <w:p>
      <w:pPr>
        <w:pStyle w:val="TOC2"/>
        <w:tabs>
          <w:tab w:val="right" w:leader="dot" w:pos="8306"/>
        </w:tabs>
      </w:pPr>
      <w:hyperlink w:anchor="_Toc8273" w:history="1">
        <w:r>
          <w:rPr>
            <w:rFonts w:ascii="仿宋" w:eastAsia="仿宋" w:hAnsi="仿宋" w:cs="仿宋" w:hint="eastAsia"/>
            <w:lang w:eastAsia="zh-CN"/>
          </w:rPr>
          <w:t>(五)、选址综合评价</w:t>
        </w:r>
        <w:r>
          <w:tab/>
        </w:r>
        <w:r>
          <w:fldChar w:fldCharType="begin"/>
        </w:r>
        <w:r>
          <w:instrText xml:space="preserve"> PAGEREF _Toc8273 \h </w:instrText>
        </w:r>
        <w:r>
          <w:fldChar w:fldCharType="separate"/>
        </w:r>
        <w:r>
          <w:t>9</w:t>
        </w:r>
        <w:r>
          <w:fldChar w:fldCharType="end"/>
        </w:r>
      </w:hyperlink>
    </w:p>
    <w:p>
      <w:pPr>
        <w:pStyle w:val="TOC1"/>
        <w:tabs>
          <w:tab w:val="right" w:leader="dot" w:pos="8306"/>
        </w:tabs>
      </w:pPr>
      <w:hyperlink w:anchor="_Toc5430" w:history="1">
        <w:r>
          <w:rPr>
            <w:rFonts w:ascii="仿宋" w:eastAsia="仿宋" w:hAnsi="仿宋" w:cs="仿宋" w:hint="eastAsia"/>
            <w:lang w:eastAsia="zh-CN"/>
          </w:rPr>
          <w:t>三、土建工程设计</w:t>
        </w:r>
        <w:r>
          <w:tab/>
        </w:r>
        <w:r>
          <w:fldChar w:fldCharType="begin"/>
        </w:r>
        <w:r>
          <w:instrText xml:space="preserve"> PAGEREF _Toc5430 \h </w:instrText>
        </w:r>
        <w:r>
          <w:fldChar w:fldCharType="separate"/>
        </w:r>
        <w:r>
          <w:t>11</w:t>
        </w:r>
        <w:r>
          <w:fldChar w:fldCharType="end"/>
        </w:r>
      </w:hyperlink>
    </w:p>
    <w:p>
      <w:pPr>
        <w:pStyle w:val="TOC2"/>
        <w:tabs>
          <w:tab w:val="right" w:leader="dot" w:pos="8306"/>
        </w:tabs>
      </w:pPr>
      <w:hyperlink w:anchor="_Toc13998" w:history="1">
        <w:r>
          <w:rPr>
            <w:rFonts w:ascii="仿宋" w:eastAsia="仿宋" w:hAnsi="仿宋" w:cs="仿宋" w:hint="eastAsia"/>
            <w:lang w:eastAsia="zh-CN"/>
          </w:rPr>
          <w:t>(一)、建筑工程设计原则</w:t>
        </w:r>
        <w:r>
          <w:tab/>
        </w:r>
        <w:r>
          <w:fldChar w:fldCharType="begin"/>
        </w:r>
        <w:r>
          <w:instrText xml:space="preserve"> PAGEREF _Toc13998 \h </w:instrText>
        </w:r>
        <w:r>
          <w:fldChar w:fldCharType="separate"/>
        </w:r>
        <w:r>
          <w:t>11</w:t>
        </w:r>
        <w:r>
          <w:fldChar w:fldCharType="end"/>
        </w:r>
      </w:hyperlink>
    </w:p>
    <w:p>
      <w:pPr>
        <w:pStyle w:val="TOC2"/>
        <w:tabs>
          <w:tab w:val="right" w:leader="dot" w:pos="8306"/>
        </w:tabs>
      </w:pPr>
      <w:hyperlink w:anchor="_Toc21760" w:history="1">
        <w:r>
          <w:rPr>
            <w:rFonts w:ascii="仿宋" w:eastAsia="仿宋" w:hAnsi="仿宋" w:cs="仿宋" w:hint="eastAsia"/>
            <w:lang w:eastAsia="zh-CN"/>
          </w:rPr>
          <w:t>(二)、土建工程设计年限及安全等级</w:t>
        </w:r>
        <w:r>
          <w:tab/>
        </w:r>
        <w:r>
          <w:fldChar w:fldCharType="begin"/>
        </w:r>
        <w:r>
          <w:instrText xml:space="preserve"> PAGEREF _Toc21760 \h </w:instrText>
        </w:r>
        <w:r>
          <w:fldChar w:fldCharType="separate"/>
        </w:r>
        <w:r>
          <w:t>12</w:t>
        </w:r>
        <w:r>
          <w:fldChar w:fldCharType="end"/>
        </w:r>
      </w:hyperlink>
    </w:p>
    <w:p>
      <w:pPr>
        <w:pStyle w:val="TOC2"/>
        <w:tabs>
          <w:tab w:val="right" w:leader="dot" w:pos="8306"/>
        </w:tabs>
      </w:pPr>
      <w:hyperlink w:anchor="_Toc10314" w:history="1">
        <w:r>
          <w:rPr>
            <w:rFonts w:ascii="仿宋" w:eastAsia="仿宋" w:hAnsi="仿宋" w:cs="仿宋" w:hint="eastAsia"/>
            <w:lang w:eastAsia="zh-CN"/>
          </w:rPr>
          <w:t>(三)、建筑工程设计总体要求</w:t>
        </w:r>
        <w:r>
          <w:tab/>
        </w:r>
        <w:r>
          <w:fldChar w:fldCharType="begin"/>
        </w:r>
        <w:r>
          <w:instrText xml:space="preserve"> PAGEREF _Toc10314 \h </w:instrText>
        </w:r>
        <w:r>
          <w:fldChar w:fldCharType="separate"/>
        </w:r>
        <w:r>
          <w:t>14</w:t>
        </w:r>
        <w:r>
          <w:fldChar w:fldCharType="end"/>
        </w:r>
      </w:hyperlink>
    </w:p>
    <w:p>
      <w:pPr>
        <w:pStyle w:val="TOC2"/>
        <w:tabs>
          <w:tab w:val="right" w:leader="dot" w:pos="8306"/>
        </w:tabs>
      </w:pPr>
      <w:hyperlink w:anchor="_Toc16478" w:history="1">
        <w:r>
          <w:rPr>
            <w:rFonts w:ascii="仿宋" w:eastAsia="仿宋" w:hAnsi="仿宋" w:cs="仿宋" w:hint="eastAsia"/>
            <w:lang w:eastAsia="zh-CN"/>
          </w:rPr>
          <w:t>(四)、土建工程建设指标</w:t>
        </w:r>
        <w:r>
          <w:tab/>
        </w:r>
        <w:r>
          <w:fldChar w:fldCharType="begin"/>
        </w:r>
        <w:r>
          <w:instrText xml:space="preserve"> PAGEREF _Toc16478 \h </w:instrText>
        </w:r>
        <w:r>
          <w:fldChar w:fldCharType="separate"/>
        </w:r>
        <w:r>
          <w:t>15</w:t>
        </w:r>
        <w:r>
          <w:fldChar w:fldCharType="end"/>
        </w:r>
      </w:hyperlink>
    </w:p>
    <w:p>
      <w:pPr>
        <w:pStyle w:val="TOC1"/>
        <w:tabs>
          <w:tab w:val="right" w:leader="dot" w:pos="8306"/>
        </w:tabs>
      </w:pPr>
      <w:hyperlink w:anchor="_Toc11325" w:history="1">
        <w:r>
          <w:rPr>
            <w:rFonts w:ascii="仿宋" w:eastAsia="仿宋" w:hAnsi="仿宋" w:cs="仿宋" w:hint="eastAsia"/>
            <w:lang w:eastAsia="zh-CN"/>
          </w:rPr>
          <w:t>四、建设规划</w:t>
        </w:r>
        <w:r>
          <w:tab/>
        </w:r>
        <w:r>
          <w:fldChar w:fldCharType="begin"/>
        </w:r>
        <w:r>
          <w:instrText xml:space="preserve"> PAGEREF _Toc11325 \h </w:instrText>
        </w:r>
        <w:r>
          <w:fldChar w:fldCharType="separate"/>
        </w:r>
        <w:r>
          <w:t>18</w:t>
        </w:r>
        <w:r>
          <w:fldChar w:fldCharType="end"/>
        </w:r>
      </w:hyperlink>
    </w:p>
    <w:p>
      <w:pPr>
        <w:pStyle w:val="TOC2"/>
        <w:tabs>
          <w:tab w:val="right" w:leader="dot" w:pos="8306"/>
        </w:tabs>
      </w:pPr>
      <w:hyperlink w:anchor="_Toc20095" w:history="1">
        <w:r>
          <w:rPr>
            <w:rFonts w:ascii="仿宋" w:eastAsia="仿宋" w:hAnsi="仿宋" w:cs="仿宋" w:hint="eastAsia"/>
            <w:lang w:eastAsia="zh-CN"/>
          </w:rPr>
          <w:t>(一)、产品规划</w:t>
        </w:r>
        <w:r>
          <w:tab/>
        </w:r>
        <w:r>
          <w:fldChar w:fldCharType="begin"/>
        </w:r>
        <w:r>
          <w:instrText xml:space="preserve"> PAGEREF _Toc20095 \h </w:instrText>
        </w:r>
        <w:r>
          <w:fldChar w:fldCharType="separate"/>
        </w:r>
        <w:r>
          <w:t>18</w:t>
        </w:r>
        <w:r>
          <w:fldChar w:fldCharType="end"/>
        </w:r>
      </w:hyperlink>
    </w:p>
    <w:p>
      <w:pPr>
        <w:pStyle w:val="TOC2"/>
        <w:tabs>
          <w:tab w:val="right" w:leader="dot" w:pos="8306"/>
        </w:tabs>
      </w:pPr>
      <w:hyperlink w:anchor="_Toc28555" w:history="1">
        <w:r>
          <w:rPr>
            <w:rFonts w:ascii="仿宋" w:eastAsia="仿宋" w:hAnsi="仿宋" w:cs="仿宋" w:hint="eastAsia"/>
            <w:lang w:eastAsia="zh-CN"/>
          </w:rPr>
          <w:t>(二)、建设规模</w:t>
        </w:r>
        <w:r>
          <w:tab/>
        </w:r>
        <w:r>
          <w:fldChar w:fldCharType="begin"/>
        </w:r>
        <w:r>
          <w:instrText xml:space="preserve"> PAGEREF _Toc28555 \h </w:instrText>
        </w:r>
        <w:r>
          <w:fldChar w:fldCharType="separate"/>
        </w:r>
        <w:r>
          <w:t>20</w:t>
        </w:r>
        <w:r>
          <w:fldChar w:fldCharType="end"/>
        </w:r>
      </w:hyperlink>
    </w:p>
    <w:p>
      <w:pPr>
        <w:pStyle w:val="TOC1"/>
        <w:tabs>
          <w:tab w:val="right" w:leader="dot" w:pos="8306"/>
        </w:tabs>
      </w:pPr>
      <w:hyperlink w:anchor="_Toc2210" w:history="1">
        <w:r>
          <w:rPr>
            <w:rFonts w:ascii="仿宋" w:eastAsia="仿宋" w:hAnsi="仿宋" w:cs="仿宋" w:hint="eastAsia"/>
            <w:lang w:eastAsia="zh-CN"/>
          </w:rPr>
          <w:t>五、显示仪表项目实施进度计划</w:t>
        </w:r>
        <w:r>
          <w:tab/>
        </w:r>
        <w:r>
          <w:fldChar w:fldCharType="begin"/>
        </w:r>
        <w:r>
          <w:instrText xml:space="preserve"> PAGEREF _Toc2210 \h </w:instrText>
        </w:r>
        <w:r>
          <w:fldChar w:fldCharType="separate"/>
        </w:r>
        <w:r>
          <w:t>21</w:t>
        </w:r>
        <w:r>
          <w:fldChar w:fldCharType="end"/>
        </w:r>
      </w:hyperlink>
    </w:p>
    <w:p>
      <w:pPr>
        <w:pStyle w:val="TOC2"/>
        <w:tabs>
          <w:tab w:val="right" w:leader="dot" w:pos="8306"/>
        </w:tabs>
      </w:pPr>
      <w:hyperlink w:anchor="_Toc19864" w:history="1">
        <w:r>
          <w:rPr>
            <w:rFonts w:ascii="仿宋" w:eastAsia="仿宋" w:hAnsi="仿宋" w:cs="仿宋" w:hint="eastAsia"/>
            <w:lang w:eastAsia="zh-CN"/>
          </w:rPr>
          <w:t>(一)、建设周期</w:t>
        </w:r>
        <w:r>
          <w:tab/>
        </w:r>
        <w:r>
          <w:fldChar w:fldCharType="begin"/>
        </w:r>
        <w:r>
          <w:instrText xml:space="preserve"> PAGEREF _Toc19864 \h </w:instrText>
        </w:r>
        <w:r>
          <w:fldChar w:fldCharType="separate"/>
        </w:r>
        <w:r>
          <w:t>21</w:t>
        </w:r>
        <w:r>
          <w:fldChar w:fldCharType="end"/>
        </w:r>
      </w:hyperlink>
    </w:p>
    <w:p>
      <w:pPr>
        <w:pStyle w:val="TOC2"/>
        <w:tabs>
          <w:tab w:val="right" w:leader="dot" w:pos="8306"/>
        </w:tabs>
      </w:pPr>
      <w:hyperlink w:anchor="_Toc32566" w:history="1">
        <w:r>
          <w:rPr>
            <w:rFonts w:ascii="仿宋" w:eastAsia="仿宋" w:hAnsi="仿宋" w:cs="仿宋" w:hint="eastAsia"/>
            <w:lang w:eastAsia="zh-CN"/>
          </w:rPr>
          <w:t>(二)、建设进度</w:t>
        </w:r>
        <w:r>
          <w:tab/>
        </w:r>
        <w:r>
          <w:fldChar w:fldCharType="begin"/>
        </w:r>
        <w:r>
          <w:instrText xml:space="preserve"> PAGEREF _Toc32566 \h </w:instrText>
        </w:r>
        <w:r>
          <w:fldChar w:fldCharType="separate"/>
        </w:r>
        <w:r>
          <w:t>22</w:t>
        </w:r>
        <w:r>
          <w:fldChar w:fldCharType="end"/>
        </w:r>
      </w:hyperlink>
    </w:p>
    <w:p>
      <w:pPr>
        <w:pStyle w:val="TOC2"/>
        <w:tabs>
          <w:tab w:val="right" w:leader="dot" w:pos="8306"/>
        </w:tabs>
      </w:pPr>
      <w:hyperlink w:anchor="_Toc5450" w:history="1">
        <w:r>
          <w:rPr>
            <w:rFonts w:ascii="仿宋" w:eastAsia="仿宋" w:hAnsi="仿宋" w:cs="仿宋" w:hint="eastAsia"/>
            <w:lang w:eastAsia="zh-CN"/>
          </w:rPr>
          <w:t>(三)、进度安排注意事项</w:t>
        </w:r>
        <w:r>
          <w:tab/>
        </w:r>
        <w:r>
          <w:fldChar w:fldCharType="begin"/>
        </w:r>
        <w:r>
          <w:instrText xml:space="preserve"> PAGEREF _Toc5450 \h </w:instrText>
        </w:r>
        <w:r>
          <w:fldChar w:fldCharType="separate"/>
        </w:r>
        <w:r>
          <w:t>24</w:t>
        </w:r>
        <w:r>
          <w:fldChar w:fldCharType="end"/>
        </w:r>
      </w:hyperlink>
    </w:p>
    <w:p>
      <w:pPr>
        <w:pStyle w:val="TOC2"/>
        <w:tabs>
          <w:tab w:val="right" w:leader="dot" w:pos="8306"/>
        </w:tabs>
      </w:pPr>
      <w:hyperlink w:anchor="_Toc3313" w:history="1">
        <w:r>
          <w:rPr>
            <w:rFonts w:ascii="仿宋" w:eastAsia="仿宋" w:hAnsi="仿宋" w:cs="仿宋" w:hint="eastAsia"/>
            <w:lang w:eastAsia="zh-CN"/>
          </w:rPr>
          <w:t>(四)、人力资源配置</w:t>
        </w:r>
        <w:r>
          <w:tab/>
        </w:r>
        <w:r>
          <w:fldChar w:fldCharType="begin"/>
        </w:r>
        <w:r>
          <w:instrText xml:space="preserve"> PAGEREF _Toc3313 \h </w:instrText>
        </w:r>
        <w:r>
          <w:fldChar w:fldCharType="separate"/>
        </w:r>
        <w:r>
          <w:t>25</w:t>
        </w:r>
        <w:r>
          <w:fldChar w:fldCharType="end"/>
        </w:r>
      </w:hyperlink>
    </w:p>
    <w:p>
      <w:pPr>
        <w:pStyle w:val="TOC2"/>
        <w:tabs>
          <w:tab w:val="right" w:leader="dot" w:pos="8306"/>
        </w:tabs>
      </w:pPr>
      <w:hyperlink w:anchor="_Toc2116" w:history="1">
        <w:r>
          <w:rPr>
            <w:rFonts w:ascii="仿宋" w:eastAsia="仿宋" w:hAnsi="仿宋" w:cs="仿宋" w:hint="eastAsia"/>
            <w:lang w:eastAsia="zh-CN"/>
          </w:rPr>
          <w:t>(五)、员工培训</w:t>
        </w:r>
        <w:r>
          <w:tab/>
        </w:r>
        <w:r>
          <w:fldChar w:fldCharType="begin"/>
        </w:r>
        <w:r>
          <w:instrText xml:space="preserve"> PAGEREF _Toc2116 \h </w:instrText>
        </w:r>
        <w:r>
          <w:fldChar w:fldCharType="separate"/>
        </w:r>
        <w:r>
          <w:t>27</w:t>
        </w:r>
        <w:r>
          <w:fldChar w:fldCharType="end"/>
        </w:r>
      </w:hyperlink>
    </w:p>
    <w:p>
      <w:pPr>
        <w:pStyle w:val="TOC2"/>
        <w:tabs>
          <w:tab w:val="right" w:leader="dot" w:pos="8306"/>
        </w:tabs>
      </w:pPr>
      <w:hyperlink w:anchor="_Toc32680" w:history="1">
        <w:r>
          <w:rPr>
            <w:rFonts w:ascii="仿宋" w:eastAsia="仿宋" w:hAnsi="仿宋" w:cs="仿宋" w:hint="eastAsia"/>
            <w:lang w:eastAsia="zh-CN"/>
          </w:rPr>
          <w:t>(六)、显示仪表项目实施保障</w:t>
        </w:r>
        <w:r>
          <w:tab/>
        </w:r>
        <w:r>
          <w:fldChar w:fldCharType="begin"/>
        </w:r>
        <w:r>
          <w:instrText xml:space="preserve"> PAGEREF _Toc32680 \h </w:instrText>
        </w:r>
        <w:r>
          <w:fldChar w:fldCharType="separate"/>
        </w:r>
        <w:r>
          <w:t>28</w:t>
        </w:r>
        <w:r>
          <w:fldChar w:fldCharType="end"/>
        </w:r>
      </w:hyperlink>
    </w:p>
    <w:p>
      <w:pPr>
        <w:pStyle w:val="TOC1"/>
        <w:tabs>
          <w:tab w:val="right" w:leader="dot" w:pos="8306"/>
        </w:tabs>
      </w:pPr>
      <w:hyperlink w:anchor="_Toc27861" w:history="1">
        <w:r>
          <w:rPr>
            <w:rFonts w:ascii="仿宋" w:eastAsia="仿宋" w:hAnsi="仿宋" w:cs="仿宋" w:hint="eastAsia"/>
            <w:lang w:eastAsia="zh-CN"/>
          </w:rPr>
          <w:t>六、显示仪表项目投资可行性分析</w:t>
        </w:r>
        <w:r>
          <w:tab/>
        </w:r>
        <w:r>
          <w:fldChar w:fldCharType="begin"/>
        </w:r>
        <w:r>
          <w:instrText xml:space="preserve"> PAGEREF _Toc27861 \h </w:instrText>
        </w:r>
        <w:r>
          <w:fldChar w:fldCharType="separate"/>
        </w:r>
        <w:r>
          <w:t>30</w:t>
        </w:r>
        <w:r>
          <w:fldChar w:fldCharType="end"/>
        </w:r>
      </w:hyperlink>
    </w:p>
    <w:p>
      <w:pPr>
        <w:pStyle w:val="TOC2"/>
        <w:tabs>
          <w:tab w:val="right" w:leader="dot" w:pos="8306"/>
        </w:tabs>
      </w:pPr>
      <w:hyperlink w:anchor="_Toc15603" w:history="1">
        <w:r>
          <w:rPr>
            <w:rFonts w:ascii="仿宋" w:eastAsia="仿宋" w:hAnsi="仿宋" w:cs="仿宋" w:hint="eastAsia"/>
            <w:lang w:eastAsia="zh-CN"/>
          </w:rPr>
          <w:t>(一)、显示仪表项目估算说明</w:t>
        </w:r>
        <w:r>
          <w:tab/>
        </w:r>
        <w:r>
          <w:fldChar w:fldCharType="begin"/>
        </w:r>
        <w:r>
          <w:instrText xml:space="preserve"> PAGEREF _Toc15603 \h </w:instrText>
        </w:r>
        <w:r>
          <w:fldChar w:fldCharType="separate"/>
        </w:r>
        <w:r>
          <w:t>30</w:t>
        </w:r>
        <w:r>
          <w:fldChar w:fldCharType="end"/>
        </w:r>
      </w:hyperlink>
    </w:p>
    <w:p>
      <w:pPr>
        <w:pStyle w:val="TOC2"/>
        <w:tabs>
          <w:tab w:val="right" w:leader="dot" w:pos="8306"/>
        </w:tabs>
      </w:pPr>
      <w:hyperlink w:anchor="_Toc4247" w:history="1">
        <w:r>
          <w:rPr>
            <w:rFonts w:ascii="仿宋" w:eastAsia="仿宋" w:hAnsi="仿宋" w:cs="仿宋" w:hint="eastAsia"/>
            <w:lang w:eastAsia="zh-CN"/>
          </w:rPr>
          <w:t>(二)、显示仪表项目总投资估算</w:t>
        </w:r>
        <w:r>
          <w:tab/>
        </w:r>
        <w:r>
          <w:fldChar w:fldCharType="begin"/>
        </w:r>
        <w:r>
          <w:instrText xml:space="preserve"> PAGEREF _Toc4247 \h </w:instrText>
        </w:r>
        <w:r>
          <w:fldChar w:fldCharType="separate"/>
        </w:r>
        <w:r>
          <w:t>31</w:t>
        </w:r>
        <w:r>
          <w:fldChar w:fldCharType="end"/>
        </w:r>
      </w:hyperlink>
    </w:p>
    <w:p>
      <w:pPr>
        <w:pStyle w:val="TOC2"/>
        <w:tabs>
          <w:tab w:val="right" w:leader="dot" w:pos="8306"/>
        </w:tabs>
      </w:pPr>
      <w:hyperlink w:anchor="_Toc26848" w:history="1">
        <w:r>
          <w:rPr>
            <w:rFonts w:ascii="仿宋" w:eastAsia="仿宋" w:hAnsi="仿宋" w:cs="仿宋" w:hint="eastAsia"/>
            <w:lang w:eastAsia="zh-CN"/>
          </w:rPr>
          <w:t>(三)、资金筹措</w:t>
        </w:r>
        <w:r>
          <w:tab/>
        </w:r>
        <w:r>
          <w:fldChar w:fldCharType="begin"/>
        </w:r>
        <w:r>
          <w:instrText xml:space="preserve"> PAGEREF _Toc26848 \h </w:instrText>
        </w:r>
        <w:r>
          <w:fldChar w:fldCharType="separate"/>
        </w:r>
        <w:r>
          <w:t>32</w:t>
        </w:r>
        <w:r>
          <w:fldChar w:fldCharType="end"/>
        </w:r>
      </w:hyperlink>
    </w:p>
    <w:p>
      <w:pPr>
        <w:pStyle w:val="TOC1"/>
        <w:tabs>
          <w:tab w:val="right" w:leader="dot" w:pos="8306"/>
        </w:tabs>
      </w:pPr>
      <w:hyperlink w:anchor="_Toc18643" w:history="1">
        <w:r>
          <w:rPr>
            <w:rFonts w:ascii="仿宋" w:eastAsia="仿宋" w:hAnsi="仿宋" w:cs="仿宋" w:hint="eastAsia"/>
            <w:lang w:eastAsia="zh-CN"/>
          </w:rPr>
          <w:t>七、知识管理与技术创新</w:t>
        </w:r>
        <w:r>
          <w:tab/>
        </w:r>
        <w:r>
          <w:fldChar w:fldCharType="begin"/>
        </w:r>
        <w:r>
          <w:instrText xml:space="preserve"> PAGEREF _Toc18643 \h </w:instrText>
        </w:r>
        <w:r>
          <w:fldChar w:fldCharType="separate"/>
        </w:r>
        <w:r>
          <w:t>34</w:t>
        </w:r>
        <w:r>
          <w:fldChar w:fldCharType="end"/>
        </w:r>
      </w:hyperlink>
    </w:p>
    <w:p>
      <w:pPr>
        <w:pStyle w:val="TOC2"/>
        <w:tabs>
          <w:tab w:val="right" w:leader="dot" w:pos="8306"/>
        </w:tabs>
      </w:pPr>
      <w:hyperlink w:anchor="_Toc1855" w:history="1">
        <w:r>
          <w:rPr>
            <w:rFonts w:ascii="仿宋" w:eastAsia="仿宋" w:hAnsi="仿宋" w:cs="仿宋" w:hint="eastAsia"/>
            <w:lang w:eastAsia="zh-CN"/>
          </w:rPr>
          <w:t>(一)、知识管理体系建设</w:t>
        </w:r>
        <w:r>
          <w:tab/>
        </w:r>
        <w:r>
          <w:fldChar w:fldCharType="begin"/>
        </w:r>
        <w:r>
          <w:instrText xml:space="preserve"> PAGEREF _Toc1855 \h </w:instrText>
        </w:r>
        <w:r>
          <w:fldChar w:fldCharType="separate"/>
        </w:r>
        <w:r>
          <w:t>34</w:t>
        </w:r>
        <w:r>
          <w:fldChar w:fldCharType="end"/>
        </w:r>
      </w:hyperlink>
    </w:p>
    <w:p>
      <w:pPr>
        <w:pStyle w:val="TOC2"/>
        <w:tabs>
          <w:tab w:val="right" w:leader="dot" w:pos="8306"/>
        </w:tabs>
      </w:pPr>
      <w:hyperlink w:anchor="_Toc10013" w:history="1">
        <w:r>
          <w:rPr>
            <w:rFonts w:ascii="仿宋" w:eastAsia="仿宋" w:hAnsi="仿宋" w:cs="仿宋" w:hint="eastAsia"/>
            <w:lang w:eastAsia="zh-CN"/>
          </w:rPr>
          <w:t>(二)、技术创新与研发投入</w:t>
        </w:r>
        <w:r>
          <w:tab/>
        </w:r>
        <w:r>
          <w:fldChar w:fldCharType="begin"/>
        </w:r>
        <w:r>
          <w:instrText xml:space="preserve"> PAGEREF _Toc10013 \h </w:instrText>
        </w:r>
        <w:r>
          <w:fldChar w:fldCharType="separate"/>
        </w:r>
        <w:r>
          <w:t>36</w:t>
        </w:r>
        <w:r>
          <w:fldChar w:fldCharType="end"/>
        </w:r>
      </w:hyperlink>
    </w:p>
    <w:p>
      <w:pPr>
        <w:pStyle w:val="TOC2"/>
        <w:tabs>
          <w:tab w:val="right" w:leader="dot" w:pos="8306"/>
        </w:tabs>
      </w:pPr>
      <w:hyperlink w:anchor="_Toc5198" w:history="1">
        <w:r>
          <w:rPr>
            <w:rFonts w:ascii="仿宋" w:eastAsia="仿宋" w:hAnsi="仿宋" w:cs="仿宋" w:hint="eastAsia"/>
            <w:lang w:eastAsia="zh-CN"/>
          </w:rPr>
          <w:t>(三)、专利申请与技术保护</w:t>
        </w:r>
        <w:r>
          <w:tab/>
        </w:r>
        <w:r>
          <w:fldChar w:fldCharType="begin"/>
        </w:r>
        <w:r>
          <w:instrText xml:space="preserve"> PAGEREF _Toc5198 \h </w:instrText>
        </w:r>
        <w:r>
          <w:fldChar w:fldCharType="separate"/>
        </w:r>
        <w:r>
          <w:t>38</w:t>
        </w:r>
        <w:r>
          <w:fldChar w:fldCharType="end"/>
        </w:r>
      </w:hyperlink>
    </w:p>
    <w:p>
      <w:pPr>
        <w:pStyle w:val="TOC2"/>
        <w:tabs>
          <w:tab w:val="right" w:leader="dot" w:pos="8306"/>
        </w:tabs>
      </w:pPr>
      <w:hyperlink w:anchor="_Toc3021" w:history="1">
        <w:r>
          <w:rPr>
            <w:rFonts w:ascii="仿宋" w:eastAsia="仿宋" w:hAnsi="仿宋" w:cs="仿宋" w:hint="eastAsia"/>
            <w:lang w:eastAsia="zh-CN"/>
          </w:rPr>
          <w:t>(四)、人才培养与团队建设</w:t>
        </w:r>
        <w:r>
          <w:tab/>
        </w:r>
        <w:r>
          <w:fldChar w:fldCharType="begin"/>
        </w:r>
        <w:r>
          <w:instrText xml:space="preserve"> PAGEREF _Toc3021 \h </w:instrText>
        </w:r>
        <w:r>
          <w:fldChar w:fldCharType="separate"/>
        </w:r>
        <w:r>
          <w:t>40</w:t>
        </w:r>
        <w:r>
          <w:fldChar w:fldCharType="end"/>
        </w:r>
      </w:hyperlink>
    </w:p>
    <w:p>
      <w:pPr>
        <w:pStyle w:val="TOC1"/>
        <w:tabs>
          <w:tab w:val="right" w:leader="dot" w:pos="8306"/>
        </w:tabs>
      </w:pPr>
      <w:hyperlink w:anchor="_Toc14287" w:history="1">
        <w:r>
          <w:rPr>
            <w:rFonts w:ascii="仿宋" w:eastAsia="仿宋" w:hAnsi="仿宋" w:cs="仿宋" w:hint="eastAsia"/>
            <w:lang w:eastAsia="zh-CN"/>
          </w:rPr>
          <w:t>八、投资背景及必要性分析</w:t>
        </w:r>
        <w:r>
          <w:tab/>
        </w:r>
        <w:r>
          <w:fldChar w:fldCharType="begin"/>
        </w:r>
        <w:r>
          <w:instrText xml:space="preserve"> PAGEREF _Toc14287 \h </w:instrText>
        </w:r>
        <w:r>
          <w:fldChar w:fldCharType="separate"/>
        </w:r>
        <w:r>
          <w:t>42</w:t>
        </w:r>
        <w:r>
          <w:fldChar w:fldCharType="end"/>
        </w:r>
      </w:hyperlink>
    </w:p>
    <w:p>
      <w:pPr>
        <w:pStyle w:val="TOC2"/>
        <w:tabs>
          <w:tab w:val="right" w:leader="dot" w:pos="8306"/>
        </w:tabs>
      </w:pPr>
      <w:hyperlink w:anchor="_Toc19771" w:history="1">
        <w:r>
          <w:rPr>
            <w:rFonts w:ascii="仿宋" w:eastAsia="仿宋" w:hAnsi="仿宋" w:cs="仿宋" w:hint="eastAsia"/>
            <w:lang w:eastAsia="zh-CN"/>
          </w:rPr>
          <w:t>(一)、显示仪表项目承办单位背景分析</w:t>
        </w:r>
        <w:r>
          <w:tab/>
        </w:r>
        <w:r>
          <w:fldChar w:fldCharType="begin"/>
        </w:r>
        <w:r>
          <w:instrText xml:space="preserve"> PAGEREF _Toc19771 \h </w:instrText>
        </w:r>
        <w:r>
          <w:fldChar w:fldCharType="separate"/>
        </w:r>
        <w:r>
          <w:t>42</w:t>
        </w:r>
        <w:r>
          <w:fldChar w:fldCharType="end"/>
        </w:r>
      </w:hyperlink>
    </w:p>
    <w:p>
      <w:pPr>
        <w:pStyle w:val="TOC2"/>
        <w:tabs>
          <w:tab w:val="right" w:leader="dot" w:pos="8306"/>
        </w:tabs>
      </w:pPr>
      <w:hyperlink w:anchor="_Toc3537" w:history="1">
        <w:r>
          <w:rPr>
            <w:rFonts w:ascii="仿宋" w:eastAsia="仿宋" w:hAnsi="仿宋" w:cs="仿宋" w:hint="eastAsia"/>
            <w:lang w:eastAsia="zh-CN"/>
          </w:rPr>
          <w:t>(二)、产业政策及发展规划</w:t>
        </w:r>
        <w:r>
          <w:tab/>
        </w:r>
        <w:r>
          <w:fldChar w:fldCharType="begin"/>
        </w:r>
        <w:r>
          <w:instrText xml:space="preserve"> PAGEREF _Toc3537 \h </w:instrText>
        </w:r>
        <w:r>
          <w:fldChar w:fldCharType="separate"/>
        </w:r>
        <w:r>
          <w:t>44</w:t>
        </w:r>
        <w:r>
          <w:fldChar w:fldCharType="end"/>
        </w:r>
      </w:hyperlink>
    </w:p>
    <w:p>
      <w:pPr>
        <w:pStyle w:val="TOC2"/>
        <w:tabs>
          <w:tab w:val="right" w:leader="dot" w:pos="8306"/>
        </w:tabs>
      </w:pPr>
      <w:hyperlink w:anchor="_Toc8685" w:history="1">
        <w:r>
          <w:rPr>
            <w:rFonts w:ascii="仿宋" w:eastAsia="仿宋" w:hAnsi="仿宋" w:cs="仿宋" w:hint="eastAsia"/>
            <w:lang w:eastAsia="zh-CN"/>
          </w:rPr>
          <w:t>(三)、鼓励中小企业发展</w:t>
        </w:r>
        <w:r>
          <w:tab/>
        </w:r>
        <w:r>
          <w:fldChar w:fldCharType="begin"/>
        </w:r>
        <w:r>
          <w:instrText xml:space="preserve"> PAGEREF _Toc8685 \h </w:instrText>
        </w:r>
        <w:r>
          <w:fldChar w:fldCharType="separate"/>
        </w:r>
        <w:r>
          <w:t>45</w:t>
        </w:r>
        <w:r>
          <w:fldChar w:fldCharType="end"/>
        </w:r>
      </w:hyperlink>
    </w:p>
    <w:p>
      <w:pPr>
        <w:pStyle w:val="TOC2"/>
        <w:tabs>
          <w:tab w:val="right" w:leader="dot" w:pos="8306"/>
        </w:tabs>
      </w:pPr>
      <w:hyperlink w:anchor="_Toc6832" w:history="1">
        <w:r>
          <w:rPr>
            <w:rFonts w:ascii="仿宋" w:eastAsia="仿宋" w:hAnsi="仿宋" w:cs="仿宋" w:hint="eastAsia"/>
            <w:lang w:eastAsia="zh-CN"/>
          </w:rPr>
          <w:t>(四)、宏观经济形势分析</w:t>
        </w:r>
        <w:r>
          <w:tab/>
        </w:r>
        <w:r>
          <w:fldChar w:fldCharType="begin"/>
        </w:r>
        <w:r>
          <w:instrText xml:space="preserve"> PAGEREF _Toc6832 \h </w:instrText>
        </w:r>
        <w:r>
          <w:fldChar w:fldCharType="separate"/>
        </w:r>
        <w:r>
          <w:t>46</w:t>
        </w:r>
        <w:r>
          <w:fldChar w:fldCharType="end"/>
        </w:r>
      </w:hyperlink>
    </w:p>
    <w:p>
      <w:pPr>
        <w:pStyle w:val="TOC2"/>
        <w:tabs>
          <w:tab w:val="right" w:leader="dot" w:pos="8306"/>
        </w:tabs>
      </w:pPr>
      <w:hyperlink w:anchor="_Toc11538" w:history="1">
        <w:r>
          <w:rPr>
            <w:rFonts w:ascii="仿宋" w:eastAsia="仿宋" w:hAnsi="仿宋" w:cs="仿宋" w:hint="eastAsia"/>
            <w:lang w:eastAsia="zh-CN"/>
          </w:rPr>
          <w:t>(五)、区域经济发展概况</w:t>
        </w:r>
        <w:r>
          <w:tab/>
        </w:r>
        <w:r>
          <w:fldChar w:fldCharType="begin"/>
        </w:r>
        <w:r>
          <w:instrText xml:space="preserve"> PAGEREF _Toc11538 \h </w:instrText>
        </w:r>
        <w:r>
          <w:fldChar w:fldCharType="separate"/>
        </w:r>
        <w:r>
          <w:t>47</w:t>
        </w:r>
        <w:r>
          <w:fldChar w:fldCharType="end"/>
        </w:r>
      </w:hyperlink>
    </w:p>
    <w:p>
      <w:pPr>
        <w:pStyle w:val="TOC2"/>
        <w:tabs>
          <w:tab w:val="right" w:leader="dot" w:pos="8306"/>
        </w:tabs>
      </w:pPr>
      <w:hyperlink w:anchor="_Toc27669" w:history="1">
        <w:r>
          <w:rPr>
            <w:rFonts w:ascii="仿宋" w:eastAsia="仿宋" w:hAnsi="仿宋" w:cs="仿宋" w:hint="eastAsia"/>
            <w:lang w:eastAsia="zh-CN"/>
          </w:rPr>
          <w:t>(六)、显示仪表项目必要性分析</w:t>
        </w:r>
        <w:r>
          <w:tab/>
        </w:r>
        <w:r>
          <w:fldChar w:fldCharType="begin"/>
        </w:r>
        <w:r>
          <w:instrText xml:space="preserve"> PAGEREF _Toc27669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37" w:history="1">
        <w:r>
          <w:rPr>
            <w:rFonts w:ascii="仿宋" w:eastAsia="仿宋" w:hAnsi="仿宋" w:cs="仿宋" w:hint="eastAsia"/>
            <w:lang w:eastAsia="zh-CN"/>
          </w:rPr>
          <w:t>九、市场趋势与竞争分析</w:t>
        </w:r>
        <w:r>
          <w:tab/>
        </w:r>
        <w:r>
          <w:fldChar w:fldCharType="begin"/>
        </w:r>
        <w:r>
          <w:instrText xml:space="preserve"> PAGEREF _Toc18437 \h </w:instrText>
        </w:r>
        <w:r>
          <w:fldChar w:fldCharType="separate"/>
        </w:r>
        <w:r>
          <w:t>50</w:t>
        </w:r>
        <w:r>
          <w:fldChar w:fldCharType="end"/>
        </w:r>
      </w:hyperlink>
    </w:p>
    <w:p>
      <w:pPr>
        <w:pStyle w:val="TOC2"/>
        <w:tabs>
          <w:tab w:val="right" w:leader="dot" w:pos="8306"/>
        </w:tabs>
      </w:pPr>
      <w:hyperlink w:anchor="_Toc14078" w:history="1">
        <w:r>
          <w:rPr>
            <w:rFonts w:ascii="仿宋" w:eastAsia="仿宋" w:hAnsi="仿宋" w:cs="仿宋" w:hint="eastAsia"/>
            <w:lang w:eastAsia="zh-CN"/>
          </w:rPr>
          <w:t>(一)、行业市场趋势分析</w:t>
        </w:r>
        <w:r>
          <w:tab/>
        </w:r>
        <w:r>
          <w:fldChar w:fldCharType="begin"/>
        </w:r>
        <w:r>
          <w:instrText xml:space="preserve"> PAGEREF _Toc14078 \h </w:instrText>
        </w:r>
        <w:r>
          <w:fldChar w:fldCharType="separate"/>
        </w:r>
        <w:r>
          <w:t>50</w:t>
        </w:r>
        <w:r>
          <w:fldChar w:fldCharType="end"/>
        </w:r>
      </w:hyperlink>
    </w:p>
    <w:p>
      <w:pPr>
        <w:pStyle w:val="TOC2"/>
        <w:tabs>
          <w:tab w:val="right" w:leader="dot" w:pos="8306"/>
        </w:tabs>
      </w:pPr>
      <w:hyperlink w:anchor="_Toc14502" w:history="1">
        <w:r>
          <w:rPr>
            <w:rFonts w:ascii="仿宋" w:eastAsia="仿宋" w:hAnsi="仿宋" w:cs="仿宋" w:hint="eastAsia"/>
            <w:lang w:eastAsia="zh-CN"/>
          </w:rPr>
          <w:t>(二)、竞争对手动态监测</w:t>
        </w:r>
        <w:r>
          <w:tab/>
        </w:r>
        <w:r>
          <w:fldChar w:fldCharType="begin"/>
        </w:r>
        <w:r>
          <w:instrText xml:space="preserve"> PAGEREF _Toc14502 \h </w:instrText>
        </w:r>
        <w:r>
          <w:fldChar w:fldCharType="separate"/>
        </w:r>
        <w:r>
          <w:t>52</w:t>
        </w:r>
        <w:r>
          <w:fldChar w:fldCharType="end"/>
        </w:r>
      </w:hyperlink>
    </w:p>
    <w:p>
      <w:pPr>
        <w:pStyle w:val="TOC2"/>
        <w:tabs>
          <w:tab w:val="right" w:leader="dot" w:pos="8306"/>
        </w:tabs>
      </w:pPr>
      <w:hyperlink w:anchor="_Toc799" w:history="1">
        <w:r>
          <w:rPr>
            <w:rFonts w:ascii="仿宋" w:eastAsia="仿宋" w:hAnsi="仿宋" w:cs="仿宋" w:hint="eastAsia"/>
            <w:lang w:eastAsia="zh-CN"/>
          </w:rPr>
          <w:t>(三)、新兴技术与创新趋势</w:t>
        </w:r>
        <w:r>
          <w:tab/>
        </w:r>
        <w:r>
          <w:fldChar w:fldCharType="begin"/>
        </w:r>
        <w:r>
          <w:instrText xml:space="preserve"> PAGEREF _Toc799 \h </w:instrText>
        </w:r>
        <w:r>
          <w:fldChar w:fldCharType="separate"/>
        </w:r>
        <w:r>
          <w:t>54</w:t>
        </w:r>
        <w:r>
          <w:fldChar w:fldCharType="end"/>
        </w:r>
      </w:hyperlink>
    </w:p>
    <w:p>
      <w:pPr>
        <w:pStyle w:val="TOC2"/>
        <w:tabs>
          <w:tab w:val="right" w:leader="dot" w:pos="8306"/>
        </w:tabs>
      </w:pPr>
      <w:hyperlink w:anchor="_Toc17362" w:history="1">
        <w:r>
          <w:rPr>
            <w:rFonts w:ascii="仿宋" w:eastAsia="仿宋" w:hAnsi="仿宋" w:cs="仿宋" w:hint="eastAsia"/>
            <w:lang w:eastAsia="zh-CN"/>
          </w:rPr>
          <w:t>(四)、市场机会与威胁评估</w:t>
        </w:r>
        <w:r>
          <w:tab/>
        </w:r>
        <w:r>
          <w:fldChar w:fldCharType="begin"/>
        </w:r>
        <w:r>
          <w:instrText xml:space="preserve"> PAGEREF _Toc17362 \h </w:instrText>
        </w:r>
        <w:r>
          <w:fldChar w:fldCharType="separate"/>
        </w:r>
        <w:r>
          <w:t>56</w:t>
        </w:r>
        <w:r>
          <w:fldChar w:fldCharType="end"/>
        </w:r>
      </w:hyperlink>
    </w:p>
    <w:p>
      <w:pPr>
        <w:pStyle w:val="TOC1"/>
        <w:tabs>
          <w:tab w:val="right" w:leader="dot" w:pos="8306"/>
        </w:tabs>
      </w:pPr>
      <w:hyperlink w:anchor="_Toc13840" w:history="1">
        <w:r>
          <w:rPr>
            <w:rFonts w:ascii="仿宋" w:eastAsia="仿宋" w:hAnsi="仿宋" w:cs="仿宋" w:hint="eastAsia"/>
            <w:lang w:eastAsia="zh-CN"/>
          </w:rPr>
          <w:t>十、显示仪表项目环境保护</w:t>
        </w:r>
        <w:r>
          <w:tab/>
        </w:r>
        <w:r>
          <w:fldChar w:fldCharType="begin"/>
        </w:r>
        <w:r>
          <w:instrText xml:space="preserve"> PAGEREF _Toc13840 \h </w:instrText>
        </w:r>
        <w:r>
          <w:fldChar w:fldCharType="separate"/>
        </w:r>
        <w:r>
          <w:t>58</w:t>
        </w:r>
        <w:r>
          <w:fldChar w:fldCharType="end"/>
        </w:r>
      </w:hyperlink>
    </w:p>
    <w:p>
      <w:pPr>
        <w:pStyle w:val="TOC2"/>
        <w:tabs>
          <w:tab w:val="right" w:leader="dot" w:pos="8306"/>
        </w:tabs>
      </w:pPr>
      <w:hyperlink w:anchor="_Toc17472" w:history="1">
        <w:r>
          <w:rPr>
            <w:rFonts w:ascii="仿宋" w:eastAsia="仿宋" w:hAnsi="仿宋" w:cs="仿宋" w:hint="eastAsia"/>
            <w:lang w:eastAsia="zh-CN"/>
          </w:rPr>
          <w:t>(一)、显示仪表项目环境影响评估</w:t>
        </w:r>
        <w:r>
          <w:tab/>
        </w:r>
        <w:r>
          <w:fldChar w:fldCharType="begin"/>
        </w:r>
        <w:r>
          <w:instrText xml:space="preserve"> PAGEREF _Toc17472 \h </w:instrText>
        </w:r>
        <w:r>
          <w:fldChar w:fldCharType="separate"/>
        </w:r>
        <w:r>
          <w:t>58</w:t>
        </w:r>
        <w:r>
          <w:fldChar w:fldCharType="end"/>
        </w:r>
      </w:hyperlink>
    </w:p>
    <w:p>
      <w:pPr>
        <w:pStyle w:val="TOC2"/>
        <w:tabs>
          <w:tab w:val="right" w:leader="dot" w:pos="8306"/>
        </w:tabs>
      </w:pPr>
      <w:hyperlink w:anchor="_Toc9510" w:history="1">
        <w:r>
          <w:rPr>
            <w:rFonts w:ascii="仿宋" w:eastAsia="仿宋" w:hAnsi="仿宋" w:cs="仿宋" w:hint="eastAsia"/>
            <w:lang w:eastAsia="zh-CN"/>
          </w:rPr>
          <w:t>(二)、环境保护措施与方案</w:t>
        </w:r>
        <w:r>
          <w:tab/>
        </w:r>
        <w:r>
          <w:fldChar w:fldCharType="begin"/>
        </w:r>
        <w:r>
          <w:instrText xml:space="preserve"> PAGEREF _Toc9510 \h </w:instrText>
        </w:r>
        <w:r>
          <w:fldChar w:fldCharType="separate"/>
        </w:r>
        <w:r>
          <w:t>60</w:t>
        </w:r>
        <w:r>
          <w:fldChar w:fldCharType="end"/>
        </w:r>
      </w:hyperlink>
    </w:p>
    <w:p>
      <w:pPr>
        <w:pStyle w:val="TOC2"/>
        <w:tabs>
          <w:tab w:val="right" w:leader="dot" w:pos="8306"/>
        </w:tabs>
      </w:pPr>
      <w:hyperlink w:anchor="_Toc29059" w:history="1">
        <w:r>
          <w:rPr>
            <w:rFonts w:ascii="仿宋" w:eastAsia="仿宋" w:hAnsi="仿宋" w:cs="仿宋" w:hint="eastAsia"/>
            <w:lang w:eastAsia="zh-CN"/>
          </w:rPr>
          <w:t>(三)、生态恢复与补偿措施</w:t>
        </w:r>
        <w:r>
          <w:tab/>
        </w:r>
        <w:r>
          <w:fldChar w:fldCharType="begin"/>
        </w:r>
        <w:r>
          <w:instrText xml:space="preserve"> PAGEREF _Toc29059 \h </w:instrText>
        </w:r>
        <w:r>
          <w:fldChar w:fldCharType="separate"/>
        </w:r>
        <w:r>
          <w:t>62</w:t>
        </w:r>
        <w:r>
          <w:fldChar w:fldCharType="end"/>
        </w:r>
      </w:hyperlink>
    </w:p>
    <w:p>
      <w:pPr>
        <w:pStyle w:val="TOC2"/>
        <w:tabs>
          <w:tab w:val="right" w:leader="dot" w:pos="8306"/>
        </w:tabs>
      </w:pPr>
      <w:hyperlink w:anchor="_Toc19184" w:history="1">
        <w:r>
          <w:rPr>
            <w:rFonts w:ascii="仿宋" w:eastAsia="仿宋" w:hAnsi="仿宋" w:cs="仿宋" w:hint="eastAsia"/>
            <w:lang w:eastAsia="zh-CN"/>
          </w:rPr>
          <w:t>(四)、环境保护监测与评估</w:t>
        </w:r>
        <w:r>
          <w:tab/>
        </w:r>
        <w:r>
          <w:fldChar w:fldCharType="begin"/>
        </w:r>
        <w:r>
          <w:instrText xml:space="preserve"> PAGEREF _Toc19184 \h </w:instrText>
        </w:r>
        <w:r>
          <w:fldChar w:fldCharType="separate"/>
        </w:r>
        <w:r>
          <w:t>64</w:t>
        </w:r>
        <w:r>
          <w:fldChar w:fldCharType="end"/>
        </w:r>
      </w:hyperlink>
    </w:p>
    <w:p>
      <w:pPr>
        <w:pStyle w:val="TOC1"/>
        <w:tabs>
          <w:tab w:val="right" w:leader="dot" w:pos="8306"/>
        </w:tabs>
      </w:pPr>
      <w:hyperlink w:anchor="_Toc8209" w:history="1">
        <w:r>
          <w:rPr>
            <w:rFonts w:ascii="仿宋" w:eastAsia="仿宋" w:hAnsi="仿宋" w:cs="仿宋" w:hint="eastAsia"/>
            <w:lang w:eastAsia="zh-CN"/>
          </w:rPr>
          <w:t>十一、法律与合规性</w:t>
        </w:r>
        <w:r>
          <w:tab/>
        </w:r>
        <w:r>
          <w:fldChar w:fldCharType="begin"/>
        </w:r>
        <w:r>
          <w:instrText xml:space="preserve"> PAGEREF _Toc8209 \h </w:instrText>
        </w:r>
        <w:r>
          <w:fldChar w:fldCharType="separate"/>
        </w:r>
        <w:r>
          <w:t>66</w:t>
        </w:r>
        <w:r>
          <w:fldChar w:fldCharType="end"/>
        </w:r>
      </w:hyperlink>
    </w:p>
    <w:p>
      <w:pPr>
        <w:pStyle w:val="TOC2"/>
        <w:tabs>
          <w:tab w:val="right" w:leader="dot" w:pos="8306"/>
        </w:tabs>
      </w:pPr>
      <w:hyperlink w:anchor="_Toc26021" w:history="1">
        <w:r>
          <w:rPr>
            <w:rFonts w:ascii="仿宋" w:eastAsia="仿宋" w:hAnsi="仿宋" w:cs="仿宋" w:hint="eastAsia"/>
            <w:lang w:eastAsia="zh-CN"/>
          </w:rPr>
          <w:t>(一)、相关法律法规概述</w:t>
        </w:r>
        <w:r>
          <w:tab/>
        </w:r>
        <w:r>
          <w:fldChar w:fldCharType="begin"/>
        </w:r>
        <w:r>
          <w:instrText xml:space="preserve"> PAGEREF _Toc26021 \h </w:instrText>
        </w:r>
        <w:r>
          <w:fldChar w:fldCharType="separate"/>
        </w:r>
        <w:r>
          <w:t>66</w:t>
        </w:r>
        <w:r>
          <w:fldChar w:fldCharType="end"/>
        </w:r>
      </w:hyperlink>
    </w:p>
    <w:p>
      <w:pPr>
        <w:pStyle w:val="TOC2"/>
        <w:tabs>
          <w:tab w:val="right" w:leader="dot" w:pos="8306"/>
        </w:tabs>
      </w:pPr>
      <w:hyperlink w:anchor="_Toc19061" w:history="1">
        <w:r>
          <w:rPr>
            <w:rFonts w:ascii="仿宋" w:eastAsia="仿宋" w:hAnsi="仿宋" w:cs="仿宋" w:hint="eastAsia"/>
            <w:lang w:eastAsia="zh-CN"/>
          </w:rPr>
          <w:t>(二)、显示仪表项目合同管理</w:t>
        </w:r>
        <w:r>
          <w:tab/>
        </w:r>
        <w:r>
          <w:fldChar w:fldCharType="begin"/>
        </w:r>
        <w:r>
          <w:instrText xml:space="preserve"> PAGEREF _Toc19061 \h </w:instrText>
        </w:r>
        <w:r>
          <w:fldChar w:fldCharType="separate"/>
        </w:r>
        <w:r>
          <w:t>68</w:t>
        </w:r>
        <w:r>
          <w:fldChar w:fldCharType="end"/>
        </w:r>
      </w:hyperlink>
    </w:p>
    <w:p>
      <w:pPr>
        <w:pStyle w:val="TOC2"/>
        <w:tabs>
          <w:tab w:val="right" w:leader="dot" w:pos="8306"/>
        </w:tabs>
      </w:pPr>
      <w:hyperlink w:anchor="_Toc11790" w:history="1">
        <w:r>
          <w:rPr>
            <w:rFonts w:ascii="仿宋" w:eastAsia="仿宋" w:hAnsi="仿宋" w:cs="仿宋" w:hint="eastAsia"/>
            <w:lang w:eastAsia="zh-CN"/>
          </w:rPr>
          <w:t>(三)、知识产权保护</w:t>
        </w:r>
        <w:r>
          <w:tab/>
        </w:r>
        <w:r>
          <w:fldChar w:fldCharType="begin"/>
        </w:r>
        <w:r>
          <w:instrText xml:space="preserve"> PAGEREF _Toc11790 \h </w:instrText>
        </w:r>
        <w:r>
          <w:fldChar w:fldCharType="separate"/>
        </w:r>
        <w:r>
          <w:t>70</w:t>
        </w:r>
        <w:r>
          <w:fldChar w:fldCharType="end"/>
        </w:r>
      </w:hyperlink>
    </w:p>
    <w:p>
      <w:pPr>
        <w:pStyle w:val="TOC2"/>
        <w:tabs>
          <w:tab w:val="right" w:leader="dot" w:pos="8306"/>
        </w:tabs>
      </w:pPr>
      <w:hyperlink w:anchor="_Toc29975" w:history="1">
        <w:r>
          <w:rPr>
            <w:rFonts w:ascii="仿宋" w:eastAsia="仿宋" w:hAnsi="仿宋" w:cs="仿宋" w:hint="eastAsia"/>
            <w:lang w:eastAsia="zh-CN"/>
          </w:rPr>
          <w:t>(四)、劳动法规与员工权益</w:t>
        </w:r>
        <w:r>
          <w:tab/>
        </w:r>
        <w:r>
          <w:fldChar w:fldCharType="begin"/>
        </w:r>
        <w:r>
          <w:instrText xml:space="preserve"> PAGEREF _Toc29975 \h </w:instrText>
        </w:r>
        <w:r>
          <w:fldChar w:fldCharType="separate"/>
        </w:r>
        <w:r>
          <w:t>71</w:t>
        </w:r>
        <w:r>
          <w:fldChar w:fldCharType="end"/>
        </w:r>
      </w:hyperlink>
    </w:p>
    <w:p>
      <w:pPr>
        <w:pStyle w:val="TOC2"/>
        <w:tabs>
          <w:tab w:val="right" w:leader="dot" w:pos="8306"/>
        </w:tabs>
      </w:pPr>
      <w:hyperlink w:anchor="_Toc4782" w:history="1">
        <w:r>
          <w:rPr>
            <w:rFonts w:ascii="仿宋" w:eastAsia="仿宋" w:hAnsi="仿宋" w:cs="仿宋" w:hint="eastAsia"/>
            <w:lang w:eastAsia="zh-CN"/>
          </w:rPr>
          <w:t>(五)、环境保护法规遵循</w:t>
        </w:r>
        <w:r>
          <w:tab/>
        </w:r>
        <w:r>
          <w:fldChar w:fldCharType="begin"/>
        </w:r>
        <w:r>
          <w:instrText xml:space="preserve"> PAGEREF _Toc4782 \h </w:instrText>
        </w:r>
        <w:r>
          <w:fldChar w:fldCharType="separate"/>
        </w:r>
        <w:r>
          <w:t>73</w:t>
        </w:r>
        <w:r>
          <w:fldChar w:fldCharType="end"/>
        </w:r>
      </w:hyperlink>
    </w:p>
    <w:p>
      <w:pPr>
        <w:pStyle w:val="TOC1"/>
        <w:tabs>
          <w:tab w:val="right" w:leader="dot" w:pos="8306"/>
        </w:tabs>
      </w:pPr>
      <w:hyperlink w:anchor="_Toc18753" w:history="1">
        <w:r>
          <w:rPr>
            <w:rFonts w:ascii="仿宋" w:eastAsia="仿宋" w:hAnsi="仿宋" w:cs="仿宋" w:hint="eastAsia"/>
            <w:lang w:eastAsia="zh-CN"/>
          </w:rPr>
          <w:t>十二、风险管理与应对策略</w:t>
        </w:r>
        <w:r>
          <w:tab/>
        </w:r>
        <w:r>
          <w:fldChar w:fldCharType="begin"/>
        </w:r>
        <w:r>
          <w:instrText xml:space="preserve"> PAGEREF _Toc18753 \h </w:instrText>
        </w:r>
        <w:r>
          <w:fldChar w:fldCharType="separate"/>
        </w:r>
        <w:r>
          <w:t>74</w:t>
        </w:r>
        <w:r>
          <w:fldChar w:fldCharType="end"/>
        </w:r>
      </w:hyperlink>
    </w:p>
    <w:p>
      <w:pPr>
        <w:pStyle w:val="TOC2"/>
        <w:tabs>
          <w:tab w:val="right" w:leader="dot" w:pos="8306"/>
        </w:tabs>
      </w:pPr>
      <w:hyperlink w:anchor="_Toc309" w:history="1">
        <w:r>
          <w:rPr>
            <w:rFonts w:ascii="仿宋" w:eastAsia="仿宋" w:hAnsi="仿宋" w:cs="仿宋" w:hint="eastAsia"/>
            <w:lang w:eastAsia="zh-CN"/>
          </w:rPr>
          <w:t>(一)、风险管理流程</w:t>
        </w:r>
        <w:r>
          <w:tab/>
        </w:r>
        <w:r>
          <w:fldChar w:fldCharType="begin"/>
        </w:r>
        <w:r>
          <w:instrText xml:space="preserve"> PAGEREF _Toc309 \h </w:instrText>
        </w:r>
        <w:r>
          <w:fldChar w:fldCharType="separate"/>
        </w:r>
        <w:r>
          <w:t>74</w:t>
        </w:r>
        <w:r>
          <w:fldChar w:fldCharType="end"/>
        </w:r>
      </w:hyperlink>
    </w:p>
    <w:p>
      <w:pPr>
        <w:pStyle w:val="TOC2"/>
        <w:tabs>
          <w:tab w:val="right" w:leader="dot" w:pos="8306"/>
        </w:tabs>
      </w:pPr>
      <w:hyperlink w:anchor="_Toc26949" w:history="1">
        <w:r>
          <w:rPr>
            <w:rFonts w:ascii="仿宋" w:eastAsia="仿宋" w:hAnsi="仿宋" w:cs="仿宋" w:hint="eastAsia"/>
            <w:lang w:eastAsia="zh-CN"/>
          </w:rPr>
          <w:t>(二)、风险识别与评估</w:t>
        </w:r>
        <w:r>
          <w:tab/>
        </w:r>
        <w:r>
          <w:fldChar w:fldCharType="begin"/>
        </w:r>
        <w:r>
          <w:instrText xml:space="preserve"> PAGEREF _Toc26949 \h </w:instrText>
        </w:r>
        <w:r>
          <w:fldChar w:fldCharType="separate"/>
        </w:r>
        <w:r>
          <w:t>77</w:t>
        </w:r>
        <w:r>
          <w:fldChar w:fldCharType="end"/>
        </w:r>
      </w:hyperlink>
    </w:p>
    <w:p>
      <w:pPr>
        <w:pStyle w:val="TOC2"/>
        <w:tabs>
          <w:tab w:val="right" w:leader="dot" w:pos="8306"/>
        </w:tabs>
      </w:pPr>
      <w:hyperlink w:anchor="_Toc22657" w:history="1">
        <w:r>
          <w:rPr>
            <w:rFonts w:ascii="仿宋" w:eastAsia="仿宋" w:hAnsi="仿宋" w:cs="仿宋" w:hint="eastAsia"/>
            <w:lang w:eastAsia="zh-CN"/>
          </w:rPr>
          <w:t>(三)、风险控制与应对策略</w:t>
        </w:r>
        <w:r>
          <w:tab/>
        </w:r>
        <w:r>
          <w:fldChar w:fldCharType="begin"/>
        </w:r>
        <w:r>
          <w:instrText xml:space="preserve"> PAGEREF _Toc22657 \h </w:instrText>
        </w:r>
        <w:r>
          <w:fldChar w:fldCharType="separate"/>
        </w:r>
        <w:r>
          <w:t>79</w:t>
        </w:r>
        <w:r>
          <w:fldChar w:fldCharType="end"/>
        </w:r>
      </w:hyperlink>
    </w:p>
    <w:p>
      <w:pPr>
        <w:pStyle w:val="TOC2"/>
        <w:tabs>
          <w:tab w:val="right" w:leader="dot" w:pos="8306"/>
        </w:tabs>
      </w:pPr>
      <w:hyperlink w:anchor="_Toc20216" w:history="1">
        <w:r>
          <w:rPr>
            <w:rFonts w:ascii="仿宋" w:eastAsia="仿宋" w:hAnsi="仿宋" w:cs="仿宋" w:hint="eastAsia"/>
            <w:lang w:eastAsia="zh-CN"/>
          </w:rPr>
          <w:t>(四)、危机管理与应急预案</w:t>
        </w:r>
        <w:r>
          <w:tab/>
        </w:r>
        <w:r>
          <w:fldChar w:fldCharType="begin"/>
        </w:r>
        <w:r>
          <w:instrText xml:space="preserve"> PAGEREF _Toc20216 \h </w:instrText>
        </w:r>
        <w:r>
          <w:fldChar w:fldCharType="separate"/>
        </w:r>
        <w:r>
          <w:t>81</w:t>
        </w:r>
        <w:r>
          <w:fldChar w:fldCharType="end"/>
        </w:r>
      </w:hyperlink>
    </w:p>
    <w:p>
      <w:pPr>
        <w:pStyle w:val="TOC1"/>
        <w:tabs>
          <w:tab w:val="right" w:leader="dot" w:pos="8306"/>
        </w:tabs>
      </w:pPr>
      <w:hyperlink w:anchor="_Toc12221" w:history="1">
        <w:r>
          <w:rPr>
            <w:rFonts w:ascii="仿宋" w:eastAsia="仿宋" w:hAnsi="仿宋" w:cs="仿宋" w:hint="eastAsia"/>
            <w:lang w:eastAsia="zh-CN"/>
          </w:rPr>
          <w:t>十三、供应链管理与物流优化</w:t>
        </w:r>
        <w:r>
          <w:tab/>
        </w:r>
        <w:r>
          <w:fldChar w:fldCharType="begin"/>
        </w:r>
        <w:r>
          <w:instrText xml:space="preserve"> PAGEREF _Toc12221 \h </w:instrText>
        </w:r>
        <w:r>
          <w:fldChar w:fldCharType="separate"/>
        </w:r>
        <w:r>
          <w:t>84</w:t>
        </w:r>
        <w:r>
          <w:fldChar w:fldCharType="end"/>
        </w:r>
      </w:hyperlink>
    </w:p>
    <w:p>
      <w:pPr>
        <w:pStyle w:val="TOC2"/>
        <w:tabs>
          <w:tab w:val="right" w:leader="dot" w:pos="8306"/>
        </w:tabs>
      </w:pPr>
      <w:hyperlink w:anchor="_Toc20190" w:history="1">
        <w:r>
          <w:rPr>
            <w:rFonts w:ascii="仿宋" w:eastAsia="仿宋" w:hAnsi="仿宋" w:cs="仿宋" w:hint="eastAsia"/>
            <w:lang w:eastAsia="zh-CN"/>
          </w:rPr>
          <w:t>(一)、供应链规划与优化</w:t>
        </w:r>
        <w:r>
          <w:tab/>
        </w:r>
        <w:r>
          <w:fldChar w:fldCharType="begin"/>
        </w:r>
        <w:r>
          <w:instrText xml:space="preserve"> PAGEREF _Toc20190 \h </w:instrText>
        </w:r>
        <w:r>
          <w:fldChar w:fldCharType="separate"/>
        </w:r>
        <w:r>
          <w:t>84</w:t>
        </w:r>
        <w:r>
          <w:fldChar w:fldCharType="end"/>
        </w:r>
      </w:hyperlink>
    </w:p>
    <w:p>
      <w:pPr>
        <w:pStyle w:val="TOC2"/>
        <w:tabs>
          <w:tab w:val="right" w:leader="dot" w:pos="8306"/>
        </w:tabs>
      </w:pPr>
      <w:hyperlink w:anchor="_Toc17245" w:history="1">
        <w:r>
          <w:rPr>
            <w:rFonts w:ascii="仿宋" w:eastAsia="仿宋" w:hAnsi="仿宋" w:cs="仿宋" w:hint="eastAsia"/>
            <w:lang w:eastAsia="zh-CN"/>
          </w:rPr>
          <w:t>(二)、供应商选择与评估</w:t>
        </w:r>
        <w:r>
          <w:tab/>
        </w:r>
        <w:r>
          <w:fldChar w:fldCharType="begin"/>
        </w:r>
        <w:r>
          <w:instrText xml:space="preserve"> PAGEREF _Toc17245 \h </w:instrText>
        </w:r>
        <w:r>
          <w:fldChar w:fldCharType="separate"/>
        </w:r>
        <w:r>
          <w:t>86</w:t>
        </w:r>
        <w:r>
          <w:fldChar w:fldCharType="end"/>
        </w:r>
      </w:hyperlink>
    </w:p>
    <w:p>
      <w:pPr>
        <w:pStyle w:val="TOC2"/>
        <w:tabs>
          <w:tab w:val="right" w:leader="dot" w:pos="8306"/>
        </w:tabs>
      </w:pPr>
      <w:hyperlink w:anchor="_Toc28077" w:history="1">
        <w:r>
          <w:rPr>
            <w:rFonts w:ascii="仿宋" w:eastAsia="仿宋" w:hAnsi="仿宋" w:cs="仿宋" w:hint="eastAsia"/>
            <w:lang w:eastAsia="zh-CN"/>
          </w:rPr>
          <w:t>(三)、物流网络设计与管理</w:t>
        </w:r>
        <w:r>
          <w:tab/>
        </w:r>
        <w:r>
          <w:fldChar w:fldCharType="begin"/>
        </w:r>
        <w:r>
          <w:instrText xml:space="preserve"> PAGEREF _Toc28077 \h </w:instrText>
        </w:r>
        <w:r>
          <w:fldChar w:fldCharType="separate"/>
        </w:r>
        <w:r>
          <w:t>88</w:t>
        </w:r>
        <w:r>
          <w:fldChar w:fldCharType="end"/>
        </w:r>
      </w:hyperlink>
    </w:p>
    <w:p>
      <w:pPr>
        <w:pStyle w:val="TOC2"/>
        <w:tabs>
          <w:tab w:val="right" w:leader="dot" w:pos="8306"/>
        </w:tabs>
      </w:pPr>
      <w:hyperlink w:anchor="_Toc7939" w:history="1">
        <w:r>
          <w:rPr>
            <w:rFonts w:ascii="仿宋" w:eastAsia="仿宋" w:hAnsi="仿宋" w:cs="仿宋" w:hint="eastAsia"/>
            <w:lang w:eastAsia="zh-CN"/>
          </w:rPr>
          <w:t>(四)、库存控制与仓储管理</w:t>
        </w:r>
        <w:r>
          <w:tab/>
        </w:r>
        <w:r>
          <w:fldChar w:fldCharType="begin"/>
        </w:r>
        <w:r>
          <w:instrText xml:space="preserve"> PAGEREF _Toc7939 \h </w:instrText>
        </w:r>
        <w:r>
          <w:fldChar w:fldCharType="separate"/>
        </w:r>
        <w:r>
          <w:t>90</w:t>
        </w:r>
        <w:r>
          <w:fldChar w:fldCharType="end"/>
        </w:r>
      </w:hyperlink>
    </w:p>
    <w:p>
      <w:pPr>
        <w:pStyle w:val="TOC1"/>
        <w:tabs>
          <w:tab w:val="right" w:leader="dot" w:pos="8306"/>
        </w:tabs>
      </w:pPr>
      <w:hyperlink w:anchor="_Toc25378" w:history="1">
        <w:r>
          <w:rPr>
            <w:rFonts w:ascii="仿宋" w:eastAsia="仿宋" w:hAnsi="仿宋" w:cs="仿宋" w:hint="eastAsia"/>
            <w:lang w:eastAsia="zh-CN"/>
          </w:rPr>
          <w:t>十四、未来发展战略</w:t>
        </w:r>
        <w:r>
          <w:tab/>
        </w:r>
        <w:r>
          <w:fldChar w:fldCharType="begin"/>
        </w:r>
        <w:r>
          <w:instrText xml:space="preserve"> PAGEREF _Toc25378 \h </w:instrText>
        </w:r>
        <w:r>
          <w:fldChar w:fldCharType="separate"/>
        </w:r>
        <w:r>
          <w:t>92</w:t>
        </w:r>
        <w:r>
          <w:fldChar w:fldCharType="end"/>
        </w:r>
      </w:hyperlink>
    </w:p>
    <w:p>
      <w:pPr>
        <w:pStyle w:val="TOC2"/>
        <w:tabs>
          <w:tab w:val="right" w:leader="dot" w:pos="8306"/>
        </w:tabs>
      </w:pPr>
      <w:hyperlink w:anchor="_Toc5014" w:history="1">
        <w:r>
          <w:rPr>
            <w:rFonts w:ascii="仿宋" w:eastAsia="仿宋" w:hAnsi="仿宋" w:cs="仿宋" w:hint="eastAsia"/>
            <w:lang w:eastAsia="zh-CN"/>
          </w:rPr>
          <w:t>(一)、未来市场定位与业务拓展</w:t>
        </w:r>
        <w:r>
          <w:tab/>
        </w:r>
        <w:r>
          <w:fldChar w:fldCharType="begin"/>
        </w:r>
        <w:r>
          <w:instrText xml:space="preserve"> PAGEREF _Toc5014 \h </w:instrText>
        </w:r>
        <w:r>
          <w:fldChar w:fldCharType="separate"/>
        </w:r>
        <w:r>
          <w:t>92</w:t>
        </w:r>
        <w:r>
          <w:fldChar w:fldCharType="end"/>
        </w:r>
      </w:hyperlink>
    </w:p>
    <w:p>
      <w:pPr>
        <w:pStyle w:val="TOC2"/>
        <w:tabs>
          <w:tab w:val="right" w:leader="dot" w:pos="8306"/>
        </w:tabs>
      </w:pPr>
      <w:hyperlink w:anchor="_Toc15412" w:history="1">
        <w:r>
          <w:rPr>
            <w:rFonts w:ascii="仿宋" w:eastAsia="仿宋" w:hAnsi="仿宋" w:cs="仿宋" w:hint="eastAsia"/>
            <w:lang w:eastAsia="zh-CN"/>
          </w:rPr>
          <w:t>(二)、技术创新与研发方向</w:t>
        </w:r>
        <w:r>
          <w:tab/>
        </w:r>
        <w:r>
          <w:fldChar w:fldCharType="begin"/>
        </w:r>
        <w:r>
          <w:instrText xml:space="preserve"> PAGEREF _Toc15412 \h </w:instrText>
        </w:r>
        <w:r>
          <w:fldChar w:fldCharType="separate"/>
        </w:r>
        <w:r>
          <w:t>94</w:t>
        </w:r>
        <w:r>
          <w:fldChar w:fldCharType="end"/>
        </w:r>
      </w:hyperlink>
    </w:p>
    <w:p>
      <w:pPr>
        <w:pStyle w:val="TOC2"/>
        <w:tabs>
          <w:tab w:val="right" w:leader="dot" w:pos="8306"/>
        </w:tabs>
      </w:pPr>
      <w:hyperlink w:anchor="_Toc17174" w:history="1">
        <w:r>
          <w:rPr>
            <w:rFonts w:ascii="仿宋" w:eastAsia="仿宋" w:hAnsi="仿宋" w:cs="仿宋" w:hint="eastAsia"/>
            <w:lang w:eastAsia="zh-CN"/>
          </w:rPr>
          <w:t>(三)、国际化战略与全球市场</w:t>
        </w:r>
        <w:r>
          <w:tab/>
        </w:r>
        <w:r>
          <w:fldChar w:fldCharType="begin"/>
        </w:r>
        <w:r>
          <w:instrText xml:space="preserve"> PAGEREF _Toc17174 \h </w:instrText>
        </w:r>
        <w:r>
          <w:fldChar w:fldCharType="separate"/>
        </w:r>
        <w:r>
          <w:t>95</w:t>
        </w:r>
        <w:r>
          <w:fldChar w:fldCharType="end"/>
        </w:r>
      </w:hyperlink>
    </w:p>
    <w:p>
      <w:pPr>
        <w:pStyle w:val="TOC2"/>
        <w:tabs>
          <w:tab w:val="right" w:leader="dot" w:pos="8306"/>
        </w:tabs>
      </w:pPr>
      <w:hyperlink w:anchor="_Toc24620" w:history="1">
        <w:r>
          <w:rPr>
            <w:rFonts w:ascii="仿宋" w:eastAsia="仿宋" w:hAnsi="仿宋" w:cs="仿宋" w:hint="eastAsia"/>
            <w:lang w:eastAsia="zh-CN"/>
          </w:rPr>
          <w:t>(四)、可持续发展战略</w:t>
        </w:r>
        <w:r>
          <w:tab/>
        </w:r>
        <w:r>
          <w:fldChar w:fldCharType="begin"/>
        </w:r>
        <w:r>
          <w:instrText xml:space="preserve"> PAGEREF _Toc24620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4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显示仪表项目复杂性日益增加，全面而科学的显示仪表项目管理方法论对于确保显示仪表项目成功至关重要。本显示仪表项目报告系统阐述了显示仪表项目启动、规划、执行、监控与收尾的全过程，强调在动态环境中对策略的灵活调整与优化。报告旨在提供一套适应性强、实用性高的显示仪表项目管理框架，便于读者掌握和应用于实际工作中。在此，我们明确指出报告内容仅限于学习交流之目的，严禁用于任何商业用途，力求促进显示仪表项目管理知识的普及与提升。</w:t>
      </w:r>
    </w:p>
    <w:p>
      <w:pPr>
        <w:pStyle w:val="Heading1"/>
        <w:ind w:firstLine="560" w:firstLineChars="200"/>
        <w:rPr>
          <w:rFonts w:ascii="仿宋" w:eastAsia="仿宋" w:hAnsi="仿宋" w:cs="仿宋" w:hint="eastAsia"/>
          <w:sz w:val="28"/>
          <w:lang w:eastAsia="zh-CN"/>
        </w:rPr>
      </w:pPr>
      <w:bookmarkStart w:id="2" w:name="_Toc5884"/>
      <w:r>
        <w:rPr>
          <w:rFonts w:ascii="仿宋" w:eastAsia="仿宋" w:hAnsi="仿宋" w:cs="仿宋" w:hint="eastAsia"/>
          <w:sz w:val="28"/>
          <w:lang w:eastAsia="zh-CN"/>
        </w:rPr>
        <w:t>一、显示仪表项目市场前景分析</w:t>
      </w:r>
      <w:bookmarkEnd w:id="2"/>
    </w:p>
    <w:p>
      <w:pPr>
        <w:pStyle w:val="Heading2"/>
        <w:rPr>
          <w:rFonts w:ascii="仿宋" w:eastAsia="仿宋" w:hAnsi="仿宋" w:cs="仿宋" w:hint="eastAsia"/>
          <w:lang w:eastAsia="zh-CN"/>
        </w:rPr>
      </w:pPr>
      <w:bookmarkStart w:id="3" w:name="_Toc2733"/>
      <w:r>
        <w:rPr>
          <w:rFonts w:ascii="仿宋" w:eastAsia="仿宋" w:hAnsi="仿宋" w:cs="仿宋" w:hint="eastAsia"/>
          <w:lang w:eastAsia="zh-CN"/>
        </w:rPr>
        <w:t>(一)、建设地经济发展概况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显示仪表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为适应经济快速发展的需要，建设地加大了对基础设施建设的投入。新建、改建的高速公路、城市轨道交通、现代化港口等显示仪表项目得到了快速推进，提高了城市的综合竞争力。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建设地注重生态环境保护和可持续发展。实施了大规模的环境治理显示仪表项目，提升了空气质量和水质。同时，该地推动绿色产业和清洁能源的发展，致力于打造宜居宜业的城市环境。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建设地积极参与区域合作和国际交往，拓展了多领域的国际合作显示仪表项目。通过加强国际交流，该地区引进了大量国外优质技术和资金，同时推动了本地产业的对外拓展。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4" w:name="_Toc1374"/>
      <w:r>
        <w:rPr>
          <w:rFonts w:ascii="仿宋" w:eastAsia="仿宋" w:hAnsi="仿宋" w:cs="仿宋" w:hint="eastAsia"/>
          <w:sz w:val="28"/>
          <w:lang w:eastAsia="zh-CN"/>
        </w:rPr>
        <w:t>(二)、行业市场分析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显示仪表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5" w:name="_Toc10543"/>
      <w:r>
        <w:rPr>
          <w:rFonts w:ascii="仿宋" w:eastAsia="仿宋" w:hAnsi="仿宋" w:cs="仿宋" w:hint="eastAsia"/>
          <w:sz w:val="28"/>
          <w:lang w:eastAsia="zh-CN"/>
        </w:rPr>
        <w:t>二、显示仪表项目选址说明</w:t>
      </w:r>
      <w:bookmarkEnd w:id="5"/>
    </w:p>
    <w:p>
      <w:pPr>
        <w:pStyle w:val="Heading2"/>
        <w:rPr>
          <w:rFonts w:ascii="仿宋" w:eastAsia="仿宋" w:hAnsi="仿宋" w:cs="仿宋" w:hint="eastAsia"/>
          <w:lang w:eastAsia="zh-CN"/>
        </w:rPr>
      </w:pPr>
      <w:bookmarkStart w:id="6" w:name="_Toc637"/>
      <w:r>
        <w:rPr>
          <w:rFonts w:ascii="仿宋" w:eastAsia="仿宋" w:hAnsi="仿宋" w:cs="仿宋" w:hint="eastAsia"/>
          <w:lang w:eastAsia="zh-CN"/>
        </w:rPr>
        <w:t>(一)、显示仪表项目选址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选址位于XXXX市XXXX区XXXX街道XXXX路，地理位置优越，地势平坦，交通便利。附近有多条主要道路交汇，便于原材料的运输和成品的配送。地理位置的优越性将为显示仪表项目提供便捷的市场接触和良好的物流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选址过程中，我们将充分考虑用地控制指标，确保显示仪表项目用地的合规性。经过详细的规划和评估，选址地区的用地性质、容积率、绿化率等指标将被科学确定，以满足显示仪表项目的发展需求并符合相关法规和环保要求。</w:t>
      </w:r>
    </w:p>
    <w:p>
      <w:pPr>
        <w:pStyle w:val="Heading2"/>
        <w:ind w:firstLine="560" w:firstLineChars="200"/>
        <w:rPr>
          <w:rFonts w:ascii="仿宋" w:eastAsia="仿宋" w:hAnsi="仿宋" w:cs="仿宋" w:hint="eastAsia"/>
          <w:sz w:val="28"/>
          <w:lang w:eastAsia="zh-CN"/>
        </w:rPr>
      </w:pPr>
      <w:bookmarkStart w:id="7" w:name="_Toc2637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用地性质： 选址地区的用地性质被确定为工业用地，以支持显示仪表项目的生产和运营。确保用地性质符合地方规划，并满足显示仪表项目的实际需求。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用途： 明确用地用途，包括生产车间、仓储区、办公区等功能分区，以确保用地的合理利用和各功能区的协调运作。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容积率： 根据地区规划和建设标准，设定合理的容积率。容积率的设定要考虑显示仪表项目的建筑需求，确保建筑的布局紧凑，用地高效利用。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绿化率： 确保显示仪表项目选址地区的绿化率符合环保法规的要求。通过科学的绿化设计，提高绿化率，改善周边环境，为员工提供良好的工作生活环境。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5. 建筑高度限制： 根据地区的城市规划和建设标准，设定建筑高度的限制。确保建筑高度符合安全规范，不影响周边环境。</w:t>
      </w:r>
    </w:p>
    <w:p>
      <w:pPr>
        <w:pStyle w:val="Heading2"/>
        <w:ind w:firstLine="560" w:firstLineChars="200"/>
        <w:rPr>
          <w:rFonts w:ascii="仿宋" w:eastAsia="仿宋" w:hAnsi="仿宋" w:cs="仿宋" w:hint="eastAsia"/>
          <w:sz w:val="28"/>
          <w:lang w:eastAsia="zh-CN"/>
        </w:rPr>
      </w:pPr>
      <w:bookmarkStart w:id="8" w:name="_Toc27667"/>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紧凑布局设计： 通过合理的建筑布局，优化空间利用效率，减少废弃空间。将生产车间、仓储区和办公区等功能区域紧密布置，实现空间的高效利用。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多功能共享： 在规划中将不同功能的区域进行合理的组合，实现多功能区域的共享。例如，共享办公区域，减少办公区的面积，提高使用效率。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垂直建筑设计： 针对显示仪表项目的实际需求，考虑采用垂直建筑设计，提高建筑的层数，减小占地面积。这将有助于在有限的用地内实现更大的建筑容积。</w:t>
      </w:r>
    </w:p>
    <w:p>
      <w:pPr>
        <w:ind w:firstLine="560" w:firstLineChars="200"/>
        <w:rPr>
          <w:rFonts w:ascii="仿宋" w:eastAsia="仿宋" w:hAnsi="仿宋" w:cs="仿宋" w:hint="eastAsia"/>
          <w:sz w:val="28"/>
        </w:rPr>
      </w:pPr>
      <w:r>
        <w:rPr>
          <w:rFonts w:ascii="仿宋" w:eastAsia="仿宋" w:hAnsi="仿宋" w:cs="仿宋" w:hint="eastAsia"/>
          <w:sz w:val="28"/>
          <w:lang w:eastAsia="zh-CN"/>
        </w:rPr>
        <w:t>4. 地下空间利用： 充分利用地下空间，将一部分功能区域或设备安置在地下，减少对地表面积的占用。地下空间的充分利用有助于最大化地面用地。</w:t>
      </w:r>
    </w:p>
    <w:p>
      <w:pPr>
        <w:ind w:firstLine="560" w:firstLineChars="200"/>
        <w:rPr>
          <w:rFonts w:ascii="仿宋" w:eastAsia="仿宋" w:hAnsi="仿宋" w:cs="仿宋" w:hint="eastAsia"/>
          <w:sz w:val="28"/>
        </w:rPr>
      </w:pPr>
      <w:r>
        <w:rPr>
          <w:rFonts w:ascii="仿宋" w:eastAsia="仿宋" w:hAnsi="仿宋" w:cs="仿宋" w:hint="eastAsia"/>
          <w:sz w:val="28"/>
          <w:lang w:eastAsia="zh-CN"/>
        </w:rPr>
        <w:t>5. 绿化屋顶设计： 在建筑设计中引入绿化屋顶，通过种植植被覆盖，提高绿化率。绿化屋顶不仅能够降低用地对热岛效应的影响，还有助于改善周边环境。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6. 共享设施： 考虑引入共享设施，如共享停车区域、共享休息区等，以减少单一功能区的用地需求，提高共享效益。</w:t>
      </w:r>
    </w:p>
    <w:p>
      <w:pPr>
        <w:pStyle w:val="Heading2"/>
        <w:ind w:firstLine="560" w:firstLineChars="200"/>
        <w:rPr>
          <w:rFonts w:ascii="仿宋" w:eastAsia="仿宋" w:hAnsi="仿宋" w:cs="仿宋" w:hint="eastAsia"/>
          <w:sz w:val="28"/>
          <w:lang w:eastAsia="zh-CN"/>
        </w:rPr>
      </w:pPr>
      <w:bookmarkStart w:id="9" w:name="_Toc31025"/>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位于城市的交通枢纽，便利的交通条件为总图布置提供了得天独厚的优势。附近主要道路交汇，为显示仪表项目的原材料运输和成品配送提供了便捷的通道。地理位置的优越性将成为总图布置方案的首要考虑因素，确保显示仪表项目能够充分利用地理位置的战略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道路设置与交通流畅性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总图布置方案中，我们将注重道路设置的科学规划。主要道路将贯穿整个显示仪表项目区域，确保各功能区域之间联系紧密，交通流畅。同时，考虑到员工和访客的出行便利性，设置合理的交叉口和交叉桥，提高道路通行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功能区域划分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将明确定义不同功能区域的划分，包括生产车间、仓储区、办公区等。通过科学的划分，保障各功能区域的合理利用，提高整个显示仪表项目的运作效率。生产车间将布置在交通便利的核心区域，仓储区则紧邻生产区域，便于物流运输。办公区域则设于交通相对较宜的区域，为员工提供良好的办公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是总图布置中不可忽视的重要元素。我们将科学设计绿化空间，包括公共绿地、景观区域等。绿化空间不仅提升了整个显示仪表项目的环境质量，还有助于改善员工的工作生活环境。通过合理设置绿化带，提高绿化率，实现生态与经济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建筑布局的合理性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着重考虑建筑布局的合理性。生产车间将按照生产流程和物流需求进行布局，确保生产效率最大化。办公区域则设在相对安静的区域，提供良好的办公环境。同时，建筑的高度和密度将根据地区的规划标准，确保建筑的合理分布，不影响周边环境。</w:t>
      </w:r>
    </w:p>
    <w:p>
      <w:pPr>
        <w:pStyle w:val="Heading2"/>
        <w:ind w:firstLine="560" w:firstLineChars="200"/>
        <w:rPr>
          <w:rFonts w:ascii="仿宋" w:eastAsia="仿宋" w:hAnsi="仿宋" w:cs="仿宋" w:hint="eastAsia"/>
          <w:sz w:val="28"/>
          <w:lang w:eastAsia="zh-CN"/>
        </w:rPr>
      </w:pPr>
      <w:bookmarkStart w:id="10" w:name="_Toc827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选址综合评价是对所有选址因素进行全面权衡和评估的过程，包括地理位置、交通便利性、用地控制指标等多个方面。通过科学的评价方法，确保最终选址符合显示仪表项目的长期发展需求和可行性要求。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地理位置优势的综合利用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选址地点的地理位置是综合评价的首要因素。地理位置的优越性将为显示仪表项目的成功实施提供战略优势。通过全面利用地理位置，确保显示仪表项目在市场接触、原材料供应、成品销售等方面具备便利条件。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综合评价将充分考虑选址地区的交通便利性。主要道路的交汇、交通流畅性等因素将被纳入考虑范围。通过科学评估交通状况，确保显示仪表项目的运输通道顺畅，为物流和员工的出行提供良好保障。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用地控制指标的科学制定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用地控制指标是综合评价中的重要组成部分。通过科学制定用地控制指标，明确用地性质、用途、容积率等，确保用地的规划与显示仪表项目的实际需求相符。这有助于用地的科学利用和可持续性发展。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节约用地措施的实施效果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综合评价将考察节约用地措施的实施效果。通过紧凑布局设计、多功能共享、垂直建筑设计等措施，实现用地的节约和效益最大化。评估这些措施的实施效果，确保用地的经济性和可持续性。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总图布置方案的协调性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图布置方案将在综合评价中发挥关键作用。通过科学合理的布置，确保显示仪表项目的空间布局合理有序。绿化空间、建筑布局、功能区域划分等因素将在总图布置中得到综合考虑，为显示仪表项目提供良好的空间环境。</w:t>
      </w:r>
    </w:p>
    <w:p>
      <w:pPr>
        <w:pStyle w:val="Heading1"/>
        <w:ind w:firstLine="560" w:firstLineChars="200"/>
        <w:rPr>
          <w:rFonts w:ascii="仿宋" w:eastAsia="仿宋" w:hAnsi="仿宋" w:cs="仿宋" w:hint="eastAsia"/>
          <w:sz w:val="28"/>
          <w:lang w:eastAsia="zh-CN"/>
        </w:rPr>
      </w:pPr>
      <w:bookmarkStart w:id="11" w:name="_Toc5430"/>
      <w:r>
        <w:rPr>
          <w:rFonts w:ascii="仿宋" w:eastAsia="仿宋" w:hAnsi="仿宋" w:cs="仿宋" w:hint="eastAsia"/>
          <w:sz w:val="28"/>
          <w:lang w:eastAsia="zh-CN"/>
        </w:rPr>
        <w:t>三、土建工程设计</w:t>
      </w:r>
      <w:bookmarkEnd w:id="11"/>
    </w:p>
    <w:p>
      <w:pPr>
        <w:pStyle w:val="Heading2"/>
        <w:rPr>
          <w:rFonts w:ascii="仿宋" w:eastAsia="仿宋" w:hAnsi="仿宋" w:cs="仿宋" w:hint="eastAsia"/>
          <w:lang w:eastAsia="zh-CN"/>
        </w:rPr>
      </w:pPr>
      <w:bookmarkStart w:id="12" w:name="_Toc13998"/>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13" w:name="_Toc2176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中期建筑设计：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在具体显示仪表项目中，安全等级的划分和设计年限的确定会根据当地法规、工程性质、用途等因素进行详细规定。设计人员需要根据具体情况确保工程在设计和施工阶段符合相应的安全标准和设计年限要求。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14" w:name="_Toc10314"/>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总体要求是在建筑工程设计过程中普遍适用的基本原则，具体显示仪表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15" w:name="_Toc1647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建筑材料环保标准：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16" w:name="_Toc11325"/>
      <w:r>
        <w:rPr>
          <w:rFonts w:ascii="仿宋" w:eastAsia="仿宋" w:hAnsi="仿宋" w:cs="仿宋" w:hint="eastAsia"/>
          <w:sz w:val="28"/>
          <w:lang w:eastAsia="zh-CN"/>
        </w:rPr>
        <w:t>四、建设规划</w:t>
      </w:r>
      <w:bookmarkEnd w:id="16"/>
    </w:p>
    <w:p>
      <w:pPr>
        <w:pStyle w:val="Heading2"/>
        <w:rPr>
          <w:rFonts w:ascii="仿宋" w:eastAsia="仿宋" w:hAnsi="仿宋" w:cs="仿宋" w:hint="eastAsia"/>
          <w:lang w:eastAsia="zh-CN"/>
        </w:rPr>
      </w:pPr>
      <w:bookmarkStart w:id="17" w:name="_Toc20095"/>
      <w:r>
        <w:rPr>
          <w:rFonts w:ascii="仿宋" w:eastAsia="仿宋" w:hAnsi="仿宋" w:cs="仿宋" w:hint="eastAsia"/>
          <w:lang w:eastAsia="zh-CN"/>
        </w:rPr>
        <w:t>(一)、产品规划</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8" w:name="_Toc28555"/>
      <w:r>
        <w:rPr>
          <w:rFonts w:ascii="仿宋" w:eastAsia="仿宋" w:hAnsi="仿宋" w:cs="仿宋" w:hint="eastAsia"/>
          <w:sz w:val="28"/>
          <w:lang w:eastAsia="zh-CN"/>
        </w:rPr>
        <w:t>(二)、建设规模</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显示仪表项目总征地面积XXXX平方米（折合约XX亩），其中：净用地面积XXXX平方米（红线范围折合约XX亩）。显示仪表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所占用的地面积充分考虑了红线范围，确保了显示仪表项目的合规性和可持续发展。规划建设主体工程和计容建筑面积的设定旨在满足显示仪表项目的生产和办公需求，为企业提供充足的工作空间。预计的建筑工程投资将用于显示仪表项目的基础设施建设，为显示仪表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计划购置设备共计XX台（套），设备购置费XXXX万元。这些设备涵盖了生产、研发和办公等多个领域，包括先进的生产设备、办公设备和实验室设备等。设备购置费用的投入将确保显示仪表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计划总投资XXXX万元，预计年实现营业收入XXXX万元。这一部分涵盖了整个显示仪表项目的经济规模和财务计划。总投资将用于显示仪表项目的建设、设备购置、人才引进等多个方面，确保显示仪表项目的全面发展。预计年实现的营业收入则是对显示仪表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9" w:name="_Toc2210"/>
      <w:r>
        <w:rPr>
          <w:rFonts w:ascii="仿宋" w:eastAsia="仿宋" w:hAnsi="仿宋" w:cs="仿宋" w:hint="eastAsia"/>
          <w:sz w:val="28"/>
          <w:lang w:eastAsia="zh-CN"/>
        </w:rPr>
        <w:t>五、显示仪表项目实施进度计划</w:t>
      </w:r>
      <w:bookmarkEnd w:id="19"/>
    </w:p>
    <w:p>
      <w:pPr>
        <w:pStyle w:val="Heading2"/>
        <w:rPr>
          <w:rFonts w:ascii="仿宋" w:eastAsia="仿宋" w:hAnsi="仿宋" w:cs="仿宋" w:hint="eastAsia"/>
          <w:lang w:eastAsia="zh-CN"/>
        </w:rPr>
      </w:pPr>
      <w:bookmarkStart w:id="20" w:name="_Toc19864"/>
      <w:r>
        <w:rPr>
          <w:rFonts w:ascii="仿宋" w:eastAsia="仿宋" w:hAnsi="仿宋" w:cs="仿宋" w:hint="eastAsia"/>
          <w:lang w:eastAsia="zh-CN"/>
        </w:rPr>
        <w:t>(一)、建设周期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建设周期是显示仪表项目从规划到实际运作的全过程，分为多个关键阶段，每个阶段都有其独特的任务和挑战：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显示仪表项目前期准备阶段：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在这个阶段，显示仪表项目团队进行显示仪表项目的可行性研究，明确显示仪表项目目标和规模，进行市场分析和资金计划。完成显示仪表项目的立项申请，确保显示仪表项目有足够的资源和支持。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进行显示仪表项目所在地的勘察工作，包括土地调查、地质勘探等，以获取对施工环境的全面了解。设计阶段涉及建筑设计、工艺设计、设备配置等，确保显示仪表项目的设计方案科学可行。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实施土建工程，包括地基处理、建筑施工、主体结构建设等。这是显示仪表项目实体建设的阶段，需要高效协调各项工程，确保施工质量和进度。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进行显示仪表项目所需设备的采购，包括设备的选择、供应商洽谈和合同签订。确保显示仪表项目所使用的设备符合质量标准，满足显示仪表项目的生产需求。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进行设备的安装和调试工作，确保设备能够正常运行。这个阶段是显示仪表项目顺利投产的关键，需要仔细调整设备，保证其稳定性和可靠性。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显示仪表项目正式投入运营，进行实际生产和服务。在此阶段，显示仪表项目团队需要密切关注运营情况，及时处理可能出现的问题，确保显示仪表项目平稳运行。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通过科学合理的规划和有效的显示仪表项目管理，确保每个建设阶段都按时、按质完成，最终实现显示仪表项目的成功建设和投产使用。显示仪表项目建设周期的顺利进行对于显示仪表项目的整体成功至关重要。</w:t>
      </w:r>
    </w:p>
    <w:p>
      <w:pPr>
        <w:pStyle w:val="Heading2"/>
        <w:ind w:firstLine="560" w:firstLineChars="200"/>
        <w:rPr>
          <w:rFonts w:ascii="仿宋" w:eastAsia="仿宋" w:hAnsi="仿宋" w:cs="仿宋" w:hint="eastAsia"/>
          <w:sz w:val="28"/>
          <w:lang w:eastAsia="zh-CN"/>
        </w:rPr>
      </w:pPr>
      <w:bookmarkStart w:id="21" w:name="_Toc32566"/>
      <w:r>
        <w:rPr>
          <w:rFonts w:ascii="仿宋" w:eastAsia="仿宋" w:hAnsi="仿宋" w:cs="仿宋" w:hint="eastAsia"/>
          <w:sz w:val="28"/>
          <w:lang w:eastAsia="zh-CN"/>
        </w:rPr>
        <w:t>(二)、建设进度</w:t>
      </w:r>
      <w:bookmarkEnd w:id="21"/>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该显示仪表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显示仪表项目中的重要组成部分，包括土建工程、设备采购等。已经完成的XXXX万元投资表明在这方面显示仪表项目取得了良好的进展。这部分资金的使用应当符合显示仪表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显示仪表项目运营过程中的各项费用，如人员工资、原材料采购等。已经完成XXXX万元的流动资金投资表明显示仪表项目在运营准备方面也取得了一定的进展。这部分资金的使用需要合理规划，确保显示仪表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实际完成投资占计划投资的XX%，这反映了显示仪表项目在资金使用方面的较好掌控。投资完成比例的合理性直接关系到显示仪表项目后续的资金需求和进度计划。通过对比已完成和计划的投资比例，可以更准确地评估显示仪表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随着显示仪表项目不断推进，风险的变化也需要得到及时的识别和应对。定期对已完成投资的使用情况进行审查，及时发现潜在的财务风险，并制定相应的应对策略。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2" w:name="_Toc5450"/>
      <w:r>
        <w:rPr>
          <w:rFonts w:ascii="仿宋" w:eastAsia="仿宋" w:hAnsi="仿宋" w:cs="仿宋" w:hint="eastAsia"/>
          <w:sz w:val="28"/>
          <w:lang w:eastAsia="zh-CN"/>
        </w:rPr>
        <w:t>(三)、进度安排注意事项</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根据显示仪表项目的性质和规模，制定详细的显示仪表项目计划，包括各个阶段的任务和时间表。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pPr>
      <w:r>
        <w:rPr>
          <w:rFonts w:ascii="仿宋" w:eastAsia="仿宋" w:hAnsi="仿宋" w:cs="仿宋" w:hint="eastAsia"/>
          <w:sz w:val="28"/>
          <w:lang w:eastAsia="zh-CN"/>
        </w:rPr>
        <w:t>确定显示仪表项目的主要目标和优先级，以便更好地分配资源和关注关键任务。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明确哪些任务对显示仪表项目成功至关重要，优先安排这些任务。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实时监控显示仪表项目进度，及时发现和解决可能的延误或问题。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定期更新显示仪表项目计划，确保计划与实际进展一致。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确保显示仪表项目所需的各种资源，包括人力、物力、财力等，得到合理分配和利用。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定期进行显示仪表项目进度的评估和审查，确保显示仪表项目仍然符合预期目标。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3" w:name="_Toc3313"/>
      <w:r>
        <w:rPr>
          <w:rFonts w:ascii="仿宋" w:eastAsia="仿宋" w:hAnsi="仿宋" w:cs="仿宋" w:hint="eastAsia"/>
          <w:sz w:val="28"/>
          <w:lang w:eastAsia="zh-CN"/>
        </w:rPr>
        <w:t>(四)、人力资源配置</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显示仪表项目的性质、规模和需求，以确保合理、高效地配置人力资源。显示仪表项目的成功与否很大程度上取决于人力的贡献和团队的协作。因此，科学合理的人力资源配置是显示仪表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在显示仪表项目启动阶段，需要进行全面的人力需求分析。这包括确定显示仪表项目的规模、工作内容、所需技能等方面的要求。通过对显示仪表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根据显示仪表项目的特点和需要，明确各个岗位的设置以及每个岗位的具体职责。这需要考虑到团队的协作关系，确保各个岗位之间的职责清晰划分，避免冲突和混淆。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为满足显示仪表项目的需求，需要进行有效的人才招募和选拔。这包括发布招聘信息、面试候选人、评估其技能和适应能力等。确保招聘到的人才与显示仪表项目的要求相匹配，有利于显示仪表项目的高效推进。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一旦团队成员入职，需要提供必要的培训，以确保他们熟悉显示仪表项目的流程和工作要求。同时，还需要注重团队成员的技能提升，通过培训计划和学习机会，使团队保持竞争力。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建设一个协作高效的团队是显示仪表项目成功的基石。通过组织团队建设活动、搭建良好的沟通渠道、塑造积极向上的团队文化，可以提高团队的凝聚力和战斗力。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4" w:name="_Toc2116"/>
      <w:r>
        <w:rPr>
          <w:rFonts w:ascii="仿宋" w:eastAsia="仿宋" w:hAnsi="仿宋" w:cs="仿宋" w:hint="eastAsia"/>
          <w:sz w:val="28"/>
          <w:lang w:eastAsia="zh-CN"/>
        </w:rPr>
        <w:t>(五)、员工培训</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显示仪表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显示仪表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选择适当的培训方法，包括面对面培训、在线培训、实践操作等。不同的培训方法适用于不同的培训内容和目标。在选择培训方法时，要考虑员工的学习习惯和显示仪表项目的实际情况，以提高培训效果。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显示仪表项目所需的技能和理念。同时，也可以考虑邀请显示仪表项目内部专家担任培训讲师，更符合显示仪表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5" w:name="_Toc32680"/>
      <w:r>
        <w:rPr>
          <w:rFonts w:ascii="仿宋" w:eastAsia="仿宋" w:hAnsi="仿宋" w:cs="仿宋" w:hint="eastAsia"/>
          <w:sz w:val="28"/>
          <w:lang w:eastAsia="zh-CN"/>
        </w:rPr>
        <w:t>(六)、显示仪表项目实施保障</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构建一个协作默契、高效沟通的显示仪表项目团队是显示仪表项目实施保障的基础。通过定期的团队建设活动、培训和沟通机制的建立，确保团队成员之间的合作顺畅，共同追求显示仪表项目目标。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显示仪表项目计划，明确显示仪表项目的工作分解结构、任务分配和时间节点。通过显示仪表项目管理工具对显示仪表项目进度进行全程跟踪和管理，及时发现问题并采取相应措施，确保显示仪表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合理配置和管理显示仪表项目所需的资源，包括人力、物力、财力等。确保显示仪表项目中各项资源的充分利用，避免资源的浪费。通过合理的资源管理，提高显示仪表项目的执行效率和成本控制。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建立完善的风险管理机制，对显示仪表项目可能面临的风险进行全面评估，并制定相应的风险应对策略。定期进行风险评估和监控，确保显示仪表项目在不同阶段能够及时应对和解决可能出现的问题。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显示仪表项目实施中，技术支持是不可或缺的一环。确保显示仪表项目团队具备必要的技术能力，及时解决技术难题。同时，鼓励团队成员提出创新性的解决方案，推动显示仪表项目技术的不断进步。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建立完善的质量管理体系，确保显示仪表项目的每个阶段都能达到预定的质量标准。设立清晰的验收标准，对显示仪表项目成果进行全面的检查和评估。通过质量管理，保障显示仪表项目交付物的质量和可靠性。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建立畅通的信息沟通渠道，确保显示仪表项目团队内外的信息传递及时准确。定期组织会议、报告显示仪表项目进展，提高团队成员之间的协作效率，减少信息滞后导致的问题。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6" w:name="_Toc27861"/>
      <w:r>
        <w:rPr>
          <w:rFonts w:ascii="仿宋" w:eastAsia="仿宋" w:hAnsi="仿宋" w:cs="仿宋" w:hint="eastAsia"/>
          <w:sz w:val="28"/>
          <w:lang w:eastAsia="zh-CN"/>
        </w:rPr>
        <w:t>六、显示仪表项目投资可行性分析</w:t>
      </w:r>
      <w:bookmarkEnd w:id="26"/>
    </w:p>
    <w:p>
      <w:pPr>
        <w:pStyle w:val="Heading2"/>
        <w:rPr>
          <w:rFonts w:ascii="仿宋" w:eastAsia="仿宋" w:hAnsi="仿宋" w:cs="仿宋" w:hint="eastAsia"/>
          <w:lang w:eastAsia="zh-CN"/>
        </w:rPr>
      </w:pPr>
      <w:bookmarkStart w:id="27" w:name="_Toc15603"/>
      <w:r>
        <w:rPr>
          <w:rFonts w:ascii="仿宋" w:eastAsia="仿宋" w:hAnsi="仿宋" w:cs="仿宋" w:hint="eastAsia"/>
          <w:lang w:eastAsia="zh-CN"/>
        </w:rPr>
        <w:t>(一)、显示仪表项目估算说明</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显示仪表项目建设成本估算：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显示仪表项目建设成本估算中，需要详细考虑土地开发、建筑工程、设备采购和劳动力成本等方面。例如，土地开发阶段需要考虑土地购置费用、清理费用、基础设施建设费用等，而建筑工程阶段则包括建筑材料、施工人员薪酬、建筑设备租赁费等。设备采购阶段需要综合考虑设备价格、运输费用、安装费用等。通过详细的估算，可以形成建设成本的全貌，为后续资金筹措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运营成本估算涉及到显示仪表项目建设后的日常运营阶段，包括人员薪酬、能源消耗、维护费用、管理费用等方面。例如，人员薪酬需要考虑岗位设置、薪资水平；能源消耗包括电力、水、燃料等的费用。通过综合分析这些因素，可以形成可行的运营成本估算，为企业运营提供经济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3. 收益估算：</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收益估算是显示仪表项目估算的核心，需要全面分析市场需求、销售价格、产值和盈利能力等因素。例如，通过市场调研确定产品或服务的市场需求程度，结合竞争对手的定价策略制定合理的销售价格。同时，对产值和盈利能力进行预估，以制定可行的收益预期。这一过程需要细致分析市场动态和企业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估算需要全面考虑潜在的市场风险、技术风险、政策风险等因素。例如，对市场风险的估算可以通过分析市场趋势、竞争格局来评估；技术风险可以通过对显示仪表项目技术难点和可能出现的问题进行评估；政策风险则需要了解相关政策法规的变化对显示仪表项目可能造成的影响。通过对风险的全面估算，企业可以有针对性地制定风险管理策略，减小不确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环境和社会影响估算：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现代社会，环境和社会影响估算越来越受到重视。这包括环境保护设施投资、社会责任活动费用等方面。例如，显示仪表项目可能需要投入一定的资金用于建设环保设施，符合环境法规的要求；社会责任活动费用可以用于企业参与社会公益、员工培训等。通过综合考虑这些因素，企业可以更好地履行社会责任，提高显示仪表项目的可持续性和社会接受度。</w:t>
      </w:r>
    </w:p>
    <w:p>
      <w:pPr>
        <w:pStyle w:val="Heading2"/>
        <w:ind w:firstLine="560" w:firstLineChars="200"/>
        <w:rPr>
          <w:rFonts w:ascii="仿宋" w:eastAsia="仿宋" w:hAnsi="仿宋" w:cs="仿宋" w:hint="eastAsia"/>
          <w:sz w:val="28"/>
          <w:lang w:eastAsia="zh-CN"/>
        </w:rPr>
      </w:pPr>
      <w:bookmarkStart w:id="28" w:name="_Toc4247"/>
      <w:r>
        <w:rPr>
          <w:rFonts w:ascii="仿宋" w:eastAsia="仿宋" w:hAnsi="仿宋" w:cs="仿宋" w:hint="eastAsia"/>
          <w:sz w:val="28"/>
          <w:lang w:eastAsia="zh-CN"/>
        </w:rPr>
        <w:t>(二)、显示仪表项目总投资估算</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显示仪表项目总投资估算需要全面考虑建设、运营和其他相关成本，确保资金充足。在进行估算时，需要综合考虑各个方面的费用，并将其合理分配。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1. 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土地开发费用：XX万元</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 xml:space="preserve">   建筑工程费用：XX万元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其他建设相关费用：XX万元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人员薪酬及培训费用：XX万元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能源消耗费用：XX万元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维护及管理费用：XX万元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其他运营相关费用：XX万元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环境和社会影响费用：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环境保护设施投资：XX万元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社会责任活动费用：XX万元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风险储备：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风险管理费用：XX万元</w:t>
      </w:r>
    </w:p>
    <w:p>
      <w:pPr>
        <w:pStyle w:val="Heading2"/>
        <w:ind w:firstLine="560" w:firstLineChars="200"/>
        <w:rPr>
          <w:rFonts w:ascii="仿宋" w:eastAsia="仿宋" w:hAnsi="仿宋" w:cs="仿宋" w:hint="eastAsia"/>
          <w:sz w:val="28"/>
          <w:lang w:eastAsia="zh-CN"/>
        </w:rPr>
      </w:pPr>
      <w:bookmarkStart w:id="29" w:name="_Toc26848"/>
      <w:r>
        <w:rPr>
          <w:rFonts w:ascii="仿宋" w:eastAsia="仿宋" w:hAnsi="仿宋" w:cs="仿宋" w:hint="eastAsia"/>
          <w:sz w:val="28"/>
          <w:lang w:eastAsia="zh-CN"/>
        </w:rPr>
        <w:t>(三)、资金筹措</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资金筹措是显示仪表项目实施的关键一环，需要灵活运用多种途径来确保显示仪表项目有足够的经济支持。1. 自筹资金：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显示仪表项目方自有资金投入，包括企业自有资金和股东资本。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利用企业储备的盈利或通过内部融资手段，如利用积累的利润。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2. 银行贷款：</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向银行或其他金融机构申请贷款，以显示仪表项目资产或未来收益为抵押物。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根据显示仪表项目的信用和还款能力，协商获得贷款额度和利率。</w:t>
      </w:r>
    </w:p>
    <w:p>
      <w:pPr>
        <w:ind w:firstLine="560" w:firstLineChars="200"/>
        <w:rPr>
          <w:rFonts w:ascii="仿宋" w:eastAsia="仿宋" w:hAnsi="仿宋" w:cs="仿宋" w:hint="eastAsia"/>
          <w:sz w:val="28"/>
        </w:rPr>
      </w:pPr>
      <w:r>
        <w:rPr>
          <w:rFonts w:ascii="仿宋" w:eastAsia="仿宋" w:hAnsi="仿宋" w:cs="仿宋" w:hint="eastAsia"/>
          <w:sz w:val="28"/>
          <w:lang w:eastAsia="zh-CN"/>
        </w:rPr>
        <w:t>3. 发行债券：</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发行公司债券，吸引投资者购买，以筹集资金。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制定债券发行计划，明确债券用途和还款计划。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4. 吸引投资者：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吸引投资者，例如天使投资人、风险投资基金，进行股权投资。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提供有吸引力的回报和利润分成机制，增强投资者信心。</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政府支持和补贴：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利用各级政府提供的显示仪表项目支持和资金补贴。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参与政府支持的产业政策和显示仪表项目计划，获取相应资金支持。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6. 合作伙伴和联盟：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与其他企业或机构建立合作伙伴关系，共同投资显示仪表项目。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制定合作协议，明确各方责任和利益分配。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7. 科技创投：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寻求科技创投机构的支持，获取技术和资金支持。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参与创新创业平台，获得创投资本的关注。</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8. 国际融资：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考虑通过国际融资手段，如国际贷款、国际发债等方式，获取资金。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充分利用国际金融市场，获取全球范围内的资金支持。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9. 科研显示仪表项目资金：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如显示仪表项目具有研发性质，可以寻求科研显示仪表项目资金的支持。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与科研机构合作，争取相关科研显示仪表项目的经费。</w:t>
      </w:r>
    </w:p>
    <w:p>
      <w:pPr>
        <w:ind w:firstLine="560" w:firstLineChars="200"/>
        <w:rPr>
          <w:rFonts w:ascii="仿宋" w:eastAsia="仿宋" w:hAnsi="仿宋" w:cs="仿宋" w:hint="eastAsia"/>
          <w:sz w:val="28"/>
        </w:rPr>
      </w:pPr>
      <w:r>
        <w:rPr>
          <w:rFonts w:ascii="仿宋" w:eastAsia="仿宋" w:hAnsi="仿宋" w:cs="仿宋" w:hint="eastAsia"/>
          <w:sz w:val="28"/>
          <w:lang w:eastAsia="zh-CN"/>
        </w:rPr>
        <w:t>以上多种资金筹措方式的综合运用，可以更好地确保显示仪表项目有足够的资金支持，提高显示仪表项目的可行性和成功实施的可能性。</w:t>
      </w:r>
    </w:p>
    <w:p>
      <w:pPr>
        <w:pStyle w:val="Heading1"/>
        <w:ind w:firstLine="560" w:firstLineChars="200"/>
        <w:rPr>
          <w:rFonts w:ascii="仿宋" w:eastAsia="仿宋" w:hAnsi="仿宋" w:cs="仿宋" w:hint="eastAsia"/>
          <w:sz w:val="28"/>
          <w:lang w:eastAsia="zh-CN"/>
        </w:rPr>
      </w:pPr>
      <w:bookmarkStart w:id="30" w:name="_Toc18643"/>
      <w:r>
        <w:rPr>
          <w:rFonts w:ascii="仿宋" w:eastAsia="仿宋" w:hAnsi="仿宋" w:cs="仿宋" w:hint="eastAsia"/>
          <w:sz w:val="28"/>
          <w:lang w:eastAsia="zh-CN"/>
        </w:rPr>
        <w:t>七、知识管理与技术创新</w:t>
      </w:r>
      <w:bookmarkEnd w:id="30"/>
    </w:p>
    <w:p>
      <w:pPr>
        <w:pStyle w:val="Heading2"/>
        <w:rPr>
          <w:rFonts w:ascii="仿宋" w:eastAsia="仿宋" w:hAnsi="仿宋" w:cs="仿宋" w:hint="eastAsia"/>
          <w:lang w:eastAsia="zh-CN"/>
        </w:rPr>
      </w:pPr>
      <w:bookmarkStart w:id="31" w:name="_Toc1855"/>
      <w:r>
        <w:rPr>
          <w:rFonts w:ascii="仿宋" w:eastAsia="仿宋" w:hAnsi="仿宋" w:cs="仿宋" w:hint="eastAsia"/>
          <w:lang w:eastAsia="zh-CN"/>
        </w:rPr>
        <w:t>(一)、知识管理体系建设</w:t>
      </w:r>
      <w:bookmarkEnd w:id="31"/>
    </w:p>
    <w:p>
      <w:pPr>
        <w:ind w:firstLine="560" w:firstLineChars="200"/>
        <w:rPr>
          <w:rFonts w:ascii="仿宋" w:eastAsia="仿宋" w:hAnsi="仿宋" w:cs="仿宋" w:hint="eastAsia"/>
          <w:sz w:val="28"/>
        </w:rPr>
      </w:pPr>
      <w:r>
        <w:rPr>
          <w:rFonts w:ascii="仿宋" w:eastAsia="仿宋" w:hAnsi="仿宋" w:cs="仿宋" w:hint="eastAsia"/>
          <w:sz w:val="28"/>
          <w:lang w:eastAsia="zh-CN"/>
        </w:rPr>
        <w:t>当前，企业和组织面临着巨大的信息涌入，要素多样的环境。在这种情况下，建立一套完善的知识管理体系变得至关重要，以确保组织能够高效地获取、共享和利用知识资源，提高竞争力和创新能力。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人员培训</w:t>
      </w:r>
    </w:p>
    <w:p>
      <w:pPr>
        <w:ind w:firstLine="560" w:firstLineChars="200"/>
        <w:rPr>
          <w:rFonts w:ascii="仿宋" w:eastAsia="仿宋" w:hAnsi="仿宋" w:cs="仿宋" w:hint="eastAsia"/>
          <w:sz w:val="28"/>
        </w:rPr>
        <w:sectPr>
          <w:headerReference w:type="default" r:id="rId72"/>
          <w:footerReference w:type="default" r:id="rId73"/>
          <w:type w:val="nextPage"/>
          <w:pgSz w:w="11906" w:h="16838"/>
          <w:pgMar w:top="1440" w:right="1800" w:bottom="1440" w:left="1800" w:header="851" w:footer="992" w:gutter="0"/>
          <w:pgNumType w:start="3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构建一个有效的知识管理体系，首先需要对组织内的员工进行全面的培训。培训内容应包括如何使用知识管理工具，如何有效地协作和共享信息，以及如何利用数据分析工具提炼有用的见解。通过这样的培训，员工能够更好地适应知识管理体系的运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离不开先进的技术支持。组织需要投资于强大的知识管理软件和平台，确保能够有效地组织和存储各种形式的知识。这些系统应当具备直观友好的用户界面，强大的搜索和分类功能，以及能够集成其他业务工具的能力。技术支持还包括对系统的及时更新和维护，以适应不断变化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文化转变</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的成功需要组织内部的文化得到转变，使知识共享成为一种日常习惯。领导层在这个过程中起到了关键的引导作用。他们需要倡导开放、透明的沟通文化，鼓励员工分享自己的经验和见解。此外，奖励制度和认可机制也应当调整，以更好地激励员工参与知识分享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知识安全与隐私保护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在知识管理体系建设中，保护知识的安全性和员工隐私是至关重要的。组织需要采取适当的措施，包括制定权限管理策略、加密敏感信息、并建立监控机制以及定期的安全审查。明确的知识管理政策能够帮助员工了解在知识共享和利用方面的规范，降低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效果评估与持续改进</w:t>
      </w:r>
    </w:p>
    <w:p>
      <w:pPr>
        <w:ind w:firstLine="560" w:firstLineChars="200"/>
        <w:rPr>
          <w:rFonts w:ascii="仿宋" w:eastAsia="仿宋" w:hAnsi="仿宋" w:cs="仿宋" w:hint="eastAsia"/>
          <w:sz w:val="28"/>
        </w:rPr>
        <w:sectPr>
          <w:headerReference w:type="default" r:id="rId74"/>
          <w:footerReference w:type="default" r:id="rId75"/>
          <w:type w:val="nextPage"/>
          <w:pgSz w:w="11906" w:h="16838"/>
          <w:pgMar w:top="1440" w:right="1800" w:bottom="1440" w:left="1800" w:header="851" w:footer="992" w:gutter="0"/>
          <w:pgNumType w:start="3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立知识管理体系是一个漫长而渐进的过程，其效果需要不断评估和改进。组织应当建立一套科学的评估指标，包括知识流动速度、员工满意度、创新效果等方面。通过数据分析和员工反馈，及时发现问题并进行调整，保持知识管理体系的活力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管理体系的建设需要全面考虑人员培训、技术支持、文化转变、知识安全与隐私保护以及效果评估与持续改进等多个方面。只有这样，组织才能够构建出一个真正健全、高效的知识管理体系，为未来的发展提供强有力的支持。在充满挑战的商业环境中，拥有强大的知识管理体系将成为组织持续创新和成功的重要保障。</w:t>
      </w:r>
    </w:p>
    <w:p>
      <w:pPr>
        <w:pStyle w:val="Heading2"/>
        <w:ind w:firstLine="560" w:firstLineChars="200"/>
        <w:rPr>
          <w:rFonts w:ascii="仿宋" w:eastAsia="仿宋" w:hAnsi="仿宋" w:cs="仿宋" w:hint="eastAsia"/>
          <w:sz w:val="28"/>
          <w:lang w:eastAsia="zh-CN"/>
        </w:rPr>
      </w:pPr>
      <w:bookmarkStart w:id="32" w:name="_Toc10013"/>
      <w:r>
        <w:rPr>
          <w:rFonts w:ascii="仿宋" w:eastAsia="仿宋" w:hAnsi="仿宋" w:cs="仿宋" w:hint="eastAsia"/>
          <w:sz w:val="28"/>
          <w:lang w:eastAsia="zh-CN"/>
        </w:rPr>
        <w:t>(二)、技术创新与研发投入</w:t>
      </w:r>
      <w:bookmarkEnd w:id="32"/>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技术创新和研发投入是企业在竞争激烈的市场中保持竞争优势和实现长期可持续发展的关键要素。在科技不断进步的时代，企业需要不断引入新技术、提升产品和服务的创新水平，以满足市场需求并应对变化。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研发投入的重要性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是企业实现技术创新的主要手段之一。通过增加在研发领域的投资，企业能够获得更多的技术资源、人才和设备，推动科技水平的提升。这不仅有助于产品和服务的创新，还能够提高生产效率，降低成本，并在市场上赢得更大的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技术团队的建设</w:t>
      </w:r>
    </w:p>
    <w:p>
      <w:pPr>
        <w:ind w:firstLine="560" w:firstLineChars="200"/>
        <w:rPr>
          <w:rFonts w:ascii="仿宋" w:eastAsia="仿宋" w:hAnsi="仿宋" w:cs="仿宋" w:hint="eastAsia"/>
          <w:sz w:val="28"/>
        </w:rPr>
        <w:sectPr>
          <w:headerReference w:type="default" r:id="rId76"/>
          <w:footerReference w:type="default" r:id="rId77"/>
          <w:type w:val="nextPage"/>
          <w:pgSz w:w="11906" w:h="16838"/>
          <w:pgMar w:top="1440" w:right="1800" w:bottom="1440" w:left="1800" w:header="851" w:footer="992" w:gutter="0"/>
          <w:pgNumType w:start="37"/>
          <w:cols w:num="1" w:space="425"/>
          <w:titlePg w:val="0"/>
          <w:docGrid w:type="lines" w:linePitch="312" w:charSpace="0"/>
        </w:sectPr>
      </w:pPr>
      <w:r>
        <w:rPr>
          <w:rFonts w:ascii="仿宋" w:eastAsia="仿宋" w:hAnsi="仿宋" w:cs="仿宋" w:hint="eastAsia"/>
          <w:sz w:val="28"/>
          <w:lang w:eastAsia="zh-CN"/>
        </w:rPr>
        <w:t>建设高效的技术团队是实现技术创新的基础。企业需要吸引并留住高素质的研发人才，通过培训和激励机制激发团队创造力。同时，鼓励跨学科的合作和知识分享，打破部门之间的壁垒，促进全员参与创新的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市场导向的研发策略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研发投入能够创造出有市场竞争力的产品和服务，企业需要采取市场导向的研发策略。这包括对市场需求和趋势的敏感性，与客户保持紧密的合作关系，及时调整研发方向，确保研发的成果能够满足市场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合作与开放创新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与外部机构和企业建立合作伙伴关系是推动技术创新的重要手段之一。通过开放创新，企业可以获取外部的技术资源和创新理念，加速新技术的引入和应用。这种合作不仅有助于降低研发成本，还能够促进产业生态系统的共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研发投入伴随着一定的风险，包括技术失败、市场变化等。因此，企业需要建立有效的风险管理机制，及时调整研发计划，最小化潜在的损失。同时，持续改进研发流程和方法，不断提升研发效能，确保企业在快速变化的市场中保持竞争力。</w:t>
      </w:r>
    </w:p>
    <w:p>
      <w:pPr>
        <w:ind w:firstLine="560" w:firstLineChars="200"/>
        <w:rPr>
          <w:rFonts w:ascii="仿宋" w:eastAsia="仿宋" w:hAnsi="仿宋" w:cs="仿宋" w:hint="eastAsia"/>
          <w:sz w:val="28"/>
        </w:rPr>
        <w:sectPr>
          <w:headerReference w:type="default" r:id="rId78"/>
          <w:footerReference w:type="default" r:id="rId79"/>
          <w:type w:val="nextPage"/>
          <w:pgSz w:w="11906" w:h="16838"/>
          <w:pgMar w:top="1440" w:right="1800" w:bottom="1440" w:left="1800" w:header="851" w:footer="992" w:gutter="0"/>
          <w:pgNumType w:start="38"/>
          <w:cols w:num="1" w:space="425"/>
          <w:titlePg w:val="0"/>
          <w:docGrid w:type="lines" w:linePitch="312" w:charSpace="0"/>
        </w:sectPr>
      </w:pPr>
      <w:r>
        <w:rPr>
          <w:rFonts w:ascii="仿宋" w:eastAsia="仿宋" w:hAnsi="仿宋" w:cs="仿宋" w:hint="eastAsia"/>
          <w:sz w:val="28"/>
          <w:lang w:eastAsia="zh-CN"/>
        </w:rPr>
        <w:t>技术创新与研发投入是企业实现长期竞争优势的重要推动力。通过增加研发投入、建设高效的技术团队、采取市场导向的研发策略、与外部合作伙伴开展开放创新，企业可以不断提升技术水平，推动产品和服务的创新，适应市场的变化，实现可持续的发展。在这个快速变化的时代，积极投入研发领域将成为企业保持竞争力和创造价值的不可或缺的要素。</w:t>
      </w:r>
    </w:p>
    <w:p>
      <w:pPr>
        <w:pStyle w:val="Heading2"/>
        <w:ind w:firstLine="560" w:firstLineChars="200"/>
        <w:rPr>
          <w:rFonts w:ascii="仿宋" w:eastAsia="仿宋" w:hAnsi="仿宋" w:cs="仿宋" w:hint="eastAsia"/>
          <w:sz w:val="28"/>
          <w:lang w:eastAsia="zh-CN"/>
        </w:rPr>
      </w:pPr>
      <w:bookmarkStart w:id="33" w:name="_Toc5198"/>
      <w:r>
        <w:rPr>
          <w:rFonts w:ascii="仿宋" w:eastAsia="仿宋" w:hAnsi="仿宋" w:cs="仿宋" w:hint="eastAsia"/>
          <w:sz w:val="28"/>
          <w:lang w:eastAsia="zh-CN"/>
        </w:rPr>
        <w:t>(三)、专利申请与技术保护</w:t>
      </w:r>
      <w:bookmarkEnd w:id="33"/>
    </w:p>
    <w:p>
      <w:pPr>
        <w:ind w:firstLine="560" w:firstLineChars="200"/>
        <w:rPr>
          <w:rFonts w:ascii="仿宋" w:eastAsia="仿宋" w:hAnsi="仿宋" w:cs="仿宋" w:hint="eastAsia"/>
          <w:sz w:val="28"/>
        </w:rPr>
      </w:pPr>
      <w:r>
        <w:rPr>
          <w:rFonts w:ascii="仿宋" w:eastAsia="仿宋" w:hAnsi="仿宋" w:cs="仿宋" w:hint="eastAsia"/>
          <w:sz w:val="28"/>
          <w:lang w:eastAsia="zh-CN"/>
        </w:rPr>
        <w:t>在科技不断进步的时代，企业在创新和研发过程中所获得的技术成果需要得到有效的保护，以确保其在市场竞争中的长期优势。专利申请成为企业保护技术创新的主要手段之一。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专利的定义与种类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是一种对于发明创造的独占权利，它不仅给予发明者一定的权益，也为社会创新注入了新的动力。专利分为不同的种类，包括发明专利、实用新型专利和外观设计专利。每种专利类型都有其独特的保护范围和要求，企业在申请专利时需根据实际情况选择适用的类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专利申请的流程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是一个相对繁琐的流程，包括发明的提出、检索与分析、起草申请文件、递交申请、审查等环节。在这个过程中，申请者需要充分了解相关法规、技术标准，并确保所提出的发明达到一定的创新水平。专业的专利代理机构或专利律师的参与有助于提高申请的质量，减少审查的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专利的保护期限与范围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保护期限是其保护力量的关键因素之一。发明专利的保护期一般为20年，实用新型专利和外观设计专利的保护期分别为10年和15年。这意味着在保护期内，申请者拥有对发明的独占权。然而，在专利保护期结束后，其他企业可以合法地使用该技术。因此，企业需要在专利期限届满前寻找其他方式维持技术的竞争优势。</w:t>
      </w:r>
    </w:p>
    <w:p>
      <w:pPr>
        <w:ind w:firstLine="560" w:firstLineChars="200"/>
        <w:rPr>
          <w:rFonts w:ascii="仿宋" w:eastAsia="仿宋" w:hAnsi="仿宋" w:cs="仿宋" w:hint="eastAsia"/>
          <w:sz w:val="28"/>
        </w:rPr>
        <w:sectPr>
          <w:headerReference w:type="default" r:id="rId80"/>
          <w:footerReference w:type="default" r:id="rId81"/>
          <w:type w:val="nextPage"/>
          <w:pgSz w:w="11906" w:h="16838"/>
          <w:pgMar w:top="1440" w:right="1800" w:bottom="1440" w:left="1800" w:header="851" w:footer="992" w:gutter="0"/>
          <w:pgNumType w:start="39"/>
          <w:cols w:num="1" w:space="425"/>
          <w:titlePg w:val="0"/>
          <w:docGrid w:type="lines" w:linePitch="312" w:charSpace="0"/>
        </w:sectPr>
      </w:pPr>
      <w:r>
        <w:rPr>
          <w:rFonts w:ascii="仿宋" w:eastAsia="仿宋" w:hAnsi="仿宋" w:cs="仿宋" w:hint="eastAsia"/>
          <w:sz w:val="28"/>
          <w:lang w:eastAsia="zh-CN"/>
        </w:rPr>
        <w:t>专利的地域保护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地域保护是指专利在一定地理范围内生效。虽然国际上有一些专利合作体系，但在不同国家的专利保护仍然存在一定的差异。因此，企业在全球范围内经营时需要考虑在不同国家或地区分别申请专利。这有助于在全球范围内维护技术的独占权，提高企业在国际市场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专利的费用与效益分析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和保护并非免费，企业需要在申请、维持和保护专利的过程中支付一定的费用。因此，企业在决定申请专利时需要进行费用与效益的综合分析。这包括了专利的商业价值、市场潜力、技术创新水平等多个因素的综合考虑。在有限的资源下，企业需要权衡投入与产出，确保专利的申请与保护对企业具有实质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专利申请与技术创新的关系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不仅是对技术成果的一种法律保护，也与技术创新密切相关。在申请专利的过程中，企业需要清晰地表达发明的创新点，强调其在技术上的先进性。这促使企业在研发中更注重创新，推动技术水平的提升。同时，专利的申请也为企业创新提供了一定的资金支持，使得企业更有动力进行长期的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专利申请与竞争优势的维护</w:t>
      </w:r>
    </w:p>
    <w:p>
      <w:pPr>
        <w:ind w:firstLine="560" w:firstLineChars="200"/>
        <w:rPr>
          <w:rFonts w:ascii="仿宋" w:eastAsia="仿宋" w:hAnsi="仿宋" w:cs="仿宋" w:hint="eastAsia"/>
          <w:sz w:val="28"/>
        </w:rPr>
        <w:sectPr>
          <w:headerReference w:type="default" r:id="rId82"/>
          <w:footerReference w:type="default" r:id="rId83"/>
          <w:type w:val="nextPage"/>
          <w:pgSz w:w="11906" w:h="16838"/>
          <w:pgMar w:top="1440" w:right="1800" w:bottom="1440" w:left="1800" w:header="851" w:footer="992" w:gutter="0"/>
          <w:pgNumType w:start="40"/>
          <w:cols w:num="1" w:space="425"/>
          <w:titlePg w:val="0"/>
          <w:docGrid w:type="lines" w:linePitch="312" w:charSpace="0"/>
        </w:sectPr>
      </w:pPr>
      <w:r>
        <w:rPr>
          <w:rFonts w:ascii="仿宋" w:eastAsia="仿宋" w:hAnsi="仿宋" w:cs="仿宋" w:hint="eastAsia"/>
          <w:sz w:val="28"/>
          <w:lang w:eastAsia="zh-CN"/>
        </w:rPr>
        <w:t>在市场竞争激烈的环境中，拥有有效的专利可以帮助企业建立和维护竞争优势。专利保护使企业能够独占其创新成果，降低被复制的风险，从而在市场上建立品牌形象。有效的专利战略有助于巩固企业在行业中的地位，吸引更多的合作伙伴和投资者。</w:t>
      </w:r>
    </w:p>
    <w:p>
      <w:pPr>
        <w:ind w:firstLine="560" w:firstLineChars="200"/>
        <w:rPr>
          <w:rFonts w:ascii="仿宋" w:eastAsia="仿宋" w:hAnsi="仿宋" w:cs="仿宋" w:hint="eastAsia"/>
          <w:sz w:val="28"/>
        </w:rPr>
      </w:pPr>
      <w:r>
        <w:rPr>
          <w:rFonts w:ascii="仿宋" w:eastAsia="仿宋" w:hAnsi="仿宋" w:cs="仿宋" w:hint="eastAsia"/>
          <w:sz w:val="28"/>
          <w:lang w:eastAsia="zh-CN"/>
        </w:rPr>
        <w:t>专利侵权与纠纷解决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专利保护的同时，企业也需要关注专利侵权的风险。专利侵权可能导致法律纠纷，对企业产生不良影响。因此，企业在申请专利时需要进行充分的专利检索，确保所申请的专利不会侵犯他人的权益。同时，企业还需要建立专业的法务团队，以便在发生纠纷时能够迅速、有效地解决问题。</w:t>
      </w:r>
    </w:p>
    <w:p>
      <w:pPr>
        <w:pStyle w:val="Heading2"/>
        <w:ind w:firstLine="560" w:firstLineChars="200"/>
        <w:rPr>
          <w:rFonts w:ascii="仿宋" w:eastAsia="仿宋" w:hAnsi="仿宋" w:cs="仿宋" w:hint="eastAsia"/>
          <w:sz w:val="28"/>
          <w:lang w:eastAsia="zh-CN"/>
        </w:rPr>
      </w:pPr>
      <w:bookmarkStart w:id="34" w:name="_Toc3021"/>
      <w:r>
        <w:rPr>
          <w:rFonts w:ascii="仿宋" w:eastAsia="仿宋" w:hAnsi="仿宋" w:cs="仿宋" w:hint="eastAsia"/>
          <w:sz w:val="28"/>
          <w:lang w:eastAsia="zh-CN"/>
        </w:rPr>
        <w:t>(四)、人才培养与团队建设</w:t>
      </w:r>
      <w:bookmarkEnd w:id="3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在当今竞争激烈的商业环境中，企业越来越意识到人才的重要性，而人才培养和团队建设成为实现组织长期成功的关键因素。在这个背景下，人才培养和团队建设的有效实施对于企业的可持续发展至关重要。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是企业为了满足业务需求、提高员工综合素质而采取的一系列有组织、有计划的培训和发展活动。这不仅包括技术培训，还包括领导力、沟通技巧、创新思维等方面的培训。企业通过不断提升员工的专业技能和综合素养，以适应变化莫测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内部导师制度</w:t>
      </w:r>
    </w:p>
    <w:p>
      <w:pPr>
        <w:ind w:firstLine="560" w:firstLineChars="200"/>
        <w:rPr>
          <w:rFonts w:ascii="仿宋" w:eastAsia="仿宋" w:hAnsi="仿宋" w:cs="仿宋" w:hint="eastAsia"/>
          <w:sz w:val="28"/>
        </w:rPr>
        <w:sectPr>
          <w:headerReference w:type="default" r:id="rId84"/>
          <w:footerReference w:type="default" r:id="rId85"/>
          <w:type w:val="nextPage"/>
          <w:pgSz w:w="11906" w:h="16838"/>
          <w:pgMar w:top="1440" w:right="1800" w:bottom="1440" w:left="1800" w:header="851" w:footer="992" w:gutter="0"/>
          <w:pgNumType w:start="41"/>
          <w:cols w:num="1" w:space="425"/>
          <w:titlePg w:val="0"/>
          <w:docGrid w:type="lines" w:linePitch="312" w:charSpace="0"/>
        </w:sectPr>
      </w:pPr>
      <w:r>
        <w:rPr>
          <w:rFonts w:ascii="仿宋" w:eastAsia="仿宋" w:hAnsi="仿宋" w:cs="仿宋" w:hint="eastAsia"/>
          <w:sz w:val="28"/>
          <w:lang w:eastAsia="zh-CN"/>
        </w:rPr>
        <w:t>内部导师制度是人才培养的重要组成部分。通过在团队内部建立导师制度，新员工能够更快速地融入团队，掌握工作技能，同时更有机会了解企业文化。对于导师而言，这也是一种领导力的锻炼，促进知识和经验的传承，实现员工间的互动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跨部门轮岗</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拓宽员工的视野和经验，企业可以实施跨部门轮岗计划。通过在不同部门的工作经历，员工可以更全面地了解企业的运作机制，培养多方面的能力和技能。这有助于打破部门之间的信息壁垒，促进组织内部的协作与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培养创新思维</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不断发展，创新思维成为企业成功的关键。为了培养创新思维，企业可以通过组织创意工作坊、鼓励员工提出新观点、设立创新奖励等方式。这种培养不仅仅关注技术创新，还包括管理和业务模式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团队建设是通过一系列的活动和培训来提高团队成员之间的合作和协作能力，达到提高整个团队绩效的目的。团队的协同效应可以使企业更具竞争力，因此团队建设也成为了组织发展中的不可或缺的一环。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设立明确的团队目标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团队建设的首要任务是设立明确的团队目标。通过明确的目标，团队成员能够更好地理解组织的战略方向，形成共同的愿景。这有助于提高团队的凝聚力，使成员共同努力实现共同的目标。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促进有效沟通</w:t>
      </w:r>
    </w:p>
    <w:p>
      <w:pPr>
        <w:ind w:firstLine="560" w:firstLineChars="200"/>
        <w:rPr>
          <w:rFonts w:ascii="仿宋" w:eastAsia="仿宋" w:hAnsi="仿宋" w:cs="仿宋" w:hint="eastAsia"/>
          <w:sz w:val="28"/>
        </w:rPr>
        <w:sectPr>
          <w:headerReference w:type="default" r:id="rId86"/>
          <w:footerReference w:type="default" r:id="rId87"/>
          <w:type w:val="nextPage"/>
          <w:pgSz w:w="11906" w:h="16838"/>
          <w:pgMar w:top="1440" w:right="1800" w:bottom="1440" w:left="1800" w:header="851" w:footer="992" w:gutter="0"/>
          <w:pgNumType w:start="4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在团队协作中，沟通是至关重要的。企业可以通过建立开放透明的沟通渠道，鼓励团队成员分享信息和想法。定期的团队会议、在线协作平台等都是促进团队成员有效沟通的工具。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培养团队协作精神</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协作精神是团队建设的核心。企业可以通过组织团队活动、制定团队奖励机制等方式，培养团队成员的合作意识。此外，建立公平的激励机制，让每个团队成员都能够分享团队的成功，进一步增强团队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解决团队冲突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在团队协作中，难免会出现一些分歧和冲突。有效解决团队冲突是团队建设的一个重要环节。企业可以通过引入专业的冲突解决机制、提供冲突解决培训等方式，帮助团队成员更好地应对和解决冲突。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与团队建设是企业实现可持续发展的重要手段。通过培养全面素质的人才，建设高效协作的团队，企业能够更好地适应市场变化，提高创新能力，增强竞争力。在人才激烈争夺的时代，注重人才培养与团队建设将成为企业取得成功的关键因素之一。</w:t>
      </w:r>
    </w:p>
    <w:p>
      <w:pPr>
        <w:pStyle w:val="Heading1"/>
        <w:ind w:firstLine="560" w:firstLineChars="200"/>
        <w:rPr>
          <w:rFonts w:ascii="仿宋" w:eastAsia="仿宋" w:hAnsi="仿宋" w:cs="仿宋" w:hint="eastAsia"/>
          <w:sz w:val="28"/>
          <w:lang w:eastAsia="zh-CN"/>
        </w:rPr>
      </w:pPr>
      <w:bookmarkStart w:id="35" w:name="_Toc14287"/>
      <w:r>
        <w:rPr>
          <w:rFonts w:ascii="仿宋" w:eastAsia="仿宋" w:hAnsi="仿宋" w:cs="仿宋" w:hint="eastAsia"/>
          <w:sz w:val="28"/>
          <w:lang w:eastAsia="zh-CN"/>
        </w:rPr>
        <w:t>八、投资背景及必要性分析</w:t>
      </w:r>
      <w:bookmarkEnd w:id="35"/>
    </w:p>
    <w:p>
      <w:pPr>
        <w:pStyle w:val="Heading2"/>
        <w:rPr>
          <w:rFonts w:ascii="仿宋" w:eastAsia="仿宋" w:hAnsi="仿宋" w:cs="仿宋" w:hint="eastAsia"/>
          <w:lang w:eastAsia="zh-CN"/>
        </w:rPr>
      </w:pPr>
      <w:bookmarkStart w:id="36" w:name="_Toc19771"/>
      <w:r>
        <w:rPr>
          <w:rFonts w:ascii="仿宋" w:eastAsia="仿宋" w:hAnsi="仿宋" w:cs="仿宋" w:hint="eastAsia"/>
          <w:lang w:eastAsia="zh-CN"/>
        </w:rPr>
        <w:t>(一)、显示仪表项目承办单位背景分析</w:t>
      </w:r>
      <w:bookmarkEnd w:id="3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sectPr>
          <w:headerReference w:type="default" r:id="rId88"/>
          <w:footerReference w:type="default" r:id="rId89"/>
          <w:type w:val="nextPage"/>
          <w:pgSz w:w="11906" w:h="16838"/>
          <w:pgMar w:top="1440" w:right="1800" w:bottom="1440" w:left="1800" w:header="851" w:footer="992" w:gutter="0"/>
          <w:pgNumType w:start="4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p>
    <w:p>
      <w:pPr>
        <w:ind w:firstLine="560" w:firstLineChars="200"/>
        <w:rPr>
          <w:rFonts w:ascii="仿宋" w:eastAsia="仿宋" w:hAnsi="仿宋" w:cs="仿宋" w:hint="eastAsia"/>
          <w:sz w:val="28"/>
        </w:rPr>
      </w:pPr>
      <w:r>
        <w:rPr>
          <w:rFonts w:ascii="仿宋" w:eastAsia="仿宋" w:hAnsi="仿宋" w:cs="仿宋" w:hint="eastAsia"/>
          <w:sz w:val="28"/>
          <w:lang w:eastAsia="zh-CN"/>
        </w:rPr>
        <w:t>1. 营业收入增长： 公司在过去三年中，营业收入呈现稳步增长的趋势，主要得益于产品市场需求的提升和市场份额的扩大。</w:t>
      </w:r>
    </w:p>
    <w:p>
      <w:pPr>
        <w:ind w:firstLine="560" w:firstLineChars="200"/>
        <w:rPr>
          <w:rFonts w:ascii="仿宋" w:eastAsia="仿宋" w:hAnsi="仿宋" w:cs="仿宋" w:hint="eastAsia"/>
          <w:sz w:val="28"/>
        </w:rPr>
      </w:pPr>
      <w:r>
        <w:rPr>
          <w:rFonts w:ascii="仿宋" w:eastAsia="仿宋" w:hAnsi="仿宋" w:cs="仿宋" w:hint="eastAsia"/>
          <w:sz w:val="28"/>
          <w:lang w:eastAsia="zh-CN"/>
        </w:rPr>
        <w:t>2. 盈利能力提升： 公司的盈利能力逐年提升，净利润持续增加。这主要归功于公司在产品研发、生产管理和市场拓展方面的不断优化。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资产稳健： 公司的资产结构健康，资产回报率保持在行业领先水平。这表明公司在资金运作和资产配置方面具备较强的管理水平。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市场份额提升： 公司成功扩大了市场份额，成为行业内的重要参与者。通过提高产品质量和服务水平，公司赢得了客户的信任，增强了市场竞争力。</w:t>
      </w:r>
    </w:p>
    <w:p>
      <w:pPr>
        <w:ind w:firstLine="560" w:firstLineChars="200"/>
        <w:rPr>
          <w:rFonts w:ascii="仿宋" w:eastAsia="仿宋" w:hAnsi="仿宋" w:cs="仿宋" w:hint="eastAsia"/>
          <w:sz w:val="28"/>
        </w:rPr>
        <w:sectPr>
          <w:headerReference w:type="default" r:id="rId90"/>
          <w:footerReference w:type="default" r:id="rId91"/>
          <w:type w:val="nextPage"/>
          <w:pgSz w:w="11906" w:h="16838"/>
          <w:pgMar w:top="1440" w:right="1800" w:bottom="1440" w:left="1800" w:header="851" w:footer="992" w:gutter="0"/>
          <w:pgNumType w:start="44"/>
          <w:cols w:num="1" w:space="425"/>
          <w:titlePg w:val="0"/>
          <w:docGrid w:type="lines" w:linePitch="312" w:charSpace="0"/>
        </w:sectPr>
      </w:pPr>
      <w:r>
        <w:rPr>
          <w:rFonts w:ascii="仿宋" w:eastAsia="仿宋" w:hAnsi="仿宋" w:cs="仿宋" w:hint="eastAsia"/>
          <w:sz w:val="28"/>
          <w:lang w:eastAsia="zh-CN"/>
        </w:rPr>
        <w:t>5. 持续创新： 公司注重技术创新和产品研发，推出了一系列领先行业的产品。这为公司在市场上保持竞争力提供了有力支持。</w:t>
      </w:r>
    </w:p>
    <w:p>
      <w:pPr>
        <w:pStyle w:val="Heading2"/>
        <w:ind w:firstLine="560" w:firstLineChars="200"/>
        <w:rPr>
          <w:rFonts w:ascii="仿宋" w:eastAsia="仿宋" w:hAnsi="仿宋" w:cs="仿宋" w:hint="eastAsia"/>
          <w:sz w:val="28"/>
          <w:lang w:eastAsia="zh-CN"/>
        </w:rPr>
      </w:pPr>
      <w:bookmarkStart w:id="37" w:name="_Toc3537"/>
      <w:r>
        <w:rPr>
          <w:rFonts w:ascii="仿宋" w:eastAsia="仿宋" w:hAnsi="仿宋" w:cs="仿宋" w:hint="eastAsia"/>
          <w:sz w:val="28"/>
          <w:lang w:eastAsia="zh-CN"/>
        </w:rPr>
        <w:t>(二)、产业政策及发展规划</w:t>
      </w:r>
      <w:bookmarkEnd w:id="37"/>
    </w:p>
    <w:p>
      <w:pPr>
        <w:ind w:firstLine="560" w:firstLineChars="200"/>
        <w:rPr>
          <w:rFonts w:ascii="仿宋" w:eastAsia="仿宋" w:hAnsi="仿宋" w:cs="仿宋" w:hint="eastAsia"/>
          <w:sz w:val="28"/>
        </w:rPr>
      </w:pPr>
      <w:r>
        <w:rPr>
          <w:rFonts w:ascii="仿宋" w:eastAsia="仿宋" w:hAnsi="仿宋" w:cs="仿宋" w:hint="eastAsia"/>
          <w:sz w:val="28"/>
          <w:lang w:eastAsia="zh-CN"/>
        </w:rPr>
        <w:t>产业政策及发展规划是企业在特定行业运营中必须关注和遵循的重要指导原则。对于XX有限公司而言，制定明晰的产业政策和发展规划至关重要，以适应行业的发展趋势和政府的相关政策。该公司在产业政策和发展规划方面的主要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政府政策关注： 公司将密切关注相关政府部门出台的产业政策。这包括关于技术创新、环保标准、产业发展方向等方面的政策。及时了解并遵循这些政策对公司的长期发展至关重要。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2. 技术创新导向： 公司将注重技术创新，积极采用先进的生产工艺和设备。通过不断提升技术水平，公司可以在行业中保持竞争优势，并满足市场对高质量产品的需求。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环保要求履行： 公司将遵循并超越国家和地方的环保标准。在生产过程中，注重降低能耗、减少排放，实施清洁生产，以确保企业的可持续发展。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4. 市场需求预测： 公司将通过市场调研，准确了解市场需求和趋势。基于市场的变化，灵活调整产品结构和服务，以满足客户不断变化的需求。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合规经营： 公司将始终遵循各项法规和政策，确保经营活动的合法合规性。建立健全的内部管理制度，进行规范的财务和经营报告，保持企业的良好声誉。</w:t>
      </w:r>
    </w:p>
    <w:p>
      <w:pPr>
        <w:ind w:firstLine="560" w:firstLineChars="200"/>
        <w:rPr>
          <w:rFonts w:ascii="仿宋" w:eastAsia="仿宋" w:hAnsi="仿宋" w:cs="仿宋" w:hint="eastAsia"/>
          <w:sz w:val="28"/>
        </w:rPr>
      </w:pPr>
      <w:r>
        <w:rPr>
          <w:rFonts w:ascii="仿宋" w:eastAsia="仿宋" w:hAnsi="仿宋" w:cs="仿宋" w:hint="eastAsia"/>
          <w:sz w:val="28"/>
          <w:lang w:eastAsia="zh-CN"/>
        </w:rPr>
        <w:t>6.</w:t>
      </w:r>
      <w:r>
        <w:rPr>
          <w:rFonts w:ascii="仿宋" w:eastAsia="仿宋" w:hAnsi="仿宋" w:cs="仿宋" w:hint="eastAsia"/>
          <w:sz w:val="28"/>
          <w:lang w:eastAsia="zh-CN"/>
        </w:rPr>
        <w:t xml:space="preserve"> 人才培养：</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2" w:history="1">
        <w:r>
          <w:rPr>
            <w:rFonts w:ascii="SimSun" w:eastAsia="SimSun" w:hAnsi="SimSun" w:cs="SimSun"/>
            <w:b/>
            <w:bCs/>
            <w:color w:val="0000EE"/>
            <w:kern w:val="0"/>
            <w:sz w:val="30"/>
            <w:szCs w:val="30"/>
            <w:u w:val="single" w:color="0000EE"/>
          </w:rPr>
          <w:t>https://d.book118.com/886241233103010041</w:t>
        </w:r>
      </w:hyperlink>
    </w:p>
    <w:p>
      <w:pPr>
        <w:ind w:firstLine="560" w:firstLineChars="200"/>
        <w:rPr>
          <w:rFonts w:ascii="仿宋" w:eastAsia="仿宋" w:hAnsi="仿宋" w:cs="仿宋" w:hint="eastAsia"/>
          <w:sz w:val="28"/>
        </w:rPr>
      </w:pPr>
    </w:p>
    <w:sectPr>
      <w:headerReference w:type="default" r:id="rId93"/>
      <w:footerReference w:type="default" r:id="rId94"/>
      <w:type w:val="nextPage"/>
      <w:pgSz w:w="11906" w:h="16838"/>
      <w:pgMar w:top="1440" w:right="1800" w:bottom="1440" w:left="1800" w:header="851" w:footer="992" w:gutter="0"/>
      <w:pgNumType w:start="4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37</w:t>
    </w:r>
    <w:r>
      <w:rPr>
        <w:rStyle w:val="PageNumber"/>
      </w:rPr>
      <w:fldChar w:fldCharType="end"/>
    </w:r>
  </w:p>
  <w:p>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38</w:t>
    </w:r>
    <w:r>
      <w:rPr>
        <w:rStyle w:val="PageNumber"/>
      </w:rPr>
      <w:fldChar w:fldCharType="end"/>
    </w:r>
  </w:p>
  <w:p>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40</w:t>
    </w:r>
    <w:r>
      <w:rPr>
        <w:rStyle w:val="PageNumber"/>
      </w:rPr>
      <w:fldChar w:fldCharType="end"/>
    </w:r>
  </w:p>
  <w:p>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41</w:t>
    </w:r>
    <w:r>
      <w:rPr>
        <w:rStyle w:val="PageNumber"/>
      </w:rPr>
      <w:fldChar w:fldCharType="end"/>
    </w:r>
  </w:p>
  <w:p>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42</w:t>
    </w:r>
    <w:r>
      <w:rPr>
        <w:rStyle w:val="PageNumber"/>
      </w:rPr>
      <w:fldChar w:fldCharType="end"/>
    </w:r>
  </w:p>
  <w:p>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43</w:t>
    </w:r>
    <w:r>
      <w:rPr>
        <w:rStyle w:val="PageNumber"/>
      </w:rPr>
      <w:fldChar w:fldCharType="end"/>
    </w:r>
  </w:p>
  <w:p>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显示仪表项目工作报告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300046"/>
    <w:rsid w:val="0330004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eader" Target="header35.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footer" Target="footer37.xml" /><Relationship Id="rId78" Type="http://schemas.openxmlformats.org/officeDocument/2006/relationships/header" Target="header38.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footer" Target="footer40.xml" /><Relationship Id="rId84" Type="http://schemas.openxmlformats.org/officeDocument/2006/relationships/header" Target="header41.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footer" Target="foot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4.xml" /><Relationship Id="rId92" Type="http://schemas.openxmlformats.org/officeDocument/2006/relationships/hyperlink" Target="https://d.book118.com/886241233103010041" TargetMode="Externa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2024-01-16T10:01:00Z</dcterms:created>
  <dcterms:modified xsi:type="dcterms:W3CDTF">2024-01-16T10:02:01Z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24CCAAF0EADB4797ADB2400D264047B6_11</vt:lpwstr>
  </property>
  <property fmtid="{D5CDD505-2E9C-101B-9397-08002B2CF9AE}" pid="3" name="KSOProductBuildVer">
    <vt:lpwstr>2052-12.1.0.16120</vt:lpwstr>
  </property>
</Properties>
</file>