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NormalWeb"/>
        <w:jc w:val="center"/>
        <w:outlineLvl w:val="0"/>
        <w:rPr>
          <w:rFonts w:ascii="黑体" w:eastAsia="黑体" w:hAnsi="黑体" w:hint="eastAsia"/>
          <w:snapToGrid w:val="0"/>
          <w:color w:val="auto"/>
          <w:sz w:val="30"/>
          <w:szCs w:val="30"/>
          <w:highlight w:val="none"/>
        </w:rPr>
      </w:pPr>
      <w:r>
        <w:rPr>
          <w:rFonts w:ascii="黑体" w:eastAsia="黑体" w:hAnsi="黑体" w:hint="eastAsia"/>
          <w:snapToGrid w:val="0"/>
          <w:color w:val="auto"/>
          <w:sz w:val="30"/>
          <w:szCs w:val="30"/>
          <w:highlight w:val="none"/>
        </w:rPr>
        <w:t>一、建设项目基本情况</w:t>
      </w: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
      <w:tblGrid>
        <w:gridCol w:w="1811"/>
        <w:gridCol w:w="2208"/>
        <w:gridCol w:w="2212"/>
        <w:gridCol w:w="263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0" w:type="dxa"/>
            <w:bottom w:w="0" w:type="dxa"/>
            <w:right w:w="0" w:type="dxa"/>
          </w:tblCellMar>
          <w:tblLook w:val="0000"/>
        </w:tblPrEx>
        <w:trPr>
          <w:trHeight w:val="420"/>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建设项目名称</w:t>
            </w:r>
          </w:p>
        </w:tc>
        <w:tc>
          <w:tcPr>
            <w:tcW w:w="7059" w:type="dxa"/>
            <w:gridSpan w:val="3"/>
            <w:vAlign w:val="center"/>
          </w:tcPr>
          <w:p>
            <w:pPr>
              <w:adjustRightInd w:val="0"/>
              <w:snapToGrid w:val="0"/>
              <w:jc w:val="center"/>
              <w:rPr>
                <w:color w:val="auto"/>
                <w:sz w:val="24"/>
                <w:highlight w:val="none"/>
              </w:rPr>
            </w:pPr>
            <w:r>
              <w:rPr>
                <w:color w:val="auto"/>
                <w:sz w:val="24"/>
                <w:highlight w:val="none"/>
              </w:rPr>
              <w:t>年产10万立方米预制混凝土装配式建筑构件生产线建设项目</w:t>
            </w:r>
          </w:p>
        </w:tc>
      </w:tr>
      <w:tr>
        <w:tblPrEx>
          <w:tblW w:w="0" w:type="auto"/>
          <w:jc w:val="center"/>
          <w:tblInd w:w="3" w:type="dxa"/>
          <w:tblCellMar>
            <w:top w:w="0" w:type="dxa"/>
            <w:left w:w="0" w:type="dxa"/>
            <w:bottom w:w="0" w:type="dxa"/>
            <w:right w:w="0" w:type="dxa"/>
          </w:tblCellMar>
          <w:tblLook w:val="0000"/>
        </w:tblPrEx>
        <w:trPr>
          <w:trHeight w:val="403"/>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项目代码</w:t>
            </w:r>
          </w:p>
        </w:tc>
        <w:tc>
          <w:tcPr>
            <w:tcW w:w="7059" w:type="dxa"/>
            <w:gridSpan w:val="3"/>
            <w:vAlign w:val="center"/>
          </w:tcPr>
          <w:p>
            <w:pPr>
              <w:adjustRightInd w:val="0"/>
              <w:snapToGrid w:val="0"/>
              <w:jc w:val="center"/>
              <w:rPr>
                <w:color w:val="auto"/>
                <w:sz w:val="24"/>
                <w:highlight w:val="none"/>
              </w:rPr>
            </w:pPr>
            <w:r>
              <w:rPr>
                <w:color w:val="auto"/>
                <w:sz w:val="24"/>
                <w:highlight w:val="none"/>
              </w:rPr>
              <w:t>2</w:t>
            </w:r>
            <w:r>
              <w:rPr>
                <w:rFonts w:hint="eastAsia"/>
                <w:color w:val="auto"/>
                <w:sz w:val="24"/>
                <w:highlight w:val="none"/>
              </w:rPr>
              <w:t>203-610261-04-01-950814</w:t>
            </w:r>
          </w:p>
        </w:tc>
      </w:tr>
      <w:tr>
        <w:tblPrEx>
          <w:tblW w:w="0" w:type="auto"/>
          <w:jc w:val="center"/>
          <w:tblInd w:w="3" w:type="dxa"/>
          <w:tblCellMar>
            <w:top w:w="0" w:type="dxa"/>
            <w:left w:w="0" w:type="dxa"/>
            <w:bottom w:w="0" w:type="dxa"/>
            <w:right w:w="0" w:type="dxa"/>
          </w:tblCellMar>
          <w:tblLook w:val="0000"/>
        </w:tblPrEx>
        <w:trPr>
          <w:trHeight w:val="453"/>
          <w:jc w:val="center"/>
        </w:trPr>
        <w:tc>
          <w:tcPr>
            <w:tcW w:w="1811" w:type="dxa"/>
            <w:tcMar>
              <w:top w:w="16" w:type="dxa"/>
              <w:left w:w="16" w:type="dxa"/>
              <w:right w:w="16" w:type="dxa"/>
            </w:tcMar>
            <w:vAlign w:val="center"/>
          </w:tcPr>
          <w:p>
            <w:pPr>
              <w:adjustRightInd w:val="0"/>
              <w:snapToGrid w:val="0"/>
              <w:jc w:val="center"/>
              <w:rPr>
                <w:rFonts w:ascii="宋体" w:hAnsi="宋体" w:cs="宋体" w:hint="eastAsia"/>
                <w:color w:val="auto"/>
                <w:sz w:val="24"/>
                <w:highlight w:val="none"/>
              </w:rPr>
            </w:pPr>
            <w:r>
              <w:rPr>
                <w:rFonts w:ascii="宋体" w:hAnsi="宋体" w:cs="宋体" w:hint="eastAsia"/>
                <w:color w:val="auto"/>
                <w:sz w:val="24"/>
                <w:highlight w:val="none"/>
              </w:rPr>
              <w:t>建设单位联系人</w:t>
            </w:r>
          </w:p>
        </w:tc>
        <w:tc>
          <w:tcPr>
            <w:tcW w:w="2208" w:type="dxa"/>
            <w:vAlign w:val="center"/>
          </w:tcPr>
          <w:p>
            <w:pPr>
              <w:adjustRightInd w:val="0"/>
              <w:snapToGrid w:val="0"/>
              <w:jc w:val="center"/>
              <w:rPr>
                <w:color w:val="auto"/>
                <w:sz w:val="24"/>
                <w:highlight w:val="none"/>
              </w:rPr>
            </w:pPr>
          </w:p>
        </w:tc>
        <w:tc>
          <w:tcPr>
            <w:tcW w:w="2212" w:type="dxa"/>
            <w:vAlign w:val="center"/>
          </w:tcPr>
          <w:p>
            <w:pPr>
              <w:adjustRightInd w:val="0"/>
              <w:snapToGrid w:val="0"/>
              <w:jc w:val="center"/>
              <w:rPr>
                <w:color w:val="auto"/>
                <w:sz w:val="24"/>
                <w:highlight w:val="none"/>
              </w:rPr>
            </w:pPr>
            <w:r>
              <w:rPr>
                <w:color w:val="auto"/>
                <w:sz w:val="24"/>
                <w:highlight w:val="none"/>
              </w:rPr>
              <w:t>联系方式</w:t>
            </w:r>
          </w:p>
        </w:tc>
        <w:tc>
          <w:tcPr>
            <w:tcW w:w="2639" w:type="dxa"/>
            <w:vAlign w:val="center"/>
          </w:tcPr>
          <w:p>
            <w:pPr>
              <w:adjustRightInd w:val="0"/>
              <w:snapToGrid w:val="0"/>
              <w:jc w:val="center"/>
              <w:rPr>
                <w:color w:val="auto"/>
                <w:sz w:val="24"/>
                <w:highlight w:val="none"/>
              </w:rPr>
            </w:pPr>
          </w:p>
        </w:tc>
      </w:tr>
      <w:tr>
        <w:tblPrEx>
          <w:tblW w:w="0" w:type="auto"/>
          <w:jc w:val="center"/>
          <w:tblInd w:w="3" w:type="dxa"/>
          <w:tblCellMar>
            <w:top w:w="0" w:type="dxa"/>
            <w:left w:w="0" w:type="dxa"/>
            <w:bottom w:w="0" w:type="dxa"/>
            <w:right w:w="0" w:type="dxa"/>
          </w:tblCellMar>
          <w:tblLook w:val="0000"/>
        </w:tblPrEx>
        <w:trPr>
          <w:trHeight w:val="453"/>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建设地点</w:t>
            </w:r>
          </w:p>
        </w:tc>
        <w:tc>
          <w:tcPr>
            <w:tcW w:w="7059" w:type="dxa"/>
            <w:gridSpan w:val="3"/>
            <w:vAlign w:val="center"/>
          </w:tcPr>
          <w:p>
            <w:pPr>
              <w:adjustRightInd w:val="0"/>
              <w:snapToGrid w:val="0"/>
              <w:jc w:val="center"/>
              <w:rPr>
                <w:color w:val="auto"/>
                <w:sz w:val="24"/>
                <w:highlight w:val="none"/>
              </w:rPr>
            </w:pPr>
            <w:r>
              <w:rPr>
                <w:rFonts w:ascii="Times New Roman" w:eastAsia="宋体" w:hAnsi="Times New Roman" w:cs="Times New Roman" w:hint="eastAsia"/>
                <w:color w:val="auto"/>
                <w:sz w:val="24"/>
                <w:highlight w:val="none"/>
                <w:lang w:val="en-US" w:eastAsia="zh-CN"/>
              </w:rPr>
              <w:t>陕西省铜川市新区新材料产业园照金路10号</w:t>
            </w:r>
          </w:p>
        </w:tc>
      </w:tr>
      <w:tr>
        <w:tblPrEx>
          <w:tblW w:w="0" w:type="auto"/>
          <w:jc w:val="center"/>
          <w:tblInd w:w="3" w:type="dxa"/>
          <w:tblCellMar>
            <w:top w:w="0" w:type="dxa"/>
            <w:left w:w="0" w:type="dxa"/>
            <w:bottom w:w="0" w:type="dxa"/>
            <w:right w:w="0" w:type="dxa"/>
          </w:tblCellMar>
          <w:tblLook w:val="0000"/>
        </w:tblPrEx>
        <w:trPr>
          <w:trHeight w:val="436"/>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地理坐标</w:t>
            </w:r>
          </w:p>
        </w:tc>
        <w:tc>
          <w:tcPr>
            <w:tcW w:w="7059" w:type="dxa"/>
            <w:gridSpan w:val="3"/>
            <w:vAlign w:val="center"/>
          </w:tcPr>
          <w:p>
            <w:pPr>
              <w:jc w:val="center"/>
              <w:rPr>
                <w:color w:val="auto"/>
                <w:sz w:val="24"/>
                <w:highlight w:val="none"/>
              </w:rPr>
            </w:pPr>
            <w:r>
              <w:rPr>
                <w:color w:val="auto"/>
                <w:sz w:val="24"/>
                <w:highlight w:val="none"/>
                <w:u w:val="none"/>
              </w:rPr>
              <w:t>（108 度5</w:t>
            </w:r>
            <w:r>
              <w:rPr>
                <w:rFonts w:hint="eastAsia"/>
                <w:color w:val="auto"/>
                <w:sz w:val="24"/>
                <w:highlight w:val="none"/>
                <w:u w:val="none"/>
              </w:rPr>
              <w:t>2</w:t>
            </w:r>
            <w:r>
              <w:rPr>
                <w:color w:val="auto"/>
                <w:sz w:val="24"/>
                <w:highlight w:val="none"/>
                <w:u w:val="none"/>
              </w:rPr>
              <w:t>分</w:t>
            </w:r>
            <w:r>
              <w:rPr>
                <w:rFonts w:hint="eastAsia"/>
                <w:color w:val="auto"/>
                <w:sz w:val="24"/>
                <w:highlight w:val="none"/>
                <w:u w:val="none"/>
              </w:rPr>
              <w:t>43.85</w:t>
            </w:r>
            <w:r>
              <w:rPr>
                <w:color w:val="auto"/>
                <w:sz w:val="24"/>
                <w:highlight w:val="none"/>
                <w:u w:val="none"/>
              </w:rPr>
              <w:t>秒，3</w:t>
            </w:r>
            <w:r>
              <w:rPr>
                <w:rFonts w:hint="eastAsia"/>
                <w:color w:val="auto"/>
                <w:sz w:val="24"/>
                <w:highlight w:val="none"/>
                <w:u w:val="none"/>
              </w:rPr>
              <w:t>4</w:t>
            </w:r>
            <w:r>
              <w:rPr>
                <w:color w:val="auto"/>
                <w:sz w:val="24"/>
                <w:highlight w:val="none"/>
                <w:u w:val="none"/>
              </w:rPr>
              <w:t>度</w:t>
            </w:r>
            <w:r>
              <w:rPr>
                <w:rFonts w:hint="eastAsia"/>
                <w:color w:val="auto"/>
                <w:sz w:val="24"/>
                <w:highlight w:val="none"/>
                <w:u w:val="none"/>
              </w:rPr>
              <w:t>51</w:t>
            </w:r>
            <w:r>
              <w:rPr>
                <w:color w:val="auto"/>
                <w:sz w:val="24"/>
                <w:highlight w:val="none"/>
                <w:u w:val="none"/>
              </w:rPr>
              <w:t>分</w:t>
            </w:r>
            <w:r>
              <w:rPr>
                <w:rFonts w:hint="eastAsia"/>
                <w:color w:val="auto"/>
                <w:sz w:val="24"/>
                <w:highlight w:val="none"/>
                <w:u w:val="none"/>
              </w:rPr>
              <w:t>28.71</w:t>
            </w:r>
            <w:r>
              <w:rPr>
                <w:color w:val="auto"/>
                <w:sz w:val="24"/>
                <w:highlight w:val="none"/>
                <w:u w:val="none"/>
              </w:rPr>
              <w:t>秒）</w:t>
            </w:r>
          </w:p>
        </w:tc>
      </w:tr>
      <w:tr>
        <w:tblPrEx>
          <w:tblW w:w="0" w:type="auto"/>
          <w:jc w:val="center"/>
          <w:tblInd w:w="3" w:type="dxa"/>
          <w:tblCellMar>
            <w:top w:w="0" w:type="dxa"/>
            <w:left w:w="0" w:type="dxa"/>
            <w:bottom w:w="0" w:type="dxa"/>
            <w:right w:w="0" w:type="dxa"/>
          </w:tblCellMar>
          <w:tblLook w:val="0000"/>
        </w:tblPrEx>
        <w:trPr>
          <w:trHeight w:val="561"/>
          <w:jc w:val="center"/>
        </w:trPr>
        <w:tc>
          <w:tcPr>
            <w:tcW w:w="1811" w:type="dxa"/>
            <w:tcMar>
              <w:top w:w="16" w:type="dxa"/>
              <w:left w:w="16" w:type="dxa"/>
              <w:right w:w="16" w:type="dxa"/>
            </w:tcMar>
            <w:vAlign w:val="center"/>
          </w:tcPr>
          <w:p>
            <w:pPr>
              <w:adjustRightInd w:val="0"/>
              <w:snapToGrid w:val="0"/>
              <w:jc w:val="center"/>
              <w:rPr>
                <w:rFonts w:ascii="宋体" w:hAnsi="宋体" w:cs="宋体" w:hint="eastAsia"/>
                <w:color w:val="auto"/>
                <w:sz w:val="24"/>
                <w:highlight w:val="none"/>
              </w:rPr>
            </w:pPr>
            <w:r>
              <w:rPr>
                <w:rFonts w:ascii="宋体" w:hAnsi="宋体" w:cs="宋体" w:hint="eastAsia"/>
                <w:color w:val="auto"/>
                <w:sz w:val="24"/>
                <w:highlight w:val="none"/>
              </w:rPr>
              <w:t>国民经济</w:t>
            </w:r>
          </w:p>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行业类别</w:t>
            </w:r>
          </w:p>
        </w:tc>
        <w:tc>
          <w:tcPr>
            <w:tcW w:w="2208" w:type="dxa"/>
            <w:vAlign w:val="center"/>
          </w:tcPr>
          <w:p>
            <w:pPr>
              <w:adjustRightInd w:val="0"/>
              <w:snapToGrid w:val="0"/>
              <w:jc w:val="center"/>
              <w:rPr>
                <w:color w:val="auto"/>
                <w:sz w:val="24"/>
                <w:highlight w:val="none"/>
              </w:rPr>
            </w:pPr>
            <w:r>
              <w:rPr>
                <w:color w:val="auto"/>
                <w:sz w:val="24"/>
                <w:highlight w:val="none"/>
              </w:rPr>
              <w:t>C</w:t>
            </w:r>
            <w:r>
              <w:rPr>
                <w:rFonts w:hint="eastAsia"/>
                <w:color w:val="auto"/>
                <w:sz w:val="24"/>
                <w:highlight w:val="none"/>
              </w:rPr>
              <w:t>3021水泥制品</w:t>
            </w:r>
            <w:r>
              <w:rPr>
                <w:color w:val="auto"/>
                <w:sz w:val="24"/>
                <w:highlight w:val="none"/>
              </w:rPr>
              <w:t>制造</w:t>
            </w:r>
          </w:p>
        </w:tc>
        <w:tc>
          <w:tcPr>
            <w:tcW w:w="2212" w:type="dxa"/>
            <w:vAlign w:val="center"/>
          </w:tcPr>
          <w:p>
            <w:pPr>
              <w:adjustRightInd w:val="0"/>
              <w:snapToGrid w:val="0"/>
              <w:jc w:val="center"/>
              <w:rPr>
                <w:color w:val="auto"/>
                <w:sz w:val="24"/>
                <w:highlight w:val="none"/>
              </w:rPr>
            </w:pPr>
            <w:bookmarkStart w:id="0" w:name="_Hlk49843745"/>
            <w:r>
              <w:rPr>
                <w:color w:val="auto"/>
                <w:sz w:val="24"/>
                <w:highlight w:val="none"/>
              </w:rPr>
              <w:t>建设项目</w:t>
            </w:r>
          </w:p>
          <w:p>
            <w:pPr>
              <w:adjustRightInd w:val="0"/>
              <w:snapToGrid w:val="0"/>
              <w:jc w:val="center"/>
              <w:rPr>
                <w:color w:val="auto"/>
                <w:sz w:val="24"/>
                <w:highlight w:val="none"/>
              </w:rPr>
            </w:pPr>
            <w:r>
              <w:rPr>
                <w:color w:val="auto"/>
                <w:sz w:val="24"/>
                <w:highlight w:val="none"/>
              </w:rPr>
              <w:t>行业类别</w:t>
            </w:r>
            <w:bookmarkEnd w:id="0"/>
          </w:p>
        </w:tc>
        <w:tc>
          <w:tcPr>
            <w:tcW w:w="2639" w:type="dxa"/>
            <w:vAlign w:val="center"/>
          </w:tcPr>
          <w:p>
            <w:pPr>
              <w:adjustRightInd w:val="0"/>
              <w:snapToGrid w:val="0"/>
              <w:rPr>
                <w:color w:val="auto"/>
                <w:sz w:val="24"/>
                <w:highlight w:val="none"/>
              </w:rPr>
            </w:pPr>
            <w:r>
              <w:rPr>
                <w:rFonts w:hint="eastAsia"/>
                <w:bCs/>
                <w:color w:val="auto"/>
                <w:sz w:val="24"/>
                <w:highlight w:val="none"/>
              </w:rPr>
              <w:t>55</w:t>
            </w:r>
            <w:r>
              <w:rPr>
                <w:rFonts w:hint="eastAsia"/>
                <w:color w:val="auto"/>
                <w:sz w:val="24"/>
                <w:highlight w:val="none"/>
              </w:rPr>
              <w:t>—</w:t>
            </w:r>
            <w:r>
              <w:rPr>
                <w:rFonts w:hint="eastAsia"/>
                <w:bCs/>
                <w:color w:val="auto"/>
                <w:sz w:val="24"/>
                <w:highlight w:val="none"/>
              </w:rPr>
              <w:t>石膏、水泥制品及类似制品制造302中的商品混凝土；砼结构构件制造；水泥制品制造</w:t>
            </w:r>
          </w:p>
        </w:tc>
      </w:tr>
      <w:tr>
        <w:tblPrEx>
          <w:tblW w:w="0" w:type="auto"/>
          <w:jc w:val="center"/>
          <w:tblInd w:w="3" w:type="dxa"/>
          <w:tblCellMar>
            <w:top w:w="0" w:type="dxa"/>
            <w:left w:w="0" w:type="dxa"/>
            <w:bottom w:w="0" w:type="dxa"/>
            <w:right w:w="0" w:type="dxa"/>
          </w:tblCellMar>
          <w:tblLook w:val="0000"/>
        </w:tblPrEx>
        <w:trPr>
          <w:trHeight w:val="1219"/>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建设性质</w:t>
            </w:r>
          </w:p>
        </w:tc>
        <w:tc>
          <w:tcPr>
            <w:tcW w:w="2208" w:type="dxa"/>
            <w:vAlign w:val="center"/>
          </w:tcPr>
          <w:p>
            <w:pPr>
              <w:jc w:val="left"/>
              <w:rPr>
                <w:color w:val="auto"/>
                <w:sz w:val="24"/>
                <w:highlight w:val="none"/>
              </w:rPr>
            </w:pPr>
            <w:r>
              <w:rPr>
                <w:rFonts w:ascii="Wingdings 2" w:hAnsi="Wingdings 2"/>
                <w:color w:val="auto"/>
                <w:sz w:val="24"/>
                <w:highlight w:val="none"/>
              </w:rPr>
              <w:sym w:font="Wingdings 2" w:char="F052"/>
            </w:r>
            <w:r>
              <w:rPr>
                <w:color w:val="auto"/>
                <w:sz w:val="24"/>
                <w:highlight w:val="none"/>
              </w:rPr>
              <w:t>新建（迁建）</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改建</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扩建</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技术改造</w:t>
            </w:r>
          </w:p>
        </w:tc>
        <w:tc>
          <w:tcPr>
            <w:tcW w:w="2212" w:type="dxa"/>
            <w:vAlign w:val="center"/>
          </w:tcPr>
          <w:p>
            <w:pPr>
              <w:adjustRightInd w:val="0"/>
              <w:snapToGrid w:val="0"/>
              <w:jc w:val="center"/>
              <w:rPr>
                <w:color w:val="auto"/>
                <w:sz w:val="24"/>
                <w:highlight w:val="none"/>
              </w:rPr>
            </w:pPr>
            <w:r>
              <w:rPr>
                <w:color w:val="auto"/>
                <w:sz w:val="24"/>
                <w:highlight w:val="none"/>
              </w:rPr>
              <w:t>建设项目</w:t>
            </w:r>
          </w:p>
          <w:p>
            <w:pPr>
              <w:adjustRightInd w:val="0"/>
              <w:snapToGrid w:val="0"/>
              <w:jc w:val="center"/>
              <w:rPr>
                <w:color w:val="auto"/>
                <w:sz w:val="24"/>
                <w:highlight w:val="none"/>
              </w:rPr>
            </w:pPr>
            <w:r>
              <w:rPr>
                <w:color w:val="auto"/>
                <w:sz w:val="24"/>
                <w:highlight w:val="none"/>
              </w:rPr>
              <w:t>申报情形</w:t>
            </w:r>
          </w:p>
        </w:tc>
        <w:tc>
          <w:tcPr>
            <w:tcW w:w="2639" w:type="dxa"/>
            <w:vAlign w:val="center"/>
          </w:tcPr>
          <w:p>
            <w:pPr>
              <w:jc w:val="left"/>
              <w:rPr>
                <w:color w:val="auto"/>
                <w:sz w:val="24"/>
                <w:highlight w:val="none"/>
              </w:rPr>
            </w:pPr>
            <w:r>
              <w:rPr>
                <w:rFonts w:ascii="Wingdings 2" w:hAnsi="Wingdings 2"/>
                <w:color w:val="auto"/>
                <w:sz w:val="24"/>
                <w:highlight w:val="none"/>
              </w:rPr>
              <w:sym w:font="Wingdings 2" w:char="F052"/>
            </w:r>
            <w:r>
              <w:rPr>
                <w:color w:val="auto"/>
                <w:sz w:val="24"/>
                <w:highlight w:val="none"/>
              </w:rPr>
              <w:t>首次申报项目</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不予批准后再次申报项目</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 xml:space="preserve">超五年重新审核项目     </w:t>
            </w:r>
          </w:p>
          <w:p>
            <w:pPr>
              <w:jc w:val="left"/>
              <w:rPr>
                <w:color w:val="auto"/>
                <w:sz w:val="24"/>
                <w:highlight w:val="none"/>
              </w:rPr>
            </w:pPr>
            <w:r>
              <w:rPr>
                <w:rFonts w:ascii="Wingdings 2" w:hAnsi="Wingdings 2"/>
                <w:color w:val="auto"/>
                <w:sz w:val="24"/>
                <w:highlight w:val="none"/>
              </w:rPr>
              <w:sym w:font="Wingdings 2" w:char="F0A3"/>
            </w:r>
            <w:r>
              <w:rPr>
                <w:color w:val="auto"/>
                <w:sz w:val="24"/>
                <w:highlight w:val="none"/>
              </w:rPr>
              <w:t>重大变动重新报批项目</w:t>
            </w:r>
          </w:p>
        </w:tc>
      </w:tr>
      <w:tr>
        <w:tblPrEx>
          <w:tblW w:w="0" w:type="auto"/>
          <w:jc w:val="center"/>
          <w:tblInd w:w="3" w:type="dxa"/>
          <w:tblCellMar>
            <w:top w:w="0" w:type="dxa"/>
            <w:left w:w="0" w:type="dxa"/>
            <w:bottom w:w="0" w:type="dxa"/>
            <w:right w:w="0" w:type="dxa"/>
          </w:tblCellMar>
          <w:tblLook w:val="0000"/>
        </w:tblPrEx>
        <w:trPr>
          <w:trHeight w:val="851"/>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项目审批（核准</w:t>
            </w:r>
            <w:r>
              <w:rPr>
                <w:rFonts w:ascii="宋体" w:hAnsi="宋体" w:cs="宋体"/>
                <w:color w:val="auto"/>
                <w:sz w:val="24"/>
                <w:highlight w:val="none"/>
              </w:rPr>
              <w:t>/</w:t>
            </w:r>
            <w:r>
              <w:rPr>
                <w:rFonts w:ascii="宋体" w:hAnsi="宋体" w:cs="宋体" w:hint="eastAsia"/>
                <w:color w:val="auto"/>
                <w:sz w:val="24"/>
                <w:highlight w:val="none"/>
              </w:rPr>
              <w:t>备案）部门（选填）</w:t>
            </w:r>
          </w:p>
        </w:tc>
        <w:tc>
          <w:tcPr>
            <w:tcW w:w="2208" w:type="dxa"/>
            <w:vAlign w:val="center"/>
          </w:tcPr>
          <w:p>
            <w:pPr>
              <w:adjustRightInd w:val="0"/>
              <w:snapToGrid w:val="0"/>
              <w:jc w:val="center"/>
              <w:rPr>
                <w:color w:val="auto"/>
                <w:sz w:val="24"/>
                <w:highlight w:val="none"/>
              </w:rPr>
            </w:pPr>
            <w:r>
              <w:rPr>
                <w:rFonts w:hint="eastAsia"/>
                <w:color w:val="auto"/>
                <w:sz w:val="24"/>
                <w:highlight w:val="none"/>
              </w:rPr>
              <w:t>铜川市新区</w:t>
            </w:r>
            <w:r>
              <w:rPr>
                <w:color w:val="auto"/>
                <w:sz w:val="24"/>
                <w:highlight w:val="none"/>
              </w:rPr>
              <w:t>发展和改革局</w:t>
            </w:r>
          </w:p>
        </w:tc>
        <w:tc>
          <w:tcPr>
            <w:tcW w:w="2212" w:type="dxa"/>
            <w:vAlign w:val="center"/>
          </w:tcPr>
          <w:p>
            <w:pPr>
              <w:adjustRightInd w:val="0"/>
              <w:snapToGrid w:val="0"/>
              <w:jc w:val="center"/>
              <w:rPr>
                <w:color w:val="auto"/>
                <w:sz w:val="24"/>
                <w:highlight w:val="none"/>
              </w:rPr>
            </w:pPr>
            <w:r>
              <w:rPr>
                <w:color w:val="auto"/>
                <w:sz w:val="24"/>
                <w:highlight w:val="none"/>
              </w:rPr>
              <w:t>项目审批（核准/</w:t>
            </w:r>
          </w:p>
          <w:p>
            <w:pPr>
              <w:adjustRightInd w:val="0"/>
              <w:snapToGrid w:val="0"/>
              <w:jc w:val="center"/>
              <w:rPr>
                <w:color w:val="auto"/>
                <w:sz w:val="24"/>
                <w:highlight w:val="none"/>
              </w:rPr>
            </w:pPr>
            <w:r>
              <w:rPr>
                <w:color w:val="auto"/>
                <w:sz w:val="24"/>
                <w:highlight w:val="none"/>
              </w:rPr>
              <w:t>备案）文号（选填）</w:t>
            </w:r>
          </w:p>
        </w:tc>
        <w:tc>
          <w:tcPr>
            <w:tcW w:w="2639" w:type="dxa"/>
            <w:vAlign w:val="center"/>
          </w:tcPr>
          <w:p>
            <w:pPr>
              <w:adjustRightInd w:val="0"/>
              <w:snapToGrid w:val="0"/>
              <w:jc w:val="center"/>
              <w:rPr>
                <w:color w:val="auto"/>
                <w:sz w:val="24"/>
                <w:highlight w:val="none"/>
              </w:rPr>
            </w:pPr>
            <w:r>
              <w:rPr>
                <w:rFonts w:hint="eastAsia"/>
                <w:color w:val="auto"/>
                <w:sz w:val="24"/>
                <w:highlight w:val="none"/>
              </w:rPr>
              <w:t>/</w:t>
            </w:r>
          </w:p>
        </w:tc>
      </w:tr>
      <w:tr>
        <w:tblPrEx>
          <w:tblW w:w="0" w:type="auto"/>
          <w:jc w:val="center"/>
          <w:tblInd w:w="3" w:type="dxa"/>
          <w:tblCellMar>
            <w:top w:w="0" w:type="dxa"/>
            <w:left w:w="0" w:type="dxa"/>
            <w:bottom w:w="0" w:type="dxa"/>
            <w:right w:w="0" w:type="dxa"/>
          </w:tblCellMar>
          <w:tblLook w:val="0000"/>
        </w:tblPrEx>
        <w:trPr>
          <w:trHeight w:val="436"/>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总投资（万元）</w:t>
            </w:r>
          </w:p>
        </w:tc>
        <w:tc>
          <w:tcPr>
            <w:tcW w:w="2208" w:type="dxa"/>
            <w:vAlign w:val="center"/>
          </w:tcPr>
          <w:p>
            <w:pPr>
              <w:adjustRightInd w:val="0"/>
              <w:snapToGrid w:val="0"/>
              <w:jc w:val="center"/>
              <w:rPr>
                <w:color w:val="auto"/>
                <w:sz w:val="24"/>
                <w:highlight w:val="none"/>
              </w:rPr>
            </w:pPr>
            <w:r>
              <w:rPr>
                <w:rFonts w:hint="eastAsia"/>
                <w:color w:val="auto"/>
                <w:sz w:val="24"/>
                <w:highlight w:val="none"/>
              </w:rPr>
              <w:t>62651</w:t>
            </w:r>
          </w:p>
        </w:tc>
        <w:tc>
          <w:tcPr>
            <w:tcW w:w="2212" w:type="dxa"/>
            <w:tcMar>
              <w:top w:w="16" w:type="dxa"/>
              <w:left w:w="16" w:type="dxa"/>
              <w:right w:w="16" w:type="dxa"/>
            </w:tcMar>
            <w:vAlign w:val="center"/>
          </w:tcPr>
          <w:p>
            <w:pPr>
              <w:adjustRightInd w:val="0"/>
              <w:snapToGrid w:val="0"/>
              <w:jc w:val="center"/>
              <w:rPr>
                <w:color w:val="auto"/>
                <w:sz w:val="24"/>
                <w:highlight w:val="none"/>
              </w:rPr>
            </w:pPr>
            <w:r>
              <w:rPr>
                <w:color w:val="auto"/>
                <w:sz w:val="24"/>
                <w:highlight w:val="none"/>
              </w:rPr>
              <w:t>环保投资（万元）</w:t>
            </w:r>
          </w:p>
        </w:tc>
        <w:tc>
          <w:tcPr>
            <w:tcW w:w="2639" w:type="dxa"/>
            <w:vAlign w:val="center"/>
          </w:tcPr>
          <w:p>
            <w:pPr>
              <w:adjustRightInd w:val="0"/>
              <w:snapToGrid w:val="0"/>
              <w:jc w:val="center"/>
              <w:rPr>
                <w:rFonts w:eastAsia="宋体" w:hint="eastAsia"/>
                <w:color w:val="auto"/>
                <w:sz w:val="24"/>
                <w:highlight w:val="none"/>
              </w:rPr>
            </w:pPr>
            <w:r>
              <w:rPr>
                <w:rFonts w:hint="eastAsia"/>
                <w:color w:val="auto"/>
                <w:sz w:val="24"/>
                <w:highlight w:val="none"/>
              </w:rPr>
              <w:t>21</w:t>
            </w:r>
            <w:r>
              <w:rPr>
                <w:rFonts w:hint="eastAsia"/>
                <w:color w:val="auto"/>
                <w:sz w:val="24"/>
                <w:highlight w:val="none"/>
                <w:lang w:val="en-US" w:eastAsia="zh-CN"/>
              </w:rPr>
              <w:t>1</w:t>
            </w:r>
          </w:p>
        </w:tc>
      </w:tr>
      <w:tr>
        <w:tblPrEx>
          <w:tblW w:w="0" w:type="auto"/>
          <w:jc w:val="center"/>
          <w:tblInd w:w="3" w:type="dxa"/>
          <w:tblCellMar>
            <w:top w:w="0" w:type="dxa"/>
            <w:left w:w="0" w:type="dxa"/>
            <w:bottom w:w="0" w:type="dxa"/>
            <w:right w:w="0" w:type="dxa"/>
          </w:tblCellMar>
          <w:tblLook w:val="0000"/>
        </w:tblPrEx>
        <w:trPr>
          <w:trHeight w:val="478"/>
          <w:jc w:val="center"/>
        </w:trPr>
        <w:tc>
          <w:tcPr>
            <w:tcW w:w="1811" w:type="dxa"/>
            <w:tcMar>
              <w:top w:w="16" w:type="dxa"/>
              <w:left w:w="16" w:type="dxa"/>
              <w:right w:w="16" w:type="dxa"/>
            </w:tcMar>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环保投资占比（</w:t>
            </w:r>
            <w:r>
              <w:rPr>
                <w:rFonts w:ascii="宋体" w:hAnsi="宋体" w:cs="宋体"/>
                <w:color w:val="auto"/>
                <w:sz w:val="24"/>
                <w:highlight w:val="none"/>
              </w:rPr>
              <w:t>%</w:t>
            </w:r>
            <w:r>
              <w:rPr>
                <w:rFonts w:ascii="宋体" w:hAnsi="宋体" w:cs="宋体" w:hint="eastAsia"/>
                <w:color w:val="auto"/>
                <w:sz w:val="24"/>
                <w:highlight w:val="none"/>
              </w:rPr>
              <w:t>）</w:t>
            </w:r>
          </w:p>
        </w:tc>
        <w:tc>
          <w:tcPr>
            <w:tcW w:w="2208" w:type="dxa"/>
            <w:vAlign w:val="center"/>
          </w:tcPr>
          <w:p>
            <w:pPr>
              <w:adjustRightInd w:val="0"/>
              <w:snapToGrid w:val="0"/>
              <w:jc w:val="center"/>
              <w:rPr>
                <w:rFonts w:eastAsia="宋体" w:hint="eastAsia"/>
                <w:color w:val="auto"/>
                <w:sz w:val="24"/>
                <w:highlight w:val="none"/>
              </w:rPr>
            </w:pPr>
            <w:r>
              <w:rPr>
                <w:rFonts w:hint="eastAsia"/>
                <w:color w:val="auto"/>
                <w:sz w:val="24"/>
                <w:highlight w:val="none"/>
              </w:rPr>
              <w:t>0.3</w:t>
            </w:r>
            <w:r>
              <w:rPr>
                <w:rFonts w:hint="eastAsia"/>
                <w:color w:val="auto"/>
                <w:sz w:val="24"/>
                <w:highlight w:val="none"/>
                <w:lang w:val="en-US" w:eastAsia="zh-CN"/>
              </w:rPr>
              <w:t>4</w:t>
            </w:r>
          </w:p>
        </w:tc>
        <w:tc>
          <w:tcPr>
            <w:tcW w:w="2212" w:type="dxa"/>
            <w:tcMar>
              <w:top w:w="16" w:type="dxa"/>
              <w:left w:w="16" w:type="dxa"/>
              <w:right w:w="16" w:type="dxa"/>
            </w:tcMar>
            <w:vAlign w:val="center"/>
          </w:tcPr>
          <w:p>
            <w:pPr>
              <w:adjustRightInd w:val="0"/>
              <w:snapToGrid w:val="0"/>
              <w:jc w:val="center"/>
              <w:rPr>
                <w:color w:val="auto"/>
                <w:sz w:val="24"/>
                <w:highlight w:val="none"/>
              </w:rPr>
            </w:pPr>
            <w:r>
              <w:rPr>
                <w:color w:val="auto"/>
                <w:sz w:val="24"/>
                <w:highlight w:val="none"/>
              </w:rPr>
              <w:t>施工工期</w:t>
            </w:r>
          </w:p>
        </w:tc>
        <w:tc>
          <w:tcPr>
            <w:tcW w:w="2639" w:type="dxa"/>
            <w:vAlign w:val="center"/>
          </w:tcPr>
          <w:p>
            <w:pPr>
              <w:adjustRightInd w:val="0"/>
              <w:snapToGrid w:val="0"/>
              <w:jc w:val="center"/>
              <w:rPr>
                <w:rFonts w:eastAsia="宋体" w:hint="eastAsia"/>
                <w:color w:val="auto"/>
                <w:sz w:val="24"/>
                <w:highlight w:val="none"/>
              </w:rPr>
            </w:pPr>
            <w:r>
              <w:rPr>
                <w:rFonts w:hint="eastAsia"/>
                <w:color w:val="auto"/>
                <w:sz w:val="24"/>
                <w:highlight w:val="none"/>
              </w:rPr>
              <w:t>202</w:t>
            </w:r>
            <w:r>
              <w:rPr>
                <w:rFonts w:hint="eastAsia"/>
                <w:color w:val="auto"/>
                <w:sz w:val="24"/>
                <w:highlight w:val="none"/>
                <w:lang w:val="en-US" w:eastAsia="zh-CN"/>
              </w:rPr>
              <w:t>3.3</w:t>
            </w:r>
            <w:r>
              <w:rPr>
                <w:rFonts w:hint="eastAsia"/>
                <w:color w:val="auto"/>
                <w:sz w:val="24"/>
                <w:highlight w:val="none"/>
              </w:rPr>
              <w:t>~202</w:t>
            </w:r>
            <w:r>
              <w:rPr>
                <w:rFonts w:hint="eastAsia"/>
                <w:color w:val="auto"/>
                <w:sz w:val="24"/>
                <w:highlight w:val="none"/>
                <w:lang w:val="en-US" w:eastAsia="zh-CN"/>
              </w:rPr>
              <w:t>6</w:t>
            </w:r>
            <w:r>
              <w:rPr>
                <w:rFonts w:hint="eastAsia"/>
                <w:color w:val="auto"/>
                <w:sz w:val="24"/>
                <w:highlight w:val="none"/>
              </w:rPr>
              <w:t>.</w:t>
            </w:r>
            <w:r>
              <w:rPr>
                <w:rFonts w:hint="eastAsia"/>
                <w:color w:val="auto"/>
                <w:sz w:val="24"/>
                <w:highlight w:val="none"/>
                <w:lang w:val="en-US" w:eastAsia="zh-CN"/>
              </w:rPr>
              <w:t>3</w:t>
            </w:r>
          </w:p>
        </w:tc>
      </w:tr>
      <w:tr>
        <w:tblPrEx>
          <w:tblW w:w="0" w:type="auto"/>
          <w:jc w:val="center"/>
          <w:tblInd w:w="3" w:type="dxa"/>
          <w:tblCellMar>
            <w:top w:w="0" w:type="dxa"/>
            <w:left w:w="0" w:type="dxa"/>
            <w:bottom w:w="0" w:type="dxa"/>
            <w:right w:w="0" w:type="dxa"/>
          </w:tblCellMar>
          <w:tblLook w:val="0000"/>
        </w:tblPrEx>
        <w:trPr>
          <w:trHeight w:val="497"/>
          <w:jc w:val="center"/>
        </w:trPr>
        <w:tc>
          <w:tcPr>
            <w:tcW w:w="1811" w:type="dxa"/>
            <w:tcMar>
              <w:top w:w="16" w:type="dxa"/>
              <w:left w:w="16" w:type="dxa"/>
              <w:right w:w="16" w:type="dxa"/>
            </w:tcMar>
            <w:vAlign w:val="center"/>
          </w:tcPr>
          <w:p>
            <w:pPr>
              <w:adjustRightInd w:val="0"/>
              <w:snapToGrid w:val="0"/>
              <w:jc w:val="center"/>
              <w:rPr>
                <w:rFonts w:ascii="宋体" w:hAnsi="宋体" w:cs="宋体" w:hint="eastAsia"/>
                <w:color w:val="auto"/>
                <w:sz w:val="24"/>
                <w:highlight w:val="none"/>
              </w:rPr>
            </w:pPr>
            <w:r>
              <w:rPr>
                <w:rFonts w:ascii="宋体" w:hAnsi="宋体" w:cs="宋体" w:hint="eastAsia"/>
                <w:color w:val="auto"/>
                <w:sz w:val="24"/>
                <w:highlight w:val="none"/>
              </w:rPr>
              <w:t>是否开工建设</w:t>
            </w:r>
          </w:p>
        </w:tc>
        <w:tc>
          <w:tcPr>
            <w:tcW w:w="2208" w:type="dxa"/>
            <w:vAlign w:val="center"/>
          </w:tcPr>
          <w:p>
            <w:pPr>
              <w:adjustRightInd w:val="0"/>
              <w:snapToGrid w:val="0"/>
              <w:rPr>
                <w:color w:val="auto"/>
                <w:sz w:val="24"/>
                <w:highlight w:val="none"/>
              </w:rPr>
            </w:pPr>
            <w:r>
              <w:rPr>
                <w:rFonts w:ascii="Wingdings 2" w:hAnsi="Wingdings 2"/>
                <w:color w:val="auto"/>
                <w:sz w:val="24"/>
                <w:highlight w:val="none"/>
              </w:rPr>
              <w:sym w:font="Wingdings 2" w:char="F052"/>
            </w:r>
            <w:r>
              <w:rPr>
                <w:color w:val="auto"/>
                <w:sz w:val="24"/>
                <w:highlight w:val="none"/>
              </w:rPr>
              <w:t>否</w:t>
            </w:r>
          </w:p>
          <w:p>
            <w:pPr>
              <w:adjustRightInd w:val="0"/>
              <w:snapToGrid w:val="0"/>
              <w:rPr>
                <w:color w:val="auto"/>
                <w:sz w:val="24"/>
                <w:highlight w:val="none"/>
              </w:rPr>
            </w:pPr>
            <w:r>
              <w:rPr>
                <w:rFonts w:ascii="Wingdings 2" w:hAnsi="Wingdings 2"/>
                <w:color w:val="auto"/>
                <w:sz w:val="24"/>
                <w:highlight w:val="none"/>
              </w:rPr>
              <w:sym w:font="Wingdings 2" w:char="F0A3"/>
            </w:r>
            <w:r>
              <w:rPr>
                <w:color w:val="auto"/>
                <w:sz w:val="24"/>
                <w:highlight w:val="none"/>
              </w:rPr>
              <w:t>是：</w:t>
            </w:r>
            <w:r>
              <w:rPr>
                <w:color w:val="auto"/>
                <w:sz w:val="24"/>
                <w:highlight w:val="none"/>
                <w:u w:val="single"/>
              </w:rPr>
              <w:t xml:space="preserve">             </w:t>
            </w:r>
          </w:p>
        </w:tc>
        <w:tc>
          <w:tcPr>
            <w:tcW w:w="2212" w:type="dxa"/>
            <w:tcMar>
              <w:top w:w="16" w:type="dxa"/>
              <w:left w:w="16" w:type="dxa"/>
              <w:right w:w="16" w:type="dxa"/>
            </w:tcMar>
            <w:vAlign w:val="center"/>
          </w:tcPr>
          <w:p>
            <w:pPr>
              <w:adjustRightInd w:val="0"/>
              <w:snapToGrid w:val="0"/>
              <w:jc w:val="center"/>
              <w:rPr>
                <w:color w:val="auto"/>
                <w:spacing w:val="-6"/>
                <w:sz w:val="24"/>
                <w:highlight w:val="none"/>
              </w:rPr>
            </w:pPr>
            <w:r>
              <w:rPr>
                <w:color w:val="auto"/>
                <w:spacing w:val="-6"/>
                <w:sz w:val="24"/>
                <w:highlight w:val="none"/>
              </w:rPr>
              <w:t>用地（用海）</w:t>
            </w:r>
          </w:p>
          <w:p>
            <w:pPr>
              <w:adjustRightInd w:val="0"/>
              <w:snapToGrid w:val="0"/>
              <w:jc w:val="center"/>
              <w:rPr>
                <w:color w:val="auto"/>
                <w:sz w:val="24"/>
                <w:highlight w:val="none"/>
              </w:rPr>
            </w:pPr>
            <w:r>
              <w:rPr>
                <w:color w:val="auto"/>
                <w:spacing w:val="-6"/>
                <w:sz w:val="24"/>
                <w:highlight w:val="none"/>
              </w:rPr>
              <w:t>面积（m</w:t>
            </w:r>
            <w:r>
              <w:rPr>
                <w:color w:val="auto"/>
                <w:spacing w:val="-6"/>
                <w:sz w:val="24"/>
                <w:highlight w:val="none"/>
                <w:vertAlign w:val="superscript"/>
              </w:rPr>
              <w:t>2</w:t>
            </w:r>
            <w:r>
              <w:rPr>
                <w:color w:val="auto"/>
                <w:spacing w:val="-6"/>
                <w:sz w:val="24"/>
                <w:highlight w:val="none"/>
              </w:rPr>
              <w:t>）</w:t>
            </w:r>
          </w:p>
        </w:tc>
        <w:tc>
          <w:tcPr>
            <w:tcW w:w="2639" w:type="dxa"/>
            <w:vAlign w:val="center"/>
          </w:tcPr>
          <w:p>
            <w:pPr>
              <w:adjustRightInd w:val="0"/>
              <w:snapToGrid w:val="0"/>
              <w:jc w:val="center"/>
              <w:rPr>
                <w:color w:val="auto"/>
                <w:sz w:val="24"/>
                <w:highlight w:val="none"/>
              </w:rPr>
            </w:pPr>
            <w:r>
              <w:rPr>
                <w:rFonts w:hint="eastAsia"/>
                <w:color w:val="auto"/>
                <w:sz w:val="24"/>
                <w:highlight w:val="none"/>
              </w:rPr>
              <w:t>79405</w:t>
            </w:r>
          </w:p>
        </w:tc>
      </w:tr>
      <w:tr>
        <w:tblPrEx>
          <w:tblW w:w="0" w:type="auto"/>
          <w:jc w:val="center"/>
          <w:tblInd w:w="3" w:type="dxa"/>
          <w:tblCellMar>
            <w:top w:w="0" w:type="dxa"/>
            <w:left w:w="108" w:type="dxa"/>
            <w:bottom w:w="0" w:type="dxa"/>
            <w:right w:w="108" w:type="dxa"/>
          </w:tblCellMar>
          <w:tblLook w:val="0000"/>
        </w:tblPrEx>
        <w:trPr>
          <w:trHeight w:val="1021"/>
          <w:jc w:val="center"/>
        </w:trPr>
        <w:tc>
          <w:tcPr>
            <w:tcW w:w="1811" w:type="dxa"/>
            <w:vAlign w:val="center"/>
          </w:tcPr>
          <w:p>
            <w:pPr>
              <w:autoSpaceDE w:val="0"/>
              <w:autoSpaceDN w:val="0"/>
              <w:adjustRightInd w:val="0"/>
              <w:snapToGrid w:val="0"/>
              <w:jc w:val="center"/>
              <w:rPr>
                <w:rFonts w:ascii="宋体" w:hAnsi="宋体" w:cs="宋体"/>
                <w:color w:val="auto"/>
                <w:kern w:val="0"/>
                <w:sz w:val="24"/>
                <w:highlight w:val="none"/>
              </w:rPr>
            </w:pPr>
            <w:r>
              <w:rPr>
                <w:rFonts w:ascii="宋体" w:hAnsi="宋体" w:cs="宋体" w:hint="eastAsia"/>
                <w:color w:val="auto"/>
                <w:kern w:val="0"/>
                <w:sz w:val="24"/>
                <w:highlight w:val="none"/>
              </w:rPr>
              <w:t>专项评价设置情况</w:t>
            </w:r>
          </w:p>
        </w:tc>
        <w:tc>
          <w:tcPr>
            <w:tcW w:w="7059" w:type="dxa"/>
            <w:gridSpan w:val="3"/>
            <w:vAlign w:val="center"/>
          </w:tcPr>
          <w:p>
            <w:pPr>
              <w:autoSpaceDE w:val="0"/>
              <w:autoSpaceDN w:val="0"/>
              <w:adjustRightInd w:val="0"/>
              <w:snapToGrid w:val="0"/>
              <w:jc w:val="center"/>
              <w:rPr>
                <w:b/>
                <w:bCs/>
                <w:color w:val="auto"/>
                <w:sz w:val="24"/>
                <w:highlight w:val="none"/>
              </w:rPr>
            </w:pPr>
            <w:r>
              <w:rPr>
                <w:b/>
                <w:bCs/>
                <w:color w:val="auto"/>
                <w:sz w:val="24"/>
                <w:highlight w:val="none"/>
              </w:rPr>
              <w:t>表1</w:t>
            </w:r>
            <w:r>
              <w:rPr>
                <w:rFonts w:hint="eastAsia"/>
                <w:b/>
                <w:bCs/>
                <w:color w:val="auto"/>
                <w:sz w:val="24"/>
                <w:highlight w:val="none"/>
              </w:rPr>
              <w:t>-1</w:t>
            </w:r>
            <w:r>
              <w:rPr>
                <w:b/>
                <w:bCs/>
                <w:color w:val="auto"/>
                <w:sz w:val="24"/>
                <w:highlight w:val="none"/>
              </w:rPr>
              <w:t xml:space="preserve">  专项评价设置对照一览表</w:t>
            </w:r>
          </w:p>
          <w:tbl>
            <w:tblPr>
              <w:tblStyle w:val="TableNormal"/>
              <w:tblW w:w="4998" w:type="pct"/>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3552"/>
              <w:gridCol w:w="1946"/>
            </w:tblGrid>
            <w:tr>
              <w:tblPrEx>
                <w:tblW w:w="4998" w:type="pct"/>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90"/>
              </w:trPr>
              <w:tc>
                <w:tcPr>
                  <w:tcW w:w="981" w:type="pct"/>
                  <w:vAlign w:val="center"/>
                </w:tcPr>
                <w:p>
                  <w:pPr>
                    <w:widowControl/>
                    <w:spacing w:line="320" w:lineRule="exact"/>
                    <w:jc w:val="center"/>
                    <w:rPr>
                      <w:rFonts w:hint="eastAsia"/>
                      <w:b/>
                      <w:bCs/>
                      <w:color w:val="auto"/>
                      <w:kern w:val="0"/>
                      <w:highlight w:val="none"/>
                    </w:rPr>
                  </w:pPr>
                  <w:r>
                    <w:rPr>
                      <w:rFonts w:hint="eastAsia"/>
                      <w:b/>
                      <w:bCs/>
                      <w:color w:val="auto"/>
                      <w:kern w:val="0"/>
                      <w:highlight w:val="none"/>
                    </w:rPr>
                    <w:t>专项评价的类别</w:t>
                  </w:r>
                </w:p>
              </w:tc>
              <w:tc>
                <w:tcPr>
                  <w:tcW w:w="2595" w:type="pct"/>
                  <w:vAlign w:val="center"/>
                </w:tcPr>
                <w:p>
                  <w:pPr>
                    <w:widowControl/>
                    <w:spacing w:line="320" w:lineRule="exact"/>
                    <w:jc w:val="center"/>
                    <w:rPr>
                      <w:rFonts w:hint="eastAsia"/>
                      <w:b/>
                      <w:bCs/>
                      <w:color w:val="auto"/>
                      <w:kern w:val="0"/>
                      <w:highlight w:val="none"/>
                    </w:rPr>
                  </w:pPr>
                  <w:r>
                    <w:rPr>
                      <w:rFonts w:hint="eastAsia"/>
                      <w:b/>
                      <w:bCs/>
                      <w:color w:val="auto"/>
                      <w:kern w:val="0"/>
                      <w:highlight w:val="none"/>
                    </w:rPr>
                    <w:t>专项评价的类别涉及项目类别</w:t>
                  </w:r>
                </w:p>
              </w:tc>
              <w:tc>
                <w:tcPr>
                  <w:tcW w:w="1422" w:type="pct"/>
                  <w:vAlign w:val="center"/>
                </w:tcPr>
                <w:p>
                  <w:pPr>
                    <w:widowControl/>
                    <w:spacing w:line="320" w:lineRule="exact"/>
                    <w:jc w:val="center"/>
                    <w:rPr>
                      <w:rFonts w:eastAsia="宋体" w:hint="eastAsia"/>
                      <w:b/>
                      <w:bCs/>
                      <w:color w:val="auto"/>
                      <w:kern w:val="0"/>
                      <w:highlight w:val="none"/>
                    </w:rPr>
                  </w:pPr>
                  <w:r>
                    <w:rPr>
                      <w:rFonts w:hint="eastAsia"/>
                      <w:b/>
                      <w:bCs/>
                      <w:color w:val="auto"/>
                      <w:kern w:val="0"/>
                      <w:highlight w:val="none"/>
                    </w:rPr>
                    <w:t>本项目</w:t>
                  </w:r>
                  <w:r>
                    <w:rPr>
                      <w:rFonts w:hint="eastAsia"/>
                      <w:b/>
                      <w:bCs/>
                      <w:color w:val="auto"/>
                      <w:kern w:val="0"/>
                      <w:highlight w:val="none"/>
                      <w:lang w:val="en-US" w:eastAsia="zh-CN"/>
                    </w:rPr>
                    <w:t>情况</w:t>
                  </w:r>
                </w:p>
              </w:tc>
            </w:tr>
            <w:tr>
              <w:tblPrEx>
                <w:tblW w:w="4998" w:type="pct"/>
                <w:tblInd w:w="108" w:type="dxa"/>
                <w:tblCellMar>
                  <w:top w:w="0" w:type="dxa"/>
                  <w:left w:w="108" w:type="dxa"/>
                  <w:bottom w:w="0" w:type="dxa"/>
                  <w:right w:w="108" w:type="dxa"/>
                </w:tblCellMar>
                <w:tblLook w:val="0000"/>
              </w:tblPrEx>
              <w:tc>
                <w:tcPr>
                  <w:tcW w:w="981" w:type="pct"/>
                  <w:vAlign w:val="center"/>
                </w:tcPr>
                <w:p>
                  <w:pPr>
                    <w:widowControl/>
                    <w:spacing w:line="320" w:lineRule="exact"/>
                    <w:jc w:val="center"/>
                    <w:rPr>
                      <w:color w:val="auto"/>
                      <w:kern w:val="0"/>
                      <w:highlight w:val="none"/>
                    </w:rPr>
                  </w:pPr>
                  <w:r>
                    <w:rPr>
                      <w:color w:val="auto"/>
                      <w:kern w:val="0"/>
                      <w:highlight w:val="none"/>
                    </w:rPr>
                    <w:t>大气</w:t>
                  </w:r>
                </w:p>
              </w:tc>
              <w:tc>
                <w:tcPr>
                  <w:tcW w:w="2595" w:type="pct"/>
                  <w:vAlign w:val="center"/>
                </w:tcPr>
                <w:p>
                  <w:pPr>
                    <w:widowControl/>
                    <w:spacing w:line="320" w:lineRule="exact"/>
                    <w:jc w:val="center"/>
                    <w:rPr>
                      <w:color w:val="auto"/>
                      <w:kern w:val="0"/>
                      <w:highlight w:val="none"/>
                    </w:rPr>
                  </w:pPr>
                  <w:r>
                    <w:rPr>
                      <w:color w:val="auto"/>
                      <w:kern w:val="0"/>
                      <w:highlight w:val="none"/>
                    </w:rPr>
                    <w:t>排放废气含有毒有害污染物、二噁英、苯并[a]芘、氰化物、氯气且厂界外500 米范围内有环境空气保护目标的建设项目</w:t>
                  </w:r>
                </w:p>
              </w:tc>
              <w:tc>
                <w:tcPr>
                  <w:tcW w:w="1422" w:type="pct"/>
                  <w:vAlign w:val="center"/>
                </w:tcPr>
                <w:p>
                  <w:pPr>
                    <w:widowControl/>
                    <w:spacing w:line="320" w:lineRule="exact"/>
                    <w:jc w:val="center"/>
                    <w:rPr>
                      <w:color w:val="auto"/>
                      <w:kern w:val="0"/>
                      <w:highlight w:val="none"/>
                    </w:rPr>
                  </w:pPr>
                  <w:r>
                    <w:rPr>
                      <w:color w:val="auto"/>
                      <w:kern w:val="0"/>
                      <w:highlight w:val="none"/>
                    </w:rPr>
                    <w:t>本项目</w:t>
                  </w:r>
                  <w:r>
                    <w:rPr>
                      <w:rFonts w:hint="eastAsia"/>
                      <w:color w:val="auto"/>
                      <w:kern w:val="0"/>
                      <w:highlight w:val="none"/>
                    </w:rPr>
                    <w:t>不排放此类物，</w:t>
                  </w:r>
                  <w:r>
                    <w:rPr>
                      <w:color w:val="auto"/>
                      <w:kern w:val="0"/>
                      <w:highlight w:val="none"/>
                    </w:rPr>
                    <w:t>不设</w:t>
                  </w:r>
                  <w:r>
                    <w:rPr>
                      <w:rFonts w:hint="eastAsia"/>
                      <w:color w:val="auto"/>
                      <w:kern w:val="0"/>
                      <w:highlight w:val="none"/>
                    </w:rPr>
                    <w:t>大气</w:t>
                  </w:r>
                  <w:r>
                    <w:rPr>
                      <w:color w:val="auto"/>
                      <w:kern w:val="0"/>
                      <w:highlight w:val="none"/>
                    </w:rPr>
                    <w:t>专项评价</w:t>
                  </w:r>
                </w:p>
              </w:tc>
            </w:tr>
            <w:tr>
              <w:tblPrEx>
                <w:tblW w:w="4998" w:type="pct"/>
                <w:tblInd w:w="108" w:type="dxa"/>
                <w:tblCellMar>
                  <w:top w:w="0" w:type="dxa"/>
                  <w:left w:w="108" w:type="dxa"/>
                  <w:bottom w:w="0" w:type="dxa"/>
                  <w:right w:w="108" w:type="dxa"/>
                </w:tblCellMar>
                <w:tblLook w:val="0000"/>
              </w:tblPrEx>
              <w:tc>
                <w:tcPr>
                  <w:tcW w:w="981" w:type="pct"/>
                  <w:vAlign w:val="center"/>
                </w:tcPr>
                <w:p>
                  <w:pPr>
                    <w:widowControl/>
                    <w:spacing w:line="320" w:lineRule="exact"/>
                    <w:jc w:val="center"/>
                    <w:rPr>
                      <w:color w:val="auto"/>
                      <w:kern w:val="0"/>
                      <w:highlight w:val="none"/>
                    </w:rPr>
                  </w:pPr>
                  <w:r>
                    <w:rPr>
                      <w:color w:val="auto"/>
                      <w:kern w:val="0"/>
                      <w:highlight w:val="none"/>
                    </w:rPr>
                    <w:t>地表水</w:t>
                  </w:r>
                </w:p>
              </w:tc>
              <w:tc>
                <w:tcPr>
                  <w:tcW w:w="2595" w:type="pct"/>
                  <w:vAlign w:val="center"/>
                </w:tcPr>
                <w:p>
                  <w:pPr>
                    <w:widowControl/>
                    <w:spacing w:line="320" w:lineRule="exact"/>
                    <w:jc w:val="center"/>
                    <w:rPr>
                      <w:color w:val="auto"/>
                      <w:kern w:val="0"/>
                      <w:highlight w:val="none"/>
                    </w:rPr>
                  </w:pPr>
                  <w:r>
                    <w:rPr>
                      <w:color w:val="auto"/>
                      <w:kern w:val="0"/>
                      <w:highlight w:val="none"/>
                    </w:rPr>
                    <w:t>新增工业废水直排建设项目（槽罐车外送污水处理厂的除外）；新增废水直排的污水集中处理厂</w:t>
                  </w:r>
                </w:p>
              </w:tc>
              <w:tc>
                <w:tcPr>
                  <w:tcW w:w="1422" w:type="pct"/>
                  <w:vAlign w:val="center"/>
                </w:tcPr>
                <w:p>
                  <w:pPr>
                    <w:widowControl/>
                    <w:spacing w:line="320" w:lineRule="exact"/>
                    <w:jc w:val="center"/>
                    <w:rPr>
                      <w:color w:val="auto"/>
                      <w:kern w:val="0"/>
                      <w:highlight w:val="none"/>
                    </w:rPr>
                  </w:pPr>
                  <w:r>
                    <w:rPr>
                      <w:color w:val="auto"/>
                      <w:kern w:val="0"/>
                      <w:highlight w:val="none"/>
                    </w:rPr>
                    <w:t>本项目</w:t>
                  </w:r>
                  <w:r>
                    <w:rPr>
                      <w:rFonts w:hint="eastAsia"/>
                      <w:color w:val="auto"/>
                      <w:kern w:val="0"/>
                      <w:highlight w:val="none"/>
                      <w:lang w:val="en-US" w:eastAsia="zh-CN"/>
                    </w:rPr>
                    <w:t>生产</w:t>
                  </w:r>
                  <w:r>
                    <w:rPr>
                      <w:color w:val="auto"/>
                      <w:kern w:val="0"/>
                      <w:highlight w:val="none"/>
                    </w:rPr>
                    <w:t>废水不外排，不设地表水专项评价</w:t>
                  </w:r>
                </w:p>
              </w:tc>
            </w:tr>
            <w:tr>
              <w:tblPrEx>
                <w:tblW w:w="4998" w:type="pct"/>
                <w:tblInd w:w="108" w:type="dxa"/>
                <w:tblCellMar>
                  <w:top w:w="0" w:type="dxa"/>
                  <w:left w:w="108" w:type="dxa"/>
                  <w:bottom w:w="0" w:type="dxa"/>
                  <w:right w:w="108" w:type="dxa"/>
                </w:tblCellMar>
                <w:tblLook w:val="0000"/>
              </w:tblPrEx>
              <w:tc>
                <w:tcPr>
                  <w:tcW w:w="981" w:type="pct"/>
                  <w:vAlign w:val="center"/>
                </w:tcPr>
                <w:p>
                  <w:pPr>
                    <w:widowControl/>
                    <w:spacing w:line="320" w:lineRule="exact"/>
                    <w:jc w:val="center"/>
                    <w:rPr>
                      <w:color w:val="auto"/>
                      <w:kern w:val="0"/>
                      <w:highlight w:val="none"/>
                    </w:rPr>
                  </w:pPr>
                  <w:r>
                    <w:rPr>
                      <w:color w:val="auto"/>
                      <w:kern w:val="0"/>
                      <w:highlight w:val="none"/>
                    </w:rPr>
                    <w:t>环境风险</w:t>
                  </w:r>
                </w:p>
              </w:tc>
              <w:tc>
                <w:tcPr>
                  <w:tcW w:w="2595" w:type="pct"/>
                  <w:vAlign w:val="center"/>
                </w:tcPr>
                <w:p>
                  <w:pPr>
                    <w:widowControl/>
                    <w:spacing w:line="320" w:lineRule="exact"/>
                    <w:jc w:val="center"/>
                    <w:rPr>
                      <w:color w:val="auto"/>
                      <w:kern w:val="0"/>
                      <w:highlight w:val="none"/>
                    </w:rPr>
                  </w:pPr>
                  <w:r>
                    <w:rPr>
                      <w:color w:val="auto"/>
                      <w:kern w:val="0"/>
                      <w:highlight w:val="none"/>
                    </w:rPr>
                    <w:t>有毒有害和易燃易爆危险物质存储量超过临界量的建设项目</w:t>
                  </w:r>
                </w:p>
              </w:tc>
              <w:tc>
                <w:tcPr>
                  <w:tcW w:w="1422" w:type="pct"/>
                  <w:vAlign w:val="center"/>
                </w:tcPr>
                <w:p>
                  <w:pPr>
                    <w:widowControl/>
                    <w:spacing w:line="320" w:lineRule="exact"/>
                    <w:jc w:val="center"/>
                    <w:rPr>
                      <w:rFonts w:hint="eastAsia"/>
                      <w:color w:val="auto"/>
                      <w:kern w:val="0"/>
                      <w:highlight w:val="none"/>
                    </w:rPr>
                  </w:pPr>
                  <w:r>
                    <w:rPr>
                      <w:color w:val="auto"/>
                      <w:kern w:val="0"/>
                      <w:highlight w:val="none"/>
                    </w:rPr>
                    <w:t>本项目</w:t>
                  </w:r>
                  <w:r>
                    <w:rPr>
                      <w:rFonts w:hint="eastAsia"/>
                      <w:color w:val="auto"/>
                      <w:kern w:val="0"/>
                      <w:highlight w:val="none"/>
                      <w:lang w:val="en-US" w:eastAsia="zh-CN"/>
                    </w:rPr>
                    <w:t>风险物质未超临界量，不</w:t>
                  </w:r>
                  <w:r>
                    <w:rPr>
                      <w:color w:val="auto"/>
                      <w:kern w:val="0"/>
                      <w:highlight w:val="none"/>
                    </w:rPr>
                    <w:t>设环境风险</w:t>
                  </w:r>
                  <w:r>
                    <w:rPr>
                      <w:rFonts w:hint="eastAsia"/>
                      <w:color w:val="auto"/>
                      <w:kern w:val="0"/>
                      <w:highlight w:val="none"/>
                    </w:rPr>
                    <w:t>专项评价</w:t>
                  </w:r>
                </w:p>
              </w:tc>
            </w:tr>
            <w:tr>
              <w:tblPrEx>
                <w:tblW w:w="4998" w:type="pct"/>
                <w:tblInd w:w="108" w:type="dxa"/>
                <w:tblCellMar>
                  <w:top w:w="0" w:type="dxa"/>
                  <w:left w:w="108" w:type="dxa"/>
                  <w:bottom w:w="0" w:type="dxa"/>
                  <w:right w:w="108" w:type="dxa"/>
                </w:tblCellMar>
                <w:tblLook w:val="0000"/>
              </w:tblPrEx>
              <w:tc>
                <w:tcPr>
                  <w:tcW w:w="981" w:type="pct"/>
                  <w:vAlign w:val="center"/>
                </w:tcPr>
                <w:p>
                  <w:pPr>
                    <w:widowControl/>
                    <w:spacing w:line="320" w:lineRule="exact"/>
                    <w:jc w:val="center"/>
                    <w:rPr>
                      <w:color w:val="auto"/>
                      <w:kern w:val="0"/>
                      <w:highlight w:val="none"/>
                    </w:rPr>
                  </w:pPr>
                  <w:r>
                    <w:rPr>
                      <w:color w:val="auto"/>
                      <w:kern w:val="0"/>
                      <w:highlight w:val="none"/>
                    </w:rPr>
                    <w:t>生态</w:t>
                  </w:r>
                </w:p>
              </w:tc>
              <w:tc>
                <w:tcPr>
                  <w:tcW w:w="2595" w:type="pct"/>
                  <w:vAlign w:val="center"/>
                </w:tcPr>
                <w:p>
                  <w:pPr>
                    <w:widowControl/>
                    <w:spacing w:after="0" w:line="320" w:lineRule="exact"/>
                    <w:jc w:val="center"/>
                    <w:rPr>
                      <w:color w:val="auto"/>
                      <w:kern w:val="0"/>
                      <w:highlight w:val="none"/>
                    </w:rPr>
                  </w:pPr>
                </w:p>
              </w:tc>
              <w:tc>
                <w:tcPr>
                  <w:tcW w:w="1422" w:type="pct"/>
                  <w:vAlign w:val="center"/>
                </w:tcPr>
                <w:p>
                  <w:pPr>
                    <w:widowControl/>
                    <w:spacing w:line="320" w:lineRule="exact"/>
                    <w:jc w:val="center"/>
                    <w:rPr>
                      <w:color w:val="auto"/>
                      <w:kern w:val="0"/>
                      <w:highlight w:val="none"/>
                    </w:rPr>
                  </w:pPr>
                  <w:r>
                    <w:rPr>
                      <w:color w:val="auto"/>
                      <w:kern w:val="0"/>
                      <w:highlight w:val="none"/>
                    </w:rPr>
                    <w:t>本项目不设生态专项评价</w:t>
                  </w:r>
                </w:p>
              </w:tc>
            </w:tr>
          </w:tbl>
          <w:p/>
        </w:tc>
      </w:tr>
    </w:tbl>
    <w:p>
      <w:pPr>
        <w:sectPr>
          <w:footerReference w:type="default" r:id="rId4"/>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1"/>
          <w:cols w:space="708"/>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021"/>
          <w:jc w:val="center"/>
        </w:trPr>
        <w:tc>
          <w:tcPr>
            <w:tcW w:w="1811" w:type="dxa"/>
            <w:vAlign w:val="center"/>
          </w:tcPr>
          <w:p/>
        </w:tc>
        <w:tc>
          <w:tcPr>
            <w:tcW w:w="7059" w:type="dxa"/>
            <w:vAlign w:val="center"/>
          </w:tcPr>
          <w:tbl>
            <w:tblPr>
              <w:tblStyle w:val="TableNormal"/>
              <w:tblW w:w="4998" w:type="pct"/>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1342"/>
              <w:gridCol w:w="3552"/>
              <w:gridCol w:w="1946"/>
            </w:tblGrid>
            <w:tr>
              <w:tblPrEx>
                <w:tblW w:w="4998" w:type="pct"/>
                <w:tblInd w:w="108"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c>
                <w:tcPr>
                  <w:tcW w:w="981" w:type="pct"/>
                  <w:vAlign w:val="center"/>
                </w:tcPr>
                <w:p/>
              </w:tc>
              <w:tc>
                <w:tcPr>
                  <w:tcW w:w="2595" w:type="pct"/>
                  <w:vAlign w:val="center"/>
                </w:tcPr>
                <w:p>
                  <w:pPr>
                    <w:widowControl/>
                    <w:spacing w:before="0" w:line="320" w:lineRule="exact"/>
                    <w:jc w:val="center"/>
                    <w:rPr>
                      <w:color w:val="auto"/>
                      <w:kern w:val="0"/>
                      <w:highlight w:val="none"/>
                    </w:rPr>
                  </w:pPr>
                  <w:r>
                    <w:rPr>
                      <w:color w:val="auto"/>
                      <w:kern w:val="0"/>
                      <w:highlight w:val="none"/>
                    </w:rPr>
                    <w:t>取水口下游500米范围内有重要水生生物的自然产卵场、索饵场、越冬场和洄游通道的新增河道取水的污染类建设项目</w:t>
                  </w:r>
                </w:p>
              </w:tc>
              <w:tc>
                <w:tcPr>
                  <w:tcW w:w="1422" w:type="pct"/>
                  <w:vAlign w:val="center"/>
                </w:tcPr>
                <w:p/>
              </w:tc>
            </w:tr>
            <w:tr>
              <w:tblPrEx>
                <w:tblW w:w="4998" w:type="pct"/>
                <w:tblInd w:w="108" w:type="dxa"/>
                <w:tblCellMar>
                  <w:top w:w="0" w:type="dxa"/>
                  <w:left w:w="108" w:type="dxa"/>
                  <w:bottom w:w="0" w:type="dxa"/>
                  <w:right w:w="108" w:type="dxa"/>
                </w:tblCellMar>
                <w:tblLook w:val="0000"/>
              </w:tblPrEx>
              <w:tc>
                <w:tcPr>
                  <w:tcW w:w="981" w:type="pct"/>
                  <w:vAlign w:val="center"/>
                </w:tcPr>
                <w:p>
                  <w:pPr>
                    <w:widowControl/>
                    <w:spacing w:line="320" w:lineRule="exact"/>
                    <w:jc w:val="center"/>
                    <w:rPr>
                      <w:color w:val="auto"/>
                      <w:kern w:val="0"/>
                      <w:highlight w:val="none"/>
                    </w:rPr>
                  </w:pPr>
                  <w:r>
                    <w:rPr>
                      <w:color w:val="auto"/>
                      <w:kern w:val="0"/>
                      <w:highlight w:val="none"/>
                    </w:rPr>
                    <w:t>海洋</w:t>
                  </w:r>
                </w:p>
              </w:tc>
              <w:tc>
                <w:tcPr>
                  <w:tcW w:w="2595" w:type="pct"/>
                  <w:vAlign w:val="center"/>
                </w:tcPr>
                <w:p>
                  <w:pPr>
                    <w:widowControl/>
                    <w:spacing w:line="320" w:lineRule="exact"/>
                    <w:jc w:val="center"/>
                    <w:rPr>
                      <w:color w:val="auto"/>
                      <w:kern w:val="0"/>
                      <w:highlight w:val="none"/>
                    </w:rPr>
                  </w:pPr>
                  <w:r>
                    <w:rPr>
                      <w:color w:val="auto"/>
                      <w:kern w:val="0"/>
                      <w:highlight w:val="none"/>
                    </w:rPr>
                    <w:t>直接向海排放污染物的海洋工程建设项目</w:t>
                  </w:r>
                </w:p>
              </w:tc>
              <w:tc>
                <w:tcPr>
                  <w:tcW w:w="1422" w:type="pct"/>
                  <w:vAlign w:val="center"/>
                </w:tcPr>
                <w:p>
                  <w:pPr>
                    <w:widowControl/>
                    <w:spacing w:line="320" w:lineRule="exact"/>
                    <w:jc w:val="center"/>
                    <w:rPr>
                      <w:color w:val="auto"/>
                      <w:kern w:val="0"/>
                      <w:highlight w:val="none"/>
                    </w:rPr>
                  </w:pPr>
                  <w:r>
                    <w:rPr>
                      <w:color w:val="auto"/>
                      <w:kern w:val="0"/>
                      <w:highlight w:val="none"/>
                    </w:rPr>
                    <w:t>本项目不设海洋专项评价</w:t>
                  </w:r>
                </w:p>
              </w:tc>
            </w:tr>
          </w:tbl>
          <w:p>
            <w:pPr>
              <w:autoSpaceDE w:val="0"/>
              <w:autoSpaceDN w:val="0"/>
              <w:adjustRightInd w:val="0"/>
              <w:snapToGrid w:val="0"/>
              <w:jc w:val="center"/>
              <w:rPr>
                <w:rFonts w:ascii="宋体" w:hAnsi="宋体" w:cs="宋体"/>
                <w:color w:val="auto"/>
                <w:kern w:val="0"/>
                <w:sz w:val="24"/>
                <w:highlight w:val="none"/>
              </w:rPr>
            </w:pPr>
          </w:p>
        </w:tc>
      </w:tr>
      <w:tr>
        <w:tblPrEx>
          <w:tblW w:w="0" w:type="auto"/>
          <w:jc w:val="center"/>
          <w:tblInd w:w="3" w:type="dxa"/>
          <w:tblCellMar>
            <w:top w:w="0" w:type="dxa"/>
            <w:left w:w="108" w:type="dxa"/>
            <w:bottom w:w="0" w:type="dxa"/>
            <w:right w:w="108" w:type="dxa"/>
          </w:tblCellMar>
          <w:tblLook w:val="0000"/>
        </w:tblPrEx>
        <w:trPr>
          <w:trHeight w:val="1021"/>
          <w:jc w:val="center"/>
        </w:trPr>
        <w:tc>
          <w:tcPr>
            <w:tcW w:w="1811" w:type="dxa"/>
            <w:vAlign w:val="center"/>
          </w:tcPr>
          <w:p>
            <w:pPr>
              <w:autoSpaceDE w:val="0"/>
              <w:autoSpaceDN w:val="0"/>
              <w:adjustRightInd w:val="0"/>
              <w:snapToGrid w:val="0"/>
              <w:jc w:val="center"/>
              <w:rPr>
                <w:color w:val="auto"/>
                <w:kern w:val="0"/>
                <w:sz w:val="24"/>
                <w:highlight w:val="none"/>
              </w:rPr>
            </w:pPr>
            <w:r>
              <w:rPr>
                <w:color w:val="auto"/>
                <w:sz w:val="24"/>
                <w:highlight w:val="none"/>
              </w:rPr>
              <w:t>规划情况</w:t>
            </w:r>
          </w:p>
        </w:tc>
        <w:tc>
          <w:tcPr>
            <w:tcW w:w="7059" w:type="dxa"/>
            <w:vAlign w:val="center"/>
          </w:tcPr>
          <w:p>
            <w:pPr>
              <w:spacing w:line="520" w:lineRule="exact"/>
              <w:ind w:firstLine="480" w:firstLineChars="200"/>
              <w:rPr>
                <w:rFonts w:hint="eastAsia"/>
                <w:color w:val="auto"/>
                <w:sz w:val="24"/>
                <w:highlight w:val="none"/>
              </w:rPr>
            </w:pPr>
            <w:r>
              <w:rPr>
                <w:rFonts w:hint="eastAsia"/>
                <w:color w:val="auto"/>
                <w:sz w:val="24"/>
                <w:highlight w:val="none"/>
              </w:rPr>
              <w:t>规划名称：《铜川新材料产业园区总体规划（2017-2035）》</w:t>
            </w:r>
          </w:p>
          <w:p>
            <w:pPr>
              <w:spacing w:line="520" w:lineRule="exact"/>
              <w:ind w:firstLine="480" w:firstLineChars="200"/>
              <w:rPr>
                <w:rFonts w:hint="eastAsia"/>
                <w:color w:val="auto"/>
                <w:sz w:val="24"/>
                <w:highlight w:val="none"/>
              </w:rPr>
            </w:pPr>
            <w:r>
              <w:rPr>
                <w:rFonts w:hint="eastAsia"/>
                <w:color w:val="auto"/>
                <w:sz w:val="24"/>
                <w:highlight w:val="none"/>
              </w:rPr>
              <w:t>审批机关：铜川市人民政府</w:t>
            </w:r>
          </w:p>
          <w:p>
            <w:pPr>
              <w:spacing w:line="520" w:lineRule="exact"/>
              <w:ind w:firstLine="480" w:firstLineChars="200"/>
              <w:rPr>
                <w:color w:val="auto"/>
                <w:sz w:val="24"/>
                <w:highlight w:val="none"/>
              </w:rPr>
            </w:pPr>
            <w:r>
              <w:rPr>
                <w:rFonts w:hint="eastAsia"/>
                <w:color w:val="auto"/>
                <w:sz w:val="24"/>
                <w:highlight w:val="none"/>
              </w:rPr>
              <w:t>审批文件及文号：铜规字[2018]52号</w:t>
            </w:r>
          </w:p>
        </w:tc>
      </w:tr>
      <w:tr>
        <w:tblPrEx>
          <w:tblW w:w="0" w:type="auto"/>
          <w:jc w:val="center"/>
          <w:tblInd w:w="3" w:type="dxa"/>
          <w:tblCellMar>
            <w:top w:w="0" w:type="dxa"/>
            <w:left w:w="108" w:type="dxa"/>
            <w:bottom w:w="0" w:type="dxa"/>
            <w:right w:w="108" w:type="dxa"/>
          </w:tblCellMar>
          <w:tblLook w:val="0000"/>
        </w:tblPrEx>
        <w:trPr>
          <w:trHeight w:val="1021"/>
          <w:jc w:val="center"/>
        </w:trPr>
        <w:tc>
          <w:tcPr>
            <w:tcW w:w="1811" w:type="dxa"/>
            <w:vAlign w:val="center"/>
          </w:tcPr>
          <w:p>
            <w:pPr>
              <w:adjustRightInd w:val="0"/>
              <w:snapToGrid w:val="0"/>
              <w:jc w:val="center"/>
              <w:rPr>
                <w:rFonts w:ascii="宋体" w:hAnsi="宋体" w:cs="宋体"/>
                <w:color w:val="auto"/>
                <w:sz w:val="24"/>
                <w:highlight w:val="none"/>
              </w:rPr>
            </w:pPr>
            <w:r>
              <w:rPr>
                <w:rFonts w:ascii="宋体" w:hAnsi="宋体" w:cs="宋体" w:hint="eastAsia"/>
                <w:color w:val="auto"/>
                <w:sz w:val="24"/>
                <w:highlight w:val="none"/>
              </w:rPr>
              <w:t>规划环境影响</w:t>
            </w:r>
          </w:p>
          <w:p>
            <w:pPr>
              <w:adjustRightInd w:val="0"/>
              <w:snapToGrid w:val="0"/>
              <w:jc w:val="center"/>
              <w:rPr>
                <w:rFonts w:ascii="宋体" w:hAnsi="宋体" w:cs="宋体" w:hint="eastAsia"/>
                <w:color w:val="auto"/>
                <w:kern w:val="0"/>
                <w:sz w:val="24"/>
                <w:highlight w:val="none"/>
              </w:rPr>
            </w:pPr>
            <w:r>
              <w:rPr>
                <w:rFonts w:ascii="宋体" w:hAnsi="宋体" w:cs="宋体" w:hint="eastAsia"/>
                <w:color w:val="auto"/>
                <w:sz w:val="24"/>
                <w:highlight w:val="none"/>
              </w:rPr>
              <w:t>评价情况</w:t>
            </w:r>
          </w:p>
        </w:tc>
        <w:tc>
          <w:tcPr>
            <w:tcW w:w="7059" w:type="dxa"/>
            <w:vAlign w:val="center"/>
          </w:tcPr>
          <w:p>
            <w:pPr>
              <w:spacing w:line="520" w:lineRule="exact"/>
              <w:ind w:firstLine="480" w:firstLineChars="200"/>
              <w:rPr>
                <w:rFonts w:hint="eastAsia"/>
                <w:color w:val="auto"/>
                <w:sz w:val="24"/>
                <w:highlight w:val="none"/>
              </w:rPr>
            </w:pPr>
            <w:r>
              <w:rPr>
                <w:rFonts w:hint="eastAsia"/>
                <w:color w:val="auto"/>
                <w:sz w:val="24"/>
                <w:highlight w:val="none"/>
              </w:rPr>
              <w:t>规划环境影响评价文件名称：《铜川新材料产业园区总体规划环境影响报告书》</w:t>
            </w:r>
          </w:p>
          <w:p>
            <w:pPr>
              <w:spacing w:line="520" w:lineRule="exact"/>
              <w:ind w:firstLine="480" w:firstLineChars="200"/>
              <w:rPr>
                <w:rFonts w:hint="eastAsia"/>
                <w:color w:val="auto"/>
                <w:sz w:val="24"/>
                <w:highlight w:val="none"/>
              </w:rPr>
            </w:pPr>
            <w:r>
              <w:rPr>
                <w:rFonts w:hint="eastAsia"/>
                <w:color w:val="auto"/>
                <w:sz w:val="24"/>
                <w:highlight w:val="none"/>
              </w:rPr>
              <w:t>召集审查机关：铜川市生态环境局（原铜川市环境保护局）</w:t>
            </w:r>
          </w:p>
          <w:p>
            <w:pPr>
              <w:spacing w:line="520" w:lineRule="exact"/>
              <w:ind w:firstLine="480" w:firstLineChars="200"/>
              <w:rPr>
                <w:rFonts w:hint="eastAsia"/>
                <w:color w:val="auto"/>
                <w:sz w:val="24"/>
                <w:highlight w:val="none"/>
              </w:rPr>
            </w:pPr>
            <w:r>
              <w:rPr>
                <w:rFonts w:hint="eastAsia"/>
                <w:color w:val="auto"/>
                <w:sz w:val="24"/>
                <w:highlight w:val="none"/>
              </w:rPr>
              <w:t>审查文件名及文号：铜川市生态环境局（原铜川市环境保护局）关于《铜川新材料产业园区总体规划环境影响报告书》审查意见的函，铜环函[2018]166号</w:t>
            </w:r>
          </w:p>
        </w:tc>
      </w:tr>
      <w:tr>
        <w:tblPrEx>
          <w:tblW w:w="0" w:type="auto"/>
          <w:jc w:val="center"/>
          <w:tblInd w:w="3" w:type="dxa"/>
          <w:tblCellMar>
            <w:top w:w="0" w:type="dxa"/>
            <w:left w:w="108" w:type="dxa"/>
            <w:bottom w:w="0" w:type="dxa"/>
            <w:right w:w="108" w:type="dxa"/>
          </w:tblCellMar>
          <w:tblLook w:val="0000"/>
        </w:tblPrEx>
        <w:trPr>
          <w:trHeight w:val="1021"/>
          <w:jc w:val="center"/>
        </w:trPr>
        <w:tc>
          <w:tcPr>
            <w:tcW w:w="1811" w:type="dxa"/>
            <w:vAlign w:val="center"/>
          </w:tcPr>
          <w:p>
            <w:pPr>
              <w:autoSpaceDE w:val="0"/>
              <w:autoSpaceDN w:val="0"/>
              <w:adjustRightInd w:val="0"/>
              <w:snapToGrid w:val="0"/>
              <w:jc w:val="center"/>
              <w:rPr>
                <w:rFonts w:ascii="宋体" w:hAnsi="宋体" w:cs="宋体"/>
                <w:color w:val="auto"/>
                <w:kern w:val="0"/>
                <w:sz w:val="24"/>
                <w:highlight w:val="none"/>
              </w:rPr>
            </w:pPr>
            <w:r>
              <w:rPr>
                <w:rFonts w:ascii="宋体" w:hAnsi="宋体" w:cs="宋体" w:hint="eastAsia"/>
                <w:color w:val="auto"/>
                <w:kern w:val="0"/>
                <w:sz w:val="24"/>
                <w:highlight w:val="none"/>
              </w:rPr>
              <w:t>规划及规划环境影响评价符合性分析</w:t>
            </w:r>
          </w:p>
        </w:tc>
        <w:tc>
          <w:tcPr>
            <w:tcW w:w="7059" w:type="dxa"/>
            <w:vAlign w:val="center"/>
          </w:tcPr>
          <w:p>
            <w:pPr>
              <w:spacing w:line="520" w:lineRule="exact"/>
              <w:jc w:val="center"/>
              <w:rPr>
                <w:rFonts w:cs="宋体" w:hint="eastAsia"/>
                <w:b/>
                <w:color w:val="auto"/>
                <w:sz w:val="24"/>
                <w:highlight w:val="none"/>
                <w:lang w:bidi="ar"/>
              </w:rPr>
            </w:pPr>
            <w:r>
              <w:rPr>
                <w:rFonts w:cs="宋体" w:hint="eastAsia"/>
                <w:b/>
                <w:color w:val="auto"/>
                <w:sz w:val="24"/>
                <w:highlight w:val="none"/>
                <w:lang w:bidi="ar"/>
              </w:rPr>
              <w:t>表1-</w:t>
            </w:r>
            <w:r>
              <w:rPr>
                <w:rFonts w:cs="宋体" w:hint="eastAsia"/>
                <w:b/>
                <w:color w:val="auto"/>
                <w:sz w:val="24"/>
                <w:highlight w:val="none"/>
                <w:lang w:val="en-US" w:eastAsia="zh-CN" w:bidi="ar"/>
              </w:rPr>
              <w:t>2</w:t>
            </w:r>
            <w:r>
              <w:rPr>
                <w:rFonts w:cs="宋体" w:hint="eastAsia"/>
                <w:b/>
                <w:color w:val="auto"/>
                <w:sz w:val="24"/>
                <w:highlight w:val="none"/>
                <w:lang w:bidi="ar"/>
              </w:rPr>
              <w:t xml:space="preserve">  项目与规划及规划环境影响评价符合性分析</w:t>
            </w:r>
          </w:p>
          <w:tbl>
            <w:tblPr>
              <w:tblStyle w:val="TableNormal"/>
              <w:tblW w:w="4997"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57" w:type="dxa"/>
                <w:left w:w="108" w:type="dxa"/>
                <w:bottom w:w="57" w:type="dxa"/>
                <w:right w:w="108" w:type="dxa"/>
              </w:tblCellMar>
              <w:tblLook w:val="0000"/>
            </w:tblPr>
            <w:tblGrid>
              <w:gridCol w:w="1266"/>
              <w:gridCol w:w="3090"/>
              <w:gridCol w:w="1996"/>
              <w:gridCol w:w="487"/>
            </w:tblGrid>
            <w:tr>
              <w:tblPrEx>
                <w:tblW w:w="4997"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57" w:type="dxa"/>
                  <w:left w:w="108" w:type="dxa"/>
                  <w:bottom w:w="57" w:type="dxa"/>
                  <w:right w:w="108" w:type="dxa"/>
                </w:tblCellMar>
                <w:tblLook w:val="0000"/>
              </w:tblPrEx>
              <w:trPr>
                <w:trHeight w:val="340"/>
                <w:jc w:val="center"/>
              </w:trPr>
              <w:tc>
                <w:tcPr>
                  <w:tcW w:w="925" w:type="pct"/>
                  <w:vAlign w:val="center"/>
                </w:tcPr>
                <w:p>
                  <w:pPr>
                    <w:pStyle w:val="BodyTextFirstIndent2"/>
                    <w:spacing w:after="0" w:line="320" w:lineRule="exact"/>
                    <w:ind w:left="0" w:firstLine="0" w:leftChars="0" w:firstLineChars="0"/>
                    <w:jc w:val="center"/>
                    <w:rPr>
                      <w:rFonts w:hint="eastAsia"/>
                      <w:b/>
                      <w:bCs/>
                      <w:color w:val="auto"/>
                      <w:szCs w:val="21"/>
                      <w:highlight w:val="none"/>
                    </w:rPr>
                  </w:pPr>
                  <w:r>
                    <w:rPr>
                      <w:rFonts w:hint="eastAsia"/>
                      <w:b/>
                      <w:bCs/>
                      <w:color w:val="auto"/>
                      <w:szCs w:val="21"/>
                      <w:highlight w:val="none"/>
                    </w:rPr>
                    <w:t>名称</w:t>
                  </w:r>
                </w:p>
              </w:tc>
              <w:tc>
                <w:tcPr>
                  <w:tcW w:w="2259" w:type="pct"/>
                  <w:vAlign w:val="center"/>
                </w:tcPr>
                <w:p>
                  <w:pPr>
                    <w:pStyle w:val="BodyTextFirstIndent2"/>
                    <w:spacing w:after="0" w:line="320" w:lineRule="exact"/>
                    <w:ind w:left="0" w:firstLine="0" w:leftChars="0" w:firstLineChars="0"/>
                    <w:jc w:val="center"/>
                    <w:rPr>
                      <w:rFonts w:hint="eastAsia"/>
                      <w:b/>
                      <w:bCs/>
                      <w:color w:val="auto"/>
                      <w:szCs w:val="21"/>
                      <w:highlight w:val="none"/>
                    </w:rPr>
                  </w:pPr>
                  <w:r>
                    <w:rPr>
                      <w:rFonts w:hint="eastAsia"/>
                      <w:b/>
                      <w:bCs/>
                      <w:color w:val="auto"/>
                      <w:szCs w:val="21"/>
                      <w:highlight w:val="none"/>
                    </w:rPr>
                    <w:t>内容</w:t>
                  </w:r>
                </w:p>
              </w:tc>
              <w:tc>
                <w:tcPr>
                  <w:tcW w:w="1459" w:type="pct"/>
                  <w:vAlign w:val="center"/>
                </w:tcPr>
                <w:p>
                  <w:pPr>
                    <w:pStyle w:val="BodyTextFirstIndent2"/>
                    <w:spacing w:after="0" w:line="320" w:lineRule="exact"/>
                    <w:ind w:left="0" w:firstLine="0" w:leftChars="0" w:firstLineChars="0"/>
                    <w:jc w:val="center"/>
                    <w:rPr>
                      <w:rFonts w:hint="eastAsia"/>
                      <w:b/>
                      <w:bCs/>
                      <w:color w:val="auto"/>
                      <w:szCs w:val="21"/>
                      <w:highlight w:val="none"/>
                    </w:rPr>
                  </w:pPr>
                  <w:r>
                    <w:rPr>
                      <w:rFonts w:hint="eastAsia"/>
                      <w:b/>
                      <w:bCs/>
                      <w:color w:val="auto"/>
                      <w:szCs w:val="21"/>
                      <w:highlight w:val="none"/>
                    </w:rPr>
                    <w:t>本项目情况</w:t>
                  </w:r>
                </w:p>
              </w:tc>
              <w:tc>
                <w:tcPr>
                  <w:tcW w:w="356" w:type="pct"/>
                  <w:vAlign w:val="center"/>
                </w:tcPr>
                <w:p>
                  <w:pPr>
                    <w:pStyle w:val="BodyTextFirstIndent2"/>
                    <w:spacing w:after="0" w:line="320" w:lineRule="exact"/>
                    <w:ind w:left="0" w:firstLine="0" w:leftChars="0" w:firstLineChars="0"/>
                    <w:jc w:val="center"/>
                    <w:rPr>
                      <w:rFonts w:hint="eastAsia"/>
                      <w:b/>
                      <w:bCs/>
                      <w:color w:val="auto"/>
                      <w:szCs w:val="21"/>
                      <w:highlight w:val="none"/>
                    </w:rPr>
                  </w:pPr>
                  <w:r>
                    <w:rPr>
                      <w:rFonts w:hint="eastAsia"/>
                      <w:b/>
                      <w:bCs/>
                      <w:color w:val="auto"/>
                      <w:szCs w:val="21"/>
                      <w:highlight w:val="none"/>
                    </w:rPr>
                    <w:t>相符性</w:t>
                  </w:r>
                </w:p>
              </w:tc>
            </w:tr>
            <w:tr>
              <w:tblPrEx>
                <w:tblW w:w="4997" w:type="pct"/>
                <w:jc w:val="center"/>
                <w:tblInd w:w="110" w:type="dxa"/>
                <w:tblCellMar>
                  <w:top w:w="57" w:type="dxa"/>
                  <w:left w:w="108" w:type="dxa"/>
                  <w:bottom w:w="57" w:type="dxa"/>
                  <w:right w:w="108" w:type="dxa"/>
                </w:tblCellMar>
                <w:tblLook w:val="0000"/>
              </w:tblPrEx>
              <w:trPr>
                <w:trHeight w:val="340"/>
                <w:jc w:val="center"/>
              </w:trPr>
              <w:tc>
                <w:tcPr>
                  <w:tcW w:w="925" w:type="pct"/>
                  <w:vMerge w:val="restar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《铜川新材料产业园区总体规划》(2017-2035)</w:t>
                  </w: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规划范围：规划范围东起坡头镇域东边界（玉皇阁水库、赵氏河沿线），西至浊峪河东侧塬坡，南至三原县马额镇，北至坡头镇牛村。</w:t>
                  </w:r>
                </w:p>
              </w:tc>
              <w:tc>
                <w:tcPr>
                  <w:tcW w:w="14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本项目位于铜川新材料产业园区内。</w:t>
                  </w: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tc>
            </w:tr>
            <w:tr>
              <w:tblPrEx>
                <w:tblW w:w="4997" w:type="pct"/>
                <w:jc w:val="center"/>
                <w:tblInd w:w="110" w:type="dxa"/>
                <w:tblCellMar>
                  <w:top w:w="57" w:type="dxa"/>
                  <w:left w:w="108" w:type="dxa"/>
                  <w:bottom w:w="57" w:type="dxa"/>
                  <w:right w:w="108" w:type="dxa"/>
                </w:tblCellMar>
                <w:tblLook w:val="0000"/>
              </w:tblPrEx>
              <w:trPr>
                <w:trHeight w:val="340"/>
                <w:jc w:val="center"/>
              </w:trPr>
              <w:tc>
                <w:tcPr>
                  <w:tcW w:w="925" w:type="pct"/>
                  <w:vMerge/>
                  <w:vAlign w:val="center"/>
                </w:tcPr>
                <w:p>
                  <w:pPr>
                    <w:pStyle w:val="BodyTextFirstIndent2"/>
                    <w:spacing w:after="0" w:line="320" w:lineRule="exact"/>
                    <w:ind w:left="0" w:firstLine="0" w:leftChars="0" w:firstLineChars="0"/>
                    <w:jc w:val="left"/>
                    <w:rPr>
                      <w:rFonts w:hint="eastAsia"/>
                      <w:color w:val="auto"/>
                      <w:szCs w:val="21"/>
                      <w:highlight w:val="none"/>
                    </w:rPr>
                  </w:pP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产业发展规划：根据功能定位的要求，结合产城融合的规划思路，强调功能复合，确定园区的功能构成由以下五大功能主题组成：</w:t>
                  </w:r>
                  <w:r>
                    <w:rPr>
                      <w:rFonts w:hint="eastAsia"/>
                      <w:color w:val="auto"/>
                      <w:szCs w:val="21"/>
                      <w:highlight w:val="none"/>
                    </w:rPr>
                    <w:t>①</w:t>
                  </w:r>
                  <w:r>
                    <w:rPr>
                      <w:rFonts w:hint="eastAsia"/>
                      <w:color w:val="auto"/>
                      <w:szCs w:val="21"/>
                      <w:highlight w:val="none"/>
                    </w:rPr>
                    <w:t>新型材料与先进制造：包括新材料制造、新型建材、研制基地等功能。</w:t>
                  </w:r>
                  <w:r>
                    <w:rPr>
                      <w:rFonts w:hint="eastAsia"/>
                      <w:color w:val="auto"/>
                      <w:szCs w:val="21"/>
                      <w:highlight w:val="none"/>
                    </w:rPr>
                    <w:t>②</w:t>
                  </w:r>
                  <w:r>
                    <w:rPr>
                      <w:rFonts w:hint="eastAsia"/>
                      <w:color w:val="auto"/>
                      <w:szCs w:val="21"/>
                      <w:highlight w:val="none"/>
                    </w:rPr>
                    <w:t>载能循环与现代化工：包括燃煤电能、光电产业、新能源产业、废料再生产业等功能。</w:t>
                  </w:r>
                  <w:r>
                    <w:rPr>
                      <w:rFonts w:hint="eastAsia"/>
                      <w:color w:val="auto"/>
                      <w:szCs w:val="21"/>
                      <w:highlight w:val="none"/>
                    </w:rPr>
                    <w:t>③</w:t>
                  </w:r>
                </w:p>
              </w:tc>
              <w:tc>
                <w:tcPr>
                  <w:tcW w:w="1459" w:type="pct"/>
                  <w:vAlign w:val="center"/>
                </w:tcPr>
                <w:p>
                  <w:pPr>
                    <w:pStyle w:val="BodyTextFirstIndent2"/>
                    <w:spacing w:after="0" w:line="320" w:lineRule="exact"/>
                    <w:ind w:left="0" w:firstLine="0" w:leftChars="0" w:firstLineChars="0"/>
                    <w:jc w:val="left"/>
                    <w:rPr>
                      <w:rFonts w:hint="eastAsia"/>
                      <w:color w:val="auto"/>
                      <w:szCs w:val="21"/>
                      <w:highlight w:val="none"/>
                    </w:rPr>
                  </w:pP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tc>
            </w:tr>
          </w:tbl>
          <w:p/>
        </w:tc>
      </w:tr>
    </w:tbl>
    <w:p>
      <w:pPr>
        <w:sectPr>
          <w:footerReference w:type="default" r:id="rId5"/>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2"/>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1021"/>
          <w:jc w:val="center"/>
        </w:trPr>
        <w:tc>
          <w:tcPr>
            <w:tcW w:w="1811" w:type="dxa"/>
            <w:vAlign w:val="center"/>
          </w:tcPr>
          <w:p/>
        </w:tc>
        <w:tc>
          <w:tcPr>
            <w:tcW w:w="7059" w:type="dxa"/>
            <w:vAlign w:val="center"/>
          </w:tcPr>
          <w:tbl>
            <w:tblPr>
              <w:tblStyle w:val="TableNormal"/>
              <w:tblW w:w="4997"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57" w:type="dxa"/>
                <w:left w:w="108" w:type="dxa"/>
                <w:bottom w:w="57" w:type="dxa"/>
                <w:right w:w="108" w:type="dxa"/>
              </w:tblCellMar>
              <w:tblLook w:val="0000"/>
            </w:tblPr>
            <w:tblGrid>
              <w:gridCol w:w="1266"/>
              <w:gridCol w:w="3090"/>
              <w:gridCol w:w="1996"/>
              <w:gridCol w:w="487"/>
            </w:tblGrid>
            <w:tr>
              <w:tblPrEx>
                <w:tblW w:w="4997"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57" w:type="dxa"/>
                  <w:left w:w="108" w:type="dxa"/>
                  <w:bottom w:w="57" w:type="dxa"/>
                  <w:right w:w="108" w:type="dxa"/>
                </w:tblCellMar>
                <w:tblLook w:val="0000"/>
              </w:tblPrEx>
              <w:trPr>
                <w:trHeight w:val="340"/>
                <w:jc w:val="center"/>
              </w:trPr>
              <w:tc>
                <w:tcPr>
                  <w:tcW w:w="925" w:type="pct"/>
                  <w:vMerge w:val="restart"/>
                  <w:vAlign w:val="center"/>
                </w:tcPr>
                <w:p/>
              </w:tc>
              <w:tc>
                <w:tcPr>
                  <w:tcW w:w="2259" w:type="pct"/>
                  <w:vAlign w:val="center"/>
                </w:tcPr>
                <w:p>
                  <w:pPr>
                    <w:pStyle w:val="BodyTextFirstIndent2"/>
                    <w:spacing w:before="0" w:after="0" w:line="320" w:lineRule="exact"/>
                    <w:ind w:left="0" w:firstLine="0" w:leftChars="0" w:firstLineChars="0"/>
                    <w:jc w:val="left"/>
                    <w:rPr>
                      <w:rFonts w:hint="eastAsia"/>
                      <w:color w:val="auto"/>
                      <w:szCs w:val="21"/>
                      <w:highlight w:val="none"/>
                    </w:rPr>
                  </w:pPr>
                  <w:r>
                    <w:rPr>
                      <w:rFonts w:hint="eastAsia"/>
                      <w:color w:val="auto"/>
                      <w:szCs w:val="21"/>
                      <w:highlight w:val="none"/>
                    </w:rPr>
                    <w:t>现代新兴与科技研发：包括医药制造、信息产业、技术研发、产品发布等新兴产业功能。</w:t>
                  </w:r>
                  <w:r>
                    <w:rPr>
                      <w:rFonts w:hint="eastAsia"/>
                      <w:color w:val="auto"/>
                      <w:szCs w:val="21"/>
                      <w:highlight w:val="none"/>
                    </w:rPr>
                    <w:t>④</w:t>
                  </w:r>
                  <w:r>
                    <w:rPr>
                      <w:rFonts w:hint="eastAsia"/>
                      <w:color w:val="auto"/>
                      <w:szCs w:val="21"/>
                      <w:highlight w:val="none"/>
                    </w:rPr>
                    <w:t>现代物流与商务商业：包括总部经济、物流商贸、专业市场、金融创投等功能。</w:t>
                  </w:r>
                  <w:r>
                    <w:rPr>
                      <w:rFonts w:hint="eastAsia"/>
                      <w:color w:val="auto"/>
                      <w:szCs w:val="21"/>
                      <w:highlight w:val="none"/>
                    </w:rPr>
                    <w:fldChar w:fldCharType="begin" w:dirty="1"/>
                  </w:r>
                  <w:r>
                    <w:rPr>
                      <w:rFonts w:hint="eastAsia"/>
                      <w:color w:val="auto"/>
                      <w:szCs w:val="21"/>
                      <w:highlight w:val="none"/>
                    </w:rPr>
                    <w:instrText xml:space="preserve"> = 5 \* GB3 </w:instrText>
                  </w:r>
                  <w:r>
                    <w:rPr>
                      <w:rFonts w:hint="eastAsia"/>
                      <w:color w:val="auto"/>
                      <w:szCs w:val="21"/>
                      <w:highlight w:val="none"/>
                    </w:rPr>
                    <w:fldChar w:fldCharType="separate"/>
                  </w:r>
                  <w:r>
                    <w:rPr>
                      <w:rFonts w:hint="eastAsia"/>
                      <w:color w:val="auto"/>
                      <w:szCs w:val="21"/>
                      <w:highlight w:val="none"/>
                    </w:rPr>
                    <w:t>⑤</w:t>
                  </w:r>
                  <w:r>
                    <w:rPr>
                      <w:rFonts w:hint="eastAsia"/>
                      <w:color w:val="auto"/>
                      <w:szCs w:val="21"/>
                      <w:highlight w:val="none"/>
                    </w:rPr>
                    <w:fldChar w:fldCharType="end"/>
                  </w:r>
                  <w:r>
                    <w:rPr>
                      <w:rFonts w:hint="eastAsia"/>
                      <w:color w:val="auto"/>
                      <w:szCs w:val="21"/>
                      <w:highlight w:val="none"/>
                    </w:rPr>
                    <w:t>生态宜居与现代服务：包括人才公寓、生态社区、生产性服务（包含商务金融、服务外包、总部经济等）、生活性服务等功能。</w:t>
                  </w:r>
                </w:p>
              </w:tc>
              <w:tc>
                <w:tcPr>
                  <w:tcW w:w="1459" w:type="pct"/>
                  <w:vAlign w:val="center"/>
                </w:tcPr>
                <w:p>
                  <w:pPr>
                    <w:pStyle w:val="BodyTextFirstIndent2"/>
                    <w:spacing w:before="0" w:after="0" w:line="320" w:lineRule="exact"/>
                    <w:ind w:left="0" w:firstLine="0" w:leftChars="0" w:firstLineChars="0"/>
                    <w:jc w:val="left"/>
                    <w:rPr>
                      <w:rFonts w:hint="eastAsia"/>
                      <w:color w:val="auto"/>
                      <w:szCs w:val="21"/>
                      <w:highlight w:val="none"/>
                    </w:rPr>
                  </w:pPr>
                  <w:r>
                    <w:rPr>
                      <w:rFonts w:hint="eastAsia"/>
                      <w:color w:val="auto"/>
                      <w:szCs w:val="21"/>
                      <w:highlight w:val="none"/>
                    </w:rPr>
                    <w:t>本项目产品为PCCP管、叠合楼板、综合管廊、项目，属于砼结构构件制造行业，产品为新型建材。山阳盛力建材有限公司已与铜川新材料产业园管委会签订招商引资协议，同时新成立陕西瑞欣盛力建筑材料有限公司作为本项目建设单位，便于后续项目建设、生产、运营管理。本项目的建设符合园区产业发展规划。</w:t>
                  </w:r>
                </w:p>
              </w:tc>
              <w:tc>
                <w:tcPr>
                  <w:tcW w:w="356" w:type="pct"/>
                  <w:vAlign w:val="center"/>
                </w:tcPr>
                <w:p/>
              </w:tc>
            </w:tr>
            <w:tr>
              <w:tblPrEx>
                <w:tblW w:w="4997" w:type="pct"/>
                <w:jc w:val="center"/>
                <w:tblInd w:w="110" w:type="dxa"/>
                <w:tblCellMar>
                  <w:top w:w="57" w:type="dxa"/>
                  <w:left w:w="108" w:type="dxa"/>
                  <w:bottom w:w="57" w:type="dxa"/>
                  <w:right w:w="108" w:type="dxa"/>
                </w:tblCellMar>
                <w:tblLook w:val="0000"/>
              </w:tblPrEx>
              <w:trPr>
                <w:trHeight w:val="722"/>
                <w:jc w:val="center"/>
              </w:trPr>
              <w:tc>
                <w:tcPr>
                  <w:tcW w:w="925" w:type="pct"/>
                  <w:vMerge w:val="restar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《铜川新材料产业园区总体规划》(2017-2035)环境影响报告书及审查意见</w:t>
                  </w: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具备铜川当地特色的产业集聚项目。鼓励引进和优先发展的行业应该是规划区产业定位所包括的行业中鼓励引进和优先发展的行业。</w:t>
                  </w:r>
                </w:p>
              </w:tc>
              <w:tc>
                <w:tcPr>
                  <w:tcW w:w="1459" w:type="pct"/>
                  <w:vAlign w:val="center"/>
                </w:tcPr>
                <w:p>
                  <w:pPr>
                    <w:pStyle w:val="BodyTextFirstIndent2"/>
                    <w:spacing w:after="0" w:line="320" w:lineRule="exact"/>
                    <w:ind w:left="0" w:firstLine="0" w:leftChars="0" w:firstLineChars="0"/>
                    <w:jc w:val="left"/>
                    <w:rPr>
                      <w:color w:val="auto"/>
                      <w:szCs w:val="21"/>
                      <w:highlight w:val="none"/>
                    </w:rPr>
                  </w:pPr>
                  <w:r>
                    <w:rPr>
                      <w:rFonts w:hint="eastAsia"/>
                      <w:color w:val="auto"/>
                      <w:szCs w:val="21"/>
                      <w:highlight w:val="none"/>
                    </w:rPr>
                    <w:t>本项目为砼结构构件制造项目，项目产品为新型建材，符合园区产业发展规划。</w:t>
                  </w: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tc>
            </w:tr>
            <w:tr>
              <w:tblPrEx>
                <w:tblW w:w="4997" w:type="pct"/>
                <w:jc w:val="center"/>
                <w:tblInd w:w="110" w:type="dxa"/>
                <w:tblCellMar>
                  <w:top w:w="57" w:type="dxa"/>
                  <w:left w:w="108" w:type="dxa"/>
                  <w:bottom w:w="57" w:type="dxa"/>
                  <w:right w:w="108" w:type="dxa"/>
                </w:tblCellMar>
                <w:tblLook w:val="0000"/>
              </w:tblPrEx>
              <w:trPr>
                <w:trHeight w:val="466"/>
                <w:jc w:val="center"/>
              </w:trPr>
              <w:tc>
                <w:tcPr>
                  <w:tcW w:w="925" w:type="pct"/>
                  <w:vMerge/>
                  <w:vAlign w:val="center"/>
                </w:tcPr>
                <w:p>
                  <w:pPr>
                    <w:pStyle w:val="BodyTextFirstIndent2"/>
                    <w:spacing w:after="0" w:line="320" w:lineRule="exact"/>
                    <w:ind w:left="0" w:firstLine="0" w:leftChars="0" w:firstLineChars="0"/>
                    <w:jc w:val="left"/>
                    <w:rPr>
                      <w:rFonts w:hint="eastAsia"/>
                      <w:color w:val="auto"/>
                      <w:szCs w:val="21"/>
                      <w:highlight w:val="none"/>
                    </w:rPr>
                  </w:pP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根据规划区环境承载能力控制规划区产业合理的发展规模，严格控制高耗水、高排水的项目。</w:t>
                  </w:r>
                </w:p>
              </w:tc>
              <w:tc>
                <w:tcPr>
                  <w:tcW w:w="14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本项目为砼结构构件制造项目，生产过程中耗水量较小，生产废水产生量较小。</w:t>
                  </w: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tc>
            </w:tr>
            <w:tr>
              <w:tblPrEx>
                <w:tblW w:w="4997" w:type="pct"/>
                <w:jc w:val="center"/>
                <w:tblInd w:w="110" w:type="dxa"/>
                <w:tblCellMar>
                  <w:top w:w="57" w:type="dxa"/>
                  <w:left w:w="108" w:type="dxa"/>
                  <w:bottom w:w="57" w:type="dxa"/>
                  <w:right w:w="108" w:type="dxa"/>
                </w:tblCellMar>
                <w:tblLook w:val="0000"/>
              </w:tblPrEx>
              <w:trPr>
                <w:trHeight w:val="680"/>
                <w:jc w:val="center"/>
              </w:trPr>
              <w:tc>
                <w:tcPr>
                  <w:tcW w:w="925" w:type="pct"/>
                  <w:vMerge/>
                  <w:vAlign w:val="center"/>
                </w:tcPr>
                <w:p>
                  <w:pPr>
                    <w:pStyle w:val="BodyTextFirstIndent2"/>
                    <w:spacing w:after="0" w:line="320" w:lineRule="exact"/>
                    <w:ind w:left="0" w:firstLine="0" w:leftChars="0" w:firstLineChars="0"/>
                    <w:jc w:val="left"/>
                    <w:rPr>
                      <w:rFonts w:hint="eastAsia"/>
                      <w:color w:val="auto"/>
                      <w:szCs w:val="21"/>
                      <w:highlight w:val="none"/>
                    </w:rPr>
                  </w:pP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根据各产业园区基础设施配备情况确定进区企业的类别。在项目选择上应优先引进无污染、轻污染的工业企业入驻，严格禁止污染排放较为严重的企业，特别是生产工艺中有特征污染因子排放的项目应慎重。</w:t>
                  </w:r>
                </w:p>
              </w:tc>
              <w:tc>
                <w:tcPr>
                  <w:tcW w:w="14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本项目为砼结构构件制造项目，生产过程中污染物产生量小，在采取了相应的环保措施后，对环境影响较小。</w:t>
                  </w: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tc>
            </w:tr>
            <w:tr>
              <w:tblPrEx>
                <w:tblW w:w="4997" w:type="pct"/>
                <w:jc w:val="center"/>
                <w:tblInd w:w="110" w:type="dxa"/>
                <w:tblCellMar>
                  <w:top w:w="57" w:type="dxa"/>
                  <w:left w:w="108" w:type="dxa"/>
                  <w:bottom w:w="57" w:type="dxa"/>
                  <w:right w:w="108" w:type="dxa"/>
                </w:tblCellMar>
                <w:tblLook w:val="0000"/>
              </w:tblPrEx>
              <w:trPr>
                <w:trHeight w:val="340"/>
                <w:jc w:val="center"/>
              </w:trPr>
              <w:tc>
                <w:tcPr>
                  <w:tcW w:w="925" w:type="pct"/>
                  <w:vMerge/>
                  <w:vAlign w:val="center"/>
                </w:tcPr>
                <w:p>
                  <w:pPr>
                    <w:pStyle w:val="BodyTextFirstIndent2"/>
                    <w:spacing w:after="0" w:line="320" w:lineRule="exact"/>
                    <w:ind w:left="0" w:firstLine="0" w:leftChars="0" w:firstLineChars="0"/>
                    <w:jc w:val="left"/>
                    <w:rPr>
                      <w:rFonts w:hint="eastAsia"/>
                      <w:color w:val="auto"/>
                      <w:szCs w:val="21"/>
                      <w:highlight w:val="none"/>
                    </w:rPr>
                  </w:pPr>
                </w:p>
              </w:tc>
              <w:tc>
                <w:tcPr>
                  <w:tcW w:w="22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禁止新建扩建燃煤发电、燃煤热电联产和燃煤集中供热项目，禁止新建、扩建和改建有色金属冶炼、石油化工、化工、钢铁、焦化、电镀、制革类项目。</w:t>
                  </w:r>
                </w:p>
              </w:tc>
              <w:tc>
                <w:tcPr>
                  <w:tcW w:w="1459"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本项目不属于有色金属冶炼、石油化工、化工、钢铁、焦化、电镀、制革类项目。</w:t>
                  </w:r>
                </w:p>
              </w:tc>
              <w:tc>
                <w:tcPr>
                  <w:tcW w:w="356" w:type="pct"/>
                  <w:vAlign w:val="center"/>
                </w:tcPr>
                <w:p>
                  <w:pPr>
                    <w:pStyle w:val="BodyTextFirstIndent2"/>
                    <w:spacing w:after="0" w:line="320" w:lineRule="exact"/>
                    <w:ind w:left="0" w:firstLine="0" w:leftChars="0" w:firstLineChars="0"/>
                    <w:jc w:val="left"/>
                    <w:rPr>
                      <w:rFonts w:hint="eastAsia"/>
                      <w:color w:val="auto"/>
                      <w:szCs w:val="21"/>
                      <w:highlight w:val="none"/>
                    </w:rPr>
                  </w:pPr>
                  <w:r>
                    <w:rPr>
                      <w:rFonts w:hint="eastAsia"/>
                      <w:color w:val="auto"/>
                      <w:szCs w:val="21"/>
                      <w:highlight w:val="none"/>
                    </w:rPr>
                    <w:t>符合</w:t>
                  </w:r>
                </w:p>
                <w:p>
                  <w:pPr>
                    <w:pStyle w:val="BodyTextFirstIndent2"/>
                    <w:spacing w:after="0" w:line="320" w:lineRule="exact"/>
                    <w:ind w:left="0" w:firstLine="0" w:leftChars="0" w:firstLineChars="0"/>
                    <w:jc w:val="left"/>
                    <w:rPr>
                      <w:rFonts w:hint="eastAsia"/>
                      <w:color w:val="auto"/>
                      <w:szCs w:val="21"/>
                      <w:highlight w:val="none"/>
                    </w:rPr>
                  </w:pPr>
                </w:p>
              </w:tc>
            </w:tr>
          </w:tbl>
          <w:p>
            <w:pPr>
              <w:spacing w:line="520" w:lineRule="exact"/>
              <w:ind w:firstLine="420" w:firstLineChars="200"/>
              <w:rPr>
                <w:rFonts w:ascii="宋体" w:hAnsi="宋体" w:cs="宋体" w:hint="eastAsia"/>
                <w:color w:val="auto"/>
                <w:kern w:val="0"/>
                <w:szCs w:val="21"/>
                <w:highlight w:val="none"/>
              </w:rPr>
            </w:pPr>
          </w:p>
        </w:tc>
      </w:tr>
      <w:tr>
        <w:tblPrEx>
          <w:tblW w:w="0" w:type="auto"/>
          <w:jc w:val="center"/>
          <w:tblInd w:w="3" w:type="dxa"/>
          <w:tblCellMar>
            <w:top w:w="0" w:type="dxa"/>
            <w:left w:w="108" w:type="dxa"/>
            <w:bottom w:w="0" w:type="dxa"/>
            <w:right w:w="108" w:type="dxa"/>
          </w:tblCellMar>
          <w:tblLook w:val="0000"/>
        </w:tblPrEx>
        <w:trPr>
          <w:trHeight w:val="90"/>
          <w:jc w:val="center"/>
        </w:trPr>
        <w:tc>
          <w:tcPr>
            <w:tcW w:w="1811" w:type="dxa"/>
            <w:vAlign w:val="center"/>
          </w:tcPr>
          <w:p>
            <w:pPr>
              <w:autoSpaceDE w:val="0"/>
              <w:autoSpaceDN w:val="0"/>
              <w:adjustRightInd w:val="0"/>
              <w:snapToGrid w:val="0"/>
              <w:jc w:val="center"/>
              <w:rPr>
                <w:rFonts w:ascii="宋体" w:hAnsi="宋体" w:cs="宋体" w:hint="eastAsia"/>
                <w:color w:val="auto"/>
                <w:kern w:val="0"/>
                <w:szCs w:val="21"/>
                <w:highlight w:val="none"/>
              </w:rPr>
            </w:pPr>
            <w:r>
              <w:rPr>
                <w:rFonts w:ascii="宋体" w:hAnsi="宋体" w:cs="宋体" w:hint="eastAsia"/>
                <w:color w:val="auto"/>
                <w:kern w:val="0"/>
                <w:szCs w:val="21"/>
                <w:highlight w:val="none"/>
              </w:rPr>
              <w:t>其他符合性分析</w:t>
            </w:r>
          </w:p>
        </w:tc>
        <w:tc>
          <w:tcPr>
            <w:tcW w:w="7059" w:type="dxa"/>
            <w:vAlign w:val="center"/>
          </w:tcPr>
          <w:p>
            <w:pPr>
              <w:adjustRightInd w:val="0"/>
              <w:spacing w:line="520" w:lineRule="exact"/>
              <w:rPr>
                <w:b/>
                <w:bCs/>
                <w:color w:val="auto"/>
                <w:sz w:val="24"/>
                <w:highlight w:val="none"/>
              </w:rPr>
            </w:pPr>
            <w:r>
              <w:rPr>
                <w:rFonts w:hint="eastAsia"/>
                <w:b/>
                <w:bCs/>
                <w:color w:val="auto"/>
                <w:sz w:val="24"/>
                <w:highlight w:val="none"/>
              </w:rPr>
              <w:t>1、产业政策符合性分析</w:t>
            </w:r>
          </w:p>
          <w:p>
            <w:pPr>
              <w:adjustRightInd w:val="0"/>
              <w:spacing w:line="520" w:lineRule="exact"/>
              <w:ind w:firstLine="480" w:firstLineChars="200"/>
              <w:rPr>
                <w:rFonts w:eastAsia="宋体" w:hint="default"/>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color w:val="auto"/>
                <w:sz w:val="24"/>
                <w:highlight w:val="none"/>
              </w:rPr>
              <w:t>产业</w:t>
            </w:r>
            <w:r>
              <w:rPr>
                <w:rFonts w:hint="eastAsia"/>
                <w:color w:val="auto"/>
                <w:sz w:val="24"/>
                <w:highlight w:val="none"/>
                <w:lang w:val="en-US" w:eastAsia="zh-CN"/>
              </w:rPr>
              <w:t>政策符合性分析</w:t>
            </w:r>
          </w:p>
          <w:p>
            <w:pPr>
              <w:adjustRightInd w:val="0"/>
              <w:spacing w:after="0" w:line="520" w:lineRule="exact"/>
              <w:ind w:firstLine="480" w:firstLineChars="200"/>
              <w:rPr>
                <w:color w:val="auto"/>
                <w:sz w:val="24"/>
                <w:highlight w:val="none"/>
              </w:rPr>
            </w:pPr>
            <w:r>
              <w:rPr>
                <w:color w:val="auto"/>
                <w:sz w:val="24"/>
                <w:highlight w:val="none"/>
              </w:rPr>
              <w:t>根据《产业结构调整指导目录》（2019年本），本项目</w:t>
            </w:r>
            <w:r>
              <w:rPr>
                <w:rFonts w:hint="eastAsia"/>
                <w:color w:val="auto"/>
                <w:sz w:val="24"/>
                <w:highlight w:val="none"/>
              </w:rPr>
              <w:t>不属于限制类、淘汰类产业，为允许类建设项目。</w:t>
            </w:r>
            <w:r>
              <w:rPr>
                <w:color w:val="auto"/>
                <w:sz w:val="24"/>
                <w:highlight w:val="none"/>
              </w:rPr>
              <w:t>项目不在《陕西省限制投资类产业指导目录》（陕发改产业【2007】97号）内</w:t>
            </w:r>
            <w:r>
              <w:rPr>
                <w:rFonts w:hint="eastAsia"/>
                <w:color w:val="auto"/>
                <w:sz w:val="24"/>
                <w:highlight w:val="none"/>
                <w:lang w:eastAsia="zh-CN"/>
              </w:rPr>
              <w:t>，</w:t>
            </w:r>
          </w:p>
        </w:tc>
      </w:tr>
    </w:tbl>
    <w:p>
      <w:pPr>
        <w:sectPr>
          <w:footerReference w:type="default" r:id="rId6"/>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3"/>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p>
            <w:pPr>
              <w:adjustRightInd w:val="0"/>
              <w:spacing w:before="0" w:line="520" w:lineRule="exact"/>
              <w:ind w:firstLine="480" w:firstLineChars="200"/>
              <w:rPr>
                <w:color w:val="auto"/>
                <w:sz w:val="24"/>
                <w:highlight w:val="none"/>
              </w:rPr>
            </w:pPr>
            <w:r>
              <w:rPr>
                <w:rFonts w:hint="eastAsia"/>
                <w:color w:val="auto"/>
                <w:sz w:val="24"/>
                <w:highlight w:val="none"/>
                <w:lang w:val="en-US" w:eastAsia="zh-CN"/>
              </w:rPr>
              <w:t>也不在《</w:t>
            </w:r>
            <w:r>
              <w:rPr>
                <w:rFonts w:hint="eastAsia"/>
                <w:color w:val="auto"/>
                <w:sz w:val="24"/>
                <w:highlight w:val="none"/>
                <w:lang w:eastAsia="zh-CN"/>
              </w:rPr>
              <w:t>陕西省政府核准的投资项目目录（2017年本）</w:t>
            </w:r>
            <w:r>
              <w:rPr>
                <w:rFonts w:hint="eastAsia"/>
                <w:color w:val="auto"/>
                <w:sz w:val="24"/>
                <w:highlight w:val="none"/>
                <w:lang w:val="en-US" w:eastAsia="zh-CN"/>
              </w:rPr>
              <w:t>》内，实行备案管理即可</w:t>
            </w:r>
            <w:r>
              <w:rPr>
                <w:rFonts w:hint="eastAsia"/>
                <w:color w:val="auto"/>
                <w:sz w:val="24"/>
                <w:highlight w:val="none"/>
                <w:lang w:eastAsia="zh-CN"/>
              </w:rPr>
              <w:t>，</w:t>
            </w:r>
            <w:r>
              <w:rPr>
                <w:color w:val="auto"/>
                <w:sz w:val="24"/>
                <w:highlight w:val="none"/>
              </w:rPr>
              <w:t>且项目已取得</w:t>
            </w:r>
            <w:r>
              <w:rPr>
                <w:rFonts w:hint="eastAsia"/>
                <w:color w:val="auto"/>
                <w:sz w:val="24"/>
                <w:highlight w:val="none"/>
              </w:rPr>
              <w:t>铜川市新区</w:t>
            </w:r>
            <w:r>
              <w:rPr>
                <w:color w:val="auto"/>
                <w:sz w:val="24"/>
                <w:highlight w:val="none"/>
              </w:rPr>
              <w:t>发展和改革局下发的陕西省企业投资项目备案确认书（项目代码2</w:t>
            </w:r>
            <w:r>
              <w:rPr>
                <w:rFonts w:hint="eastAsia"/>
                <w:color w:val="auto"/>
                <w:sz w:val="24"/>
                <w:highlight w:val="none"/>
              </w:rPr>
              <w:t>203-610261-04-01-950814</w:t>
            </w:r>
            <w:r>
              <w:rPr>
                <w:color w:val="auto"/>
                <w:sz w:val="24"/>
                <w:highlight w:val="none"/>
              </w:rPr>
              <w:t>），备案确认书见附件。项目符合国家产业政策及地方相关规定。</w:t>
            </w:r>
          </w:p>
          <w:p>
            <w:pPr>
              <w:adjustRightInd w:val="0"/>
              <w:spacing w:line="520" w:lineRule="exact"/>
              <w:ind w:firstLine="480" w:firstLineChars="200"/>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）《市场准入负面清单》（2022）符合性分析</w:t>
            </w:r>
          </w:p>
          <w:p>
            <w:pPr>
              <w:adjustRightInd w:val="0"/>
              <w:spacing w:line="520" w:lineRule="exact"/>
              <w:ind w:firstLine="480" w:firstLineChars="200"/>
              <w:rPr>
                <w:rFonts w:eastAsia="宋体" w:hint="default"/>
                <w:color w:val="auto"/>
                <w:sz w:val="24"/>
                <w:highlight w:val="none"/>
              </w:rPr>
            </w:pPr>
            <w:r>
              <w:rPr>
                <w:rFonts w:hint="eastAsia"/>
                <w:color w:val="auto"/>
                <w:sz w:val="24"/>
                <w:highlight w:val="none"/>
                <w:lang w:eastAsia="zh-CN"/>
              </w:rPr>
              <w:t>《市场准入负面清单》（2022）</w:t>
            </w:r>
            <w:r>
              <w:rPr>
                <w:rFonts w:hint="eastAsia"/>
                <w:color w:val="auto"/>
                <w:sz w:val="24"/>
                <w:highlight w:val="none"/>
                <w:lang w:val="en-US" w:eastAsia="zh-CN"/>
              </w:rPr>
              <w:t>分为禁止和许可两类事项，本项目属于《国民经济行业分类》（GB/T 4754</w:t>
            </w:r>
            <w:r>
              <w:rPr>
                <w:rFonts w:hint="eastAsia"/>
                <w:color w:val="auto"/>
                <w:sz w:val="24"/>
                <w:highlight w:val="none"/>
                <w:lang w:val="en-US" w:eastAsia="zh-CN"/>
              </w:rPr>
              <w:t>—</w:t>
            </w:r>
            <w:r>
              <w:rPr>
                <w:rFonts w:hint="eastAsia"/>
                <w:color w:val="auto"/>
                <w:sz w:val="24"/>
                <w:highlight w:val="none"/>
                <w:lang w:val="en-US" w:eastAsia="zh-CN"/>
              </w:rPr>
              <w:t>2017）中的</w:t>
            </w:r>
            <w:r>
              <w:rPr>
                <w:rFonts w:hint="eastAsia"/>
                <w:color w:val="auto"/>
                <w:sz w:val="24"/>
                <w:highlight w:val="none"/>
              </w:rPr>
              <w:t>水泥制品</w:t>
            </w:r>
            <w:r>
              <w:rPr>
                <w:color w:val="auto"/>
                <w:sz w:val="24"/>
                <w:highlight w:val="none"/>
              </w:rPr>
              <w:t>制造</w:t>
            </w:r>
            <w:r>
              <w:rPr>
                <w:rFonts w:hint="eastAsia"/>
                <w:color w:val="auto"/>
                <w:sz w:val="24"/>
                <w:highlight w:val="none"/>
                <w:lang w:val="en-US" w:eastAsia="zh-CN"/>
              </w:rPr>
              <w:t>行业，不属于负面清单中的禁止和许可两类，属于</w:t>
            </w:r>
            <w:r>
              <w:rPr>
                <w:rFonts w:hint="eastAsia"/>
                <w:color w:val="auto"/>
                <w:sz w:val="24"/>
                <w:highlight w:val="none"/>
                <w:lang w:eastAsia="zh-CN"/>
              </w:rPr>
              <w:t>负面清单以外的行业，可依法平等进入。</w:t>
            </w:r>
            <w:r>
              <w:rPr>
                <w:rFonts w:hint="eastAsia"/>
                <w:color w:val="auto"/>
                <w:sz w:val="24"/>
                <w:highlight w:val="none"/>
                <w:lang w:val="en-US" w:eastAsia="zh-CN"/>
              </w:rPr>
              <w:t>因此本项目的建设符合</w:t>
            </w:r>
            <w:r>
              <w:rPr>
                <w:rFonts w:hint="eastAsia"/>
                <w:color w:val="auto"/>
                <w:sz w:val="24"/>
                <w:highlight w:val="none"/>
                <w:lang w:eastAsia="zh-CN"/>
              </w:rPr>
              <w:t>《市场准入负面清单》（2022）。</w:t>
            </w:r>
          </w:p>
          <w:p>
            <w:pPr>
              <w:adjustRightInd w:val="0"/>
              <w:spacing w:line="520" w:lineRule="exact"/>
              <w:rPr>
                <w:b/>
                <w:bCs/>
                <w:color w:val="auto"/>
                <w:sz w:val="24"/>
                <w:highlight w:val="none"/>
              </w:rPr>
            </w:pPr>
            <w:r>
              <w:rPr>
                <w:rFonts w:hint="eastAsia"/>
                <w:b/>
                <w:bCs/>
                <w:color w:val="auto"/>
                <w:sz w:val="24"/>
                <w:highlight w:val="none"/>
              </w:rPr>
              <w:t>2、</w:t>
            </w:r>
            <w:r>
              <w:rPr>
                <w:rFonts w:hint="eastAsia"/>
                <w:b/>
                <w:bCs/>
                <w:color w:val="auto"/>
                <w:sz w:val="24"/>
                <w:highlight w:val="none"/>
              </w:rPr>
              <w:t>“</w:t>
            </w:r>
            <w:r>
              <w:rPr>
                <w:rFonts w:hint="eastAsia"/>
                <w:b/>
                <w:bCs/>
                <w:color w:val="auto"/>
                <w:sz w:val="24"/>
                <w:highlight w:val="none"/>
              </w:rPr>
              <w:t>三线一单</w:t>
            </w:r>
            <w:r>
              <w:rPr>
                <w:rFonts w:hint="eastAsia"/>
                <w:b/>
                <w:bCs/>
                <w:color w:val="auto"/>
                <w:sz w:val="24"/>
                <w:highlight w:val="none"/>
              </w:rPr>
              <w:t>”</w:t>
            </w:r>
            <w:r>
              <w:rPr>
                <w:b/>
                <w:bCs/>
                <w:color w:val="auto"/>
                <w:sz w:val="24"/>
                <w:highlight w:val="none"/>
              </w:rPr>
              <w:t>符合性分析</w:t>
            </w:r>
          </w:p>
          <w:p>
            <w:pPr>
              <w:adjustRightInd w:val="0"/>
              <w:spacing w:line="520" w:lineRule="exact"/>
              <w:ind w:firstLine="480" w:firstLineChars="200"/>
              <w:rPr>
                <w:rFonts w:ascii="Times New Roman" w:eastAsia="宋体" w:hAnsi="Times New Roman" w:cs="Times New Roman" w:hint="eastAsia"/>
                <w:color w:val="auto"/>
                <w:sz w:val="24"/>
                <w:highlight w:val="none"/>
              </w:rPr>
            </w:pP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val="en-US" w:eastAsia="zh-CN"/>
              </w:rPr>
              <w:t>1</w:t>
            </w: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rPr>
              <w:t>与《陕西省人民政府关于加快实施</w:t>
            </w:r>
            <w:r>
              <w:rPr>
                <w:rFonts w:ascii="Times New Roman" w:eastAsia="宋体" w:hAnsi="Times New Roman" w:cs="Times New Roman" w:hint="eastAsia"/>
                <w:color w:val="auto"/>
                <w:sz w:val="24"/>
                <w:highlight w:val="none"/>
              </w:rPr>
              <w:t>“</w:t>
            </w:r>
            <w:r>
              <w:rPr>
                <w:rFonts w:ascii="Times New Roman" w:eastAsia="宋体" w:hAnsi="Times New Roman" w:cs="Times New Roman" w:hint="eastAsia"/>
                <w:color w:val="auto"/>
                <w:sz w:val="24"/>
                <w:highlight w:val="none"/>
              </w:rPr>
              <w:t>三线一单</w:t>
            </w:r>
            <w:r>
              <w:rPr>
                <w:rFonts w:ascii="Times New Roman" w:eastAsia="宋体" w:hAnsi="Times New Roman" w:cs="Times New Roman" w:hint="eastAsia"/>
                <w:color w:val="auto"/>
                <w:sz w:val="24"/>
                <w:highlight w:val="none"/>
              </w:rPr>
              <w:t>”</w:t>
            </w:r>
            <w:r>
              <w:rPr>
                <w:rFonts w:ascii="Times New Roman" w:eastAsia="宋体" w:hAnsi="Times New Roman" w:cs="Times New Roman" w:hint="eastAsia"/>
                <w:color w:val="auto"/>
                <w:sz w:val="24"/>
                <w:highlight w:val="none"/>
              </w:rPr>
              <w:t>生态环境分区管控的意见》（陕发〔2020〕11号）符合性分析</w:t>
            </w:r>
          </w:p>
          <w:p>
            <w:pPr>
              <w:spacing w:line="520" w:lineRule="exact"/>
              <w:jc w:val="center"/>
              <w:rPr>
                <w:rFonts w:ascii="Times New Roman" w:eastAsia="宋体" w:hAnsi="Times New Roman" w:cs="宋体" w:hint="eastAsia"/>
                <w:b/>
                <w:color w:val="auto"/>
                <w:sz w:val="24"/>
                <w:highlight w:val="none"/>
                <w:lang w:bidi="ar"/>
              </w:rPr>
            </w:pPr>
            <w:r>
              <w:rPr>
                <w:rFonts w:ascii="Times New Roman" w:eastAsia="宋体" w:hAnsi="Times New Roman" w:cs="宋体" w:hint="eastAsia"/>
                <w:b/>
                <w:color w:val="auto"/>
                <w:sz w:val="24"/>
                <w:highlight w:val="none"/>
                <w:lang w:bidi="ar"/>
              </w:rPr>
              <w:t>表1-3  与《陕西省人民政府关于加快实施</w:t>
            </w:r>
            <w:r>
              <w:rPr>
                <w:rFonts w:ascii="Times New Roman" w:eastAsia="宋体" w:hAnsi="Times New Roman" w:cs="宋体" w:hint="eastAsia"/>
                <w:b/>
                <w:color w:val="auto"/>
                <w:sz w:val="24"/>
                <w:highlight w:val="none"/>
                <w:lang w:bidi="ar"/>
              </w:rPr>
              <w:t>“</w:t>
            </w:r>
            <w:r>
              <w:rPr>
                <w:rFonts w:ascii="Times New Roman" w:eastAsia="宋体" w:hAnsi="Times New Roman" w:cs="宋体" w:hint="eastAsia"/>
                <w:b/>
                <w:color w:val="auto"/>
                <w:sz w:val="24"/>
                <w:highlight w:val="none"/>
                <w:lang w:bidi="ar"/>
              </w:rPr>
              <w:t>三线一单</w:t>
            </w:r>
            <w:r>
              <w:rPr>
                <w:rFonts w:ascii="Times New Roman" w:eastAsia="宋体" w:hAnsi="Times New Roman" w:cs="宋体" w:hint="eastAsia"/>
                <w:b/>
                <w:color w:val="auto"/>
                <w:sz w:val="24"/>
                <w:highlight w:val="none"/>
                <w:lang w:bidi="ar"/>
              </w:rPr>
              <w:t>”</w:t>
            </w:r>
            <w:r>
              <w:rPr>
                <w:rFonts w:ascii="Times New Roman" w:eastAsia="宋体" w:hAnsi="Times New Roman" w:cs="宋体" w:hint="eastAsia"/>
                <w:b/>
                <w:color w:val="auto"/>
                <w:sz w:val="24"/>
                <w:highlight w:val="none"/>
                <w:lang w:bidi="ar"/>
              </w:rPr>
              <w:t>生态环境分区管控的意见》（陕发〔2020〕11号）符合性分析</w:t>
            </w:r>
          </w:p>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CellMar>
                <w:top w:w="0" w:type="dxa"/>
                <w:left w:w="108" w:type="dxa"/>
                <w:bottom w:w="0" w:type="dxa"/>
                <w:right w:w="108" w:type="dxa"/>
              </w:tblCellMar>
              <w:tblLook w:val="0000"/>
            </w:tblPr>
            <w:tblGrid>
              <w:gridCol w:w="1353"/>
              <w:gridCol w:w="2932"/>
              <w:gridCol w:w="1916"/>
              <w:gridCol w:w="642"/>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CellMar>
                  <w:top w:w="0" w:type="dxa"/>
                  <w:left w:w="108" w:type="dxa"/>
                  <w:bottom w:w="0" w:type="dxa"/>
                  <w:right w:w="108" w:type="dxa"/>
                </w:tblCellMar>
                <w:tblLook w:val="0000"/>
              </w:tblPrEx>
              <w:trPr>
                <w:trHeight w:val="90"/>
                <w:jc w:val="center"/>
              </w:trPr>
              <w:tc>
                <w:tcPr>
                  <w:tcW w:w="989" w:type="pct"/>
                  <w:tcBorders>
                    <w:tl2br w:val="nil"/>
                    <w:tr2bl w:val="nil"/>
                  </w:tcBorders>
                  <w:vAlign w:val="center"/>
                </w:tcPr>
                <w:p>
                  <w:pPr>
                    <w:pStyle w:val="a12"/>
                    <w:kinsoku w:val="0"/>
                    <w:overflowPunct w:val="0"/>
                    <w:autoSpaceDE w:val="0"/>
                    <w:autoSpaceDN w:val="0"/>
                    <w:adjustRightInd w:val="0"/>
                    <w:snapToGrid w:val="0"/>
                    <w:rPr>
                      <w:b/>
                      <w:bCs/>
                      <w:color w:val="auto"/>
                      <w:highlight w:val="none"/>
                    </w:rPr>
                  </w:pPr>
                  <w:r>
                    <w:rPr>
                      <w:b/>
                      <w:bCs/>
                      <w:color w:val="auto"/>
                      <w:highlight w:val="none"/>
                    </w:rPr>
                    <w:t>名称</w:t>
                  </w:r>
                </w:p>
              </w:tc>
              <w:tc>
                <w:tcPr>
                  <w:tcW w:w="2142" w:type="pct"/>
                  <w:tcBorders>
                    <w:tl2br w:val="nil"/>
                    <w:tr2bl w:val="nil"/>
                  </w:tcBorders>
                  <w:vAlign w:val="center"/>
                </w:tcPr>
                <w:p>
                  <w:pPr>
                    <w:pStyle w:val="a12"/>
                    <w:kinsoku w:val="0"/>
                    <w:overflowPunct w:val="0"/>
                    <w:autoSpaceDE w:val="0"/>
                    <w:autoSpaceDN w:val="0"/>
                    <w:adjustRightInd w:val="0"/>
                    <w:snapToGrid w:val="0"/>
                    <w:rPr>
                      <w:b/>
                      <w:bCs/>
                      <w:color w:val="auto"/>
                      <w:highlight w:val="none"/>
                    </w:rPr>
                  </w:pPr>
                  <w:r>
                    <w:rPr>
                      <w:b/>
                      <w:bCs/>
                      <w:color w:val="auto"/>
                      <w:highlight w:val="none"/>
                    </w:rPr>
                    <w:t>相关要求</w:t>
                  </w:r>
                </w:p>
              </w:tc>
              <w:tc>
                <w:tcPr>
                  <w:tcW w:w="1400" w:type="pct"/>
                  <w:tcBorders>
                    <w:tl2br w:val="nil"/>
                    <w:tr2bl w:val="nil"/>
                  </w:tcBorders>
                  <w:vAlign w:val="center"/>
                </w:tcPr>
                <w:p>
                  <w:pPr>
                    <w:pStyle w:val="a12"/>
                    <w:kinsoku w:val="0"/>
                    <w:overflowPunct w:val="0"/>
                    <w:autoSpaceDE w:val="0"/>
                    <w:autoSpaceDN w:val="0"/>
                    <w:adjustRightInd w:val="0"/>
                    <w:snapToGrid w:val="0"/>
                    <w:rPr>
                      <w:b/>
                      <w:bCs/>
                      <w:color w:val="auto"/>
                      <w:highlight w:val="none"/>
                    </w:rPr>
                  </w:pPr>
                  <w:r>
                    <w:rPr>
                      <w:b/>
                      <w:bCs/>
                      <w:color w:val="auto"/>
                      <w:highlight w:val="none"/>
                    </w:rPr>
                    <w:t>本项目情况</w:t>
                  </w:r>
                </w:p>
              </w:tc>
              <w:tc>
                <w:tcPr>
                  <w:tcW w:w="469" w:type="pct"/>
                  <w:tcBorders>
                    <w:tl2br w:val="nil"/>
                    <w:tr2bl w:val="nil"/>
                  </w:tcBorders>
                  <w:vAlign w:val="center"/>
                </w:tcPr>
                <w:p>
                  <w:pPr>
                    <w:pStyle w:val="a12"/>
                    <w:kinsoku w:val="0"/>
                    <w:overflowPunct w:val="0"/>
                    <w:autoSpaceDE w:val="0"/>
                    <w:autoSpaceDN w:val="0"/>
                    <w:adjustRightInd w:val="0"/>
                    <w:snapToGrid w:val="0"/>
                    <w:rPr>
                      <w:b/>
                      <w:bCs/>
                      <w:color w:val="auto"/>
                      <w:highlight w:val="none"/>
                    </w:rPr>
                  </w:pPr>
                  <w:r>
                    <w:rPr>
                      <w:b/>
                      <w:bCs/>
                      <w:color w:val="auto"/>
                      <w:highlight w:val="none"/>
                    </w:rPr>
                    <w:t>符合性</w:t>
                  </w:r>
                </w:p>
              </w:tc>
            </w:tr>
            <w:tr>
              <w:tblPrEx>
                <w:tblW w:w="5000" w:type="pct"/>
                <w:jc w:val="center"/>
                <w:tblInd w:w="108" w:type="dxa"/>
                <w:tblCellMar>
                  <w:top w:w="0" w:type="dxa"/>
                  <w:left w:w="108" w:type="dxa"/>
                  <w:bottom w:w="0" w:type="dxa"/>
                  <w:right w:w="108" w:type="dxa"/>
                </w:tblCellMar>
                <w:tblLook w:val="0000"/>
              </w:tblPrEx>
              <w:trPr>
                <w:trHeight w:val="90"/>
                <w:jc w:val="center"/>
              </w:trPr>
              <w:tc>
                <w:tcPr>
                  <w:tcW w:w="989" w:type="pct"/>
                  <w:vMerge w:val="restart"/>
                  <w:tcBorders>
                    <w:tl2br w:val="nil"/>
                    <w:tr2bl w:val="nil"/>
                  </w:tcBorders>
                  <w:vAlign w:val="center"/>
                </w:tcPr>
                <w:p>
                  <w:pPr>
                    <w:pStyle w:val="a12"/>
                    <w:kinsoku w:val="0"/>
                    <w:overflowPunct w:val="0"/>
                    <w:autoSpaceDE w:val="0"/>
                    <w:autoSpaceDN w:val="0"/>
                    <w:adjustRightInd w:val="0"/>
                    <w:snapToGrid w:val="0"/>
                    <w:rPr>
                      <w:color w:val="auto"/>
                      <w:highlight w:val="none"/>
                    </w:rPr>
                  </w:pPr>
                  <w:r>
                    <w:rPr>
                      <w:color w:val="auto"/>
                      <w:highlight w:val="none"/>
                    </w:rPr>
                    <w:t>《陕西省人民政府关于加快实施“三线一单”生态环境分区管控的意见》（陕发〔2020〕11号）</w:t>
                  </w:r>
                </w:p>
              </w:tc>
              <w:tc>
                <w:tcPr>
                  <w:tcW w:w="2142" w:type="pct"/>
                  <w:tcBorders>
                    <w:tl2br w:val="nil"/>
                    <w:tr2bl w:val="nil"/>
                  </w:tcBorders>
                  <w:vAlign w:val="center"/>
                </w:tcPr>
                <w:p>
                  <w:pPr>
                    <w:autoSpaceDE w:val="0"/>
                    <w:autoSpaceDN w:val="0"/>
                    <w:jc w:val="left"/>
                    <w:rPr>
                      <w:color w:val="auto"/>
                      <w:highlight w:val="none"/>
                    </w:rPr>
                  </w:pPr>
                  <w:r>
                    <w:rPr>
                      <w:color w:val="auto"/>
                      <w:kern w:val="0"/>
                      <w:szCs w:val="21"/>
                      <w:highlight w:val="none"/>
                    </w:rPr>
                    <w:t>划定环境管控单元。按照保护优先、衔接整合、有效管理的原则，将全省行政区域统筹划定优先保护、重点管控和一般管控三类环境管控单元1381个，实施生态环境分区管控。</w:t>
                  </w:r>
                </w:p>
              </w:tc>
              <w:tc>
                <w:tcPr>
                  <w:tcW w:w="1400" w:type="pct"/>
                  <w:tcBorders>
                    <w:tl2br w:val="nil"/>
                    <w:tr2bl w:val="nil"/>
                  </w:tcBorders>
                  <w:vAlign w:val="center"/>
                </w:tcPr>
                <w:p>
                  <w:pPr>
                    <w:pStyle w:val="a12"/>
                    <w:kinsoku w:val="0"/>
                    <w:overflowPunct w:val="0"/>
                    <w:autoSpaceDE w:val="0"/>
                    <w:autoSpaceDN w:val="0"/>
                    <w:adjustRightInd w:val="0"/>
                    <w:snapToGrid w:val="0"/>
                    <w:rPr>
                      <w:color w:val="auto"/>
                      <w:highlight w:val="none"/>
                    </w:rPr>
                  </w:pPr>
                  <w:r>
                    <w:rPr>
                      <w:color w:val="auto"/>
                      <w:highlight w:val="none"/>
                    </w:rPr>
                    <w:t>本项目位于</w:t>
                  </w:r>
                  <w:r>
                    <w:rPr>
                      <w:rFonts w:hint="eastAsia"/>
                      <w:color w:val="auto"/>
                      <w:highlight w:val="none"/>
                    </w:rPr>
                    <w:t>铜川市新材料产业园区</w:t>
                  </w:r>
                  <w:r>
                    <w:rPr>
                      <w:color w:val="auto"/>
                      <w:highlight w:val="none"/>
                    </w:rPr>
                    <w:t>，属于重点管控单元</w:t>
                  </w:r>
                </w:p>
              </w:tc>
              <w:tc>
                <w:tcPr>
                  <w:tcW w:w="469" w:type="pct"/>
                  <w:tcBorders>
                    <w:tl2br w:val="nil"/>
                    <w:tr2bl w:val="nil"/>
                  </w:tcBorders>
                  <w:vAlign w:val="center"/>
                </w:tcPr>
                <w:p>
                  <w:pPr>
                    <w:pStyle w:val="a12"/>
                    <w:kinsoku w:val="0"/>
                    <w:overflowPunct w:val="0"/>
                    <w:autoSpaceDE w:val="0"/>
                    <w:autoSpaceDN w:val="0"/>
                    <w:adjustRightInd w:val="0"/>
                    <w:snapToGrid w:val="0"/>
                    <w:rPr>
                      <w:color w:val="auto"/>
                      <w:highlight w:val="none"/>
                    </w:rPr>
                  </w:pPr>
                  <w:r>
                    <w:rPr>
                      <w:color w:val="auto"/>
                      <w:highlight w:val="none"/>
                    </w:rPr>
                    <w:t>符合</w:t>
                  </w:r>
                </w:p>
              </w:tc>
            </w:tr>
            <w:tr>
              <w:tblPrEx>
                <w:tblW w:w="5000" w:type="pct"/>
                <w:jc w:val="center"/>
                <w:tblInd w:w="108" w:type="dxa"/>
                <w:tblCellMar>
                  <w:top w:w="0" w:type="dxa"/>
                  <w:left w:w="108" w:type="dxa"/>
                  <w:bottom w:w="0" w:type="dxa"/>
                  <w:right w:w="108" w:type="dxa"/>
                </w:tblCellMar>
                <w:tblLook w:val="0000"/>
              </w:tblPrEx>
              <w:trPr>
                <w:trHeight w:val="547"/>
                <w:jc w:val="center"/>
              </w:trPr>
              <w:tc>
                <w:tcPr>
                  <w:tcW w:w="989" w:type="pct"/>
                  <w:vMerge/>
                  <w:tcBorders>
                    <w:tl2br w:val="nil"/>
                    <w:tr2bl w:val="nil"/>
                  </w:tcBorders>
                  <w:vAlign w:val="center"/>
                </w:tcPr>
                <w:p>
                  <w:pPr>
                    <w:pStyle w:val="a12"/>
                    <w:kinsoku w:val="0"/>
                    <w:overflowPunct w:val="0"/>
                    <w:autoSpaceDE w:val="0"/>
                    <w:autoSpaceDN w:val="0"/>
                    <w:adjustRightInd w:val="0"/>
                    <w:snapToGrid w:val="0"/>
                    <w:rPr>
                      <w:color w:val="auto"/>
                      <w:highlight w:val="none"/>
                    </w:rPr>
                  </w:pPr>
                </w:p>
              </w:tc>
              <w:tc>
                <w:tcPr>
                  <w:tcW w:w="2142" w:type="pct"/>
                  <w:tcBorders>
                    <w:tl2br w:val="nil"/>
                    <w:tr2bl w:val="nil"/>
                  </w:tcBorders>
                  <w:vAlign w:val="center"/>
                </w:tcPr>
                <w:p>
                  <w:pPr>
                    <w:autoSpaceDE w:val="0"/>
                    <w:autoSpaceDN w:val="0"/>
                    <w:spacing w:after="0"/>
                    <w:jc w:val="left"/>
                    <w:rPr>
                      <w:color w:val="auto"/>
                      <w:kern w:val="0"/>
                      <w:szCs w:val="21"/>
                      <w:highlight w:val="none"/>
                    </w:rPr>
                  </w:pPr>
                </w:p>
              </w:tc>
              <w:tc>
                <w:tcPr>
                  <w:tcW w:w="1400" w:type="pct"/>
                  <w:tcBorders>
                    <w:tl2br w:val="nil"/>
                    <w:tr2bl w:val="nil"/>
                  </w:tcBorders>
                  <w:vAlign w:val="center"/>
                </w:tcPr>
                <w:p>
                  <w:pPr>
                    <w:pStyle w:val="a12"/>
                    <w:kinsoku w:val="0"/>
                    <w:overflowPunct w:val="0"/>
                    <w:autoSpaceDE w:val="0"/>
                    <w:autoSpaceDN w:val="0"/>
                    <w:adjustRightInd w:val="0"/>
                    <w:snapToGrid w:val="0"/>
                    <w:rPr>
                      <w:color w:val="auto"/>
                      <w:highlight w:val="none"/>
                    </w:rPr>
                  </w:pPr>
                  <w:r>
                    <w:rPr>
                      <w:color w:val="auto"/>
                      <w:highlight w:val="none"/>
                    </w:rPr>
                    <w:t>本项目各项污染物采取环境治理设施进行处理达标后排放，环境风险可控，满足重点管控单元管控要求</w:t>
                  </w:r>
                </w:p>
              </w:tc>
              <w:tc>
                <w:tcPr>
                  <w:tcW w:w="469" w:type="pct"/>
                  <w:tcBorders>
                    <w:tl2br w:val="nil"/>
                    <w:tr2bl w:val="nil"/>
                  </w:tcBorders>
                  <w:vAlign w:val="center"/>
                </w:tcPr>
                <w:p>
                  <w:pPr>
                    <w:pStyle w:val="a12"/>
                    <w:kinsoku w:val="0"/>
                    <w:overflowPunct w:val="0"/>
                    <w:autoSpaceDE w:val="0"/>
                    <w:autoSpaceDN w:val="0"/>
                    <w:adjustRightInd w:val="0"/>
                    <w:snapToGrid w:val="0"/>
                    <w:rPr>
                      <w:color w:val="auto"/>
                      <w:highlight w:val="none"/>
                    </w:rPr>
                  </w:pPr>
                  <w:r>
                    <w:rPr>
                      <w:color w:val="auto"/>
                      <w:highlight w:val="none"/>
                    </w:rPr>
                    <w:t>符合</w:t>
                  </w:r>
                </w:p>
              </w:tc>
            </w:tr>
          </w:tbl>
          <w:p/>
        </w:tc>
      </w:tr>
    </w:tbl>
    <w:p>
      <w:pPr>
        <w:sectPr>
          <w:footerReference w:type="default" r:id="rId7"/>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4"/>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5000" w:type="pct"/>
              <w:jc w:val="center"/>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CellMar>
                <w:top w:w="0" w:type="dxa"/>
                <w:left w:w="108" w:type="dxa"/>
                <w:bottom w:w="0" w:type="dxa"/>
                <w:right w:w="108" w:type="dxa"/>
              </w:tblCellMar>
              <w:tblLook w:val="0000"/>
            </w:tblPr>
            <w:tblGrid>
              <w:gridCol w:w="1353"/>
              <w:gridCol w:w="2932"/>
              <w:gridCol w:w="1916"/>
              <w:gridCol w:w="642"/>
            </w:tblGrid>
            <w:tr>
              <w:tblPrEx>
                <w:tblW w:w="5000" w:type="pct"/>
                <w:jc w:val="center"/>
                <w:tblInd w:w="108" w:type="dxa"/>
                <w:tblBorders>
                  <w:top w:val="single" w:sz="12" w:space="0" w:color="auto"/>
                  <w:left w:val="none" w:sz="0" w:space="0" w:color="auto"/>
                  <w:bottom w:val="single" w:sz="12" w:space="0" w:color="auto"/>
                  <w:right w:val="none" w:sz="0" w:space="0" w:color="auto"/>
                  <w:insideH w:val="single" w:sz="6" w:space="0" w:color="auto"/>
                  <w:insideV w:val="single" w:sz="6" w:space="0" w:color="auto"/>
                </w:tblBorders>
                <w:tblCellMar>
                  <w:top w:w="0" w:type="dxa"/>
                  <w:left w:w="108" w:type="dxa"/>
                  <w:bottom w:w="0" w:type="dxa"/>
                  <w:right w:w="108" w:type="dxa"/>
                </w:tblCellMar>
                <w:tblLook w:val="0000"/>
              </w:tblPrEx>
              <w:trPr>
                <w:trHeight w:val="547"/>
                <w:jc w:val="center"/>
              </w:trPr>
              <w:tc>
                <w:tcPr>
                  <w:tcW w:w="989" w:type="pct"/>
                  <w:tcBorders>
                    <w:tl2br w:val="nil"/>
                    <w:tr2bl w:val="nil"/>
                  </w:tcBorders>
                  <w:vAlign w:val="center"/>
                </w:tcPr>
                <w:p/>
              </w:tc>
              <w:tc>
                <w:tcPr>
                  <w:tcW w:w="2142" w:type="pct"/>
                  <w:tcBorders>
                    <w:tl2br w:val="nil"/>
                    <w:tr2bl w:val="nil"/>
                  </w:tcBorders>
                  <w:vAlign w:val="center"/>
                </w:tcPr>
                <w:p>
                  <w:pPr>
                    <w:autoSpaceDE w:val="0"/>
                    <w:autoSpaceDN w:val="0"/>
                    <w:spacing w:before="0"/>
                    <w:jc w:val="left"/>
                    <w:rPr>
                      <w:color w:val="auto"/>
                      <w:kern w:val="0"/>
                      <w:szCs w:val="21"/>
                      <w:highlight w:val="none"/>
                    </w:rPr>
                  </w:pPr>
                  <w:r>
                    <w:rPr>
                      <w:color w:val="auto"/>
                      <w:kern w:val="0"/>
                      <w:szCs w:val="21"/>
                      <w:highlight w:val="none"/>
                    </w:rPr>
                    <w:t>重点管控单元。指涉及大气、水、土壤、自然资源等资源环境要素重点管控的区域，主要包括城镇规划区、重点开发区等开发强度高和污染物排放强度大的区域。全省划分重点管控单元406个，面积4.88万平方公里，占全省国土面积的23.72%，主要分布在关中平原、陕北能源重化工产业聚集区、陕南重点城镇区以及环境问题相。对集中的区域。重点管控单元以提升资源利用效率、加强污染物减排治理和环境风险防控为重点，解决突出生态环境问题。</w:t>
                  </w:r>
                </w:p>
              </w:tc>
              <w:tc>
                <w:tcPr>
                  <w:tcW w:w="1400" w:type="pct"/>
                  <w:tcBorders>
                    <w:tl2br w:val="nil"/>
                    <w:tr2bl w:val="nil"/>
                  </w:tcBorders>
                  <w:vAlign w:val="center"/>
                </w:tcPr>
                <w:p/>
              </w:tc>
              <w:tc>
                <w:tcPr>
                  <w:tcW w:w="469" w:type="pct"/>
                  <w:tcBorders>
                    <w:tl2br w:val="nil"/>
                    <w:tr2bl w:val="nil"/>
                  </w:tcBorders>
                  <w:vAlign w:val="center"/>
                </w:tcPr>
                <w:p/>
              </w:tc>
            </w:tr>
          </w:tbl>
          <w:p>
            <w:pPr>
              <w:spacing w:line="520" w:lineRule="exact"/>
              <w:ind w:firstLine="480" w:firstLineChars="200"/>
              <w:jc w:val="both"/>
              <w:rPr>
                <w:rFonts w:ascii="Times New Roman" w:eastAsia="宋体" w:hAnsi="Times New Roman" w:cs="Times New Roman" w:hint="eastAsia"/>
                <w:color w:val="auto"/>
                <w:sz w:val="24"/>
                <w:highlight w:val="none"/>
              </w:rPr>
            </w:pPr>
            <w:r>
              <w:rPr>
                <w:rFonts w:ascii="Times New Roman" w:eastAsia="宋体" w:hAnsi="Times New Roman" w:cs="Times New Roman" w:hint="eastAsia"/>
                <w:color w:val="auto"/>
                <w:sz w:val="24"/>
                <w:highlight w:val="none"/>
              </w:rPr>
              <w:t>综上所述，本项目建设符合《陕西省人民政府关于加快实施</w:t>
            </w:r>
            <w:r>
              <w:rPr>
                <w:rFonts w:ascii="Times New Roman" w:eastAsia="宋体" w:hAnsi="Times New Roman" w:cs="Times New Roman" w:hint="eastAsia"/>
                <w:color w:val="auto"/>
                <w:sz w:val="24"/>
                <w:highlight w:val="none"/>
              </w:rPr>
              <w:t>“</w:t>
            </w:r>
            <w:r>
              <w:rPr>
                <w:rFonts w:ascii="Times New Roman" w:eastAsia="宋体" w:hAnsi="Times New Roman" w:cs="Times New Roman" w:hint="eastAsia"/>
                <w:color w:val="auto"/>
                <w:sz w:val="24"/>
                <w:highlight w:val="none"/>
              </w:rPr>
              <w:t>三线一单</w:t>
            </w:r>
            <w:r>
              <w:rPr>
                <w:rFonts w:ascii="Times New Roman" w:eastAsia="宋体" w:hAnsi="Times New Roman" w:cs="Times New Roman" w:hint="eastAsia"/>
                <w:color w:val="auto"/>
                <w:sz w:val="24"/>
                <w:highlight w:val="none"/>
              </w:rPr>
              <w:t>”</w:t>
            </w:r>
            <w:r>
              <w:rPr>
                <w:rFonts w:ascii="Times New Roman" w:eastAsia="宋体" w:hAnsi="Times New Roman" w:cs="Times New Roman" w:hint="eastAsia"/>
                <w:color w:val="auto"/>
                <w:sz w:val="24"/>
                <w:highlight w:val="none"/>
              </w:rPr>
              <w:t>生态环境分区管控的意见》（陕发〔2020〕11号）的要求。</w:t>
            </w:r>
          </w:p>
          <w:p>
            <w:pPr>
              <w:spacing w:line="520" w:lineRule="exact"/>
              <w:ind w:firstLine="480" w:firstLineChars="200"/>
              <w:jc w:val="both"/>
              <w:rPr>
                <w:rFonts w:ascii="Times New Roman" w:eastAsia="宋体" w:hAnsi="Times New Roman" w:cs="Times New Roman" w:hint="eastAsia"/>
                <w:color w:val="auto"/>
                <w:sz w:val="24"/>
                <w:highlight w:val="none"/>
              </w:rPr>
            </w:pP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val="en-US" w:eastAsia="zh-CN"/>
              </w:rPr>
              <w:t>2</w:t>
            </w:r>
            <w:r>
              <w:rPr>
                <w:rFonts w:ascii="Times New Roman" w:eastAsia="宋体" w:hAnsi="Times New Roman" w:cs="Times New Roman" w:hint="eastAsia"/>
                <w:color w:val="auto"/>
                <w:sz w:val="24"/>
                <w:highlight w:val="none"/>
                <w:lang w:eastAsia="zh-CN"/>
              </w:rPr>
              <w:t>）与《铜川市</w:t>
            </w: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eastAsia="zh-CN"/>
              </w:rPr>
              <w:t>三线一单</w:t>
            </w: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eastAsia="zh-CN"/>
              </w:rPr>
              <w:t>生态环境分区管控方案》符合性分析</w:t>
            </w:r>
          </w:p>
          <w:p>
            <w:pPr>
              <w:spacing w:line="520" w:lineRule="exact"/>
              <w:ind w:firstLine="480" w:firstLineChars="200"/>
              <w:jc w:val="both"/>
              <w:rPr>
                <w:rFonts w:ascii="Times New Roman" w:eastAsia="宋体" w:hAnsi="Times New Roman" w:cs="Times New Roman" w:hint="eastAsia"/>
                <w:color w:val="auto"/>
                <w:sz w:val="24"/>
                <w:highlight w:val="none"/>
              </w:rPr>
            </w:pPr>
            <w:r>
              <w:rPr>
                <w:rFonts w:ascii="Times New Roman" w:eastAsia="宋体" w:hAnsi="Times New Roman" w:cs="Times New Roman" w:hint="eastAsia"/>
                <w:color w:val="auto"/>
                <w:sz w:val="24"/>
                <w:highlight w:val="none"/>
                <w:lang w:eastAsia="zh-CN"/>
              </w:rPr>
              <w:t>根据铜川市人民政府印发的《铜川市</w:t>
            </w: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eastAsia="zh-CN"/>
              </w:rPr>
              <w:t>三线一单</w:t>
            </w:r>
            <w:r>
              <w:rPr>
                <w:rFonts w:ascii="Times New Roman" w:eastAsia="宋体" w:hAnsi="Times New Roman" w:cs="Times New Roman" w:hint="eastAsia"/>
                <w:color w:val="auto"/>
                <w:sz w:val="24"/>
                <w:highlight w:val="none"/>
                <w:lang w:eastAsia="zh-CN"/>
              </w:rPr>
              <w:t>”</w:t>
            </w:r>
            <w:r>
              <w:rPr>
                <w:rFonts w:ascii="Times New Roman" w:eastAsia="宋体" w:hAnsi="Times New Roman" w:cs="Times New Roman" w:hint="eastAsia"/>
                <w:color w:val="auto"/>
                <w:sz w:val="24"/>
                <w:highlight w:val="none"/>
                <w:lang w:eastAsia="zh-CN"/>
              </w:rPr>
              <w:t>生态环境分区管控方案》（铜政发〔2021〕33号），</w:t>
            </w:r>
            <w:r>
              <w:rPr>
                <w:rFonts w:ascii="Times New Roman" w:eastAsia="宋体" w:hAnsi="Times New Roman" w:cs="Times New Roman" w:hint="eastAsia"/>
                <w:color w:val="auto"/>
                <w:sz w:val="24"/>
                <w:highlight w:val="none"/>
                <w:lang w:val="en-US" w:eastAsia="zh-CN"/>
              </w:rPr>
              <w:t>以及铜川市区域空间生态环境评价工作协调小组办公室出具的铜川市</w:t>
            </w:r>
            <w:r>
              <w:rPr>
                <w:rFonts w:ascii="Times New Roman" w:eastAsia="宋体" w:hAnsi="Times New Roman" w:cs="Times New Roman" w:hint="eastAsia"/>
                <w:color w:val="auto"/>
                <w:sz w:val="24"/>
                <w:highlight w:val="none"/>
                <w:lang w:val="en-US" w:eastAsia="zh-CN"/>
              </w:rPr>
              <w:t>“</w:t>
            </w:r>
            <w:r>
              <w:rPr>
                <w:rFonts w:ascii="Times New Roman" w:eastAsia="宋体" w:hAnsi="Times New Roman" w:cs="Times New Roman" w:hint="eastAsia"/>
                <w:color w:val="auto"/>
                <w:sz w:val="24"/>
                <w:highlight w:val="none"/>
                <w:lang w:val="en-US" w:eastAsia="zh-CN"/>
              </w:rPr>
              <w:t>三线一单</w:t>
            </w:r>
            <w:r>
              <w:rPr>
                <w:rFonts w:ascii="Times New Roman" w:eastAsia="宋体" w:hAnsi="Times New Roman" w:cs="Times New Roman" w:hint="eastAsia"/>
                <w:color w:val="auto"/>
                <w:sz w:val="24"/>
                <w:highlight w:val="none"/>
                <w:lang w:val="en-US" w:eastAsia="zh-CN"/>
              </w:rPr>
              <w:t>”</w:t>
            </w:r>
            <w:r>
              <w:rPr>
                <w:rFonts w:ascii="Times New Roman" w:eastAsia="宋体" w:hAnsi="Times New Roman" w:cs="Times New Roman" w:hint="eastAsia"/>
                <w:color w:val="auto"/>
                <w:sz w:val="24"/>
                <w:highlight w:val="none"/>
                <w:lang w:val="en-US" w:eastAsia="zh-CN"/>
              </w:rPr>
              <w:t>项目查询图，</w:t>
            </w:r>
            <w:r>
              <w:rPr>
                <w:rFonts w:ascii="Times New Roman" w:eastAsia="宋体" w:hAnsi="Times New Roman" w:cs="Times New Roman" w:hint="eastAsia"/>
                <w:color w:val="auto"/>
                <w:sz w:val="24"/>
                <w:highlight w:val="none"/>
                <w:lang w:eastAsia="zh-CN"/>
              </w:rPr>
              <w:t>本项目位于铜川市新材料产业园区，属于重点管控单</w:t>
            </w:r>
            <w:r>
              <w:rPr>
                <w:rFonts w:ascii="Times New Roman" w:eastAsia="宋体" w:hAnsi="Times New Roman" w:cs="Times New Roman" w:hint="eastAsia"/>
                <w:color w:val="auto"/>
                <w:sz w:val="24"/>
                <w:highlight w:val="none"/>
                <w:lang w:val="en-US" w:eastAsia="zh-CN"/>
              </w:rPr>
              <w:t>元，比对图见附图7</w:t>
            </w:r>
            <w:r>
              <w:rPr>
                <w:rFonts w:ascii="Times New Roman" w:eastAsia="宋体" w:hAnsi="Times New Roman" w:cs="Times New Roman" w:hint="eastAsia"/>
                <w:color w:val="auto"/>
                <w:sz w:val="24"/>
                <w:highlight w:val="none"/>
                <w:lang w:eastAsia="zh-CN"/>
              </w:rPr>
              <w:t>。</w:t>
            </w:r>
          </w:p>
          <w:p>
            <w:pPr>
              <w:spacing w:line="520" w:lineRule="exact"/>
              <w:jc w:val="center"/>
              <w:rPr>
                <w:rFonts w:ascii="Times New Roman" w:eastAsia="宋体" w:hAnsi="Times New Roman" w:cs="宋体" w:hint="eastAsia"/>
                <w:b/>
                <w:color w:val="auto"/>
                <w:sz w:val="24"/>
                <w:highlight w:val="none"/>
                <w:lang w:bidi="ar"/>
              </w:rPr>
            </w:pPr>
            <w:r>
              <w:rPr>
                <w:rFonts w:ascii="Times New Roman" w:eastAsia="宋体" w:hAnsi="Times New Roman" w:cs="宋体" w:hint="eastAsia"/>
                <w:b/>
                <w:color w:val="auto"/>
                <w:sz w:val="24"/>
                <w:highlight w:val="none"/>
                <w:lang w:bidi="ar"/>
              </w:rPr>
              <w:t>表1-</w:t>
            </w:r>
            <w:r>
              <w:rPr>
                <w:rFonts w:ascii="Times New Roman" w:eastAsia="宋体" w:hAnsi="Times New Roman" w:cs="宋体" w:hint="eastAsia"/>
                <w:b/>
                <w:color w:val="auto"/>
                <w:sz w:val="24"/>
                <w:highlight w:val="none"/>
                <w:lang w:val="en-US" w:eastAsia="zh-CN" w:bidi="ar"/>
              </w:rPr>
              <w:t>3</w:t>
            </w:r>
            <w:r>
              <w:rPr>
                <w:rFonts w:ascii="Times New Roman" w:eastAsia="宋体" w:hAnsi="Times New Roman" w:cs="宋体" w:hint="eastAsia"/>
                <w:b/>
                <w:color w:val="auto"/>
                <w:sz w:val="24"/>
                <w:highlight w:val="none"/>
                <w:lang w:bidi="ar"/>
              </w:rPr>
              <w:t xml:space="preserve">   项目与</w:t>
            </w:r>
            <w:r>
              <w:rPr>
                <w:rFonts w:ascii="Times New Roman" w:eastAsia="宋体" w:hAnsi="Times New Roman" w:cs="宋体" w:hint="eastAsia"/>
                <w:b/>
                <w:color w:val="auto"/>
                <w:sz w:val="24"/>
                <w:highlight w:val="none"/>
                <w:lang w:bidi="ar"/>
              </w:rPr>
              <w:t>“</w:t>
            </w:r>
            <w:r>
              <w:rPr>
                <w:rFonts w:ascii="Times New Roman" w:eastAsia="宋体" w:hAnsi="Times New Roman" w:cs="宋体" w:hint="eastAsia"/>
                <w:b/>
                <w:color w:val="auto"/>
                <w:sz w:val="24"/>
                <w:highlight w:val="none"/>
                <w:lang w:bidi="ar"/>
              </w:rPr>
              <w:t>三线一单</w:t>
            </w:r>
            <w:r>
              <w:rPr>
                <w:rFonts w:ascii="Times New Roman" w:eastAsia="宋体" w:hAnsi="Times New Roman" w:cs="宋体" w:hint="eastAsia"/>
                <w:b/>
                <w:color w:val="auto"/>
                <w:sz w:val="24"/>
                <w:highlight w:val="none"/>
                <w:lang w:bidi="ar"/>
              </w:rPr>
              <w:t>”</w:t>
            </w:r>
            <w:r>
              <w:rPr>
                <w:rFonts w:ascii="Times New Roman" w:eastAsia="宋体" w:hAnsi="Times New Roman" w:cs="宋体" w:hint="eastAsia"/>
                <w:b/>
                <w:color w:val="auto"/>
                <w:sz w:val="24"/>
                <w:highlight w:val="none"/>
                <w:lang w:bidi="ar"/>
              </w:rPr>
              <w:t>相符性分析</w:t>
            </w:r>
          </w:p>
          <w:tbl>
            <w:tblPr>
              <w:tblStyle w:val="TableNormal"/>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636"/>
              <w:gridCol w:w="426"/>
              <w:gridCol w:w="464"/>
              <w:gridCol w:w="2659"/>
              <w:gridCol w:w="2002"/>
              <w:gridCol w:w="651"/>
            </w:tblGrid>
            <w:tr>
              <w:tblPrEx>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12"/>
                <w:jc w:val="center"/>
              </w:trPr>
              <w:tc>
                <w:tcPr>
                  <w:tcW w:w="397"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文件名称</w:t>
                  </w:r>
                </w:p>
              </w:tc>
              <w:tc>
                <w:tcPr>
                  <w:tcW w:w="2604" w:type="pct"/>
                  <w:gridSpan w:val="3"/>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要求</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本项目情况</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结论</w:t>
                  </w: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val="restar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铜川市</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三线一单</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生态环境分区管控方案</w:t>
                  </w:r>
                </w:p>
              </w:tc>
              <w:tc>
                <w:tcPr>
                  <w:tcW w:w="2604" w:type="pct"/>
                  <w:gridSpan w:val="3"/>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重点管控单元。指涉及水、大气、土壤、自然资源等资源环境要素重点管控的区域，主要包括资源环境问题突出、人口集中、工业集聚的区域。全市划分重点管控单元20个，面积1038.50平方公里，占全市国土面积的26.76%，主要分布在耀州区、王益区、印台区、宜君县主城区范围及相关工业园区。</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本项目位于铜川市新材料产业园区，属于重点管控单元。</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04" w:type="pct"/>
                  <w:gridSpan w:val="3"/>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重点管控单元：应当以</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双碳</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战略为前提，以提升资源利用效率、加强污染物减排治理和环境风险防控为重点，解决突出生态环境问题。</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本项目各项污染物采取环境治理设施进行处理达标后排放，环境风险可控，满足重点管控单元管控要求</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val="en-US" w:eastAsia="zh-CN" w:bidi="ar"/>
                    </w:rPr>
                  </w:pPr>
                  <w:r>
                    <w:rPr>
                      <w:rFonts w:ascii="Times New Roman" w:eastAsia="宋体" w:hAnsi="Times New Roman" w:cs="宋体" w:hint="eastAsia"/>
                      <w:color w:val="auto"/>
                      <w:kern w:val="2"/>
                      <w:sz w:val="21"/>
                      <w:szCs w:val="21"/>
                      <w:highlight w:val="none"/>
                      <w:lang w:val="en-US" w:eastAsia="zh-CN" w:bidi="ar"/>
                    </w:rPr>
                    <w:t>符合</w:t>
                  </w:r>
                </w:p>
              </w:tc>
            </w:tr>
            <w:tr>
              <w:tblPrEx>
                <w:tblW w:w="4996" w:type="pct"/>
                <w:jc w:val="center"/>
                <w:tblInd w:w="110" w:type="dxa"/>
                <w:tblCellMar>
                  <w:top w:w="0" w:type="dxa"/>
                  <w:left w:w="108" w:type="dxa"/>
                  <w:bottom w:w="0" w:type="dxa"/>
                  <w:right w:w="108" w:type="dxa"/>
                </w:tblCellMar>
                <w:tblLook w:val="0000"/>
              </w:tblPrEx>
              <w:trPr>
                <w:trHeight w:val="220"/>
                <w:jc w:val="center"/>
              </w:trPr>
              <w:tc>
                <w:tcPr>
                  <w:tcW w:w="397" w:type="pct"/>
                  <w:vMerge/>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1"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369"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1972"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1.优先发展绿色循环经济产业，推动绿色产品、高效节能产品。</w:t>
                  </w:r>
                </w:p>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bl>
          <w:p/>
        </w:tc>
      </w:tr>
    </w:tbl>
    <w:p>
      <w:pPr>
        <w:sectPr>
          <w:footerReference w:type="default" r:id="rId8"/>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5"/>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636"/>
              <w:gridCol w:w="426"/>
              <w:gridCol w:w="464"/>
              <w:gridCol w:w="2659"/>
              <w:gridCol w:w="2002"/>
              <w:gridCol w:w="651"/>
            </w:tblGrid>
            <w:tr>
              <w:tblPrEx>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220"/>
                <w:jc w:val="center"/>
              </w:trPr>
              <w:tc>
                <w:tcPr>
                  <w:tcW w:w="397" w:type="pct"/>
                  <w:vMerge w:val="restart"/>
                  <w:tcBorders>
                    <w:tl2br w:val="nil"/>
                    <w:tr2bl w:val="nil"/>
                  </w:tcBorders>
                  <w:vAlign w:val="center"/>
                </w:tcPr>
                <w:p/>
              </w:tc>
              <w:tc>
                <w:tcPr>
                  <w:tcW w:w="261" w:type="pct"/>
                  <w:vMerge w:val="restar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大气环境高排放重点管控区</w:t>
                  </w:r>
                </w:p>
              </w:tc>
              <w:tc>
                <w:tcPr>
                  <w:tcW w:w="369"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空间布局约束</w:t>
                  </w:r>
                </w:p>
              </w:tc>
              <w:tc>
                <w:tcPr>
                  <w:tcW w:w="1972"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2.禁止引进国家现行产业政策明令禁止或淘汰的产业及工艺。</w:t>
                  </w:r>
                </w:p>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3.重大项目原则上布局在重点开发区，并符合国土空间规划。</w:t>
                  </w:r>
                </w:p>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4.对于存在未依法开展规划环境影响评价，或环境风险隐患突出且未完成限期整改，或未按期完成污染物排放总量控制计划的工业园区，暂停受理除污染治理、生态恢复建设和循环经济类以外的入园建设项目环境影响评价文件。</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本项目不属于国家现行产业政策明令禁止或淘汰的产业，同时项目位于重点开发区内。</w:t>
                  </w:r>
                </w:p>
              </w:tc>
              <w:tc>
                <w:tcPr>
                  <w:tcW w:w="505" w:type="pct"/>
                  <w:tcBorders>
                    <w:tl2br w:val="nil"/>
                    <w:tr2bl w:val="nil"/>
                  </w:tcBorders>
                  <w:vAlign w:val="center"/>
                </w:tcPr>
                <w:p/>
              </w:tc>
            </w:tr>
            <w:tr>
              <w:tblPrEx>
                <w:tblW w:w="4996" w:type="pct"/>
                <w:jc w:val="center"/>
                <w:tblInd w:w="110" w:type="dxa"/>
                <w:tblCellMar>
                  <w:top w:w="0" w:type="dxa"/>
                  <w:left w:w="108" w:type="dxa"/>
                  <w:bottom w:w="0" w:type="dxa"/>
                  <w:right w:w="108" w:type="dxa"/>
                </w:tblCellMar>
                <w:tblLook w:val="0000"/>
              </w:tblPrEx>
              <w:trPr>
                <w:trHeight w:val="151"/>
                <w:jc w:val="center"/>
              </w:trPr>
              <w:tc>
                <w:tcPr>
                  <w:tcW w:w="397" w:type="pct"/>
                  <w:vMerge/>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1" w:type="pct"/>
                  <w:vMerge/>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369"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污染物排放管控</w:t>
                  </w:r>
                </w:p>
              </w:tc>
              <w:tc>
                <w:tcPr>
                  <w:tcW w:w="1972"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1.新建</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两高</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项目需要依据环境质量改善目标，制定配套污染物削减方案。</w:t>
                  </w:r>
                </w:p>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2.严格控制新增燃煤项目建设（涉及民生保障的项目除外）。</w:t>
                  </w:r>
                </w:p>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3.支持企业开展能效提升、清洁生产、工业节水等绿色化升级改造，实施重点行业和企业循环化改造，推动资源循环再生利用，降低能源消耗和污染物排放量。</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本项目不属于</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两高</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项目、和燃煤项目。项目生产过程中产生的废气、废水符合相关排放标准要求；对于可利用固废循环利用，不可利用固废合理处置，不外排，对环境影响小。</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val="restar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强化</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三线一单</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约束作用</w:t>
                  </w:r>
                </w:p>
              </w:tc>
              <w:tc>
                <w:tcPr>
                  <w:tcW w:w="2604" w:type="pct"/>
                  <w:gridSpan w:val="3"/>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生态保护红线是生态空间范围内具有特殊重要生态功能必须实行强制性严格保护的区域。相关规划环评应将生态空间管控作为重要内容，规划区域涉及生态保护红线的，在规划环评结</w:t>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t>审查意见中应落实生态保护红线的管理要求，提出相应对策措施。除受自然条件限制、确实无法避让的铁路、公路、航道、防洪、管道、干渠、通讯</w:t>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t>输变电等重要基础设施项目外，在生态保护红线范围内，严控各类开发建设活动，依法不予审批新建工业项目和矿产开发项目的环评文件。</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本项目位于铜川市新材料产业园区，不涉及生态保护红线。</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04" w:type="pct"/>
                  <w:gridSpan w:val="3"/>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项目环评应对照区域环境质量目标，深入分析预测项目建设对环境质量的影响，强化污染防治措施和污染物排放控制要求。</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项目从原料源头削减污染物的排放，同时对生产工段产排污环节均设污染防治措施，并能做到达标排放。本项目</w:t>
                  </w:r>
                  <w:r>
                    <w:rPr>
                      <w:rFonts w:ascii="Times New Roman" w:eastAsia="宋体" w:hAnsi="Times New Roman" w:cs="宋体" w:hint="eastAsia"/>
                      <w:color w:val="auto"/>
                      <w:kern w:val="2"/>
                      <w:sz w:val="21"/>
                      <w:szCs w:val="21"/>
                      <w:highlight w:val="none"/>
                      <w:lang w:val="en-US" w:eastAsia="zh-CN" w:bidi="ar"/>
                    </w:rPr>
                    <w:t>生活污水</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bl>
          <w:p/>
        </w:tc>
      </w:tr>
    </w:tbl>
    <w:p>
      <w:pPr>
        <w:sectPr>
          <w:footerReference w:type="default" r:id="rId9"/>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6"/>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636"/>
              <w:gridCol w:w="3549"/>
              <w:gridCol w:w="2002"/>
              <w:gridCol w:w="651"/>
            </w:tblGrid>
            <w:tr>
              <w:tblPrEx>
                <w:tblW w:w="4996" w:type="pct"/>
                <w:jc w:val="center"/>
                <w:tblInd w:w="110" w:type="dxa"/>
                <w:tblBorders>
                  <w:top w:val="single" w:sz="12" w:space="0" w:color="auto"/>
                  <w:left w:val="none" w:sz="0" w:space="0" w:color="auto"/>
                  <w:bottom w:val="single" w:sz="12" w:space="0" w:color="auto"/>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trHeight w:val="312"/>
                <w:jc w:val="center"/>
              </w:trPr>
              <w:tc>
                <w:tcPr>
                  <w:tcW w:w="397" w:type="pct"/>
                  <w:vMerge w:val="restart"/>
                  <w:tcBorders>
                    <w:tl2br w:val="nil"/>
                    <w:tr2bl w:val="nil"/>
                  </w:tcBorders>
                </w:tcPr>
                <w:p/>
              </w:tc>
              <w:tc>
                <w:tcPr>
                  <w:tcW w:w="2604" w:type="pct"/>
                  <w:tcBorders>
                    <w:tl2br w:val="nil"/>
                    <w:tr2bl w:val="nil"/>
                  </w:tcBorders>
                  <w:vAlign w:val="center"/>
                </w:tcP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经预处理后进入铜川市新材料产业园区污水处理厂处理，无直接排放废水，</w:t>
                  </w:r>
                  <w:r>
                    <w:rPr>
                      <w:rFonts w:ascii="Times New Roman" w:eastAsia="宋体" w:hAnsi="Times New Roman" w:cs="宋体" w:hint="eastAsia"/>
                      <w:color w:val="auto"/>
                      <w:kern w:val="2"/>
                      <w:sz w:val="21"/>
                      <w:szCs w:val="21"/>
                      <w:highlight w:val="none"/>
                      <w:lang w:val="en-US" w:eastAsia="zh-CN" w:bidi="ar"/>
                    </w:rPr>
                    <w:t>生产废水回用不外排，</w:t>
                  </w:r>
                  <w:r>
                    <w:rPr>
                      <w:rFonts w:ascii="Times New Roman" w:eastAsia="宋体" w:hAnsi="Times New Roman" w:cs="宋体" w:hint="eastAsia"/>
                      <w:color w:val="auto"/>
                      <w:kern w:val="2"/>
                      <w:sz w:val="21"/>
                      <w:szCs w:val="21"/>
                      <w:highlight w:val="none"/>
                      <w:lang w:bidi="ar"/>
                    </w:rPr>
                    <w:t>不涉及环境质量底线，不会导致所在区域大气、水、声等环境</w:t>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t>现状发生明显变化。</w:t>
                  </w:r>
                </w:p>
              </w:tc>
              <w:tc>
                <w:tcPr>
                  <w:tcW w:w="505" w:type="pct"/>
                  <w:tcBorders>
                    <w:tl2br w:val="nil"/>
                    <w:tr2bl w:val="nil"/>
                  </w:tcBorders>
                  <w:vAlign w:val="center"/>
                </w:tcP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04"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资源是环境的载体，资源利用上线是各地区能源、水、土地等资源消耗不得突破的</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天花板</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相关规划环评应依据有关资源利用上线，对规划实施以及规划内项目的资源开发利用，区分不同行业，从能源资源开发等量或减量替代、开采方式和规模控制、利用效率和保护措施等方面提出建议，为规划编制和审批决策提供重要依据。</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本项目位于铜川市新材料产业园区，运营过程中会消耗一定的电能</w:t>
                  </w:r>
                  <w:r>
                    <w:rPr>
                      <w:rFonts w:ascii="Times New Roman" w:eastAsia="宋体" w:hAnsi="Times New Roman" w:cs="宋体" w:hint="eastAsia"/>
                      <w:color w:val="auto"/>
                      <w:kern w:val="2"/>
                      <w:sz w:val="21"/>
                      <w:szCs w:val="21"/>
                      <w:highlight w:val="none"/>
                      <w:lang w:eastAsia="zh-CN" w:bidi="ar"/>
                    </w:rPr>
                    <w:t>、</w:t>
                  </w:r>
                  <w:r>
                    <w:rPr>
                      <w:rFonts w:ascii="Times New Roman" w:eastAsia="宋体" w:hAnsi="Times New Roman" w:cs="宋体" w:hint="eastAsia"/>
                      <w:color w:val="auto"/>
                      <w:kern w:val="2"/>
                      <w:sz w:val="21"/>
                      <w:szCs w:val="21"/>
                      <w:highlight w:val="none"/>
                      <w:lang w:bidi="ar"/>
                    </w:rPr>
                    <w:t>水资源等，均由园区供给。项目资源利用量相对区域资源利用总量占比较小，通过内部管理、设备选择、原材料的选用及管理、污染治理等多方面采取合理可行的措施，以</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节能、降耗、减污</w:t>
                  </w:r>
                  <w:r>
                    <w:rPr>
                      <w:rFonts w:ascii="Times New Roman" w:eastAsia="宋体" w:hAnsi="Times New Roman" w:cs="宋体" w:hint="eastAsia"/>
                      <w:color w:val="auto"/>
                      <w:kern w:val="2"/>
                      <w:sz w:val="21"/>
                      <w:szCs w:val="21"/>
                      <w:highlight w:val="none"/>
                      <w:lang w:bidi="ar"/>
                    </w:rPr>
                    <w:t>”</w:t>
                  </w:r>
                  <w:r>
                    <w:rPr>
                      <w:rFonts w:ascii="Times New Roman" w:eastAsia="宋体" w:hAnsi="Times New Roman" w:cs="宋体" w:hint="eastAsia"/>
                      <w:color w:val="auto"/>
                      <w:kern w:val="2"/>
                      <w:sz w:val="21"/>
                      <w:szCs w:val="21"/>
                      <w:highlight w:val="none"/>
                      <w:lang w:bidi="ar"/>
                    </w:rPr>
                    <w:t>为目标，有效控制污染，不触及资源利用上线。</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r>
              <w:tblPrEx>
                <w:tblW w:w="4996" w:type="pct"/>
                <w:jc w:val="center"/>
                <w:tblInd w:w="110" w:type="dxa"/>
                <w:tblCellMar>
                  <w:top w:w="0" w:type="dxa"/>
                  <w:left w:w="108" w:type="dxa"/>
                  <w:bottom w:w="0" w:type="dxa"/>
                  <w:right w:w="108" w:type="dxa"/>
                </w:tblCellMar>
                <w:tblLook w:val="0000"/>
              </w:tblPrEx>
              <w:trPr>
                <w:trHeight w:val="312"/>
                <w:jc w:val="center"/>
              </w:trPr>
              <w:tc>
                <w:tcPr>
                  <w:tcW w:w="397" w:type="pct"/>
                  <w:vMerge/>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p>
              </w:tc>
              <w:tc>
                <w:tcPr>
                  <w:tcW w:w="2604" w:type="pct"/>
                  <w:tcBorders>
                    <w:tl2br w:val="nil"/>
                    <w:tr2bl w:val="nil"/>
                  </w:tcBorders>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环境准入负面清单是基于生态保护红线、环境质量底线和资源</w:t>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t>上线，以清单方式列出的禁</w:t>
                  </w:r>
                  <w:r>
                    <w:rPr>
                      <w:rFonts w:ascii="Times New Roman" w:eastAsia="宋体" w:hAnsi="Times New Roman" w:cs="宋体" w:hint="eastAsia"/>
                      <w:color w:val="auto"/>
                      <w:kern w:val="2"/>
                      <w:sz w:val="21"/>
                      <w:szCs w:val="21"/>
                      <w:highlight w:val="none"/>
                      <w:lang w:bidi="ar"/>
                    </w:rPr>
                    <w:cr/>
                  </w:r>
                  <w:r>
                    <w:rPr>
                      <w:rFonts w:ascii="Times New Roman" w:eastAsia="宋体" w:hAnsi="Times New Roman" w:cs="宋体" w:hint="eastAsia"/>
                      <w:color w:val="auto"/>
                      <w:kern w:val="2"/>
                      <w:sz w:val="21"/>
                      <w:szCs w:val="21"/>
                      <w:highlight w:val="none"/>
                      <w:lang w:bidi="ar"/>
                    </w:rPr>
                    <w:t>、限制等差别化环境准入条件和要求。要在规划环评清单式管理试点的基础上，从布局选址、资源利用效率、资源配置方式等方面入手，制定环境准入负面清单，充分发挥负面清单对产业发展和项目准入的指导和约束作用。</w:t>
                  </w:r>
                </w:p>
              </w:tc>
              <w:tc>
                <w:tcPr>
                  <w:tcW w:w="1493"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项目符合《铜川市生态环境总体准入清单》要求，不属于其限制、禁止类项目，且不在禁止开发和限制开发区域。</w:t>
                  </w:r>
                </w:p>
              </w:tc>
              <w:tc>
                <w:tcPr>
                  <w:tcW w:w="505" w:type="pct"/>
                  <w:tcBorders>
                    <w:tl2br w:val="nil"/>
                    <w:tr2bl w:val="nil"/>
                  </w:tcBorders>
                  <w:vAlign w:val="center"/>
                </w:tcPr>
                <w:p>
                  <w:pPr>
                    <w:pStyle w:val="NormalWeb"/>
                    <w:widowControl w:val="0"/>
                    <w:spacing w:before="0" w:beforeAutospacing="0" w:after="0" w:afterAutospacing="0"/>
                    <w:jc w:val="center"/>
                    <w:rPr>
                      <w:rFonts w:ascii="Times New Roman" w:eastAsia="宋体" w:hAnsi="Times New Roman" w:cs="宋体" w:hint="eastAsia"/>
                      <w:color w:val="auto"/>
                      <w:kern w:val="2"/>
                      <w:sz w:val="21"/>
                      <w:szCs w:val="21"/>
                      <w:highlight w:val="none"/>
                      <w:lang w:bidi="ar"/>
                    </w:rPr>
                  </w:pPr>
                  <w:r>
                    <w:rPr>
                      <w:rFonts w:ascii="Times New Roman" w:eastAsia="宋体" w:hAnsi="Times New Roman" w:cs="宋体" w:hint="eastAsia"/>
                      <w:color w:val="auto"/>
                      <w:kern w:val="2"/>
                      <w:sz w:val="21"/>
                      <w:szCs w:val="21"/>
                      <w:highlight w:val="none"/>
                      <w:lang w:bidi="ar"/>
                    </w:rPr>
                    <w:t>符合</w:t>
                  </w:r>
                </w:p>
              </w:tc>
            </w:tr>
          </w:tbl>
          <w:p>
            <w:pPr>
              <w:adjustRightInd w:val="0"/>
              <w:snapToGrid w:val="0"/>
              <w:spacing w:line="360" w:lineRule="auto"/>
              <w:jc w:val="left"/>
              <w:rPr>
                <w:rFonts w:hint="eastAsia"/>
                <w:color w:val="auto"/>
                <w:sz w:val="24"/>
                <w:highlight w:val="none"/>
              </w:rPr>
            </w:pPr>
            <w:r>
              <w:rPr>
                <w:rFonts w:hint="eastAsia"/>
                <w:color w:val="auto"/>
                <w:sz w:val="24"/>
                <w:highlight w:val="none"/>
              </w:rPr>
              <w:t>3、</w:t>
            </w:r>
            <w:r>
              <w:rPr>
                <w:color w:val="auto"/>
                <w:sz w:val="24"/>
                <w:highlight w:val="none"/>
              </w:rPr>
              <w:t>项目与相关</w:t>
            </w:r>
            <w:r>
              <w:rPr>
                <w:rFonts w:hint="eastAsia"/>
                <w:color w:val="auto"/>
                <w:sz w:val="24"/>
                <w:highlight w:val="none"/>
              </w:rPr>
              <w:t>政策</w:t>
            </w:r>
            <w:r>
              <w:rPr>
                <w:color w:val="auto"/>
                <w:sz w:val="24"/>
                <w:highlight w:val="none"/>
              </w:rPr>
              <w:t>符合性分析见下表</w:t>
            </w:r>
            <w:r>
              <w:rPr>
                <w:rFonts w:hint="eastAsia"/>
                <w:color w:val="auto"/>
                <w:sz w:val="24"/>
                <w:highlight w:val="none"/>
              </w:rPr>
              <w:t>。</w:t>
            </w:r>
          </w:p>
          <w:p>
            <w:pPr>
              <w:jc w:val="center"/>
              <w:rPr>
                <w:rFonts w:cs="宋体"/>
                <w:b/>
                <w:color w:val="auto"/>
                <w:sz w:val="24"/>
                <w:highlight w:val="none"/>
                <w:lang w:bidi="ar"/>
              </w:rPr>
            </w:pPr>
            <w:r>
              <w:rPr>
                <w:rFonts w:cs="宋体"/>
                <w:b/>
                <w:color w:val="auto"/>
                <w:sz w:val="24"/>
                <w:highlight w:val="none"/>
                <w:lang w:bidi="ar"/>
              </w:rPr>
              <w:t>表</w:t>
            </w:r>
            <w:r>
              <w:rPr>
                <w:rFonts w:cs="宋体" w:hint="eastAsia"/>
                <w:b/>
                <w:color w:val="auto"/>
                <w:sz w:val="24"/>
                <w:highlight w:val="none"/>
                <w:lang w:bidi="ar"/>
              </w:rPr>
              <w:t>1-</w:t>
            </w:r>
            <w:r>
              <w:rPr>
                <w:rFonts w:cs="宋体" w:hint="eastAsia"/>
                <w:b/>
                <w:color w:val="auto"/>
                <w:sz w:val="24"/>
                <w:highlight w:val="none"/>
                <w:lang w:val="en-US" w:eastAsia="zh-CN" w:bidi="ar"/>
              </w:rPr>
              <w:t>5</w:t>
            </w:r>
            <w:r>
              <w:rPr>
                <w:rFonts w:cs="宋体"/>
                <w:b/>
                <w:color w:val="auto"/>
                <w:sz w:val="24"/>
                <w:highlight w:val="none"/>
                <w:lang w:bidi="ar"/>
              </w:rPr>
              <w:t xml:space="preserve">  </w:t>
            </w:r>
            <w:r>
              <w:rPr>
                <w:rFonts w:cs="宋体" w:hint="eastAsia"/>
                <w:b/>
                <w:color w:val="auto"/>
                <w:sz w:val="24"/>
                <w:highlight w:val="none"/>
                <w:lang w:bidi="ar"/>
              </w:rPr>
              <w:t>其他相关政策</w:t>
            </w:r>
            <w:r>
              <w:rPr>
                <w:rFonts w:cs="宋体"/>
                <w:b/>
                <w:color w:val="auto"/>
                <w:sz w:val="24"/>
                <w:highlight w:val="none"/>
                <w:lang w:bidi="ar"/>
              </w:rPr>
              <w:t>的符合性分析</w:t>
            </w:r>
          </w:p>
          <w:tbl>
            <w:tblPr>
              <w:tblStyle w:val="TableNormal"/>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1539"/>
              <w:gridCol w:w="3206"/>
              <w:gridCol w:w="1195"/>
              <w:gridCol w:w="472"/>
            </w:tblGrid>
            <w:tr>
              <w:tblPrEx>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b/>
                      <w:bCs/>
                      <w:color w:val="auto"/>
                      <w:szCs w:val="21"/>
                      <w:highlight w:val="none"/>
                    </w:rPr>
                  </w:pPr>
                  <w:r>
                    <w:rPr>
                      <w:b/>
                      <w:bCs/>
                      <w:color w:val="auto"/>
                      <w:szCs w:val="21"/>
                      <w:highlight w:val="none"/>
                    </w:rPr>
                    <w:t>序号</w:t>
                  </w:r>
                </w:p>
              </w:tc>
              <w:tc>
                <w:tcPr>
                  <w:tcW w:w="1125" w:type="pct"/>
                  <w:vAlign w:val="center"/>
                </w:tcPr>
                <w:p>
                  <w:pPr>
                    <w:pStyle w:val="BodyTextFirstIndent2"/>
                    <w:spacing w:line="320" w:lineRule="exact"/>
                    <w:ind w:left="0" w:firstLine="0" w:leftChars="0" w:firstLineChars="0"/>
                    <w:jc w:val="center"/>
                    <w:rPr>
                      <w:b/>
                      <w:bCs/>
                      <w:color w:val="auto"/>
                      <w:szCs w:val="21"/>
                      <w:highlight w:val="none"/>
                    </w:rPr>
                  </w:pPr>
                  <w:r>
                    <w:rPr>
                      <w:b/>
                      <w:bCs/>
                      <w:color w:val="auto"/>
                      <w:szCs w:val="21"/>
                      <w:highlight w:val="none"/>
                    </w:rPr>
                    <w:t>相关规划</w:t>
                  </w:r>
                </w:p>
              </w:tc>
              <w:tc>
                <w:tcPr>
                  <w:tcW w:w="2343" w:type="pct"/>
                  <w:vAlign w:val="center"/>
                </w:tcPr>
                <w:p>
                  <w:pPr>
                    <w:pStyle w:val="BodyTextFirstIndent2"/>
                    <w:spacing w:line="320" w:lineRule="exact"/>
                    <w:ind w:left="0" w:firstLine="0" w:leftChars="0" w:firstLineChars="0"/>
                    <w:jc w:val="center"/>
                    <w:rPr>
                      <w:b/>
                      <w:bCs/>
                      <w:color w:val="auto"/>
                      <w:szCs w:val="21"/>
                      <w:highlight w:val="none"/>
                    </w:rPr>
                  </w:pPr>
                  <w:r>
                    <w:rPr>
                      <w:b/>
                      <w:bCs/>
                      <w:color w:val="auto"/>
                      <w:szCs w:val="21"/>
                      <w:highlight w:val="none"/>
                    </w:rPr>
                    <w:t>政策内容</w:t>
                  </w:r>
                </w:p>
              </w:tc>
              <w:tc>
                <w:tcPr>
                  <w:tcW w:w="873" w:type="pct"/>
                  <w:vAlign w:val="center"/>
                </w:tcPr>
                <w:p>
                  <w:pPr>
                    <w:pStyle w:val="BodyTextFirstIndent2"/>
                    <w:spacing w:line="320" w:lineRule="exact"/>
                    <w:ind w:left="0" w:firstLine="0" w:leftChars="0" w:firstLineChars="0"/>
                    <w:jc w:val="center"/>
                    <w:rPr>
                      <w:b/>
                      <w:bCs/>
                      <w:color w:val="auto"/>
                      <w:szCs w:val="21"/>
                      <w:highlight w:val="none"/>
                    </w:rPr>
                  </w:pPr>
                  <w:r>
                    <w:rPr>
                      <w:b/>
                      <w:bCs/>
                      <w:color w:val="auto"/>
                      <w:szCs w:val="21"/>
                      <w:highlight w:val="none"/>
                    </w:rPr>
                    <w:t>本项目情况</w:t>
                  </w:r>
                </w:p>
              </w:tc>
              <w:tc>
                <w:tcPr>
                  <w:tcW w:w="345" w:type="pct"/>
                  <w:vAlign w:val="center"/>
                </w:tcPr>
                <w:p>
                  <w:pPr>
                    <w:pStyle w:val="BodyTextFirstIndent2"/>
                    <w:spacing w:line="320" w:lineRule="exact"/>
                    <w:ind w:left="0" w:firstLine="0" w:leftChars="0" w:firstLineChars="0"/>
                    <w:jc w:val="center"/>
                    <w:rPr>
                      <w:b/>
                      <w:bCs/>
                      <w:color w:val="auto"/>
                      <w:szCs w:val="21"/>
                      <w:highlight w:val="none"/>
                    </w:rPr>
                  </w:pPr>
                  <w:r>
                    <w:rPr>
                      <w:b/>
                      <w:bCs/>
                      <w:color w:val="auto"/>
                      <w:szCs w:val="21"/>
                      <w:highlight w:val="none"/>
                    </w:rPr>
                    <w:t>符合性</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color w:val="auto"/>
                      <w:szCs w:val="21"/>
                      <w:highlight w:val="none"/>
                    </w:rPr>
                  </w:pPr>
                  <w:r>
                    <w:rPr>
                      <w:rFonts w:hint="eastAsia"/>
                      <w:color w:val="auto"/>
                      <w:szCs w:val="21"/>
                      <w:highlight w:val="none"/>
                    </w:rPr>
                    <w:t>1</w:t>
                  </w:r>
                </w:p>
              </w:tc>
              <w:tc>
                <w:tcPr>
                  <w:tcW w:w="1125" w:type="pct"/>
                  <w:vAlign w:val="center"/>
                </w:tcPr>
                <w:p>
                  <w:pPr>
                    <w:pStyle w:val="BodyTextFirstIndent2"/>
                    <w:ind w:left="0" w:firstLine="0" w:leftChars="0" w:firstLineChars="0"/>
                    <w:jc w:val="center"/>
                    <w:rPr>
                      <w:rFonts w:hint="eastAsia"/>
                      <w:color w:val="auto"/>
                      <w:szCs w:val="21"/>
                      <w:highlight w:val="none"/>
                    </w:rPr>
                  </w:pPr>
                  <w:r>
                    <w:rPr>
                      <w:color w:val="auto"/>
                      <w:szCs w:val="21"/>
                      <w:highlight w:val="none"/>
                    </w:rPr>
                    <w:t>关于印发“十四五”生态环境保护规划的通知陕政办发〔2021〕25号</w:t>
                  </w:r>
                </w:p>
              </w:tc>
              <w:tc>
                <w:tcPr>
                  <w:tcW w:w="2343" w:type="pct"/>
                  <w:vAlign w:val="center"/>
                </w:tcPr>
                <w:p>
                  <w:pPr>
                    <w:pStyle w:val="BodyTextFirstIndent2"/>
                    <w:spacing w:after="0"/>
                    <w:ind w:left="0" w:firstLine="0" w:leftChars="0" w:firstLineChars="0"/>
                    <w:jc w:val="center"/>
                    <w:rPr>
                      <w:rFonts w:hint="eastAsia"/>
                      <w:color w:val="auto"/>
                      <w:szCs w:val="21"/>
                      <w:highlight w:val="none"/>
                    </w:rPr>
                  </w:pPr>
                </w:p>
              </w:tc>
              <w:tc>
                <w:tcPr>
                  <w:tcW w:w="873" w:type="pct"/>
                  <w:vAlign w:val="center"/>
                </w:tcPr>
                <w:p>
                  <w:pPr>
                    <w:pStyle w:val="BodyTextFirstIndent2"/>
                    <w:spacing w:after="0"/>
                    <w:ind w:left="0" w:firstLine="0" w:leftChars="0" w:firstLineChars="0"/>
                    <w:jc w:val="center"/>
                    <w:rPr>
                      <w:color w:val="auto"/>
                      <w:highlight w:val="none"/>
                    </w:rPr>
                  </w:pPr>
                  <w:r>
                    <w:rPr>
                      <w:rFonts w:hint="eastAsia"/>
                      <w:color w:val="auto"/>
                      <w:szCs w:val="21"/>
                      <w:highlight w:val="none"/>
                    </w:rPr>
                    <w:t>本项目位于关中地区，为砼结构构件制造行业，不属于</w:t>
                  </w:r>
                  <w:r>
                    <w:rPr>
                      <w:rFonts w:hint="eastAsia"/>
                      <w:color w:val="auto"/>
                      <w:szCs w:val="21"/>
                      <w:highlight w:val="none"/>
                      <w:lang w:val="zh-CN"/>
                    </w:rPr>
                    <w:t>高耗水、高污染项目，</w:t>
                  </w:r>
                </w:p>
              </w:tc>
              <w:tc>
                <w:tcPr>
                  <w:tcW w:w="345" w:type="pct"/>
                  <w:vAlign w:val="center"/>
                </w:tcPr>
                <w:p>
                  <w:pPr>
                    <w:pStyle w:val="BodyTextFirstIndent2"/>
                    <w:ind w:left="0" w:firstLine="0" w:leftChars="0" w:firstLineChars="0"/>
                    <w:jc w:val="center"/>
                    <w:rPr>
                      <w:color w:val="auto"/>
                      <w:szCs w:val="21"/>
                      <w:highlight w:val="none"/>
                    </w:rPr>
                  </w:pPr>
                  <w:r>
                    <w:rPr>
                      <w:rFonts w:hint="eastAsia"/>
                      <w:color w:val="auto"/>
                      <w:szCs w:val="21"/>
                      <w:highlight w:val="none"/>
                    </w:rPr>
                    <w:t>符合</w:t>
                  </w:r>
                </w:p>
              </w:tc>
            </w:tr>
          </w:tbl>
          <w:p/>
        </w:tc>
      </w:tr>
    </w:tbl>
    <w:p>
      <w:pPr>
        <w:sectPr>
          <w:footerReference w:type="default" r:id="rId10"/>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7"/>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1539"/>
              <w:gridCol w:w="3206"/>
              <w:gridCol w:w="1195"/>
              <w:gridCol w:w="472"/>
            </w:tblGrid>
            <w:tr>
              <w:tblPrEx>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312" w:type="pct"/>
                  <w:vAlign w:val="center"/>
                </w:tcPr>
                <w:p/>
              </w:tc>
              <w:tc>
                <w:tcPr>
                  <w:tcW w:w="1125" w:type="pct"/>
                  <w:vAlign w:val="center"/>
                </w:tcPr>
                <w:p/>
              </w:tc>
              <w:tc>
                <w:tcPr>
                  <w:tcW w:w="2343" w:type="pct"/>
                  <w:vAlign w:val="center"/>
                </w:tcPr>
                <w:p>
                  <w:pPr>
                    <w:pStyle w:val="BodyTextFirstIndent2"/>
                    <w:spacing w:before="0"/>
                    <w:ind w:left="0" w:firstLine="0" w:leftChars="0" w:firstLineChars="0"/>
                    <w:jc w:val="center"/>
                    <w:rPr>
                      <w:rFonts w:hint="eastAsia"/>
                      <w:color w:val="auto"/>
                      <w:szCs w:val="21"/>
                      <w:highlight w:val="none"/>
                    </w:rPr>
                  </w:pPr>
                  <w:r>
                    <w:rPr>
                      <w:rFonts w:hint="eastAsia"/>
                      <w:color w:val="auto"/>
                      <w:szCs w:val="21"/>
                      <w:highlight w:val="none"/>
                      <w:lang w:val="zh-CN"/>
                    </w:rPr>
                    <w:t>持续推进工业污水治理。引导工业企业污水近零排放，降低污染负荷。强化工业集聚区污染治理，推进工业园区污水处理设施分类管理、分期升级改造和污水管网排查整治，省级以上工业集聚区污水集中处理设施实现规范运行。根据流域水质目标和主体功能区规划要求，实施差别化环境准入政策，严格限制增加氮磷污染物排放的工业项目。关中地区严格控制新建、扩建化学制浆造纸、化工、印染、果汁和淀粉加工等高耗水、高污染项目；陕南地区严格控制新建、扩建黄姜皂素生产、化学制浆造纸、果汁加工、有色金属、电镀、印染等涉水重点行业；陕北地区合理控制火电、兰炭、煤化工等行业规模。</w:t>
                  </w:r>
                </w:p>
              </w:tc>
              <w:tc>
                <w:tcPr>
                  <w:tcW w:w="873" w:type="pct"/>
                  <w:vAlign w:val="center"/>
                </w:tcPr>
                <w:p>
                  <w:pPr>
                    <w:pStyle w:val="BodyTextFirstIndent2"/>
                    <w:spacing w:before="0"/>
                    <w:ind w:left="0" w:firstLine="0" w:leftChars="0" w:firstLineChars="0"/>
                    <w:jc w:val="center"/>
                    <w:rPr>
                      <w:color w:val="auto"/>
                      <w:highlight w:val="none"/>
                    </w:rPr>
                  </w:pPr>
                  <w:r>
                    <w:rPr>
                      <w:rFonts w:hint="eastAsia"/>
                      <w:color w:val="auto"/>
                      <w:szCs w:val="21"/>
                      <w:highlight w:val="none"/>
                    </w:rPr>
                    <w:t>生活污水排入园区市政管网，</w:t>
                  </w:r>
                  <w:r>
                    <w:rPr>
                      <w:rFonts w:ascii="宋体" w:hAnsi="宋体" w:cs="宋体" w:hint="eastAsia"/>
                      <w:color w:val="auto"/>
                      <w:szCs w:val="21"/>
                      <w:highlight w:val="none"/>
                    </w:rPr>
                    <w:t>搅拌机冲洗水</w:t>
                  </w:r>
                  <w:r>
                    <w:rPr>
                      <w:rFonts w:ascii="宋体" w:hAnsi="宋体" w:cs="宋体" w:hint="eastAsia"/>
                      <w:color w:val="auto"/>
                      <w:szCs w:val="21"/>
                      <w:highlight w:val="none"/>
                      <w:lang w:eastAsia="zh-CN"/>
                    </w:rPr>
                    <w:t>、</w:t>
                  </w:r>
                  <w:r>
                    <w:rPr>
                      <w:rFonts w:ascii="宋体" w:hAnsi="宋体" w:cs="宋体" w:hint="eastAsia"/>
                      <w:color w:val="auto"/>
                      <w:szCs w:val="21"/>
                      <w:highlight w:val="none"/>
                      <w:lang w:val="en-US" w:eastAsia="zh-CN"/>
                    </w:rPr>
                    <w:t>车辆冲洗水</w:t>
                  </w:r>
                  <w:r>
                    <w:rPr>
                      <w:rFonts w:ascii="宋体" w:hAnsi="宋体" w:cs="宋体" w:hint="eastAsia"/>
                      <w:color w:val="auto"/>
                      <w:szCs w:val="21"/>
                      <w:highlight w:val="none"/>
                    </w:rPr>
                    <w:t>经沉淀池沉淀后</w:t>
                  </w:r>
                  <w:r>
                    <w:rPr>
                      <w:rFonts w:ascii="宋体" w:hAnsi="宋体" w:cs="宋体" w:hint="eastAsia"/>
                      <w:color w:val="auto"/>
                      <w:szCs w:val="21"/>
                      <w:highlight w:val="none"/>
                      <w:lang w:val="en-US" w:eastAsia="zh-CN"/>
                    </w:rPr>
                    <w:t>回用，不外排</w:t>
                  </w:r>
                  <w:r>
                    <w:rPr>
                      <w:rFonts w:ascii="宋体" w:hAnsi="宋体" w:cs="宋体" w:hint="eastAsia"/>
                      <w:color w:val="auto"/>
                      <w:szCs w:val="21"/>
                      <w:highlight w:val="none"/>
                    </w:rPr>
                    <w:t>。</w:t>
                  </w:r>
                  <w:r>
                    <w:rPr>
                      <w:rFonts w:hint="eastAsia"/>
                      <w:color w:val="auto"/>
                      <w:szCs w:val="21"/>
                      <w:highlight w:val="none"/>
                    </w:rPr>
                    <w:t>符合</w:t>
                  </w:r>
                  <w:r>
                    <w:rPr>
                      <w:rFonts w:hint="eastAsia"/>
                      <w:color w:val="auto"/>
                      <w:szCs w:val="21"/>
                      <w:highlight w:val="none"/>
                      <w:lang w:val="zh-CN"/>
                    </w:rPr>
                    <w:t>持续推进工业污水治理</w:t>
                  </w:r>
                  <w:r>
                    <w:rPr>
                      <w:rFonts w:hint="eastAsia"/>
                      <w:color w:val="auto"/>
                      <w:szCs w:val="21"/>
                      <w:highlight w:val="none"/>
                    </w:rPr>
                    <w:t>要求。</w:t>
                  </w:r>
                </w:p>
              </w:tc>
              <w:tc>
                <w:tcPr>
                  <w:tcW w:w="345" w:type="pct"/>
                  <w:vAlign w:val="center"/>
                </w:tcPr>
                <w:p/>
              </w:tc>
            </w:tr>
            <w:tr>
              <w:tblPrEx>
                <w:tblW w:w="4997" w:type="pct"/>
                <w:jc w:val="center"/>
                <w:tblInd w:w="110" w:type="dxa"/>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color w:val="auto"/>
                      <w:szCs w:val="21"/>
                      <w:highlight w:val="none"/>
                    </w:rPr>
                  </w:pPr>
                  <w:r>
                    <w:rPr>
                      <w:rFonts w:hint="eastAsia"/>
                      <w:color w:val="auto"/>
                      <w:szCs w:val="21"/>
                      <w:highlight w:val="none"/>
                    </w:rPr>
                    <w:t>2</w:t>
                  </w:r>
                </w:p>
              </w:tc>
              <w:tc>
                <w:tcPr>
                  <w:tcW w:w="1125" w:type="pct"/>
                  <w:vAlign w:val="center"/>
                </w:tcPr>
                <w:p>
                  <w:pPr>
                    <w:pStyle w:val="BodyTextFirstIndent2"/>
                    <w:ind w:left="0" w:firstLine="0" w:leftChars="0" w:firstLineChars="0"/>
                    <w:jc w:val="center"/>
                    <w:rPr>
                      <w:rFonts w:hint="eastAsia"/>
                      <w:color w:val="auto"/>
                      <w:szCs w:val="21"/>
                      <w:highlight w:val="none"/>
                    </w:rPr>
                  </w:pPr>
                  <w:r>
                    <w:rPr>
                      <w:rFonts w:hint="eastAsia"/>
                      <w:color w:val="auto"/>
                      <w:szCs w:val="21"/>
                      <w:highlight w:val="none"/>
                      <w:lang w:val="zh-CN"/>
                    </w:rPr>
                    <w:t>《陕西省大气污染防治条例(2019年修正)》</w:t>
                  </w:r>
                </w:p>
              </w:tc>
              <w:tc>
                <w:tcPr>
                  <w:tcW w:w="2343" w:type="pct"/>
                  <w:vAlign w:val="center"/>
                </w:tcPr>
                <w:p>
                  <w:pPr>
                    <w:pStyle w:val="BodyTextFirstIndent2"/>
                    <w:ind w:left="0" w:firstLine="0" w:leftChars="0" w:firstLineChars="0"/>
                    <w:jc w:val="center"/>
                    <w:rPr>
                      <w:rFonts w:hint="eastAsia"/>
                      <w:color w:val="auto"/>
                      <w:szCs w:val="21"/>
                      <w:highlight w:val="none"/>
                      <w:lang w:val="zh-CN"/>
                    </w:rPr>
                  </w:pPr>
                  <w:r>
                    <w:rPr>
                      <w:rFonts w:hint="eastAsia"/>
                      <w:color w:val="auto"/>
                      <w:szCs w:val="21"/>
                      <w:highlight w:val="none"/>
                      <w:lang w:val="zh-CN"/>
                    </w:rPr>
                    <w:t>从事房屋建筑、道路、市政基础设施、矿产资源开发、河道整治及建筑拆除等施工工程、物料运输和堆放及其他产生扬尘污染的活动，必须采取防治措施。</w:t>
                  </w:r>
                </w:p>
                <w:p>
                  <w:pPr>
                    <w:pStyle w:val="BodyTextFirstIndent2"/>
                    <w:ind w:left="0" w:firstLine="0" w:leftChars="0" w:firstLineChars="0"/>
                    <w:jc w:val="center"/>
                    <w:rPr>
                      <w:rFonts w:hint="eastAsia"/>
                      <w:color w:val="auto"/>
                      <w:szCs w:val="21"/>
                      <w:highlight w:val="none"/>
                      <w:lang w:val="zh-CN"/>
                    </w:rPr>
                  </w:pPr>
                  <w:r>
                    <w:rPr>
                      <w:rFonts w:hint="eastAsia"/>
                      <w:color w:val="auto"/>
                      <w:szCs w:val="21"/>
                      <w:highlight w:val="none"/>
                      <w:lang w:val="zh-CN"/>
                    </w:rPr>
                    <w:t>城市市区施工工地禁止现场搅拌混凝土和砂浆，强制使用预拌混凝土和预拌砂浆。</w:t>
                  </w:r>
                </w:p>
              </w:tc>
              <w:tc>
                <w:tcPr>
                  <w:tcW w:w="873" w:type="pct"/>
                  <w:vAlign w:val="center"/>
                </w:tcPr>
                <w:p>
                  <w:pPr>
                    <w:pStyle w:val="BodyTextFirstIndent2"/>
                    <w:spacing w:after="0" w:line="320" w:lineRule="exact"/>
                    <w:ind w:left="0" w:firstLine="0" w:leftChars="0" w:firstLineChars="0"/>
                    <w:jc w:val="center"/>
                    <w:rPr>
                      <w:color w:val="auto"/>
                      <w:szCs w:val="21"/>
                      <w:highlight w:val="none"/>
                    </w:rPr>
                  </w:pPr>
                  <w:r>
                    <w:rPr>
                      <w:rFonts w:hint="eastAsia"/>
                      <w:color w:val="auto"/>
                      <w:szCs w:val="21"/>
                      <w:highlight w:val="none"/>
                      <w:lang w:val="zh-CN"/>
                    </w:rPr>
                    <w:t>施工工期约</w:t>
                  </w:r>
                  <w:r>
                    <w:rPr>
                      <w:rFonts w:hint="eastAsia"/>
                      <w:color w:val="auto"/>
                      <w:szCs w:val="21"/>
                      <w:highlight w:val="none"/>
                    </w:rPr>
                    <w:t>3年</w:t>
                  </w:r>
                  <w:r>
                    <w:rPr>
                      <w:rFonts w:hint="eastAsia"/>
                      <w:color w:val="auto"/>
                      <w:szCs w:val="21"/>
                      <w:highlight w:val="none"/>
                      <w:lang w:val="zh-CN"/>
                    </w:rPr>
                    <w:t>，项目制定建筑施工扬尘治理方案，</w:t>
                  </w:r>
                  <w:r>
                    <w:rPr>
                      <w:rFonts w:hint="eastAsia"/>
                      <w:color w:val="auto"/>
                      <w:szCs w:val="21"/>
                      <w:highlight w:val="none"/>
                    </w:rPr>
                    <w:t>由</w:t>
                  </w:r>
                  <w:r>
                    <w:rPr>
                      <w:rFonts w:hint="eastAsia"/>
                      <w:color w:val="auto"/>
                      <w:szCs w:val="21"/>
                      <w:highlight w:val="none"/>
                      <w:lang w:val="zh-CN"/>
                    </w:rPr>
                    <w:t>专人负责现场扬尘污染防治措施的实施，严格落实</w:t>
                  </w:r>
                  <w:r>
                    <w:rPr>
                      <w:rFonts w:hint="eastAsia"/>
                      <w:color w:val="auto"/>
                      <w:szCs w:val="21"/>
                      <w:highlight w:val="none"/>
                      <w:lang w:val="zh-CN"/>
                    </w:rPr>
                    <w:t>“</w:t>
                  </w:r>
                  <w:r>
                    <w:rPr>
                      <w:rFonts w:hint="eastAsia"/>
                      <w:color w:val="auto"/>
                      <w:szCs w:val="21"/>
                      <w:highlight w:val="none"/>
                      <w:lang w:val="zh-CN"/>
                    </w:rPr>
                    <w:t>洒水、覆盖、硬化、冲洗、绿化、围挡</w:t>
                  </w:r>
                  <w:r>
                    <w:rPr>
                      <w:rFonts w:hint="eastAsia"/>
                      <w:color w:val="auto"/>
                      <w:szCs w:val="21"/>
                      <w:highlight w:val="none"/>
                      <w:lang w:val="zh-CN"/>
                    </w:rPr>
                    <w:t>”</w:t>
                  </w:r>
                  <w:r>
                    <w:rPr>
                      <w:rFonts w:hint="eastAsia"/>
                      <w:color w:val="auto"/>
                      <w:szCs w:val="21"/>
                      <w:highlight w:val="none"/>
                      <w:lang w:val="zh-CN"/>
                    </w:rPr>
                    <w:t>六个百分百措施，严格落实城市规划区内建筑工地禁止现场搅拌混凝土、禁止现场配置砂浆</w:t>
                  </w:r>
                  <w:r>
                    <w:rPr>
                      <w:rFonts w:hint="eastAsia"/>
                      <w:color w:val="auto"/>
                      <w:szCs w:val="21"/>
                      <w:highlight w:val="none"/>
                      <w:lang w:val="zh-CN"/>
                    </w:rPr>
                    <w:t>“</w:t>
                  </w:r>
                  <w:r>
                    <w:rPr>
                      <w:rFonts w:hint="eastAsia"/>
                      <w:color w:val="auto"/>
                      <w:szCs w:val="21"/>
                      <w:highlight w:val="none"/>
                      <w:lang w:val="zh-CN"/>
                    </w:rPr>
                    <w:t>两个禁止</w:t>
                  </w:r>
                  <w:r>
                    <w:rPr>
                      <w:rFonts w:hint="eastAsia"/>
                      <w:color w:val="auto"/>
                      <w:szCs w:val="21"/>
                      <w:highlight w:val="none"/>
                      <w:lang w:val="zh-CN"/>
                    </w:rPr>
                    <w:t>”</w:t>
                  </w:r>
                </w:p>
              </w:tc>
              <w:tc>
                <w:tcPr>
                  <w:tcW w:w="345" w:type="pct"/>
                  <w:vAlign w:val="center"/>
                </w:tcPr>
                <w:p>
                  <w:pPr>
                    <w:pStyle w:val="BodyTextFirstIndent2"/>
                    <w:spacing w:after="0" w:line="320" w:lineRule="exact"/>
                    <w:ind w:left="0" w:firstLine="0" w:leftChars="0" w:firstLineChars="0"/>
                    <w:jc w:val="center"/>
                    <w:rPr>
                      <w:color w:val="auto"/>
                      <w:szCs w:val="21"/>
                      <w:highlight w:val="none"/>
                    </w:rPr>
                  </w:pPr>
                  <w:r>
                    <w:rPr>
                      <w:color w:val="auto"/>
                      <w:szCs w:val="21"/>
                      <w:highlight w:val="none"/>
                    </w:rPr>
                    <w:t>符合</w:t>
                  </w:r>
                </w:p>
              </w:tc>
            </w:tr>
          </w:tbl>
          <w:p/>
        </w:tc>
      </w:tr>
    </w:tbl>
    <w:p>
      <w:pPr>
        <w:sectPr>
          <w:footerReference w:type="default" r:id="rId11"/>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8"/>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903"/>
              <w:gridCol w:w="636"/>
              <w:gridCol w:w="3206"/>
              <w:gridCol w:w="1195"/>
              <w:gridCol w:w="472"/>
            </w:tblGrid>
            <w:tr>
              <w:tblPrEx>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312" w:type="pct"/>
                  <w:vAlign w:val="center"/>
                </w:tcPr>
                <w:p/>
              </w:tc>
              <w:tc>
                <w:tcPr>
                  <w:tcW w:w="1125" w:type="pct"/>
                  <w:gridSpan w:val="2"/>
                  <w:vAlign w:val="center"/>
                </w:tcPr>
                <w:p/>
              </w:tc>
              <w:tc>
                <w:tcPr>
                  <w:tcW w:w="2343" w:type="pct"/>
                  <w:vAlign w:val="center"/>
                </w:tcPr>
                <w:p/>
              </w:tc>
              <w:tc>
                <w:tcPr>
                  <w:tcW w:w="873" w:type="pct"/>
                  <w:vMerge w:val="restart"/>
                  <w:vAlign w:val="center"/>
                </w:tcPr>
                <w:p>
                  <w:pPr>
                    <w:pStyle w:val="BodyTextFirstIndent2"/>
                    <w:spacing w:before="0" w:after="0" w:line="320" w:lineRule="exact"/>
                    <w:ind w:left="0" w:firstLine="0" w:leftChars="0" w:firstLineChars="0"/>
                    <w:jc w:val="center"/>
                    <w:rPr>
                      <w:color w:val="auto"/>
                      <w:szCs w:val="21"/>
                      <w:highlight w:val="none"/>
                    </w:rPr>
                  </w:pPr>
                  <w:r>
                    <w:rPr>
                      <w:rFonts w:hint="eastAsia"/>
                      <w:color w:val="auto"/>
                      <w:szCs w:val="21"/>
                      <w:highlight w:val="none"/>
                      <w:lang w:val="zh-CN"/>
                    </w:rPr>
                    <w:t>，采取洒水抑尘、易起尘物料覆盖堆存、密闭运输，设置封闭施工围挡等扬尘防治措施。</w:t>
                  </w:r>
                </w:p>
              </w:tc>
              <w:tc>
                <w:tcPr>
                  <w:tcW w:w="345" w:type="pct"/>
                  <w:vAlign w:val="center"/>
                </w:tcPr>
                <w:p/>
              </w:tc>
            </w:tr>
            <w:tr>
              <w:tblPrEx>
                <w:tblW w:w="4997" w:type="pct"/>
                <w:jc w:val="center"/>
                <w:tblInd w:w="110" w:type="dxa"/>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color w:val="auto"/>
                      <w:szCs w:val="21"/>
                      <w:highlight w:val="none"/>
                    </w:rPr>
                  </w:pPr>
                  <w:r>
                    <w:rPr>
                      <w:rFonts w:hint="eastAsia"/>
                      <w:color w:val="auto"/>
                      <w:szCs w:val="21"/>
                      <w:highlight w:val="none"/>
                    </w:rPr>
                    <w:t>3</w:t>
                  </w:r>
                </w:p>
              </w:tc>
              <w:tc>
                <w:tcPr>
                  <w:tcW w:w="1125" w:type="pct"/>
                  <w:gridSpan w:val="2"/>
                  <w:vAlign w:val="center"/>
                </w:tcPr>
                <w:p>
                  <w:pPr>
                    <w:pStyle w:val="BodyTextFirstIndent2"/>
                    <w:ind w:left="0" w:firstLine="0" w:leftChars="0" w:firstLineChars="0"/>
                    <w:jc w:val="center"/>
                    <w:rPr>
                      <w:rFonts w:hint="eastAsia"/>
                      <w:color w:val="auto"/>
                      <w:szCs w:val="21"/>
                      <w:highlight w:val="none"/>
                    </w:rPr>
                  </w:pPr>
                  <w:r>
                    <w:rPr>
                      <w:rFonts w:hint="eastAsia"/>
                      <w:color w:val="auto"/>
                      <w:szCs w:val="21"/>
                      <w:highlight w:val="none"/>
                      <w:lang w:val="zh-CN"/>
                    </w:rPr>
                    <w:t>《陕西省建筑施工扬尘治理行动方案》</w:t>
                  </w:r>
                </w:p>
              </w:tc>
              <w:tc>
                <w:tcPr>
                  <w:tcW w:w="2343" w:type="pct"/>
                  <w:vAlign w:val="center"/>
                </w:tcPr>
                <w:p>
                  <w:pPr>
                    <w:pStyle w:val="BodyTextFirstIndent2"/>
                    <w:ind w:left="0" w:firstLine="0" w:leftChars="0" w:firstLineChars="0"/>
                    <w:jc w:val="center"/>
                    <w:rPr>
                      <w:rFonts w:hint="eastAsia"/>
                      <w:color w:val="auto"/>
                      <w:szCs w:val="21"/>
                      <w:highlight w:val="none"/>
                      <w:lang w:val="zh-CN"/>
                    </w:rPr>
                  </w:pPr>
                  <w:r>
                    <w:rPr>
                      <w:rFonts w:hint="eastAsia"/>
                      <w:color w:val="auto"/>
                      <w:szCs w:val="21"/>
                      <w:highlight w:val="none"/>
                      <w:lang w:val="zh-CN"/>
                    </w:rPr>
                    <w:t>建设单位应当组织协调施工、监理、渣土清运等单位成立建筑施工扬尘专项治理领导机构，制定工作方案，明确工作职责，积极做好扬尘治理管理工作。</w:t>
                  </w:r>
                </w:p>
              </w:tc>
              <w:tc>
                <w:tcPr>
                  <w:tcW w:w="873" w:type="pct"/>
                  <w:vMerge/>
                  <w:vAlign w:val="center"/>
                </w:tcPr>
                <w:p>
                  <w:pPr>
                    <w:pStyle w:val="BodyTextFirstIndent2"/>
                    <w:spacing w:after="0" w:line="320" w:lineRule="exact"/>
                    <w:ind w:left="0" w:firstLine="0" w:leftChars="0" w:firstLineChars="0"/>
                    <w:jc w:val="center"/>
                    <w:rPr>
                      <w:bCs/>
                      <w:color w:val="auto"/>
                      <w:szCs w:val="21"/>
                      <w:highlight w:val="none"/>
                    </w:rPr>
                  </w:pPr>
                </w:p>
              </w:tc>
              <w:tc>
                <w:tcPr>
                  <w:tcW w:w="345" w:type="pct"/>
                  <w:vAlign w:val="center"/>
                </w:tcPr>
                <w:p>
                  <w:pPr>
                    <w:pStyle w:val="BodyTextFirstIndent2"/>
                    <w:spacing w:after="0" w:line="320" w:lineRule="exact"/>
                    <w:ind w:left="0" w:firstLine="0" w:leftChars="0" w:firstLineChars="0"/>
                    <w:jc w:val="center"/>
                    <w:rPr>
                      <w:color w:val="auto"/>
                      <w:szCs w:val="21"/>
                      <w:highlight w:val="none"/>
                    </w:rPr>
                  </w:pPr>
                  <w:r>
                    <w:rPr>
                      <w:color w:val="auto"/>
                      <w:szCs w:val="21"/>
                      <w:highlight w:val="none"/>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color w:val="auto"/>
                      <w:szCs w:val="21"/>
                      <w:highlight w:val="none"/>
                    </w:rPr>
                  </w:pPr>
                  <w:r>
                    <w:rPr>
                      <w:rFonts w:hint="eastAsia"/>
                      <w:color w:val="auto"/>
                      <w:szCs w:val="21"/>
                      <w:highlight w:val="none"/>
                    </w:rPr>
                    <w:t>4</w:t>
                  </w:r>
                </w:p>
              </w:tc>
              <w:tc>
                <w:tcPr>
                  <w:tcW w:w="1125" w:type="pct"/>
                  <w:gridSpan w:val="2"/>
                  <w:vAlign w:val="center"/>
                </w:tcPr>
                <w:p>
                  <w:pPr>
                    <w:pStyle w:val="BodyTextFirstIndent2"/>
                    <w:ind w:left="0" w:firstLine="0" w:leftChars="0" w:firstLineChars="0"/>
                    <w:jc w:val="center"/>
                    <w:rPr>
                      <w:rFonts w:hint="eastAsia"/>
                      <w:color w:val="auto"/>
                      <w:szCs w:val="21"/>
                      <w:highlight w:val="none"/>
                    </w:rPr>
                  </w:pPr>
                  <w:r>
                    <w:rPr>
                      <w:rFonts w:hint="eastAsia"/>
                      <w:color w:val="auto"/>
                      <w:szCs w:val="21"/>
                      <w:highlight w:val="none"/>
                      <w:lang w:val="zh-CN"/>
                    </w:rPr>
                    <w:t>《陕西省扬尘污染专项整治行动方案》</w:t>
                  </w:r>
                </w:p>
              </w:tc>
              <w:tc>
                <w:tcPr>
                  <w:tcW w:w="2343" w:type="pct"/>
                  <w:vAlign w:val="center"/>
                </w:tcPr>
                <w:p>
                  <w:pPr>
                    <w:pStyle w:val="BodyTextFirstIndent2"/>
                    <w:ind w:left="0" w:firstLine="0" w:leftChars="0" w:firstLineChars="0"/>
                    <w:jc w:val="center"/>
                    <w:rPr>
                      <w:rFonts w:hint="eastAsia"/>
                      <w:color w:val="auto"/>
                      <w:szCs w:val="21"/>
                      <w:highlight w:val="none"/>
                      <w:lang w:val="zh-CN"/>
                    </w:rPr>
                  </w:pPr>
                  <w:r>
                    <w:rPr>
                      <w:rFonts w:hint="eastAsia"/>
                      <w:color w:val="auto"/>
                      <w:szCs w:val="21"/>
                      <w:highlight w:val="none"/>
                      <w:lang w:val="zh-CN"/>
                    </w:rPr>
                    <w:t>加强工地扬尘管控。将防治扬尘污染费用列入工程造价，严格执行《建筑施工扬尘治理措施16条》。</w:t>
                  </w:r>
                </w:p>
              </w:tc>
              <w:tc>
                <w:tcPr>
                  <w:tcW w:w="873" w:type="pct"/>
                  <w:vMerge/>
                  <w:vAlign w:val="center"/>
                </w:tcPr>
                <w:p>
                  <w:pPr>
                    <w:pStyle w:val="BodyTextFirstIndent2"/>
                    <w:spacing w:after="0" w:line="320" w:lineRule="exact"/>
                    <w:ind w:left="0" w:firstLine="0" w:leftChars="0" w:firstLineChars="0"/>
                    <w:jc w:val="center"/>
                    <w:rPr>
                      <w:bCs/>
                      <w:color w:val="auto"/>
                      <w:szCs w:val="21"/>
                      <w:highlight w:val="none"/>
                    </w:rPr>
                  </w:pPr>
                </w:p>
              </w:tc>
              <w:tc>
                <w:tcPr>
                  <w:tcW w:w="345" w:type="pct"/>
                  <w:vAlign w:val="center"/>
                </w:tcPr>
                <w:p>
                  <w:pPr>
                    <w:pStyle w:val="BodyTextFirstIndent2"/>
                    <w:spacing w:after="0" w:line="320" w:lineRule="exact"/>
                    <w:ind w:left="0" w:firstLine="0" w:leftChars="0" w:firstLineChars="0"/>
                    <w:jc w:val="center"/>
                    <w:rPr>
                      <w:color w:val="auto"/>
                      <w:szCs w:val="21"/>
                      <w:highlight w:val="none"/>
                    </w:rPr>
                  </w:pPr>
                  <w:r>
                    <w:rPr>
                      <w:color w:val="auto"/>
                      <w:szCs w:val="21"/>
                      <w:highlight w:val="none"/>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Align w:val="center"/>
                </w:tcPr>
                <w:p>
                  <w:pPr>
                    <w:pStyle w:val="BodyTextFirstIndent2"/>
                    <w:spacing w:line="320" w:lineRule="exact"/>
                    <w:ind w:left="0" w:firstLine="0" w:leftChars="0" w:firstLineChars="0"/>
                    <w:jc w:val="center"/>
                    <w:rPr>
                      <w:color w:val="auto"/>
                      <w:szCs w:val="21"/>
                      <w:highlight w:val="none"/>
                    </w:rPr>
                  </w:pPr>
                  <w:r>
                    <w:rPr>
                      <w:rFonts w:hint="eastAsia"/>
                      <w:color w:val="auto"/>
                      <w:szCs w:val="21"/>
                      <w:highlight w:val="none"/>
                    </w:rPr>
                    <w:t>5</w:t>
                  </w:r>
                </w:p>
              </w:tc>
              <w:tc>
                <w:tcPr>
                  <w:tcW w:w="1125" w:type="pct"/>
                  <w:gridSpan w:val="2"/>
                  <w:vAlign w:val="center"/>
                </w:tcPr>
                <w:p>
                  <w:pPr>
                    <w:pStyle w:val="BodyTextFirstIndent2"/>
                    <w:spacing w:after="0" w:line="320" w:lineRule="exact"/>
                    <w:ind w:left="0" w:firstLine="0" w:leftChars="0" w:firstLineChars="0"/>
                    <w:jc w:val="center"/>
                    <w:rPr>
                      <w:color w:val="auto"/>
                      <w:szCs w:val="21"/>
                      <w:highlight w:val="none"/>
                    </w:rPr>
                  </w:pPr>
                  <w:r>
                    <w:rPr>
                      <w:rFonts w:cs="宋体" w:hint="eastAsia"/>
                      <w:color w:val="auto"/>
                      <w:szCs w:val="21"/>
                      <w:highlight w:val="none"/>
                      <w:lang w:bidi="ar"/>
                    </w:rPr>
                    <w:t>《2021-2022年秋冬季大气污染综合治理攻坚方案》</w:t>
                  </w:r>
                </w:p>
              </w:tc>
              <w:tc>
                <w:tcPr>
                  <w:tcW w:w="2343" w:type="pct"/>
                  <w:vAlign w:val="center"/>
                </w:tcPr>
                <w:p>
                  <w:pPr>
                    <w:pStyle w:val="BodyTextFirstIndent2"/>
                    <w:spacing w:after="0" w:line="320" w:lineRule="exact"/>
                    <w:ind w:left="0" w:firstLine="0" w:leftChars="0" w:firstLineChars="0"/>
                    <w:jc w:val="center"/>
                    <w:rPr>
                      <w:rFonts w:hint="eastAsia"/>
                      <w:color w:val="auto"/>
                      <w:szCs w:val="21"/>
                      <w:highlight w:val="none"/>
                    </w:rPr>
                  </w:pPr>
                  <w:r>
                    <w:rPr>
                      <w:rFonts w:hint="eastAsia"/>
                      <w:color w:val="auto"/>
                      <w:szCs w:val="21"/>
                      <w:highlight w:val="none"/>
                    </w:rPr>
                    <w:t>强化扬尘管控，鼓励各地细化降尘量控制要求，逐月实施区县降尘量监测排名。加强施工扬尘精细化管控，城市工地严格执行</w:t>
                  </w:r>
                  <w:r>
                    <w:rPr>
                      <w:rFonts w:hint="eastAsia"/>
                      <w:color w:val="auto"/>
                      <w:szCs w:val="21"/>
                      <w:highlight w:val="none"/>
                    </w:rPr>
                    <w:t>“</w:t>
                  </w:r>
                  <w:r>
                    <w:rPr>
                      <w:rFonts w:hint="eastAsia"/>
                      <w:color w:val="auto"/>
                      <w:szCs w:val="21"/>
                      <w:highlight w:val="none"/>
                    </w:rPr>
                    <w:t>六个百分之百</w:t>
                  </w:r>
                  <w:r>
                    <w:rPr>
                      <w:rFonts w:hint="eastAsia"/>
                      <w:color w:val="auto"/>
                      <w:szCs w:val="21"/>
                      <w:highlight w:val="none"/>
                    </w:rPr>
                    <w:t>”</w:t>
                  </w:r>
                  <w:r>
                    <w:rPr>
                      <w:rFonts w:hint="eastAsia"/>
                      <w:color w:val="auto"/>
                      <w:szCs w:val="21"/>
                      <w:highlight w:val="none"/>
                    </w:rPr>
                    <w:t>。</w:t>
                  </w:r>
                </w:p>
              </w:tc>
              <w:tc>
                <w:tcPr>
                  <w:tcW w:w="873" w:type="pct"/>
                  <w:vMerge/>
                  <w:vAlign w:val="center"/>
                </w:tcPr>
                <w:p>
                  <w:pPr>
                    <w:pStyle w:val="BodyTextFirstIndent2"/>
                    <w:spacing w:after="0" w:line="320" w:lineRule="exact"/>
                    <w:ind w:left="0" w:firstLine="0" w:leftChars="0" w:firstLineChars="0"/>
                    <w:jc w:val="center"/>
                    <w:rPr>
                      <w:color w:val="auto"/>
                      <w:szCs w:val="21"/>
                      <w:highlight w:val="none"/>
                    </w:rPr>
                  </w:pPr>
                </w:p>
              </w:tc>
              <w:tc>
                <w:tcPr>
                  <w:tcW w:w="345" w:type="pct"/>
                  <w:vAlign w:val="center"/>
                </w:tcPr>
                <w:p>
                  <w:pPr>
                    <w:pStyle w:val="BodyTextFirstIndent2"/>
                    <w:spacing w:after="0" w:line="320" w:lineRule="exact"/>
                    <w:ind w:left="0" w:firstLine="0" w:leftChars="0" w:firstLineChars="0"/>
                    <w:jc w:val="center"/>
                    <w:rPr>
                      <w:color w:val="auto"/>
                      <w:szCs w:val="21"/>
                      <w:highlight w:val="none"/>
                    </w:rPr>
                  </w:pPr>
                  <w:r>
                    <w:rPr>
                      <w:color w:val="auto"/>
                      <w:szCs w:val="21"/>
                      <w:highlight w:val="none"/>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Merge w:val="restart"/>
                  <w:vAlign w:val="center"/>
                </w:tcPr>
                <w:p>
                  <w:pPr>
                    <w:pStyle w:val="BodyTextFirstIndent2"/>
                    <w:spacing w:line="320" w:lineRule="exact"/>
                    <w:ind w:left="0" w:firstLine="0" w:leftChars="0" w:firstLineChars="0"/>
                    <w:jc w:val="center"/>
                    <w:rPr>
                      <w:rFonts w:hint="default"/>
                      <w:color w:val="auto"/>
                      <w:szCs w:val="21"/>
                      <w:highlight w:val="none"/>
                      <w:lang w:val="en-US" w:eastAsia="zh-CN"/>
                    </w:rPr>
                  </w:pPr>
                  <w:r>
                    <w:rPr>
                      <w:rFonts w:hint="eastAsia"/>
                      <w:color w:val="auto"/>
                      <w:szCs w:val="21"/>
                      <w:highlight w:val="none"/>
                      <w:lang w:val="en-US" w:eastAsia="zh-CN"/>
                    </w:rPr>
                    <w:t>6</w:t>
                  </w:r>
                </w:p>
              </w:tc>
              <w:tc>
                <w:tcPr>
                  <w:tcW w:w="660" w:type="pct"/>
                  <w:vMerge w:val="restart"/>
                  <w:tcBorders>
                    <w:right w:val="single" w:sz="4" w:space="0" w:color="auto"/>
                  </w:tcBorders>
                  <w:vAlign w:val="center"/>
                </w:tcPr>
                <w:p>
                  <w:pPr>
                    <w:pStyle w:val="BodyTextFirstIndent2"/>
                    <w:spacing w:after="0" w:line="320" w:lineRule="exact"/>
                    <w:ind w:left="0" w:firstLine="0" w:leftChars="0" w:firstLineChars="0"/>
                    <w:jc w:val="center"/>
                    <w:rPr>
                      <w:rFonts w:ascii="Times New Roman" w:eastAsia="宋体" w:hAnsi="Times New Roman" w:cs="宋体" w:hint="eastAsia"/>
                      <w:color w:val="auto"/>
                      <w:szCs w:val="21"/>
                      <w:highlight w:val="none"/>
                      <w:lang w:bidi="ar"/>
                    </w:rPr>
                  </w:pPr>
                  <w:r>
                    <w:rPr>
                      <w:rFonts w:ascii="Times New Roman" w:eastAsia="宋体" w:hAnsi="Times New Roman" w:cs="宋体" w:hint="eastAsia"/>
                      <w:color w:val="auto"/>
                      <w:szCs w:val="21"/>
                      <w:highlight w:val="none"/>
                      <w:lang w:val="en-US" w:eastAsia="zh-CN" w:bidi="ar"/>
                    </w:rPr>
                    <w:t>《关于印发蓝天碧水净土保卫战</w:t>
                  </w:r>
                  <w:r>
                    <w:rPr>
                      <w:rFonts w:ascii="Times New Roman" w:eastAsia="宋体" w:hAnsi="Times New Roman" w:cs="宋体" w:hint="default"/>
                      <w:color w:val="auto"/>
                      <w:szCs w:val="21"/>
                      <w:highlight w:val="none"/>
                      <w:lang w:val="en-US" w:eastAsia="zh-CN" w:bidi="ar"/>
                    </w:rPr>
                    <w:t>2022</w:t>
                  </w:r>
                  <w:r>
                    <w:rPr>
                      <w:rFonts w:ascii="Times New Roman" w:eastAsia="宋体" w:hAnsi="Times New Roman" w:cs="宋体" w:hint="eastAsia"/>
                      <w:color w:val="auto"/>
                      <w:szCs w:val="21"/>
                      <w:highlight w:val="none"/>
                      <w:lang w:val="en-US" w:eastAsia="zh-CN" w:bidi="ar"/>
                    </w:rPr>
                    <w:t>年工作方案的通知》</w:t>
                  </w:r>
                </w:p>
              </w:tc>
              <w:tc>
                <w:tcPr>
                  <w:tcW w:w="464" w:type="pct"/>
                  <w:vMerge w:val="restart"/>
                  <w:tcBorders>
                    <w:left w:val="single" w:sz="4" w:space="0" w:color="auto"/>
                  </w:tcBorders>
                  <w:vAlign w:val="center"/>
                </w:tcPr>
                <w:p>
                  <w:pPr>
                    <w:keepNext w:val="0"/>
                    <w:keepLines w:val="0"/>
                    <w:widowControl/>
                    <w:suppressLineNumbers w:val="0"/>
                    <w:jc w:val="left"/>
                    <w:rPr>
                      <w:rFonts w:ascii="宋体" w:eastAsia="宋体" w:hAnsi="宋体" w:cs="宋体" w:hint="eastAsia"/>
                      <w:color w:val="auto"/>
                      <w:kern w:val="0"/>
                      <w:sz w:val="20"/>
                      <w:szCs w:val="20"/>
                      <w:highlight w:val="none"/>
                      <w:lang w:bidi="ar"/>
                    </w:rPr>
                  </w:pPr>
                  <w:r>
                    <w:rPr>
                      <w:rFonts w:ascii="Times New Roman" w:eastAsia="宋体" w:hAnsi="Times New Roman" w:cs="宋体" w:hint="eastAsia"/>
                      <w:color w:val="auto"/>
                      <w:kern w:val="2"/>
                      <w:sz w:val="21"/>
                      <w:szCs w:val="21"/>
                      <w:highlight w:val="none"/>
                      <w:lang w:val="en-US" w:eastAsia="zh-CN" w:bidi="ar"/>
                    </w:rPr>
                    <w:t>《陕西省蓝天保卫战2022年工作方案》</w:t>
                  </w:r>
                </w:p>
              </w:tc>
              <w:tc>
                <w:tcPr>
                  <w:tcW w:w="2343" w:type="pct"/>
                  <w:vAlign w:val="center"/>
                </w:tcPr>
                <w:p>
                  <w:pPr>
                    <w:pStyle w:val="BodyTextFirstIndent2"/>
                    <w:spacing w:after="0" w:line="320" w:lineRule="exact"/>
                    <w:ind w:left="0" w:firstLine="0" w:leftChars="0" w:firstLineChars="0"/>
                    <w:jc w:val="center"/>
                    <w:rPr>
                      <w:rFonts w:eastAsia="宋体" w:hint="default"/>
                      <w:color w:val="auto"/>
                      <w:szCs w:val="21"/>
                      <w:highlight w:val="none"/>
                      <w:lang w:val="en-US" w:eastAsia="zh-CN"/>
                    </w:rPr>
                  </w:pPr>
                  <w:r>
                    <w:rPr>
                      <w:rFonts w:hint="eastAsia"/>
                      <w:color w:val="auto"/>
                      <w:szCs w:val="21"/>
                      <w:highlight w:val="none"/>
                    </w:rPr>
                    <w:t>优化产业结构布局。严格执行《产业结构调整指导目录》。坚决遏制</w:t>
                  </w:r>
                  <w:r>
                    <w:rPr>
                      <w:rFonts w:hint="eastAsia"/>
                      <w:color w:val="auto"/>
                      <w:szCs w:val="21"/>
                      <w:highlight w:val="none"/>
                    </w:rPr>
                    <w:t>“</w:t>
                  </w:r>
                  <w:r>
                    <w:rPr>
                      <w:rFonts w:hint="eastAsia"/>
                      <w:color w:val="auto"/>
                      <w:szCs w:val="21"/>
                      <w:highlight w:val="none"/>
                    </w:rPr>
                    <w:t>两高</w:t>
                  </w:r>
                  <w:r>
                    <w:rPr>
                      <w:rFonts w:hint="eastAsia"/>
                      <w:color w:val="auto"/>
                      <w:szCs w:val="21"/>
                      <w:highlight w:val="none"/>
                    </w:rPr>
                    <w:t>”</w:t>
                  </w:r>
                  <w:r>
                    <w:rPr>
                      <w:rFonts w:hint="eastAsia"/>
                      <w:color w:val="auto"/>
                      <w:szCs w:val="21"/>
                      <w:highlight w:val="none"/>
                    </w:rPr>
                    <w:t>项目盲目发展，严格落实国家产业规划、产业政策、</w:t>
                  </w:r>
                  <w:r>
                    <w:rPr>
                      <w:rFonts w:hint="eastAsia"/>
                      <w:color w:val="auto"/>
                      <w:szCs w:val="21"/>
                      <w:highlight w:val="none"/>
                    </w:rPr>
                    <w:t>“</w:t>
                  </w:r>
                  <w:r>
                    <w:rPr>
                      <w:rFonts w:hint="eastAsia"/>
                      <w:color w:val="auto"/>
                      <w:szCs w:val="21"/>
                      <w:highlight w:val="none"/>
                    </w:rPr>
                    <w:t>三线一单</w:t>
                  </w:r>
                  <w:r>
                    <w:rPr>
                      <w:rFonts w:hint="eastAsia"/>
                      <w:color w:val="auto"/>
                      <w:szCs w:val="21"/>
                      <w:highlight w:val="none"/>
                    </w:rPr>
                    <w:t>”</w:t>
                  </w:r>
                  <w:r>
                    <w:rPr>
                      <w:rFonts w:hint="eastAsia"/>
                      <w:color w:val="auto"/>
                      <w:szCs w:val="21"/>
                      <w:highlight w:val="none"/>
                    </w:rPr>
                    <w:t>、规划环评，以及产能置换、煤炭消费减量替代、区域污染物削减等要求，对不符合规定的项目坚决停批停建。严格实施节能审查制度，加强节能审查事中事后监管。重点区域严禁新增钢铁、焦化、水泥熟料、平板玻璃、电解铝、煤化工产能，合理控制煤制油气产能规模</w:t>
                  </w:r>
                  <w:r>
                    <w:rPr>
                      <w:rFonts w:hint="eastAsia"/>
                      <w:color w:val="auto"/>
                      <w:szCs w:val="21"/>
                      <w:highlight w:val="none"/>
                      <w:lang w:eastAsia="zh-CN"/>
                    </w:rPr>
                    <w:t>，</w:t>
                  </w:r>
                  <w:r>
                    <w:rPr>
                      <w:rFonts w:hint="eastAsia"/>
                      <w:color w:val="auto"/>
                      <w:szCs w:val="21"/>
                      <w:highlight w:val="none"/>
                    </w:rPr>
                    <w:t>严控新增炼油</w:t>
                  </w:r>
                  <w:r>
                    <w:rPr>
                      <w:rFonts w:hint="eastAsia"/>
                      <w:color w:val="auto"/>
                      <w:szCs w:val="21"/>
                      <w:highlight w:val="none"/>
                      <w:lang w:val="en-US" w:eastAsia="zh-CN"/>
                    </w:rPr>
                    <w:t>产能，重点区域严禁新增化工园区。</w:t>
                  </w:r>
                </w:p>
              </w:tc>
              <w:tc>
                <w:tcPr>
                  <w:tcW w:w="873"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eastAsia="zh-CN"/>
                    </w:rPr>
                  </w:pPr>
                  <w:r>
                    <w:rPr>
                      <w:rFonts w:hint="eastAsia"/>
                      <w:color w:val="auto"/>
                      <w:szCs w:val="21"/>
                      <w:highlight w:val="none"/>
                    </w:rPr>
                    <w:t>本项目符合《产业结构调整指导目录（2019年本）》等国家产业政策，不属于两高行业</w:t>
                  </w:r>
                  <w:r>
                    <w:rPr>
                      <w:rFonts w:hint="eastAsia"/>
                      <w:color w:val="auto"/>
                      <w:szCs w:val="21"/>
                      <w:highlight w:val="none"/>
                      <w:lang w:eastAsia="zh-CN"/>
                    </w:rPr>
                    <w:t>。</w:t>
                  </w:r>
                </w:p>
              </w:tc>
              <w:tc>
                <w:tcPr>
                  <w:tcW w:w="345"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Merge/>
                  <w:vAlign w:val="center"/>
                </w:tcPr>
                <w:p>
                  <w:pPr>
                    <w:pStyle w:val="BodyTextFirstIndent2"/>
                    <w:spacing w:line="320" w:lineRule="exact"/>
                    <w:ind w:left="0" w:firstLine="0" w:leftChars="0" w:firstLineChars="0"/>
                    <w:jc w:val="center"/>
                    <w:rPr>
                      <w:rFonts w:hint="eastAsia"/>
                      <w:color w:val="auto"/>
                      <w:szCs w:val="21"/>
                      <w:highlight w:val="none"/>
                      <w:lang w:val="en-US" w:eastAsia="zh-CN"/>
                    </w:rPr>
                  </w:pPr>
                </w:p>
              </w:tc>
              <w:tc>
                <w:tcPr>
                  <w:tcW w:w="660" w:type="pct"/>
                  <w:vMerge/>
                  <w:tcBorders>
                    <w:right w:val="single" w:sz="4" w:space="0" w:color="auto"/>
                  </w:tcBorders>
                  <w:vAlign w:val="center"/>
                </w:tcPr>
                <w:p>
                  <w:pPr>
                    <w:pStyle w:val="BodyTextFirstIndent2"/>
                    <w:spacing w:after="0" w:line="320" w:lineRule="exact"/>
                    <w:ind w:left="0" w:firstLine="0" w:leftChars="0" w:firstLineChars="0"/>
                    <w:jc w:val="center"/>
                    <w:rPr>
                      <w:rFonts w:ascii="Times New Roman" w:eastAsia="宋体" w:hAnsi="Times New Roman" w:cs="宋体" w:hint="eastAsia"/>
                      <w:color w:val="auto"/>
                      <w:szCs w:val="21"/>
                      <w:highlight w:val="none"/>
                      <w:lang w:bidi="ar"/>
                    </w:rPr>
                  </w:pPr>
                </w:p>
              </w:tc>
              <w:tc>
                <w:tcPr>
                  <w:tcW w:w="464" w:type="pct"/>
                  <w:vMerge/>
                  <w:tcBorders>
                    <w:left w:val="single" w:sz="4" w:space="0" w:color="auto"/>
                  </w:tcBorders>
                  <w:vAlign w:val="center"/>
                </w:tcPr>
                <w:p>
                  <w:pPr>
                    <w:pStyle w:val="BodyTextFirstIndent2"/>
                    <w:spacing w:after="0" w:line="320" w:lineRule="exact"/>
                    <w:ind w:left="0" w:firstLine="0" w:leftChars="0" w:firstLineChars="0"/>
                    <w:jc w:val="center"/>
                    <w:rPr>
                      <w:rFonts w:cs="宋体" w:hint="eastAsia"/>
                      <w:color w:val="auto"/>
                      <w:szCs w:val="21"/>
                      <w:highlight w:val="none"/>
                      <w:lang w:bidi="ar"/>
                    </w:rPr>
                  </w:pPr>
                </w:p>
              </w:tc>
              <w:tc>
                <w:tcPr>
                  <w:tcW w:w="2343" w:type="pct"/>
                  <w:vAlign w:val="center"/>
                </w:tcPr>
                <w:p>
                  <w:pPr>
                    <w:pStyle w:val="BodyTextFirstIndent2"/>
                    <w:spacing w:after="0" w:line="320" w:lineRule="exact"/>
                    <w:ind w:left="0" w:firstLine="0" w:leftChars="0" w:firstLineChars="0"/>
                    <w:jc w:val="center"/>
                    <w:rPr>
                      <w:rFonts w:hint="eastAsia"/>
                      <w:color w:val="auto"/>
                      <w:szCs w:val="21"/>
                      <w:highlight w:val="none"/>
                    </w:rPr>
                  </w:pPr>
                  <w:r>
                    <w:rPr>
                      <w:rFonts w:hint="eastAsia"/>
                      <w:color w:val="auto"/>
                      <w:szCs w:val="21"/>
                      <w:highlight w:val="none"/>
                    </w:rPr>
                    <w:t>开展传统产业聚集区综合整治。各市（区）重点针对铸造、耐火材料、石灰、矿物棉、独立轧钢、有色、煤炭采选、化工、包装印刷、家具、彩涂板、零部件制造、人造板等行业和使用溶剂型涂料、油墨、胶黏剂、清洗剂、涉有机化工生产的企业，于4月底前完成产业聚集区排查工作，实施拉单挂账式管理，通过淘汰关停一批、搬迁入园一批、就地改造一批、做优做强一批，切实提升产业发展质量和环保治理水平。2022年底前，关中各市（区）完成50%产业聚集区升级改造。不断优化水泥行业错峰生产政策。</w:t>
                  </w:r>
                </w:p>
              </w:tc>
              <w:tc>
                <w:tcPr>
                  <w:tcW w:w="873"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eastAsia="zh-CN"/>
                    </w:rPr>
                  </w:pPr>
                  <w:r>
                    <w:rPr>
                      <w:rFonts w:ascii="Times New Roman" w:eastAsia="宋体" w:hAnsi="Times New Roman" w:cs="宋体" w:hint="eastAsia"/>
                      <w:color w:val="auto"/>
                      <w:kern w:val="2"/>
                      <w:sz w:val="21"/>
                      <w:szCs w:val="21"/>
                      <w:highlight w:val="none"/>
                      <w:lang w:bidi="ar"/>
                    </w:rPr>
                    <w:t>本项目位于铜川市新材料产业园区</w:t>
                  </w:r>
                  <w:r>
                    <w:rPr>
                      <w:rFonts w:ascii="Times New Roman" w:eastAsia="宋体" w:hAnsi="Times New Roman" w:cs="宋体" w:hint="eastAsia"/>
                      <w:color w:val="auto"/>
                      <w:kern w:val="2"/>
                      <w:sz w:val="21"/>
                      <w:szCs w:val="21"/>
                      <w:highlight w:val="none"/>
                      <w:lang w:eastAsia="zh-CN" w:bidi="ar"/>
                    </w:rPr>
                    <w:t>，</w:t>
                  </w:r>
                  <w:r>
                    <w:rPr>
                      <w:rFonts w:ascii="Times New Roman" w:eastAsia="宋体" w:hAnsi="Times New Roman" w:cs="宋体" w:hint="eastAsia"/>
                      <w:color w:val="auto"/>
                      <w:kern w:val="2"/>
                      <w:sz w:val="21"/>
                      <w:szCs w:val="21"/>
                      <w:highlight w:val="none"/>
                      <w:lang w:val="en-US" w:eastAsia="zh-CN" w:bidi="ar"/>
                    </w:rPr>
                    <w:t>生产不涉及有机化工</w:t>
                  </w:r>
                  <w:r>
                    <w:rPr>
                      <w:rFonts w:ascii="Times New Roman" w:eastAsia="宋体" w:hAnsi="Times New Roman" w:cs="宋体" w:hint="eastAsia"/>
                      <w:color w:val="auto"/>
                      <w:kern w:val="2"/>
                      <w:sz w:val="21"/>
                      <w:szCs w:val="21"/>
                      <w:highlight w:val="none"/>
                      <w:lang w:eastAsia="zh-CN" w:bidi="ar"/>
                    </w:rPr>
                    <w:t>。</w:t>
                  </w:r>
                </w:p>
              </w:tc>
              <w:tc>
                <w:tcPr>
                  <w:tcW w:w="345"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Merge/>
                  <w:vAlign w:val="center"/>
                </w:tcPr>
                <w:p>
                  <w:pPr>
                    <w:pStyle w:val="BodyTextFirstIndent2"/>
                    <w:spacing w:line="320" w:lineRule="exact"/>
                    <w:ind w:left="0" w:firstLine="0" w:leftChars="0" w:firstLineChars="0"/>
                    <w:jc w:val="center"/>
                    <w:rPr>
                      <w:rFonts w:hint="eastAsia"/>
                      <w:color w:val="auto"/>
                      <w:szCs w:val="21"/>
                      <w:highlight w:val="none"/>
                      <w:lang w:val="en-US" w:eastAsia="zh-CN"/>
                    </w:rPr>
                  </w:pPr>
                </w:p>
              </w:tc>
              <w:tc>
                <w:tcPr>
                  <w:tcW w:w="660" w:type="pct"/>
                  <w:vMerge/>
                  <w:tcBorders>
                    <w:right w:val="single" w:sz="4" w:space="0" w:color="auto"/>
                  </w:tcBorders>
                  <w:vAlign w:val="center"/>
                </w:tcPr>
                <w:p>
                  <w:pPr>
                    <w:pStyle w:val="BodyTextFirstIndent2"/>
                    <w:spacing w:after="0" w:line="320" w:lineRule="exact"/>
                    <w:ind w:left="0" w:firstLine="0" w:leftChars="0" w:firstLineChars="0"/>
                    <w:jc w:val="center"/>
                    <w:rPr>
                      <w:rFonts w:ascii="Times New Roman" w:eastAsia="宋体" w:hAnsi="Times New Roman" w:cs="宋体" w:hint="eastAsia"/>
                      <w:color w:val="auto"/>
                      <w:szCs w:val="21"/>
                      <w:highlight w:val="none"/>
                      <w:lang w:bidi="ar"/>
                    </w:rPr>
                  </w:pPr>
                </w:p>
              </w:tc>
              <w:tc>
                <w:tcPr>
                  <w:tcW w:w="464" w:type="pct"/>
                  <w:tcBorders>
                    <w:left w:val="single" w:sz="4" w:space="0" w:color="auto"/>
                  </w:tcBorders>
                  <w:vAlign w:val="center"/>
                </w:tcPr>
                <w:p>
                  <w:pPr>
                    <w:pStyle w:val="BodyTextFirstIndent2"/>
                    <w:spacing w:after="0" w:line="320" w:lineRule="exact"/>
                    <w:ind w:left="0" w:firstLine="0" w:leftChars="0" w:firstLineChars="0"/>
                    <w:jc w:val="center"/>
                    <w:rPr>
                      <w:rFonts w:eastAsia="宋体" w:cs="宋体" w:hint="eastAsia"/>
                      <w:color w:val="auto"/>
                      <w:szCs w:val="21"/>
                      <w:highlight w:val="none"/>
                      <w:lang w:eastAsia="zh-CN" w:bidi="ar"/>
                    </w:rPr>
                  </w:pPr>
                </w:p>
              </w:tc>
              <w:tc>
                <w:tcPr>
                  <w:tcW w:w="2343" w:type="pct"/>
                  <w:vAlign w:val="center"/>
                </w:tcPr>
                <w:p>
                  <w:pPr>
                    <w:pStyle w:val="BodyTextFirstIndent2"/>
                    <w:spacing w:after="0" w:line="320" w:lineRule="exact"/>
                    <w:ind w:left="0" w:firstLine="0" w:leftChars="0" w:firstLineChars="0"/>
                    <w:jc w:val="center"/>
                    <w:rPr>
                      <w:rFonts w:hint="eastAsia"/>
                      <w:color w:val="auto"/>
                      <w:kern w:val="2"/>
                      <w:szCs w:val="21"/>
                      <w:highlight w:val="none"/>
                      <w:lang w:val="en-US" w:eastAsia="zh-CN" w:bidi="ar-SA"/>
                    </w:rPr>
                  </w:pPr>
                  <w:r>
                    <w:rPr>
                      <w:rFonts w:hint="eastAsia"/>
                      <w:color w:val="auto"/>
                      <w:szCs w:val="21"/>
                      <w:highlight w:val="none"/>
                    </w:rPr>
                    <w:t>23.加强物料堆场扬尘管控。按照</w:t>
                  </w:r>
                  <w:r>
                    <w:rPr>
                      <w:rFonts w:hint="eastAsia"/>
                      <w:color w:val="auto"/>
                      <w:szCs w:val="21"/>
                      <w:highlight w:val="none"/>
                    </w:rPr>
                    <w:t>“</w:t>
                  </w:r>
                  <w:r>
                    <w:rPr>
                      <w:rFonts w:hint="eastAsia"/>
                      <w:color w:val="auto"/>
                      <w:szCs w:val="21"/>
                      <w:highlight w:val="none"/>
                    </w:rPr>
                    <w:t>统一标准，规范建设，属地监管，从严执法</w:t>
                  </w:r>
                  <w:r>
                    <w:rPr>
                      <w:rFonts w:hint="eastAsia"/>
                      <w:color w:val="auto"/>
                      <w:szCs w:val="21"/>
                      <w:highlight w:val="none"/>
                    </w:rPr>
                    <w:t>”</w:t>
                  </w:r>
                  <w:r>
                    <w:rPr>
                      <w:rFonts w:hint="eastAsia"/>
                      <w:color w:val="auto"/>
                      <w:szCs w:val="21"/>
                      <w:highlight w:val="none"/>
                    </w:rPr>
                    <w:t>的原则，进一步规范提升物料堆场扬尘治理水平。对照物料堆场扬尘污染整治</w:t>
                  </w:r>
                  <w:r>
                    <w:rPr>
                      <w:rFonts w:hint="eastAsia"/>
                      <w:color w:val="auto"/>
                      <w:szCs w:val="21"/>
                      <w:highlight w:val="none"/>
                    </w:rPr>
                    <w:t>“</w:t>
                  </w:r>
                  <w:r>
                    <w:rPr>
                      <w:rFonts w:hint="eastAsia"/>
                      <w:color w:val="auto"/>
                      <w:szCs w:val="21"/>
                      <w:highlight w:val="none"/>
                    </w:rPr>
                    <w:t>十条标准</w:t>
                  </w:r>
                  <w:r>
                    <w:rPr>
                      <w:rFonts w:hint="eastAsia"/>
                      <w:color w:val="auto"/>
                      <w:szCs w:val="21"/>
                      <w:highlight w:val="none"/>
                    </w:rPr>
                    <w:t>”</w:t>
                  </w:r>
                </w:p>
              </w:tc>
              <w:tc>
                <w:tcPr>
                  <w:tcW w:w="873" w:type="pct"/>
                  <w:vAlign w:val="center"/>
                </w:tcPr>
                <w:p>
                  <w:pPr>
                    <w:pStyle w:val="BodyTextFirstIndent2"/>
                    <w:spacing w:after="0" w:line="320" w:lineRule="exact"/>
                    <w:ind w:left="0" w:firstLine="0" w:leftChars="0" w:firstLineChars="0"/>
                    <w:jc w:val="center"/>
                    <w:rPr>
                      <w:color w:val="auto"/>
                      <w:kern w:val="2"/>
                      <w:szCs w:val="21"/>
                      <w:highlight w:val="none"/>
                      <w:lang w:val="en-US" w:eastAsia="zh-CN" w:bidi="ar-SA"/>
                    </w:rPr>
                  </w:pPr>
                  <w:r>
                    <w:rPr>
                      <w:rFonts w:hint="eastAsia"/>
                      <w:color w:val="auto"/>
                      <w:szCs w:val="21"/>
                      <w:highlight w:val="none"/>
                    </w:rPr>
                    <w:t>本项目厂区</w:t>
                  </w:r>
                  <w:r>
                    <w:rPr>
                      <w:rFonts w:hint="eastAsia"/>
                      <w:color w:val="auto"/>
                      <w:szCs w:val="21"/>
                      <w:highlight w:val="none"/>
                      <w:lang w:val="en-US" w:eastAsia="zh-CN"/>
                    </w:rPr>
                    <w:t>砂石料</w:t>
                  </w:r>
                  <w:r>
                    <w:rPr>
                      <w:rFonts w:hint="eastAsia"/>
                      <w:color w:val="auto"/>
                      <w:szCs w:val="21"/>
                      <w:highlight w:val="none"/>
                    </w:rPr>
                    <w:t>堆存场所于封闭车间内；</w:t>
                  </w:r>
                  <w:r>
                    <w:rPr>
                      <w:rFonts w:hint="eastAsia"/>
                      <w:color w:val="auto"/>
                      <w:szCs w:val="21"/>
                      <w:highlight w:val="none"/>
                      <w:lang w:val="en-US" w:eastAsia="zh-CN"/>
                    </w:rPr>
                    <w:t>车间内</w:t>
                  </w:r>
                </w:p>
              </w:tc>
              <w:tc>
                <w:tcPr>
                  <w:tcW w:w="345"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符合</w:t>
                  </w:r>
                </w:p>
              </w:tc>
            </w:tr>
          </w:tbl>
          <w:p/>
        </w:tc>
      </w:tr>
    </w:tbl>
    <w:p>
      <w:pPr>
        <w:sectPr>
          <w:footerReference w:type="default" r:id="rId12"/>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9"/>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tbl>
            <w:tblPr>
              <w:tblStyle w:val="TableNormal"/>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
            <w:tblGrid>
              <w:gridCol w:w="427"/>
              <w:gridCol w:w="903"/>
              <w:gridCol w:w="636"/>
              <w:gridCol w:w="3206"/>
              <w:gridCol w:w="1195"/>
              <w:gridCol w:w="472"/>
            </w:tblGrid>
            <w:tr>
              <w:tblPrEx>
                <w:tblW w:w="4997" w:type="pct"/>
                <w:jc w:val="center"/>
                <w:tblInd w:w="110" w:type="dxa"/>
                <w:tblBorders>
                  <w:top w:val="single" w:sz="12" w:space="0" w:color="000000"/>
                  <w:left w:val="none" w:sz="0" w:space="0" w:color="auto"/>
                  <w:bottom w:val="single" w:sz="12" w:space="0" w:color="000000"/>
                  <w:right w:val="none" w:sz="0" w:space="0" w:color="auto"/>
                  <w:insideH w:val="single" w:sz="4" w:space="0" w:color="auto"/>
                  <w:insideV w:val="single" w:sz="4" w:space="0" w:color="auto"/>
                </w:tblBorders>
                <w:tblCellMar>
                  <w:top w:w="0" w:type="dxa"/>
                  <w:left w:w="108" w:type="dxa"/>
                  <w:bottom w:w="0" w:type="dxa"/>
                  <w:right w:w="108" w:type="dxa"/>
                </w:tblCellMar>
                <w:tblLook w:val="0000"/>
              </w:tblPrEx>
              <w:trPr>
                <w:jc w:val="center"/>
              </w:trPr>
              <w:tc>
                <w:tcPr>
                  <w:tcW w:w="312" w:type="pct"/>
                  <w:vMerge w:val="restart"/>
                  <w:vAlign w:val="center"/>
                </w:tcPr>
                <w:p/>
              </w:tc>
              <w:tc>
                <w:tcPr>
                  <w:tcW w:w="660" w:type="pct"/>
                  <w:vMerge w:val="restart"/>
                  <w:tcBorders>
                    <w:right w:val="single" w:sz="4" w:space="0" w:color="auto"/>
                  </w:tcBorders>
                  <w:vAlign w:val="center"/>
                </w:tcPr>
                <w:p/>
              </w:tc>
              <w:tc>
                <w:tcPr>
                  <w:tcW w:w="464" w:type="pct"/>
                  <w:tcBorders>
                    <w:left w:val="single" w:sz="4" w:space="0" w:color="auto"/>
                  </w:tcBorders>
                  <w:vAlign w:val="center"/>
                </w:tcPr>
                <w:p>
                  <w:pPr>
                    <w:pStyle w:val="BodyTextFirstIndent2"/>
                    <w:spacing w:before="0" w:after="0" w:line="320" w:lineRule="exact"/>
                    <w:ind w:left="0" w:firstLine="0" w:leftChars="0" w:firstLineChars="0"/>
                    <w:jc w:val="center"/>
                    <w:rPr>
                      <w:rFonts w:eastAsia="宋体" w:cs="宋体" w:hint="eastAsia"/>
                      <w:color w:val="auto"/>
                      <w:szCs w:val="21"/>
                      <w:highlight w:val="none"/>
                      <w:lang w:eastAsia="zh-CN" w:bidi="ar"/>
                    </w:rPr>
                  </w:pPr>
                  <w:r>
                    <w:rPr>
                      <w:rFonts w:cs="宋体" w:hint="eastAsia"/>
                      <w:color w:val="auto"/>
                      <w:szCs w:val="21"/>
                      <w:highlight w:val="none"/>
                      <w:lang w:eastAsia="zh-CN" w:bidi="ar"/>
                    </w:rPr>
                    <w:t>《铜川市蓝天保卫战2022年工作方案》</w:t>
                  </w:r>
                </w:p>
              </w:tc>
              <w:tc>
                <w:tcPr>
                  <w:tcW w:w="2343" w:type="pct"/>
                  <w:vAlign w:val="center"/>
                </w:tcPr>
                <w:p>
                  <w:pPr>
                    <w:pStyle w:val="BodyTextFirstIndent2"/>
                    <w:spacing w:before="0" w:after="0" w:line="320" w:lineRule="exact"/>
                    <w:ind w:left="0" w:firstLine="0" w:leftChars="0" w:firstLineChars="0"/>
                    <w:jc w:val="center"/>
                    <w:rPr>
                      <w:rFonts w:hint="eastAsia"/>
                      <w:color w:val="auto"/>
                      <w:kern w:val="2"/>
                      <w:szCs w:val="21"/>
                      <w:highlight w:val="none"/>
                      <w:lang w:val="en-US" w:eastAsia="zh-CN" w:bidi="ar-SA"/>
                    </w:rPr>
                  </w:pPr>
                  <w:r>
                    <w:rPr>
                      <w:rFonts w:hint="eastAsia"/>
                      <w:color w:val="auto"/>
                      <w:szCs w:val="21"/>
                      <w:highlight w:val="none"/>
                    </w:rPr>
                    <w:t>，严格控制物料储存、输送及生产工艺过程无组织排放，基本完成抑尘设施建设和物料输送系统封闭改造。严禁露天装卸作业和物料干法作业。</w:t>
                  </w:r>
                </w:p>
              </w:tc>
              <w:tc>
                <w:tcPr>
                  <w:tcW w:w="873" w:type="pct"/>
                  <w:vAlign w:val="center"/>
                </w:tcPr>
                <w:p>
                  <w:pPr>
                    <w:pStyle w:val="BodyTextFirstIndent2"/>
                    <w:spacing w:before="0" w:after="0" w:line="320" w:lineRule="exact"/>
                    <w:ind w:left="0" w:firstLine="0" w:leftChars="0" w:firstLineChars="0"/>
                    <w:jc w:val="center"/>
                    <w:rPr>
                      <w:color w:val="auto"/>
                      <w:kern w:val="2"/>
                      <w:szCs w:val="21"/>
                      <w:highlight w:val="none"/>
                      <w:lang w:val="en-US" w:eastAsia="zh-CN" w:bidi="ar-SA"/>
                    </w:rPr>
                  </w:pPr>
                  <w:r>
                    <w:rPr>
                      <w:rFonts w:hint="eastAsia"/>
                      <w:color w:val="auto"/>
                      <w:szCs w:val="21"/>
                      <w:highlight w:val="none"/>
                    </w:rPr>
                    <w:t>点设置洒水抑尘装置减少</w:t>
                  </w:r>
                  <w:r>
                    <w:rPr>
                      <w:rFonts w:hint="eastAsia"/>
                      <w:color w:val="auto"/>
                      <w:szCs w:val="21"/>
                      <w:highlight w:val="none"/>
                      <w:lang w:val="en-US" w:eastAsia="zh-CN"/>
                    </w:rPr>
                    <w:t>粉尘</w:t>
                  </w:r>
                  <w:r>
                    <w:rPr>
                      <w:rFonts w:hint="eastAsia"/>
                      <w:color w:val="auto"/>
                      <w:szCs w:val="21"/>
                      <w:highlight w:val="none"/>
                    </w:rPr>
                    <w:t>无组织排放。</w:t>
                  </w:r>
                </w:p>
              </w:tc>
              <w:tc>
                <w:tcPr>
                  <w:tcW w:w="345" w:type="pct"/>
                  <w:vAlign w:val="center"/>
                </w:tcPr>
                <w:p/>
              </w:tc>
            </w:tr>
            <w:tr>
              <w:tblPrEx>
                <w:tblW w:w="4997" w:type="pct"/>
                <w:jc w:val="center"/>
                <w:tblInd w:w="110" w:type="dxa"/>
                <w:tblCellMar>
                  <w:top w:w="0" w:type="dxa"/>
                  <w:left w:w="108" w:type="dxa"/>
                  <w:bottom w:w="0" w:type="dxa"/>
                  <w:right w:w="108" w:type="dxa"/>
                </w:tblCellMar>
                <w:tblLook w:val="0000"/>
              </w:tblPrEx>
              <w:trPr>
                <w:jc w:val="center"/>
              </w:trPr>
              <w:tc>
                <w:tcPr>
                  <w:tcW w:w="312" w:type="pct"/>
                  <w:vMerge w:val="restart"/>
                  <w:vAlign w:val="center"/>
                </w:tcPr>
                <w:p>
                  <w:pPr>
                    <w:pStyle w:val="BodyTextFirstIndent2"/>
                    <w:spacing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7</w:t>
                  </w:r>
                </w:p>
              </w:tc>
              <w:tc>
                <w:tcPr>
                  <w:tcW w:w="1125" w:type="pct"/>
                  <w:gridSpan w:val="2"/>
                  <w:vMerge w:val="restart"/>
                  <w:vAlign w:val="center"/>
                </w:tcPr>
                <w:p>
                  <w:pPr>
                    <w:pStyle w:val="BodyTextFirstIndent2"/>
                    <w:spacing w:after="0" w:line="320" w:lineRule="exact"/>
                    <w:ind w:left="0" w:firstLine="0" w:leftChars="0" w:firstLineChars="0"/>
                    <w:jc w:val="center"/>
                    <w:rPr>
                      <w:rFonts w:eastAsia="宋体" w:cs="宋体" w:hint="eastAsia"/>
                      <w:color w:val="auto"/>
                      <w:szCs w:val="21"/>
                      <w:highlight w:val="none"/>
                      <w:lang w:eastAsia="zh-CN" w:bidi="ar"/>
                    </w:rPr>
                  </w:pPr>
                  <w:r>
                    <w:rPr>
                      <w:rFonts w:cs="宋体" w:hint="eastAsia"/>
                      <w:color w:val="auto"/>
                      <w:szCs w:val="21"/>
                      <w:highlight w:val="none"/>
                      <w:lang w:eastAsia="zh-CN" w:bidi="ar"/>
                    </w:rPr>
                    <w:t>《铜川市大气污染防治条例》</w:t>
                  </w:r>
                </w:p>
              </w:tc>
              <w:tc>
                <w:tcPr>
                  <w:tcW w:w="2343" w:type="pct"/>
                  <w:vAlign w:val="center"/>
                </w:tcPr>
                <w:p>
                  <w:pPr>
                    <w:pStyle w:val="BodyTextFirstIndent2"/>
                    <w:spacing w:after="0" w:line="320" w:lineRule="exact"/>
                    <w:ind w:left="0" w:firstLine="0" w:leftChars="0" w:firstLineChars="0"/>
                    <w:jc w:val="center"/>
                    <w:rPr>
                      <w:rFonts w:hint="eastAsia"/>
                      <w:color w:val="auto"/>
                      <w:szCs w:val="21"/>
                      <w:highlight w:val="none"/>
                    </w:rPr>
                  </w:pPr>
                  <w:r>
                    <w:rPr>
                      <w:rFonts w:hint="eastAsia"/>
                      <w:color w:val="auto"/>
                      <w:szCs w:val="21"/>
                      <w:highlight w:val="none"/>
                    </w:rPr>
                    <w:t>贮存煤炭、煤矸石、煤渣、煤灰、水泥、石灰、石膏、砂土等易产生扬尘的物料应当密闭；不能密闭的，应当设置不低于堆放物高度的严密围挡，采取有效覆盖措施防治扬尘污染。</w:t>
                  </w:r>
                </w:p>
              </w:tc>
              <w:tc>
                <w:tcPr>
                  <w:tcW w:w="873" w:type="pct"/>
                  <w:vAlign w:val="center"/>
                </w:tcPr>
                <w:p>
                  <w:pPr>
                    <w:pStyle w:val="BodyTextFirstIndent2"/>
                    <w:spacing w:after="0" w:line="320" w:lineRule="exact"/>
                    <w:ind w:left="0" w:firstLine="0" w:leftChars="0" w:firstLineChars="0"/>
                    <w:jc w:val="center"/>
                    <w:rPr>
                      <w:color w:val="auto"/>
                      <w:szCs w:val="21"/>
                      <w:highlight w:val="none"/>
                    </w:rPr>
                  </w:pPr>
                  <w:r>
                    <w:rPr>
                      <w:rFonts w:hint="eastAsia"/>
                      <w:color w:val="auto"/>
                      <w:szCs w:val="21"/>
                      <w:highlight w:val="none"/>
                    </w:rPr>
                    <w:t>本项目</w:t>
                  </w:r>
                  <w:r>
                    <w:rPr>
                      <w:rFonts w:hint="eastAsia"/>
                      <w:color w:val="auto"/>
                      <w:szCs w:val="21"/>
                      <w:highlight w:val="none"/>
                      <w:lang w:val="en-US" w:eastAsia="zh-CN"/>
                    </w:rPr>
                    <w:t>砂石</w:t>
                  </w:r>
                  <w:r>
                    <w:rPr>
                      <w:rFonts w:hint="eastAsia"/>
                      <w:color w:val="auto"/>
                      <w:szCs w:val="21"/>
                      <w:highlight w:val="none"/>
                    </w:rPr>
                    <w:t>料在封闭车间内贮存，粉料采用密闭储罐贮存。</w:t>
                  </w:r>
                </w:p>
              </w:tc>
              <w:tc>
                <w:tcPr>
                  <w:tcW w:w="345"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符合</w:t>
                  </w:r>
                </w:p>
              </w:tc>
            </w:tr>
            <w:tr>
              <w:tblPrEx>
                <w:tblW w:w="4997" w:type="pct"/>
                <w:jc w:val="center"/>
                <w:tblInd w:w="110" w:type="dxa"/>
                <w:tblCellMar>
                  <w:top w:w="0" w:type="dxa"/>
                  <w:left w:w="108" w:type="dxa"/>
                  <w:bottom w:w="0" w:type="dxa"/>
                  <w:right w:w="108" w:type="dxa"/>
                </w:tblCellMar>
                <w:tblLook w:val="0000"/>
              </w:tblPrEx>
              <w:trPr>
                <w:jc w:val="center"/>
              </w:trPr>
              <w:tc>
                <w:tcPr>
                  <w:tcW w:w="312" w:type="pct"/>
                  <w:vMerge/>
                  <w:vAlign w:val="center"/>
                </w:tcPr>
                <w:p>
                  <w:pPr>
                    <w:pStyle w:val="BodyTextFirstIndent2"/>
                    <w:spacing w:line="320" w:lineRule="exact"/>
                    <w:ind w:left="0" w:firstLine="0" w:leftChars="0" w:firstLineChars="0"/>
                    <w:jc w:val="center"/>
                    <w:rPr>
                      <w:rFonts w:eastAsia="宋体" w:hint="eastAsia"/>
                      <w:color w:val="auto"/>
                      <w:szCs w:val="21"/>
                      <w:highlight w:val="none"/>
                      <w:lang w:val="en-US" w:eastAsia="zh-CN"/>
                    </w:rPr>
                  </w:pPr>
                </w:p>
              </w:tc>
              <w:tc>
                <w:tcPr>
                  <w:tcW w:w="1125" w:type="pct"/>
                  <w:gridSpan w:val="2"/>
                  <w:vMerge/>
                  <w:vAlign w:val="center"/>
                </w:tcPr>
                <w:p>
                  <w:pPr>
                    <w:pStyle w:val="BodyTextFirstIndent2"/>
                    <w:spacing w:after="0" w:line="320" w:lineRule="exact"/>
                    <w:ind w:left="0" w:firstLine="0" w:leftChars="0" w:firstLineChars="0"/>
                    <w:jc w:val="center"/>
                    <w:rPr>
                      <w:rFonts w:cs="宋体" w:hint="eastAsia"/>
                      <w:color w:val="auto"/>
                      <w:szCs w:val="21"/>
                      <w:highlight w:val="none"/>
                      <w:lang w:bidi="ar"/>
                    </w:rPr>
                  </w:pPr>
                </w:p>
              </w:tc>
              <w:tc>
                <w:tcPr>
                  <w:tcW w:w="2343" w:type="pct"/>
                  <w:vAlign w:val="center"/>
                </w:tcPr>
                <w:p>
                  <w:pPr>
                    <w:pStyle w:val="BodyTextFirstIndent2"/>
                    <w:spacing w:after="0" w:line="320" w:lineRule="exact"/>
                    <w:ind w:left="0" w:firstLine="0" w:leftChars="0" w:firstLineChars="0"/>
                    <w:jc w:val="center"/>
                    <w:rPr>
                      <w:rFonts w:hint="eastAsia"/>
                      <w:color w:val="auto"/>
                      <w:szCs w:val="21"/>
                      <w:highlight w:val="none"/>
                    </w:rPr>
                  </w:pPr>
                  <w:r>
                    <w:rPr>
                      <w:rFonts w:hint="eastAsia"/>
                      <w:color w:val="auto"/>
                      <w:szCs w:val="21"/>
                      <w:highlight w:val="none"/>
                    </w:rPr>
                    <w:t>运输煤炭、垃圾、渣土、砂石、土方、灰浆、水泥等散装、流体物料的车辆应当采取密闭或者其他措施防止物料遗撒造成扬尘污染，并按照规定的时间、路线行驶。</w:t>
                  </w:r>
                </w:p>
              </w:tc>
              <w:tc>
                <w:tcPr>
                  <w:tcW w:w="873" w:type="pct"/>
                  <w:vAlign w:val="center"/>
                </w:tcPr>
                <w:p>
                  <w:pPr>
                    <w:pStyle w:val="BodyTextFirstIndent2"/>
                    <w:spacing w:after="0" w:line="320" w:lineRule="exact"/>
                    <w:ind w:left="0" w:firstLine="0" w:leftChars="0" w:firstLineChars="0"/>
                    <w:jc w:val="center"/>
                    <w:rPr>
                      <w:color w:val="auto"/>
                      <w:szCs w:val="21"/>
                      <w:highlight w:val="none"/>
                    </w:rPr>
                  </w:pPr>
                  <w:r>
                    <w:rPr>
                      <w:rFonts w:hint="eastAsia"/>
                      <w:color w:val="auto"/>
                      <w:szCs w:val="21"/>
                      <w:highlight w:val="none"/>
                    </w:rPr>
                    <w:t>本项目</w:t>
                  </w:r>
                  <w:r>
                    <w:rPr>
                      <w:rFonts w:hint="eastAsia"/>
                      <w:color w:val="auto"/>
                      <w:szCs w:val="21"/>
                      <w:highlight w:val="none"/>
                      <w:lang w:val="en-US" w:eastAsia="zh-CN"/>
                    </w:rPr>
                    <w:t>砂石</w:t>
                  </w:r>
                  <w:r>
                    <w:rPr>
                      <w:rFonts w:hint="eastAsia"/>
                      <w:color w:val="auto"/>
                      <w:szCs w:val="21"/>
                      <w:highlight w:val="none"/>
                    </w:rPr>
                    <w:t>料运输车辆篷布覆盖，按规定时间、路线行驶。</w:t>
                  </w:r>
                </w:p>
              </w:tc>
              <w:tc>
                <w:tcPr>
                  <w:tcW w:w="345" w:type="pct"/>
                  <w:vAlign w:val="center"/>
                </w:tcPr>
                <w:p>
                  <w:pPr>
                    <w:pStyle w:val="BodyTextFirstIndent2"/>
                    <w:spacing w:after="0" w:line="320" w:lineRule="exact"/>
                    <w:ind w:left="0" w:firstLine="0" w:leftChars="0" w:firstLineChars="0"/>
                    <w:jc w:val="center"/>
                    <w:rPr>
                      <w:rFonts w:eastAsia="宋体" w:hint="eastAsia"/>
                      <w:color w:val="auto"/>
                      <w:szCs w:val="21"/>
                      <w:highlight w:val="none"/>
                      <w:lang w:val="en-US" w:eastAsia="zh-CN"/>
                    </w:rPr>
                  </w:pPr>
                  <w:r>
                    <w:rPr>
                      <w:rFonts w:hint="eastAsia"/>
                      <w:color w:val="auto"/>
                      <w:szCs w:val="21"/>
                      <w:highlight w:val="none"/>
                      <w:lang w:val="en-US" w:eastAsia="zh-CN"/>
                    </w:rPr>
                    <w:t>符合</w:t>
                  </w:r>
                </w:p>
              </w:tc>
            </w:tr>
          </w:tbl>
          <w:p>
            <w:pPr>
              <w:adjustRightInd w:val="0"/>
              <w:spacing w:line="360" w:lineRule="auto"/>
              <w:rPr>
                <w:rFonts w:hint="default"/>
                <w:b/>
                <w:bCs/>
                <w:color w:val="auto"/>
                <w:sz w:val="24"/>
                <w:highlight w:val="none"/>
              </w:rPr>
            </w:pPr>
            <w:r>
              <w:rPr>
                <w:rFonts w:hint="eastAsia"/>
                <w:b/>
                <w:bCs/>
                <w:color w:val="auto"/>
                <w:sz w:val="24"/>
                <w:highlight w:val="none"/>
              </w:rPr>
              <w:t>3、选址</w:t>
            </w:r>
            <w:r>
              <w:rPr>
                <w:rFonts w:hint="eastAsia"/>
                <w:b/>
                <w:bCs/>
                <w:color w:val="auto"/>
                <w:sz w:val="24"/>
                <w:highlight w:val="none"/>
                <w:lang w:val="en-US" w:eastAsia="zh-CN"/>
              </w:rPr>
              <w:t>合理性</w:t>
            </w:r>
            <w:r>
              <w:rPr>
                <w:rFonts w:hint="eastAsia"/>
                <w:b/>
                <w:bCs/>
                <w:color w:val="auto"/>
                <w:sz w:val="24"/>
                <w:highlight w:val="none"/>
                <w:lang w:eastAsia="zh-CN"/>
              </w:rPr>
              <w:t>、</w:t>
            </w:r>
            <w:r>
              <w:rPr>
                <w:rFonts w:hint="eastAsia"/>
                <w:b/>
                <w:bCs/>
                <w:color w:val="auto"/>
                <w:sz w:val="24"/>
                <w:highlight w:val="none"/>
                <w:lang w:val="en-US" w:eastAsia="zh-CN"/>
              </w:rPr>
              <w:t>用地规划</w:t>
            </w:r>
            <w:r>
              <w:rPr>
                <w:rFonts w:hint="eastAsia"/>
                <w:b/>
                <w:bCs/>
                <w:color w:val="auto"/>
                <w:sz w:val="24"/>
                <w:highlight w:val="none"/>
                <w:lang w:val="en-US" w:eastAsia="zh-CN"/>
              </w:rPr>
              <w:t>符合性</w:t>
            </w:r>
            <w:r>
              <w:rPr>
                <w:rFonts w:hint="eastAsia"/>
                <w:b/>
                <w:bCs/>
                <w:color w:val="auto"/>
                <w:sz w:val="24"/>
                <w:highlight w:val="none"/>
                <w:lang w:val="en-US" w:eastAsia="zh-CN"/>
              </w:rPr>
              <w:t>分析</w:t>
            </w:r>
          </w:p>
          <w:p>
            <w:pPr>
              <w:adjustRightInd w:val="0"/>
              <w:spacing w:line="360" w:lineRule="auto"/>
              <w:ind w:firstLine="480" w:firstLineChars="200"/>
              <w:rPr>
                <w:rFonts w:eastAsia="宋体" w:hint="default"/>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w:t>
            </w:r>
            <w:r>
              <w:rPr>
                <w:rFonts w:hint="eastAsia"/>
                <w:color w:val="auto"/>
                <w:sz w:val="24"/>
                <w:highlight w:val="none"/>
                <w:lang w:val="en-US" w:eastAsia="zh-CN"/>
              </w:rPr>
              <w:t>选址合理性</w:t>
            </w:r>
          </w:p>
          <w:p>
            <w:pPr>
              <w:adjustRightInd w:val="0"/>
              <w:spacing w:line="360" w:lineRule="auto"/>
              <w:ind w:firstLine="480" w:firstLineChars="200"/>
              <w:rPr>
                <w:rFonts w:hint="eastAsia"/>
                <w:color w:val="auto"/>
                <w:sz w:val="24"/>
                <w:highlight w:val="none"/>
              </w:rPr>
            </w:pPr>
            <w:r>
              <w:rPr>
                <w:rFonts w:hint="eastAsia"/>
                <w:color w:val="auto"/>
                <w:sz w:val="24"/>
                <w:highlight w:val="none"/>
              </w:rPr>
              <w:t>项目位于</w:t>
            </w:r>
            <w:r>
              <w:rPr>
                <w:color w:val="auto"/>
                <w:sz w:val="24"/>
                <w:highlight w:val="none"/>
              </w:rPr>
              <w:t>陕西省</w:t>
            </w:r>
            <w:r>
              <w:rPr>
                <w:rFonts w:hint="eastAsia"/>
                <w:color w:val="auto"/>
                <w:sz w:val="24"/>
                <w:highlight w:val="none"/>
              </w:rPr>
              <w:t>铜川市新材料产业园区，北侧为陕建新型建材园，东北侧为伟力凯恩PC生产企业，东侧为陕西杰达装配式科技有限公司，南侧、西侧为空地，西北侧为华源新绿实业有限公司。</w:t>
            </w:r>
          </w:p>
          <w:p>
            <w:pPr>
              <w:adjustRightInd w:val="0"/>
              <w:spacing w:line="360" w:lineRule="auto"/>
              <w:ind w:firstLine="480" w:firstLineChars="200"/>
              <w:rPr>
                <w:rFonts w:hint="eastAsia"/>
                <w:color w:val="auto"/>
                <w:sz w:val="24"/>
                <w:highlight w:val="none"/>
              </w:rPr>
            </w:pPr>
            <w:r>
              <w:rPr>
                <w:rFonts w:hint="eastAsia"/>
                <w:color w:val="auto"/>
                <w:sz w:val="24"/>
                <w:highlight w:val="none"/>
              </w:rPr>
              <w:t>根据建设单位提供的《国有建设用地使用权出让合同》，合同编号：陕铜川市（2022）13号，铜川市自然资源局将宗地编号为XCL2021-11-23的宗地出让给</w:t>
            </w:r>
            <w:r>
              <w:rPr>
                <w:color w:val="auto"/>
                <w:sz w:val="24"/>
                <w:highlight w:val="none"/>
              </w:rPr>
              <w:t>陕西</w:t>
            </w:r>
            <w:r>
              <w:rPr>
                <w:rFonts w:hint="eastAsia"/>
                <w:color w:val="auto"/>
                <w:sz w:val="24"/>
                <w:highlight w:val="none"/>
              </w:rPr>
              <w:t>瑞欣盛力建筑材料</w:t>
            </w:r>
            <w:r>
              <w:rPr>
                <w:color w:val="auto"/>
                <w:sz w:val="24"/>
                <w:highlight w:val="none"/>
              </w:rPr>
              <w:t>有限公司</w:t>
            </w:r>
            <w:r>
              <w:rPr>
                <w:rFonts w:hint="eastAsia"/>
                <w:color w:val="auto"/>
                <w:sz w:val="24"/>
                <w:highlight w:val="none"/>
              </w:rPr>
              <w:t>，面积为79405m</w:t>
            </w:r>
            <w:r>
              <w:rPr>
                <w:rFonts w:hint="eastAsia"/>
                <w:color w:val="auto"/>
                <w:sz w:val="24"/>
                <w:highlight w:val="none"/>
                <w:vertAlign w:val="superscript"/>
              </w:rPr>
              <w:t>2</w:t>
            </w:r>
            <w:r>
              <w:rPr>
                <w:rFonts w:hint="eastAsia"/>
                <w:color w:val="auto"/>
                <w:sz w:val="24"/>
                <w:highlight w:val="none"/>
              </w:rPr>
              <w:t>，宗地性质为工业用地。</w:t>
            </w:r>
          </w:p>
          <w:p>
            <w:pPr>
              <w:adjustRightInd w:val="0"/>
              <w:spacing w:line="360" w:lineRule="auto"/>
              <w:ind w:firstLine="480" w:firstLineChars="200"/>
              <w:rPr>
                <w:rFonts w:hint="eastAsia"/>
                <w:color w:val="auto"/>
                <w:sz w:val="24"/>
                <w:highlight w:val="none"/>
              </w:rPr>
            </w:pPr>
            <w:r>
              <w:rPr>
                <w:rFonts w:hint="eastAsia"/>
                <w:color w:val="auto"/>
                <w:sz w:val="24"/>
                <w:highlight w:val="none"/>
              </w:rPr>
              <w:t>本项目未占用农田及基本农田，不涉及自然保护区、风景名胜区、饮用水源保护区等环境敏感区。本项目废气、废水、噪声和固废排放严格落实评价提出的环保措施后对周围环境及敏感点影响较小，选址在环境上可行。</w:t>
            </w:r>
          </w:p>
          <w:p>
            <w:pPr>
              <w:adjustRightInd w:val="0"/>
              <w:spacing w:line="360" w:lineRule="auto"/>
              <w:ind w:firstLine="480" w:firstLineChars="200"/>
              <w:rPr>
                <w:rFonts w:hint="default"/>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w:t>
            </w:r>
            <w:r>
              <w:rPr>
                <w:rFonts w:hint="eastAsia"/>
                <w:color w:val="auto"/>
                <w:sz w:val="24"/>
                <w:highlight w:val="none"/>
                <w:lang w:val="en-US" w:eastAsia="zh-CN"/>
              </w:rPr>
              <w:t>用地规划符合性</w:t>
            </w:r>
          </w:p>
          <w:p>
            <w:pPr>
              <w:adjustRightInd w:val="0"/>
              <w:spacing w:after="0" w:line="360" w:lineRule="auto"/>
              <w:ind w:firstLine="480" w:firstLineChars="200"/>
              <w:rPr>
                <w:rFonts w:ascii="宋体" w:hAnsi="宋体" w:cs="宋体"/>
                <w:color w:val="auto"/>
                <w:kern w:val="0"/>
                <w:szCs w:val="21"/>
                <w:highlight w:val="none"/>
              </w:rPr>
            </w:pPr>
            <w:r>
              <w:rPr>
                <w:rFonts w:hint="eastAsia"/>
                <w:color w:val="auto"/>
                <w:sz w:val="24"/>
                <w:highlight w:val="none"/>
              </w:rPr>
              <w:t>项目位于</w:t>
            </w:r>
            <w:r>
              <w:rPr>
                <w:color w:val="auto"/>
                <w:sz w:val="24"/>
                <w:highlight w:val="none"/>
              </w:rPr>
              <w:t>陕西省</w:t>
            </w:r>
            <w:r>
              <w:rPr>
                <w:rFonts w:hint="eastAsia"/>
                <w:color w:val="auto"/>
                <w:sz w:val="24"/>
                <w:highlight w:val="none"/>
              </w:rPr>
              <w:t>铜川市新材料产业园区</w:t>
            </w:r>
            <w:r>
              <w:rPr>
                <w:rFonts w:hint="eastAsia"/>
                <w:color w:val="auto"/>
                <w:sz w:val="24"/>
                <w:highlight w:val="none"/>
                <w:lang w:val="en-US" w:eastAsia="zh-CN"/>
              </w:rPr>
              <w:t>内，用地性质为工业用地。在生态空间方面，项目不涉及生态保护红线；在农业空间方面，项目不占用基本农田，不涉及永久基本农田保护红线；在城镇空间方面，项目所在地位于城镇开发边界内，符合</w:t>
            </w:r>
            <w:r>
              <w:rPr>
                <w:rFonts w:hint="eastAsia"/>
                <w:color w:val="auto"/>
                <w:sz w:val="24"/>
                <w:highlight w:val="none"/>
                <w:lang w:val="en-US" w:eastAsia="zh-CN"/>
              </w:rPr>
              <w:t>“</w:t>
            </w:r>
            <w:r>
              <w:rPr>
                <w:rFonts w:hint="eastAsia"/>
                <w:color w:val="auto"/>
                <w:sz w:val="24"/>
                <w:highlight w:val="none"/>
                <w:lang w:val="en-US" w:eastAsia="zh-CN"/>
              </w:rPr>
              <w:t>三区三线</w:t>
            </w:r>
            <w:r>
              <w:rPr>
                <w:rFonts w:hint="eastAsia"/>
                <w:color w:val="auto"/>
                <w:sz w:val="24"/>
                <w:highlight w:val="none"/>
                <w:lang w:val="en-US" w:eastAsia="zh-CN"/>
              </w:rPr>
              <w:t>”</w:t>
            </w:r>
          </w:p>
        </w:tc>
      </w:tr>
    </w:tbl>
    <w:p>
      <w:pPr>
        <w:sectPr>
          <w:footerReference w:type="default" r:id="rId13"/>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10"/>
          <w:cols w:space="708"/>
          <w:titlePg w:val="0"/>
          <w:docGrid w:linePitch="312"/>
        </w:sectPr>
      </w:pPr>
    </w:p>
    <w:tbl>
      <w:tblPr>
        <w:tblStyle w:val="TableNormal"/>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
      <w:tblGrid>
        <w:gridCol w:w="1811"/>
        <w:gridCol w:w="7059"/>
      </w:tblGrid>
      <w:tr>
        <w:tblPrEx>
          <w:tblW w:w="0" w:type="auto"/>
          <w:jc w:val="center"/>
          <w:tblInd w:w="3"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0" w:type="dxa"/>
            <w:left w:w="108" w:type="dxa"/>
            <w:bottom w:w="0" w:type="dxa"/>
            <w:right w:w="108" w:type="dxa"/>
          </w:tblCellMar>
          <w:tblLook w:val="0000"/>
        </w:tblPrEx>
        <w:trPr>
          <w:trHeight w:val="90"/>
          <w:jc w:val="center"/>
        </w:trPr>
        <w:tc>
          <w:tcPr>
            <w:tcW w:w="1811" w:type="dxa"/>
            <w:vAlign w:val="center"/>
          </w:tcPr>
          <w:p/>
        </w:tc>
        <w:tc>
          <w:tcPr>
            <w:tcW w:w="7059" w:type="dxa"/>
            <w:vAlign w:val="center"/>
          </w:tcPr>
          <w:p>
            <w:pPr>
              <w:adjustRightInd w:val="0"/>
              <w:spacing w:before="0" w:line="360" w:lineRule="auto"/>
              <w:ind w:firstLine="480" w:firstLineChars="200"/>
              <w:rPr>
                <w:rFonts w:ascii="宋体" w:hAnsi="宋体" w:cs="宋体"/>
                <w:color w:val="auto"/>
                <w:kern w:val="0"/>
                <w:szCs w:val="21"/>
                <w:highlight w:val="none"/>
              </w:rPr>
            </w:pPr>
            <w:r>
              <w:rPr>
                <w:rFonts w:hint="eastAsia"/>
                <w:color w:val="auto"/>
                <w:sz w:val="24"/>
                <w:highlight w:val="none"/>
                <w:lang w:val="en-US" w:eastAsia="zh-CN"/>
              </w:rPr>
              <w:t>规划要求。项目与项目地</w:t>
            </w:r>
            <w:r>
              <w:rPr>
                <w:rFonts w:hint="eastAsia"/>
                <w:color w:val="auto"/>
                <w:sz w:val="24"/>
                <w:highlight w:val="none"/>
                <w:lang w:val="en-US" w:eastAsia="zh-CN"/>
              </w:rPr>
              <w:t>“</w:t>
            </w:r>
            <w:r>
              <w:rPr>
                <w:rFonts w:hint="eastAsia"/>
                <w:color w:val="auto"/>
                <w:sz w:val="24"/>
                <w:highlight w:val="none"/>
                <w:lang w:val="en-US" w:eastAsia="zh-CN"/>
              </w:rPr>
              <w:t>三区三线</w:t>
            </w:r>
            <w:r>
              <w:rPr>
                <w:rFonts w:hint="eastAsia"/>
                <w:color w:val="auto"/>
                <w:sz w:val="24"/>
                <w:highlight w:val="none"/>
                <w:lang w:val="en-US" w:eastAsia="zh-CN"/>
              </w:rPr>
              <w:t>”</w:t>
            </w:r>
            <w:r>
              <w:rPr>
                <w:rFonts w:hint="eastAsia"/>
                <w:color w:val="auto"/>
                <w:sz w:val="24"/>
                <w:highlight w:val="none"/>
                <w:lang w:val="en-US" w:eastAsia="zh-CN"/>
              </w:rPr>
              <w:t>规划关系见附图8。</w:t>
            </w:r>
          </w:p>
        </w:tc>
      </w:tr>
    </w:tbl>
    <w:p>
      <w:pPr>
        <w:spacing w:line="360" w:lineRule="auto"/>
        <w:outlineLvl w:val="0"/>
        <w:rPr>
          <w:rFonts w:eastAsia="黑体"/>
          <w:color w:val="auto"/>
          <w:sz w:val="30"/>
          <w:highlight w:val="none"/>
        </w:rPr>
      </w:pPr>
      <w:r>
        <w:rPr>
          <w:rFonts w:eastAsia="黑体"/>
          <w:color w:val="auto"/>
          <w:sz w:val="30"/>
          <w:highlight w:val="none"/>
        </w:rPr>
        <w:br/>
      </w:r>
      <w:r>
        <w:rPr>
          <w:rFonts w:eastAsia="黑体"/>
          <w:color w:val="auto"/>
          <w:sz w:val="30"/>
          <w:highlight w:val="none"/>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https://d.book118.com/887006110164006053</w:t>
        </w:r>
      </w:hyperlink>
    </w:p>
    <w:p>
      <w:pPr>
        <w:spacing w:line="360" w:lineRule="auto"/>
        <w:outlineLvl w:val="0"/>
        <w:rPr>
          <w:rFonts w:eastAsia="黑体"/>
          <w:color w:val="auto"/>
          <w:sz w:val="30"/>
          <w:highlight w:val="none"/>
        </w:rPr>
      </w:pPr>
    </w:p>
    <w:sectPr>
      <w:footerReference w:type="default" r:id="rId15"/>
      <w:type w:val="nextPage"/>
      <w:pgSz w:w="11906" w:h="16838"/>
      <w:pgMar w:top="1701" w:right="1531" w:bottom="1701" w:left="1531" w:header="851" w:footer="1077" w:gutter="0"/>
      <w:pgBorders w:zOrder="front" w:display="allPages" w:offsetFrom="text">
        <w:top w:val="none" w:sz="0" w:space="0" w:color="auto"/>
        <w:left w:val="none" w:sz="0" w:space="0" w:color="auto"/>
        <w:bottom w:val="none" w:sz="0" w:space="0" w:color="auto"/>
        <w:right w:val="none" w:sz="0" w:space="0" w:color="auto"/>
      </w:pgBorders>
      <w:pgNumType w:start="11"/>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28"/>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MingLiU">
    <w:altName w:val="PMingLiU-ExtB"/>
    <w:panose1 w:val="02010609000101010101"/>
    <w:charset w:val="88"/>
    <w:family w:val="modern"/>
    <w:pitch w:val="default"/>
    <w:sig w:usb0="00000001" w:usb1="08080000" w:usb2="00000010" w:usb3="00000000" w:csb0="00100000" w:csb1="00000000"/>
  </w:font>
  <w:font w:name="仿宋_GB2312">
    <w:altName w:val="仿宋"/>
    <w:panose1 w:val="02010609030101010101"/>
    <w:charset w:val="86"/>
    <w:family w:val="modern"/>
    <w:pitch w:val="default"/>
    <w:sig w:usb0="00000001" w:usb1="080E0000" w:usb2="00000010" w:usb3="00000000" w:csb0="00040000" w:csb1="00000000"/>
  </w:font>
  <w:font w:name="Arial Black">
    <w:panose1 w:val="020B0A04020102020204"/>
    <w:charset w:val="00"/>
    <w:family w:val="swiss"/>
    <w:pitch w:val="default"/>
    <w:sig w:usb0="A00002AF" w:usb1="400078FB" w:usb2="00000000" w:usb3="00000000" w:csb0="6000009F" w:csb1="DFD7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FFFFFFFF" w:usb1="E9FFFFFF" w:usb2="0000003F" w:usb3="00000000" w:csb0="603F01FF" w:csb1="FFFF0000"/>
  </w:font>
  <w:font w:name="Courier New">
    <w:panose1 w:val="02070309020205020404"/>
    <w:charset w:val="00"/>
    <w:family w:val="modern"/>
    <w:pitch w:val="default"/>
    <w:sig w:usb0="E0002EFF" w:usb1="C0007843" w:usb2="00000009" w:usb3="00000000" w:csb0="400001FF" w:csb1="FFFF0000"/>
  </w:font>
  <w:font w:name="Wingdings 2">
    <w:altName w:val="Wingdings"/>
    <w:panose1 w:val="05020102010507070707"/>
    <w:charset w:val="02"/>
    <w:family w:val="roman"/>
    <w:pitch w:val="default"/>
    <w:sig w:usb0="00000000" w:usb1="00000000" w:usb2="00000000" w:usb3="00000000" w:csb0="80000000" w:csb1="00000000"/>
  </w:font>
  <w:font w:name="方正小标宋_GBK">
    <w:altName w:val="微软雅黑"/>
    <w:panose1 w:val="03000509000000000000"/>
    <w:charset w:val="86"/>
    <w:family w:val="script"/>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3</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4</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6</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6</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8</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8</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10</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rPr>
        <w:rStyle w:val="PageNumber"/>
        <w:rFonts w:ascii="宋体" w:hAnsi="宋体"/>
        <w:sz w:val="28"/>
        <w:szCs w:val="28"/>
      </w:rPr>
    </w:pPr>
    <w:r>
      <w:rPr>
        <w:rStyle w:val="PageNumber"/>
        <w:rFonts w:ascii="宋体" w:hAnsi="宋体" w:hint="eastAsia"/>
        <w:sz w:val="28"/>
        <w:szCs w:val="28"/>
      </w:rPr>
      <w:t>—</w:t>
    </w:r>
    <w:r>
      <w:rPr>
        <w:rStyle w:val="PageNumber"/>
        <w:rFonts w:ascii="宋体" w:hAnsi="宋体" w:hint="eastAsia"/>
        <w:sz w:val="20"/>
      </w:rPr>
      <w:t xml:space="preserve">  </w:t>
    </w:r>
    <w:r>
      <w:rPr>
        <w:rFonts w:ascii="宋体" w:hAnsi="宋体"/>
        <w:sz w:val="26"/>
        <w:szCs w:val="26"/>
      </w:rPr>
      <w:fldChar w:fldCharType="begin"/>
    </w:r>
    <w:r>
      <w:rPr>
        <w:rStyle w:val="PageNumber"/>
        <w:rFonts w:ascii="宋体" w:hAnsi="宋体"/>
        <w:sz w:val="26"/>
        <w:szCs w:val="26"/>
      </w:rPr>
      <w:instrText xml:space="preserve">PAGE  </w:instrText>
    </w:r>
    <w:r>
      <w:rPr>
        <w:rFonts w:ascii="宋体" w:hAnsi="宋体"/>
        <w:sz w:val="26"/>
        <w:szCs w:val="26"/>
      </w:rPr>
      <w:fldChar w:fldCharType="separate"/>
    </w:r>
    <w:r>
      <w:rPr>
        <w:rStyle w:val="PageNumber"/>
        <w:rFonts w:ascii="宋体" w:hAnsi="宋体"/>
        <w:sz w:val="26"/>
        <w:szCs w:val="26"/>
      </w:rPr>
      <w:t>11</w:t>
    </w:r>
    <w:r>
      <w:rPr>
        <w:rFonts w:ascii="宋体" w:hAnsi="宋体"/>
        <w:sz w:val="26"/>
        <w:szCs w:val="26"/>
      </w:rPr>
      <w:fldChar w:fldCharType="end"/>
    </w:r>
    <w:r>
      <w:rPr>
        <w:rStyle w:val="PageNumber"/>
        <w:rFonts w:ascii="宋体" w:hAnsi="宋体" w:hint="eastAsia"/>
        <w:sz w:val="20"/>
      </w:rPr>
      <w:t xml:space="preserve">  </w:t>
    </w:r>
    <w:r>
      <w:rPr>
        <w:rStyle w:val="PageNumber"/>
        <w:rFonts w:ascii="宋体" w:hAnsi="宋体" w:hint="eastAsia"/>
        <w:sz w:val="28"/>
        <w:szCs w:val="28"/>
      </w:rPr>
      <w:t>—</w:t>
    </w:r>
  </w:p>
  <w:p>
    <w:pPr>
      <w:pStyle w:val="Footer"/>
      <w:tabs>
        <w:tab w:val="center" w:pos="4153"/>
        <w:tab w:val="right" w:pos="8306"/>
      </w:tabs>
      <w:ind w:right="360" w:firstLine="360"/>
      <w:jc w:val="cen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9878799"/>
    <w:multiLevelType w:val="singleLevel"/>
    <w:tmpl w:val="C9878799"/>
    <w:lvl w:ilvl="0">
      <w:start w:val="1"/>
      <w:numFmt w:val="decimal"/>
      <w:suff w:val="nothing"/>
      <w:lvlText w:val="（%1）"/>
      <w:lvlJc w:val="left"/>
    </w:lvl>
  </w:abstractNum>
  <w:abstractNum w:abstractNumId="1">
    <w:nsid w:val="D6EE7038"/>
    <w:multiLevelType w:val="singleLevel"/>
    <w:tmpl w:val="D6EE7038"/>
    <w:lvl w:ilvl="0">
      <w:start w:val="1"/>
      <w:numFmt w:val="bullet"/>
      <w:lvlText w:val=""/>
      <w:lvlJc w:val="left"/>
      <w:pPr>
        <w:tabs>
          <w:tab w:val="num" w:pos="2040"/>
        </w:tabs>
        <w:ind w:left="2040" w:hanging="360"/>
      </w:pPr>
      <w:rPr>
        <w:rFonts w:ascii="Wingdings" w:hAnsi="Wingdings" w:hint="default"/>
      </w:rPr>
    </w:lvl>
  </w:abstractNum>
  <w:abstractNum w:abstractNumId="2">
    <w:nsid w:val="2DDAA6D7"/>
    <w:multiLevelType w:val="singleLevel"/>
    <w:tmpl w:val="2DDAA6D7"/>
    <w:lvl w:ilvl="0">
      <w:start w:val="5"/>
      <w:numFmt w:val="decimal"/>
      <w:suff w:val="nothing"/>
      <w:lvlText w:val="（%1）"/>
      <w:lvlJc w:val="left"/>
      <w:pPr>
        <w:ind w:left="-2"/>
      </w:pPr>
    </w:lvl>
  </w:abstractNum>
  <w:abstractNum w:abstractNumId="3">
    <w:nsid w:val="3770EE59"/>
    <w:multiLevelType w:val="singleLevel"/>
    <w:tmpl w:val="3770EE59"/>
    <w:lvl w:ilvl="0">
      <w:start w:val="2"/>
      <w:numFmt w:val="decimal"/>
      <w:suff w:val="nothing"/>
      <w:lvlText w:val="（%1）"/>
      <w:lvlJc w:val="left"/>
    </w:lvl>
  </w:abstractNum>
  <w:abstractNum w:abstractNumId="4">
    <w:nsid w:val="7C14581F"/>
    <w:multiLevelType w:val="singleLevel"/>
    <w:tmpl w:val="7C14581F"/>
    <w:lvl w:ilvl="0">
      <w:start w:val="1"/>
      <w:numFmt w:val="decimal"/>
      <w:suff w:val="nothing"/>
      <w:lvlText w:val="%1、"/>
      <w:lvlJc w:val="left"/>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ocumentProtection w:edit="trackedChanges" w:enforcement="0"/>
  <w:defaultTabStop w:val="420"/>
  <w:doNotHyphenateCaps/>
  <w:drawingGridVerticalSpacing w:val="156"/>
  <w:noPunctuationKerning/>
  <w:characterSpacingControl w:val="compressPunctuation"/>
  <w:noLineBreaksAfter w:lang="en-US" w:val="([{·‘“〈《「『【〔〖（．［｛￡￥"/>
  <w:noLineBreaksBefore w:lang="en-US" w:val="!),.:;?]}¨·ˇˉ―‖’”…∶、。〃々〉》」』】〕〗！＂＇），．：；？］｀｜｝～￠"/>
  <w:doNotEmbedSmartTags/>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60B3"/>
    <w:rsid w:val="0004364B"/>
    <w:rsid w:val="00061B1F"/>
    <w:rsid w:val="000634C4"/>
    <w:rsid w:val="000733C4"/>
    <w:rsid w:val="00074783"/>
    <w:rsid w:val="00076978"/>
    <w:rsid w:val="0008070B"/>
    <w:rsid w:val="000810AC"/>
    <w:rsid w:val="00081A02"/>
    <w:rsid w:val="00082231"/>
    <w:rsid w:val="00092D38"/>
    <w:rsid w:val="0009377B"/>
    <w:rsid w:val="000A20C9"/>
    <w:rsid w:val="000B058F"/>
    <w:rsid w:val="000B4467"/>
    <w:rsid w:val="000B4DB9"/>
    <w:rsid w:val="000C09AC"/>
    <w:rsid w:val="000C767F"/>
    <w:rsid w:val="000D5A44"/>
    <w:rsid w:val="000E3ED2"/>
    <w:rsid w:val="0010230D"/>
    <w:rsid w:val="0012614A"/>
    <w:rsid w:val="00131F42"/>
    <w:rsid w:val="001357F1"/>
    <w:rsid w:val="00140FA8"/>
    <w:rsid w:val="00142FEB"/>
    <w:rsid w:val="00143A2D"/>
    <w:rsid w:val="00145A41"/>
    <w:rsid w:val="00151675"/>
    <w:rsid w:val="00157435"/>
    <w:rsid w:val="0017504D"/>
    <w:rsid w:val="0017671A"/>
    <w:rsid w:val="00177422"/>
    <w:rsid w:val="00184590"/>
    <w:rsid w:val="001870D1"/>
    <w:rsid w:val="0018781E"/>
    <w:rsid w:val="00190123"/>
    <w:rsid w:val="0019262D"/>
    <w:rsid w:val="001A1B35"/>
    <w:rsid w:val="001A48A2"/>
    <w:rsid w:val="001A6F61"/>
    <w:rsid w:val="001B72B8"/>
    <w:rsid w:val="001C69B3"/>
    <w:rsid w:val="001D5595"/>
    <w:rsid w:val="001D7874"/>
    <w:rsid w:val="001D7F22"/>
    <w:rsid w:val="001F0F17"/>
    <w:rsid w:val="001F3347"/>
    <w:rsid w:val="001F6061"/>
    <w:rsid w:val="001F69E4"/>
    <w:rsid w:val="002125B4"/>
    <w:rsid w:val="002155B8"/>
    <w:rsid w:val="00224839"/>
    <w:rsid w:val="002249B2"/>
    <w:rsid w:val="00226574"/>
    <w:rsid w:val="002278EC"/>
    <w:rsid w:val="0023280E"/>
    <w:rsid w:val="002377D1"/>
    <w:rsid w:val="002506BC"/>
    <w:rsid w:val="00254345"/>
    <w:rsid w:val="00264557"/>
    <w:rsid w:val="002805AB"/>
    <w:rsid w:val="00284204"/>
    <w:rsid w:val="00291773"/>
    <w:rsid w:val="00296FAE"/>
    <w:rsid w:val="002A168C"/>
    <w:rsid w:val="002A3DC7"/>
    <w:rsid w:val="002B49E2"/>
    <w:rsid w:val="002B7B00"/>
    <w:rsid w:val="002B7C44"/>
    <w:rsid w:val="002C2B17"/>
    <w:rsid w:val="002D3DD0"/>
    <w:rsid w:val="002E1F3A"/>
    <w:rsid w:val="002E298A"/>
    <w:rsid w:val="00301978"/>
    <w:rsid w:val="0030332C"/>
    <w:rsid w:val="003051C2"/>
    <w:rsid w:val="00305FF1"/>
    <w:rsid w:val="00311A5F"/>
    <w:rsid w:val="00312296"/>
    <w:rsid w:val="00314F0E"/>
    <w:rsid w:val="00321D8E"/>
    <w:rsid w:val="00325928"/>
    <w:rsid w:val="00332863"/>
    <w:rsid w:val="0033684D"/>
    <w:rsid w:val="00337B42"/>
    <w:rsid w:val="00341B42"/>
    <w:rsid w:val="0034348F"/>
    <w:rsid w:val="00356653"/>
    <w:rsid w:val="0035743F"/>
    <w:rsid w:val="00357BE2"/>
    <w:rsid w:val="0036170C"/>
    <w:rsid w:val="00366E0F"/>
    <w:rsid w:val="00381A72"/>
    <w:rsid w:val="00384676"/>
    <w:rsid w:val="00390857"/>
    <w:rsid w:val="003961F7"/>
    <w:rsid w:val="003A4BF3"/>
    <w:rsid w:val="003B420D"/>
    <w:rsid w:val="003C6C16"/>
    <w:rsid w:val="003D794D"/>
    <w:rsid w:val="003E3058"/>
    <w:rsid w:val="003E76A9"/>
    <w:rsid w:val="003F0809"/>
    <w:rsid w:val="003F55BF"/>
    <w:rsid w:val="003F6A8C"/>
    <w:rsid w:val="003F711F"/>
    <w:rsid w:val="003F755C"/>
    <w:rsid w:val="00406F01"/>
    <w:rsid w:val="00416D50"/>
    <w:rsid w:val="00416FD5"/>
    <w:rsid w:val="00417772"/>
    <w:rsid w:val="00420E6A"/>
    <w:rsid w:val="00425A9E"/>
    <w:rsid w:val="00425BDE"/>
    <w:rsid w:val="00426D6B"/>
    <w:rsid w:val="00431E6C"/>
    <w:rsid w:val="00433CE7"/>
    <w:rsid w:val="00452738"/>
    <w:rsid w:val="00456091"/>
    <w:rsid w:val="00466321"/>
    <w:rsid w:val="0048470A"/>
    <w:rsid w:val="00484B9B"/>
    <w:rsid w:val="004855F6"/>
    <w:rsid w:val="0048661E"/>
    <w:rsid w:val="00494670"/>
    <w:rsid w:val="004A3823"/>
    <w:rsid w:val="004E6946"/>
    <w:rsid w:val="004F1AD8"/>
    <w:rsid w:val="005039CB"/>
    <w:rsid w:val="0050558F"/>
    <w:rsid w:val="00506286"/>
    <w:rsid w:val="00510813"/>
    <w:rsid w:val="00511990"/>
    <w:rsid w:val="00511DE0"/>
    <w:rsid w:val="00514870"/>
    <w:rsid w:val="00514B9B"/>
    <w:rsid w:val="00517F02"/>
    <w:rsid w:val="00524303"/>
    <w:rsid w:val="00525658"/>
    <w:rsid w:val="005258A2"/>
    <w:rsid w:val="005401AE"/>
    <w:rsid w:val="00542E07"/>
    <w:rsid w:val="00545424"/>
    <w:rsid w:val="00554A7B"/>
    <w:rsid w:val="0055572C"/>
    <w:rsid w:val="0056106A"/>
    <w:rsid w:val="005720AE"/>
    <w:rsid w:val="00573BB2"/>
    <w:rsid w:val="00594D77"/>
    <w:rsid w:val="005969E4"/>
    <w:rsid w:val="005A06B7"/>
    <w:rsid w:val="005A1759"/>
    <w:rsid w:val="005A68A7"/>
    <w:rsid w:val="005D36AB"/>
    <w:rsid w:val="006006F6"/>
    <w:rsid w:val="0060150A"/>
    <w:rsid w:val="00612762"/>
    <w:rsid w:val="00617CC3"/>
    <w:rsid w:val="006221AB"/>
    <w:rsid w:val="006377A6"/>
    <w:rsid w:val="00637A3D"/>
    <w:rsid w:val="006411EF"/>
    <w:rsid w:val="006748B8"/>
    <w:rsid w:val="006775C3"/>
    <w:rsid w:val="0069290A"/>
    <w:rsid w:val="0069775A"/>
    <w:rsid w:val="00697813"/>
    <w:rsid w:val="0069783A"/>
    <w:rsid w:val="006A2FCC"/>
    <w:rsid w:val="006A3EE8"/>
    <w:rsid w:val="006A72BF"/>
    <w:rsid w:val="006B03F2"/>
    <w:rsid w:val="006B37DC"/>
    <w:rsid w:val="006B4F68"/>
    <w:rsid w:val="006C0592"/>
    <w:rsid w:val="006C272E"/>
    <w:rsid w:val="006C5479"/>
    <w:rsid w:val="006D13B5"/>
    <w:rsid w:val="006E12FF"/>
    <w:rsid w:val="006E607E"/>
    <w:rsid w:val="00706C5D"/>
    <w:rsid w:val="00716224"/>
    <w:rsid w:val="00732922"/>
    <w:rsid w:val="0075162E"/>
    <w:rsid w:val="00754034"/>
    <w:rsid w:val="00756556"/>
    <w:rsid w:val="007618C4"/>
    <w:rsid w:val="00767980"/>
    <w:rsid w:val="00770B19"/>
    <w:rsid w:val="0077463F"/>
    <w:rsid w:val="007836EA"/>
    <w:rsid w:val="00784CDA"/>
    <w:rsid w:val="00787A49"/>
    <w:rsid w:val="00787D20"/>
    <w:rsid w:val="007906C4"/>
    <w:rsid w:val="007940EA"/>
    <w:rsid w:val="007967E8"/>
    <w:rsid w:val="007A2170"/>
    <w:rsid w:val="007A22BF"/>
    <w:rsid w:val="007A3323"/>
    <w:rsid w:val="007B72B8"/>
    <w:rsid w:val="007B7A58"/>
    <w:rsid w:val="007C21B5"/>
    <w:rsid w:val="007E4BD2"/>
    <w:rsid w:val="007E5CFD"/>
    <w:rsid w:val="007F1EF5"/>
    <w:rsid w:val="00801393"/>
    <w:rsid w:val="00802F88"/>
    <w:rsid w:val="008117C1"/>
    <w:rsid w:val="0081293E"/>
    <w:rsid w:val="00815465"/>
    <w:rsid w:val="00817E9A"/>
    <w:rsid w:val="008306BD"/>
    <w:rsid w:val="00831A80"/>
    <w:rsid w:val="00833743"/>
    <w:rsid w:val="008340A4"/>
    <w:rsid w:val="0087135F"/>
    <w:rsid w:val="00872D94"/>
    <w:rsid w:val="00880364"/>
    <w:rsid w:val="00891592"/>
    <w:rsid w:val="00891E9E"/>
    <w:rsid w:val="008A2F68"/>
    <w:rsid w:val="008A3F28"/>
    <w:rsid w:val="008B00D7"/>
    <w:rsid w:val="008B4FA6"/>
    <w:rsid w:val="008B5282"/>
    <w:rsid w:val="008B7C17"/>
    <w:rsid w:val="008C2D01"/>
    <w:rsid w:val="008C40E6"/>
    <w:rsid w:val="008D0F7A"/>
    <w:rsid w:val="008D68E4"/>
    <w:rsid w:val="008E0506"/>
    <w:rsid w:val="008E0CFF"/>
    <w:rsid w:val="008E5D6B"/>
    <w:rsid w:val="008E76F0"/>
    <w:rsid w:val="008F15FE"/>
    <w:rsid w:val="008F2D29"/>
    <w:rsid w:val="008F5187"/>
    <w:rsid w:val="008F60D8"/>
    <w:rsid w:val="00902727"/>
    <w:rsid w:val="0090312B"/>
    <w:rsid w:val="0091736D"/>
    <w:rsid w:val="0093037A"/>
    <w:rsid w:val="0094154D"/>
    <w:rsid w:val="0095155F"/>
    <w:rsid w:val="00954429"/>
    <w:rsid w:val="009563CE"/>
    <w:rsid w:val="00976328"/>
    <w:rsid w:val="0097680D"/>
    <w:rsid w:val="00982438"/>
    <w:rsid w:val="0098404C"/>
    <w:rsid w:val="00985283"/>
    <w:rsid w:val="0099235B"/>
    <w:rsid w:val="009943D1"/>
    <w:rsid w:val="00995992"/>
    <w:rsid w:val="00996DE6"/>
    <w:rsid w:val="009A03E5"/>
    <w:rsid w:val="009A0F3B"/>
    <w:rsid w:val="009A1BB4"/>
    <w:rsid w:val="009A2628"/>
    <w:rsid w:val="009A3200"/>
    <w:rsid w:val="009B0897"/>
    <w:rsid w:val="009B7BD9"/>
    <w:rsid w:val="009C7DD5"/>
    <w:rsid w:val="009E227D"/>
    <w:rsid w:val="009E5019"/>
    <w:rsid w:val="00A04F1B"/>
    <w:rsid w:val="00A0501B"/>
    <w:rsid w:val="00A12741"/>
    <w:rsid w:val="00A14947"/>
    <w:rsid w:val="00A32A83"/>
    <w:rsid w:val="00A368DB"/>
    <w:rsid w:val="00A423AA"/>
    <w:rsid w:val="00A45A5C"/>
    <w:rsid w:val="00A53EC6"/>
    <w:rsid w:val="00A55C0F"/>
    <w:rsid w:val="00A56311"/>
    <w:rsid w:val="00A57BE6"/>
    <w:rsid w:val="00A8713F"/>
    <w:rsid w:val="00A90BA1"/>
    <w:rsid w:val="00A97A9A"/>
    <w:rsid w:val="00AA0671"/>
    <w:rsid w:val="00AA2531"/>
    <w:rsid w:val="00AB1E09"/>
    <w:rsid w:val="00AB5330"/>
    <w:rsid w:val="00AB7747"/>
    <w:rsid w:val="00AC14CE"/>
    <w:rsid w:val="00AC2A56"/>
    <w:rsid w:val="00AD055E"/>
    <w:rsid w:val="00AD47A7"/>
    <w:rsid w:val="00AF0CBF"/>
    <w:rsid w:val="00AF257F"/>
    <w:rsid w:val="00AF33CF"/>
    <w:rsid w:val="00AF4D50"/>
    <w:rsid w:val="00AF6179"/>
    <w:rsid w:val="00B1295A"/>
    <w:rsid w:val="00B20A45"/>
    <w:rsid w:val="00B22C5C"/>
    <w:rsid w:val="00B24F30"/>
    <w:rsid w:val="00B31ABF"/>
    <w:rsid w:val="00B33BE3"/>
    <w:rsid w:val="00B53B5D"/>
    <w:rsid w:val="00B6055E"/>
    <w:rsid w:val="00B6317D"/>
    <w:rsid w:val="00B7723F"/>
    <w:rsid w:val="00B80534"/>
    <w:rsid w:val="00B8433C"/>
    <w:rsid w:val="00B87491"/>
    <w:rsid w:val="00BA29E9"/>
    <w:rsid w:val="00BA7142"/>
    <w:rsid w:val="00BB237C"/>
    <w:rsid w:val="00BB41A3"/>
    <w:rsid w:val="00BC32DC"/>
    <w:rsid w:val="00BC35B6"/>
    <w:rsid w:val="00BD1B51"/>
    <w:rsid w:val="00BD4596"/>
    <w:rsid w:val="00BE1405"/>
    <w:rsid w:val="00BE312D"/>
    <w:rsid w:val="00BF1C20"/>
    <w:rsid w:val="00C10578"/>
    <w:rsid w:val="00C135BC"/>
    <w:rsid w:val="00C15C95"/>
    <w:rsid w:val="00C2596A"/>
    <w:rsid w:val="00C27537"/>
    <w:rsid w:val="00C328FE"/>
    <w:rsid w:val="00C33507"/>
    <w:rsid w:val="00C4409D"/>
    <w:rsid w:val="00C44E72"/>
    <w:rsid w:val="00C45A06"/>
    <w:rsid w:val="00C47E5B"/>
    <w:rsid w:val="00C61E4B"/>
    <w:rsid w:val="00C64BFF"/>
    <w:rsid w:val="00C655E7"/>
    <w:rsid w:val="00C704E9"/>
    <w:rsid w:val="00C763C9"/>
    <w:rsid w:val="00C80057"/>
    <w:rsid w:val="00C82232"/>
    <w:rsid w:val="00C82913"/>
    <w:rsid w:val="00C972B1"/>
    <w:rsid w:val="00CA2CCE"/>
    <w:rsid w:val="00CA43FD"/>
    <w:rsid w:val="00CA7EF8"/>
    <w:rsid w:val="00CB5335"/>
    <w:rsid w:val="00CC489B"/>
    <w:rsid w:val="00CD2BCD"/>
    <w:rsid w:val="00CD3A4C"/>
    <w:rsid w:val="00CD73E7"/>
    <w:rsid w:val="00CE10E9"/>
    <w:rsid w:val="00CE2910"/>
    <w:rsid w:val="00CE5393"/>
    <w:rsid w:val="00CF36BE"/>
    <w:rsid w:val="00CF3B3E"/>
    <w:rsid w:val="00CF6000"/>
    <w:rsid w:val="00D003F3"/>
    <w:rsid w:val="00D0364F"/>
    <w:rsid w:val="00D06834"/>
    <w:rsid w:val="00D308ED"/>
    <w:rsid w:val="00D36D86"/>
    <w:rsid w:val="00D428AA"/>
    <w:rsid w:val="00D50327"/>
    <w:rsid w:val="00D50A34"/>
    <w:rsid w:val="00D53EFA"/>
    <w:rsid w:val="00D800B2"/>
    <w:rsid w:val="00D819D4"/>
    <w:rsid w:val="00D94A7C"/>
    <w:rsid w:val="00D95896"/>
    <w:rsid w:val="00DB2983"/>
    <w:rsid w:val="00DC1257"/>
    <w:rsid w:val="00DC3DC0"/>
    <w:rsid w:val="00DC5B2B"/>
    <w:rsid w:val="00DD318D"/>
    <w:rsid w:val="00DF2E12"/>
    <w:rsid w:val="00DF514A"/>
    <w:rsid w:val="00DF6690"/>
    <w:rsid w:val="00DF6804"/>
    <w:rsid w:val="00E0358D"/>
    <w:rsid w:val="00E04323"/>
    <w:rsid w:val="00E070A2"/>
    <w:rsid w:val="00E079E3"/>
    <w:rsid w:val="00E1257D"/>
    <w:rsid w:val="00E130CF"/>
    <w:rsid w:val="00E2656A"/>
    <w:rsid w:val="00E412D0"/>
    <w:rsid w:val="00E4178D"/>
    <w:rsid w:val="00E56322"/>
    <w:rsid w:val="00E60982"/>
    <w:rsid w:val="00E62C62"/>
    <w:rsid w:val="00E654C1"/>
    <w:rsid w:val="00E65D97"/>
    <w:rsid w:val="00E72A5A"/>
    <w:rsid w:val="00E73354"/>
    <w:rsid w:val="00E9005E"/>
    <w:rsid w:val="00E9242D"/>
    <w:rsid w:val="00EB5255"/>
    <w:rsid w:val="00EB5C47"/>
    <w:rsid w:val="00ED0639"/>
    <w:rsid w:val="00EE0CB9"/>
    <w:rsid w:val="00EE2B80"/>
    <w:rsid w:val="00EF4755"/>
    <w:rsid w:val="00EF7135"/>
    <w:rsid w:val="00F02315"/>
    <w:rsid w:val="00F027DB"/>
    <w:rsid w:val="00F0509F"/>
    <w:rsid w:val="00F14A7A"/>
    <w:rsid w:val="00F22985"/>
    <w:rsid w:val="00F3383E"/>
    <w:rsid w:val="00F465A7"/>
    <w:rsid w:val="00F50B7C"/>
    <w:rsid w:val="00F550E6"/>
    <w:rsid w:val="00F740DB"/>
    <w:rsid w:val="00F74345"/>
    <w:rsid w:val="00F80A0A"/>
    <w:rsid w:val="00F82B19"/>
    <w:rsid w:val="00F9212D"/>
    <w:rsid w:val="00F965DA"/>
    <w:rsid w:val="00FA406A"/>
    <w:rsid w:val="00FB0B1E"/>
    <w:rsid w:val="00FB503A"/>
    <w:rsid w:val="00FB516C"/>
    <w:rsid w:val="00FD0236"/>
    <w:rsid w:val="00FD18F4"/>
    <w:rsid w:val="00FD54DB"/>
    <w:rsid w:val="00FD619F"/>
    <w:rsid w:val="01044476"/>
    <w:rsid w:val="01134866"/>
    <w:rsid w:val="011B1F08"/>
    <w:rsid w:val="01212D60"/>
    <w:rsid w:val="012613B1"/>
    <w:rsid w:val="01290F7E"/>
    <w:rsid w:val="01296F6D"/>
    <w:rsid w:val="012E2F48"/>
    <w:rsid w:val="012F1A71"/>
    <w:rsid w:val="01306E77"/>
    <w:rsid w:val="013B0F0F"/>
    <w:rsid w:val="013B51F7"/>
    <w:rsid w:val="0141037F"/>
    <w:rsid w:val="01410B73"/>
    <w:rsid w:val="014206D4"/>
    <w:rsid w:val="014458D9"/>
    <w:rsid w:val="01447537"/>
    <w:rsid w:val="014C3728"/>
    <w:rsid w:val="014F0BC9"/>
    <w:rsid w:val="0157356F"/>
    <w:rsid w:val="015D1E09"/>
    <w:rsid w:val="015E48F1"/>
    <w:rsid w:val="016645C0"/>
    <w:rsid w:val="016A45E9"/>
    <w:rsid w:val="016C45BC"/>
    <w:rsid w:val="01750B64"/>
    <w:rsid w:val="01832E03"/>
    <w:rsid w:val="018572F1"/>
    <w:rsid w:val="018D042B"/>
    <w:rsid w:val="018F7874"/>
    <w:rsid w:val="01913757"/>
    <w:rsid w:val="019D21A3"/>
    <w:rsid w:val="01A24303"/>
    <w:rsid w:val="01A707F4"/>
    <w:rsid w:val="01A924DC"/>
    <w:rsid w:val="01B16E65"/>
    <w:rsid w:val="01C44781"/>
    <w:rsid w:val="01CD7566"/>
    <w:rsid w:val="01D16FFA"/>
    <w:rsid w:val="01D261FD"/>
    <w:rsid w:val="01D44C40"/>
    <w:rsid w:val="01D6304F"/>
    <w:rsid w:val="01DE3AC9"/>
    <w:rsid w:val="01DF4816"/>
    <w:rsid w:val="01E50883"/>
    <w:rsid w:val="01EB540D"/>
    <w:rsid w:val="01EE23A7"/>
    <w:rsid w:val="01F32C75"/>
    <w:rsid w:val="01F44223"/>
    <w:rsid w:val="01F52EFB"/>
    <w:rsid w:val="01F87B42"/>
    <w:rsid w:val="02054F52"/>
    <w:rsid w:val="02073E4F"/>
    <w:rsid w:val="020871B1"/>
    <w:rsid w:val="02092C94"/>
    <w:rsid w:val="020F4972"/>
    <w:rsid w:val="021674E3"/>
    <w:rsid w:val="021D0F4A"/>
    <w:rsid w:val="022005E1"/>
    <w:rsid w:val="02275E21"/>
    <w:rsid w:val="022820B4"/>
    <w:rsid w:val="022A7BCD"/>
    <w:rsid w:val="02353532"/>
    <w:rsid w:val="02380F24"/>
    <w:rsid w:val="0239717D"/>
    <w:rsid w:val="023B33A4"/>
    <w:rsid w:val="023D2E58"/>
    <w:rsid w:val="02444630"/>
    <w:rsid w:val="024732E5"/>
    <w:rsid w:val="024D0952"/>
    <w:rsid w:val="024F4977"/>
    <w:rsid w:val="02553A1C"/>
    <w:rsid w:val="02590F6B"/>
    <w:rsid w:val="02627577"/>
    <w:rsid w:val="02697903"/>
    <w:rsid w:val="026D2310"/>
    <w:rsid w:val="026D43ED"/>
    <w:rsid w:val="027D5AA8"/>
    <w:rsid w:val="027E4AE5"/>
    <w:rsid w:val="02807DA1"/>
    <w:rsid w:val="028E0B41"/>
    <w:rsid w:val="02913665"/>
    <w:rsid w:val="029947F5"/>
    <w:rsid w:val="029A0EEF"/>
    <w:rsid w:val="029C3BE3"/>
    <w:rsid w:val="029E4331"/>
    <w:rsid w:val="02A3046E"/>
    <w:rsid w:val="02AC678E"/>
    <w:rsid w:val="02AE05FE"/>
    <w:rsid w:val="02AE1DE5"/>
    <w:rsid w:val="02AE55E9"/>
    <w:rsid w:val="02B30660"/>
    <w:rsid w:val="02BA69C6"/>
    <w:rsid w:val="02BB675F"/>
    <w:rsid w:val="02BE3FCC"/>
    <w:rsid w:val="02BF4598"/>
    <w:rsid w:val="02BF5BCD"/>
    <w:rsid w:val="02C41A42"/>
    <w:rsid w:val="02C51D6A"/>
    <w:rsid w:val="02C90F55"/>
    <w:rsid w:val="02CF12F5"/>
    <w:rsid w:val="02D36668"/>
    <w:rsid w:val="02D503BC"/>
    <w:rsid w:val="02D909EE"/>
    <w:rsid w:val="02E043C1"/>
    <w:rsid w:val="02E10ADA"/>
    <w:rsid w:val="02E4438C"/>
    <w:rsid w:val="02E965DE"/>
    <w:rsid w:val="02EF1E8A"/>
    <w:rsid w:val="02F210E1"/>
    <w:rsid w:val="02F44968"/>
    <w:rsid w:val="02F73415"/>
    <w:rsid w:val="02F76BF7"/>
    <w:rsid w:val="02F928AC"/>
    <w:rsid w:val="02F96569"/>
    <w:rsid w:val="030C574B"/>
    <w:rsid w:val="031D458E"/>
    <w:rsid w:val="0321252A"/>
    <w:rsid w:val="03281A92"/>
    <w:rsid w:val="032F2D86"/>
    <w:rsid w:val="0337169C"/>
    <w:rsid w:val="033D21BC"/>
    <w:rsid w:val="033E3367"/>
    <w:rsid w:val="03456094"/>
    <w:rsid w:val="0346009A"/>
    <w:rsid w:val="03483080"/>
    <w:rsid w:val="035A1E6E"/>
    <w:rsid w:val="035F66BA"/>
    <w:rsid w:val="03754915"/>
    <w:rsid w:val="037F4101"/>
    <w:rsid w:val="03807913"/>
    <w:rsid w:val="038500B3"/>
    <w:rsid w:val="03890C1C"/>
    <w:rsid w:val="038C76D9"/>
    <w:rsid w:val="0392334F"/>
    <w:rsid w:val="03947520"/>
    <w:rsid w:val="03975EF3"/>
    <w:rsid w:val="03997B12"/>
    <w:rsid w:val="039C5A55"/>
    <w:rsid w:val="03B0294C"/>
    <w:rsid w:val="03B95FF4"/>
    <w:rsid w:val="03C85A80"/>
    <w:rsid w:val="03CA03E4"/>
    <w:rsid w:val="03CF7D4A"/>
    <w:rsid w:val="03D03214"/>
    <w:rsid w:val="03D1333D"/>
    <w:rsid w:val="03DB617E"/>
    <w:rsid w:val="03DE059E"/>
    <w:rsid w:val="03DF0B22"/>
    <w:rsid w:val="03E76AC1"/>
    <w:rsid w:val="03EA7B21"/>
    <w:rsid w:val="03EB1CB5"/>
    <w:rsid w:val="03EB5C59"/>
    <w:rsid w:val="03EC2510"/>
    <w:rsid w:val="03F045D5"/>
    <w:rsid w:val="03F42965"/>
    <w:rsid w:val="03F6430C"/>
    <w:rsid w:val="03FA172C"/>
    <w:rsid w:val="03FC1FD2"/>
    <w:rsid w:val="03FD3490"/>
    <w:rsid w:val="040222F2"/>
    <w:rsid w:val="04150405"/>
    <w:rsid w:val="0416269A"/>
    <w:rsid w:val="04163ADC"/>
    <w:rsid w:val="0421757E"/>
    <w:rsid w:val="04224CBC"/>
    <w:rsid w:val="042C3F98"/>
    <w:rsid w:val="0432005C"/>
    <w:rsid w:val="043D0917"/>
    <w:rsid w:val="044061B9"/>
    <w:rsid w:val="04463562"/>
    <w:rsid w:val="044A223D"/>
    <w:rsid w:val="044D60E9"/>
    <w:rsid w:val="04611584"/>
    <w:rsid w:val="0462668B"/>
    <w:rsid w:val="04697BCF"/>
    <w:rsid w:val="046B28AF"/>
    <w:rsid w:val="047100E1"/>
    <w:rsid w:val="04732647"/>
    <w:rsid w:val="04782E0C"/>
    <w:rsid w:val="047E21B6"/>
    <w:rsid w:val="047E5524"/>
    <w:rsid w:val="047F6530"/>
    <w:rsid w:val="048103C4"/>
    <w:rsid w:val="048A2B24"/>
    <w:rsid w:val="049568B8"/>
    <w:rsid w:val="04963005"/>
    <w:rsid w:val="04964A49"/>
    <w:rsid w:val="04984D4D"/>
    <w:rsid w:val="04A71073"/>
    <w:rsid w:val="04A73693"/>
    <w:rsid w:val="04AA5CF3"/>
    <w:rsid w:val="04B41B65"/>
    <w:rsid w:val="04B743DB"/>
    <w:rsid w:val="04B9537A"/>
    <w:rsid w:val="04BB14B8"/>
    <w:rsid w:val="04BB7C73"/>
    <w:rsid w:val="04C0352E"/>
    <w:rsid w:val="04C62E67"/>
    <w:rsid w:val="04CE6C4D"/>
    <w:rsid w:val="04DC01C2"/>
    <w:rsid w:val="04E112C7"/>
    <w:rsid w:val="04E70C52"/>
    <w:rsid w:val="04EA3B03"/>
    <w:rsid w:val="04EB744D"/>
    <w:rsid w:val="04EF2DC2"/>
    <w:rsid w:val="04EF56AF"/>
    <w:rsid w:val="04F90BBE"/>
    <w:rsid w:val="04FC50A0"/>
    <w:rsid w:val="04FD440F"/>
    <w:rsid w:val="050E1E4C"/>
    <w:rsid w:val="05193065"/>
    <w:rsid w:val="051C283B"/>
    <w:rsid w:val="05450184"/>
    <w:rsid w:val="05465378"/>
    <w:rsid w:val="054C4591"/>
    <w:rsid w:val="054D26EB"/>
    <w:rsid w:val="054E63BA"/>
    <w:rsid w:val="05590A9D"/>
    <w:rsid w:val="055A5CFC"/>
    <w:rsid w:val="055A7363"/>
    <w:rsid w:val="056079A7"/>
    <w:rsid w:val="05680DD3"/>
    <w:rsid w:val="05686AF9"/>
    <w:rsid w:val="05692A50"/>
    <w:rsid w:val="056B6623"/>
    <w:rsid w:val="056B6D4F"/>
    <w:rsid w:val="05737537"/>
    <w:rsid w:val="057846F6"/>
    <w:rsid w:val="057F6230"/>
    <w:rsid w:val="058D5690"/>
    <w:rsid w:val="059D6E81"/>
    <w:rsid w:val="05A759AC"/>
    <w:rsid w:val="05B24FAA"/>
    <w:rsid w:val="05B3039D"/>
    <w:rsid w:val="05B30F74"/>
    <w:rsid w:val="05B72D3E"/>
    <w:rsid w:val="05C91EF4"/>
    <w:rsid w:val="05D04685"/>
    <w:rsid w:val="05D509DB"/>
    <w:rsid w:val="05E161AE"/>
    <w:rsid w:val="05E363DC"/>
    <w:rsid w:val="05EA7882"/>
    <w:rsid w:val="05F1506F"/>
    <w:rsid w:val="05F74BEF"/>
    <w:rsid w:val="05F83EAE"/>
    <w:rsid w:val="05F91345"/>
    <w:rsid w:val="060440BF"/>
    <w:rsid w:val="060E1CA3"/>
    <w:rsid w:val="06135229"/>
    <w:rsid w:val="061D0ABC"/>
    <w:rsid w:val="06207214"/>
    <w:rsid w:val="0621750B"/>
    <w:rsid w:val="0625766B"/>
    <w:rsid w:val="0633430C"/>
    <w:rsid w:val="06347CE1"/>
    <w:rsid w:val="063E7D85"/>
    <w:rsid w:val="064F6479"/>
    <w:rsid w:val="065213BA"/>
    <w:rsid w:val="0655678A"/>
    <w:rsid w:val="065646EB"/>
    <w:rsid w:val="06655E0E"/>
    <w:rsid w:val="066E372D"/>
    <w:rsid w:val="06774E1A"/>
    <w:rsid w:val="067B645E"/>
    <w:rsid w:val="067D64B7"/>
    <w:rsid w:val="067F5538"/>
    <w:rsid w:val="06922C03"/>
    <w:rsid w:val="06945D51"/>
    <w:rsid w:val="06982410"/>
    <w:rsid w:val="069F1496"/>
    <w:rsid w:val="06A9150D"/>
    <w:rsid w:val="06AD2ED9"/>
    <w:rsid w:val="06B03764"/>
    <w:rsid w:val="06B95D59"/>
    <w:rsid w:val="06BB2724"/>
    <w:rsid w:val="06C0561C"/>
    <w:rsid w:val="06C2054B"/>
    <w:rsid w:val="06C32144"/>
    <w:rsid w:val="06C453DB"/>
    <w:rsid w:val="06D8443C"/>
    <w:rsid w:val="06E92712"/>
    <w:rsid w:val="06E93340"/>
    <w:rsid w:val="06E936DE"/>
    <w:rsid w:val="06ED6EDD"/>
    <w:rsid w:val="06F21B4A"/>
    <w:rsid w:val="06FA56D2"/>
    <w:rsid w:val="06FB2FC3"/>
    <w:rsid w:val="07042311"/>
    <w:rsid w:val="07056CDD"/>
    <w:rsid w:val="07090778"/>
    <w:rsid w:val="070C2F4E"/>
    <w:rsid w:val="070F2A4E"/>
    <w:rsid w:val="07125F5D"/>
    <w:rsid w:val="071679CE"/>
    <w:rsid w:val="07192FB3"/>
    <w:rsid w:val="07262BC3"/>
    <w:rsid w:val="07293490"/>
    <w:rsid w:val="07293586"/>
    <w:rsid w:val="07295285"/>
    <w:rsid w:val="072B5C74"/>
    <w:rsid w:val="072C7697"/>
    <w:rsid w:val="072F500B"/>
    <w:rsid w:val="072F7E3C"/>
    <w:rsid w:val="073272E0"/>
    <w:rsid w:val="07334607"/>
    <w:rsid w:val="07354861"/>
    <w:rsid w:val="073A2C96"/>
    <w:rsid w:val="073A5B84"/>
    <w:rsid w:val="073C2459"/>
    <w:rsid w:val="0759401D"/>
    <w:rsid w:val="075B55F8"/>
    <w:rsid w:val="075C3866"/>
    <w:rsid w:val="07636392"/>
    <w:rsid w:val="07686330"/>
    <w:rsid w:val="07697D31"/>
    <w:rsid w:val="0774381F"/>
    <w:rsid w:val="077548AF"/>
    <w:rsid w:val="0776094F"/>
    <w:rsid w:val="07770C56"/>
    <w:rsid w:val="077C6A04"/>
    <w:rsid w:val="077E0CD7"/>
    <w:rsid w:val="0783699B"/>
    <w:rsid w:val="078C12B6"/>
    <w:rsid w:val="0790368C"/>
    <w:rsid w:val="079461AF"/>
    <w:rsid w:val="07982BAC"/>
    <w:rsid w:val="07A10A2E"/>
    <w:rsid w:val="07A14224"/>
    <w:rsid w:val="07A86CA0"/>
    <w:rsid w:val="07AB4A1E"/>
    <w:rsid w:val="07B07671"/>
    <w:rsid w:val="07B41BBB"/>
    <w:rsid w:val="07B52B43"/>
    <w:rsid w:val="07BC0FE0"/>
    <w:rsid w:val="07BF1DBF"/>
    <w:rsid w:val="07CA5CA2"/>
    <w:rsid w:val="07D641B3"/>
    <w:rsid w:val="07E30B41"/>
    <w:rsid w:val="07E3669A"/>
    <w:rsid w:val="07E3718C"/>
    <w:rsid w:val="07E6461F"/>
    <w:rsid w:val="07F44B94"/>
    <w:rsid w:val="07F70310"/>
    <w:rsid w:val="07F838AC"/>
    <w:rsid w:val="08020427"/>
    <w:rsid w:val="083669B6"/>
    <w:rsid w:val="0839640B"/>
    <w:rsid w:val="084438B9"/>
    <w:rsid w:val="08491FBB"/>
    <w:rsid w:val="084F6CE5"/>
    <w:rsid w:val="085A5FF7"/>
    <w:rsid w:val="086A18C5"/>
    <w:rsid w:val="08710CE8"/>
    <w:rsid w:val="087261EB"/>
    <w:rsid w:val="087E5797"/>
    <w:rsid w:val="088022F8"/>
    <w:rsid w:val="08971CA8"/>
    <w:rsid w:val="08974623"/>
    <w:rsid w:val="0898001B"/>
    <w:rsid w:val="08A11550"/>
    <w:rsid w:val="08A155FA"/>
    <w:rsid w:val="08A23DEE"/>
    <w:rsid w:val="08A50449"/>
    <w:rsid w:val="08A940DB"/>
    <w:rsid w:val="08AD2CEE"/>
    <w:rsid w:val="08B84439"/>
    <w:rsid w:val="08BE65EC"/>
    <w:rsid w:val="08BF6630"/>
    <w:rsid w:val="08C03226"/>
    <w:rsid w:val="08C132E0"/>
    <w:rsid w:val="08C9252B"/>
    <w:rsid w:val="08DC63D8"/>
    <w:rsid w:val="08DC74A8"/>
    <w:rsid w:val="08E3349D"/>
    <w:rsid w:val="08E37803"/>
    <w:rsid w:val="08E809A8"/>
    <w:rsid w:val="08E87F7C"/>
    <w:rsid w:val="08E91625"/>
    <w:rsid w:val="08EC7977"/>
    <w:rsid w:val="08FA2DEF"/>
    <w:rsid w:val="08FB0E13"/>
    <w:rsid w:val="09071557"/>
    <w:rsid w:val="09107EAC"/>
    <w:rsid w:val="09121CD7"/>
    <w:rsid w:val="09123AA0"/>
    <w:rsid w:val="09137B6A"/>
    <w:rsid w:val="09163D67"/>
    <w:rsid w:val="091745AC"/>
    <w:rsid w:val="091A5787"/>
    <w:rsid w:val="092217DD"/>
    <w:rsid w:val="09302632"/>
    <w:rsid w:val="093A7294"/>
    <w:rsid w:val="094639A3"/>
    <w:rsid w:val="094B4293"/>
    <w:rsid w:val="094C6B00"/>
    <w:rsid w:val="094F1C0D"/>
    <w:rsid w:val="094F72CD"/>
    <w:rsid w:val="095B71EC"/>
    <w:rsid w:val="095C7342"/>
    <w:rsid w:val="095D7B97"/>
    <w:rsid w:val="0968767E"/>
    <w:rsid w:val="096D4679"/>
    <w:rsid w:val="097253A0"/>
    <w:rsid w:val="09741E36"/>
    <w:rsid w:val="097562EE"/>
    <w:rsid w:val="09761C1E"/>
    <w:rsid w:val="097D09C4"/>
    <w:rsid w:val="097F4221"/>
    <w:rsid w:val="09880D71"/>
    <w:rsid w:val="09934FF4"/>
    <w:rsid w:val="09AC54CF"/>
    <w:rsid w:val="09AC796D"/>
    <w:rsid w:val="09AF2DB5"/>
    <w:rsid w:val="09B41737"/>
    <w:rsid w:val="09B9010E"/>
    <w:rsid w:val="09BB1248"/>
    <w:rsid w:val="09BE6BCC"/>
    <w:rsid w:val="09BF5218"/>
    <w:rsid w:val="09BF6DCE"/>
    <w:rsid w:val="09C47461"/>
    <w:rsid w:val="09C802FE"/>
    <w:rsid w:val="09C835E3"/>
    <w:rsid w:val="09CB12CB"/>
    <w:rsid w:val="09CE71B7"/>
    <w:rsid w:val="09E46936"/>
    <w:rsid w:val="09E76094"/>
    <w:rsid w:val="09E90884"/>
    <w:rsid w:val="09F55C26"/>
    <w:rsid w:val="09F61B3E"/>
    <w:rsid w:val="09FF3F2A"/>
    <w:rsid w:val="0A017E80"/>
    <w:rsid w:val="0A037FC9"/>
    <w:rsid w:val="0A042F73"/>
    <w:rsid w:val="0A0B09BC"/>
    <w:rsid w:val="0A0C18F7"/>
    <w:rsid w:val="0A164D7E"/>
    <w:rsid w:val="0A1E4C8F"/>
    <w:rsid w:val="0A2117CF"/>
    <w:rsid w:val="0A2206BD"/>
    <w:rsid w:val="0A256EE4"/>
    <w:rsid w:val="0A263993"/>
    <w:rsid w:val="0A273991"/>
    <w:rsid w:val="0A2949D9"/>
    <w:rsid w:val="0A2A0E89"/>
    <w:rsid w:val="0A2B4866"/>
    <w:rsid w:val="0A2B604A"/>
    <w:rsid w:val="0A2D3AC2"/>
    <w:rsid w:val="0A3E404E"/>
    <w:rsid w:val="0A4171CC"/>
    <w:rsid w:val="0A5D736C"/>
    <w:rsid w:val="0A5F17D4"/>
    <w:rsid w:val="0A640151"/>
    <w:rsid w:val="0A6F4688"/>
    <w:rsid w:val="0A767163"/>
    <w:rsid w:val="0A7D53C7"/>
    <w:rsid w:val="0A854E82"/>
    <w:rsid w:val="0A8F48A9"/>
    <w:rsid w:val="0A9147EE"/>
    <w:rsid w:val="0A9A0C4D"/>
    <w:rsid w:val="0A9C437A"/>
    <w:rsid w:val="0AA27475"/>
    <w:rsid w:val="0AA755DF"/>
    <w:rsid w:val="0AA81401"/>
    <w:rsid w:val="0AB518D9"/>
    <w:rsid w:val="0AC21C32"/>
    <w:rsid w:val="0AC374D3"/>
    <w:rsid w:val="0AC66C76"/>
    <w:rsid w:val="0ACC63CA"/>
    <w:rsid w:val="0ACE30B8"/>
    <w:rsid w:val="0AD35BED"/>
    <w:rsid w:val="0AD92E57"/>
    <w:rsid w:val="0ADF0E39"/>
    <w:rsid w:val="0AE23485"/>
    <w:rsid w:val="0AE95580"/>
    <w:rsid w:val="0AEF278B"/>
    <w:rsid w:val="0AF26D2D"/>
    <w:rsid w:val="0AFA101E"/>
    <w:rsid w:val="0AFA2749"/>
    <w:rsid w:val="0AFF7F93"/>
    <w:rsid w:val="0B0D3089"/>
    <w:rsid w:val="0B1112A5"/>
    <w:rsid w:val="0B120D44"/>
    <w:rsid w:val="0B1300FB"/>
    <w:rsid w:val="0B13158E"/>
    <w:rsid w:val="0B1945E9"/>
    <w:rsid w:val="0B1D0FC1"/>
    <w:rsid w:val="0B1E031A"/>
    <w:rsid w:val="0B1F1233"/>
    <w:rsid w:val="0B230932"/>
    <w:rsid w:val="0B255951"/>
    <w:rsid w:val="0B294FFA"/>
    <w:rsid w:val="0B2B502B"/>
    <w:rsid w:val="0B2E3E7B"/>
    <w:rsid w:val="0B334C53"/>
    <w:rsid w:val="0B376431"/>
    <w:rsid w:val="0B3D488D"/>
    <w:rsid w:val="0B421476"/>
    <w:rsid w:val="0B44393E"/>
    <w:rsid w:val="0B4535C3"/>
    <w:rsid w:val="0B4B0787"/>
    <w:rsid w:val="0B4B203B"/>
    <w:rsid w:val="0B513F40"/>
    <w:rsid w:val="0B53185B"/>
    <w:rsid w:val="0B54498C"/>
    <w:rsid w:val="0B5B45F7"/>
    <w:rsid w:val="0B60363C"/>
    <w:rsid w:val="0B6336CF"/>
    <w:rsid w:val="0B665BAE"/>
    <w:rsid w:val="0B6B0C13"/>
    <w:rsid w:val="0B6F0BF7"/>
    <w:rsid w:val="0B6F49C3"/>
    <w:rsid w:val="0B732F2E"/>
    <w:rsid w:val="0B736324"/>
    <w:rsid w:val="0B7C1406"/>
    <w:rsid w:val="0B7E1BC5"/>
    <w:rsid w:val="0B7F3301"/>
    <w:rsid w:val="0B8231EB"/>
    <w:rsid w:val="0B891734"/>
    <w:rsid w:val="0B8A5327"/>
    <w:rsid w:val="0B8B296C"/>
    <w:rsid w:val="0B8C5805"/>
    <w:rsid w:val="0B945207"/>
    <w:rsid w:val="0B966A1F"/>
    <w:rsid w:val="0B9A2BAF"/>
    <w:rsid w:val="0BAB0090"/>
    <w:rsid w:val="0BB018E0"/>
    <w:rsid w:val="0BB81009"/>
    <w:rsid w:val="0BBE4307"/>
    <w:rsid w:val="0BBE688C"/>
    <w:rsid w:val="0BC71356"/>
    <w:rsid w:val="0BCB5EA3"/>
    <w:rsid w:val="0BCC38AF"/>
    <w:rsid w:val="0BD27BF6"/>
    <w:rsid w:val="0BD353AF"/>
    <w:rsid w:val="0BD47E6F"/>
    <w:rsid w:val="0BD9183C"/>
    <w:rsid w:val="0BDB2EB2"/>
    <w:rsid w:val="0BDB3B91"/>
    <w:rsid w:val="0BE22906"/>
    <w:rsid w:val="0BE25ED9"/>
    <w:rsid w:val="0BE96504"/>
    <w:rsid w:val="0BED1199"/>
    <w:rsid w:val="0BF92F1D"/>
    <w:rsid w:val="0BFB7E79"/>
    <w:rsid w:val="0C09340B"/>
    <w:rsid w:val="0C095AC4"/>
    <w:rsid w:val="0C130BA4"/>
    <w:rsid w:val="0C291D5E"/>
    <w:rsid w:val="0C297610"/>
    <w:rsid w:val="0C351C93"/>
    <w:rsid w:val="0C357BA7"/>
    <w:rsid w:val="0C3B3C7D"/>
    <w:rsid w:val="0C3B7F93"/>
    <w:rsid w:val="0C3C06D6"/>
    <w:rsid w:val="0C3F712D"/>
    <w:rsid w:val="0C496BA2"/>
    <w:rsid w:val="0C540FAF"/>
    <w:rsid w:val="0C593122"/>
    <w:rsid w:val="0C6810CB"/>
    <w:rsid w:val="0C692C1B"/>
    <w:rsid w:val="0C6D0CE9"/>
    <w:rsid w:val="0C6E7E82"/>
    <w:rsid w:val="0C7455F2"/>
    <w:rsid w:val="0C7B500D"/>
    <w:rsid w:val="0C8204EC"/>
    <w:rsid w:val="0C8D446E"/>
    <w:rsid w:val="0C9C558D"/>
    <w:rsid w:val="0C9F532E"/>
    <w:rsid w:val="0C9F5D40"/>
    <w:rsid w:val="0CA01D97"/>
    <w:rsid w:val="0CA05FA3"/>
    <w:rsid w:val="0CA62EED"/>
    <w:rsid w:val="0CAA2CB5"/>
    <w:rsid w:val="0CAB2EAE"/>
    <w:rsid w:val="0CAC6B91"/>
    <w:rsid w:val="0CAF2B16"/>
    <w:rsid w:val="0CB15551"/>
    <w:rsid w:val="0CB86CE6"/>
    <w:rsid w:val="0CC21F7E"/>
    <w:rsid w:val="0CC677D2"/>
    <w:rsid w:val="0CD014A1"/>
    <w:rsid w:val="0CD1554C"/>
    <w:rsid w:val="0CD41434"/>
    <w:rsid w:val="0CD47B9F"/>
    <w:rsid w:val="0CDC5C88"/>
    <w:rsid w:val="0CDD6C56"/>
    <w:rsid w:val="0CE10D55"/>
    <w:rsid w:val="0CE83955"/>
    <w:rsid w:val="0CEA2094"/>
    <w:rsid w:val="0CEE014C"/>
    <w:rsid w:val="0CEF0A28"/>
    <w:rsid w:val="0CF6173A"/>
    <w:rsid w:val="0D0610C1"/>
    <w:rsid w:val="0D07790E"/>
    <w:rsid w:val="0D0855A1"/>
    <w:rsid w:val="0D0C1995"/>
    <w:rsid w:val="0D0C2B57"/>
    <w:rsid w:val="0D2A0889"/>
    <w:rsid w:val="0D383A62"/>
    <w:rsid w:val="0D3A4725"/>
    <w:rsid w:val="0D4266B1"/>
    <w:rsid w:val="0D4373E8"/>
    <w:rsid w:val="0D4A354C"/>
    <w:rsid w:val="0D4E1EA3"/>
    <w:rsid w:val="0D500CF1"/>
    <w:rsid w:val="0D532030"/>
    <w:rsid w:val="0D5F0EF1"/>
    <w:rsid w:val="0D621C7D"/>
    <w:rsid w:val="0D642BAC"/>
    <w:rsid w:val="0D661546"/>
    <w:rsid w:val="0D746B8E"/>
    <w:rsid w:val="0D776203"/>
    <w:rsid w:val="0D7857C9"/>
    <w:rsid w:val="0D796DC9"/>
    <w:rsid w:val="0D7E2D59"/>
    <w:rsid w:val="0D81491D"/>
    <w:rsid w:val="0D86001A"/>
    <w:rsid w:val="0D917C38"/>
    <w:rsid w:val="0D9E2ABD"/>
    <w:rsid w:val="0DA44EB5"/>
    <w:rsid w:val="0DA635A6"/>
    <w:rsid w:val="0DA675E9"/>
    <w:rsid w:val="0DA82A0C"/>
    <w:rsid w:val="0DA8314A"/>
    <w:rsid w:val="0DAA3E42"/>
    <w:rsid w:val="0DAB418F"/>
    <w:rsid w:val="0DAC0EDC"/>
    <w:rsid w:val="0DAD4238"/>
    <w:rsid w:val="0DAE0103"/>
    <w:rsid w:val="0DB23016"/>
    <w:rsid w:val="0DB30CF8"/>
    <w:rsid w:val="0DB76ECB"/>
    <w:rsid w:val="0DD72BAC"/>
    <w:rsid w:val="0DE53B98"/>
    <w:rsid w:val="0DED353C"/>
    <w:rsid w:val="0DEF058D"/>
    <w:rsid w:val="0DF3231E"/>
    <w:rsid w:val="0E010382"/>
    <w:rsid w:val="0E0506C2"/>
    <w:rsid w:val="0E056A05"/>
    <w:rsid w:val="0E061F23"/>
    <w:rsid w:val="0E0C3AAF"/>
    <w:rsid w:val="0E127064"/>
    <w:rsid w:val="0E13570A"/>
    <w:rsid w:val="0E15649D"/>
    <w:rsid w:val="0E176AF1"/>
    <w:rsid w:val="0E1A251B"/>
    <w:rsid w:val="0E1C3D4F"/>
    <w:rsid w:val="0E20091E"/>
    <w:rsid w:val="0E245572"/>
    <w:rsid w:val="0E275566"/>
    <w:rsid w:val="0E2877E4"/>
    <w:rsid w:val="0E2B16F7"/>
    <w:rsid w:val="0E2D0F8C"/>
    <w:rsid w:val="0E2F609B"/>
    <w:rsid w:val="0E462104"/>
    <w:rsid w:val="0E50453D"/>
    <w:rsid w:val="0E507228"/>
    <w:rsid w:val="0E527220"/>
    <w:rsid w:val="0E580A0E"/>
    <w:rsid w:val="0E592E49"/>
    <w:rsid w:val="0E5C1D8F"/>
    <w:rsid w:val="0E5F2830"/>
    <w:rsid w:val="0E692C31"/>
    <w:rsid w:val="0E703AAD"/>
    <w:rsid w:val="0E710CBB"/>
    <w:rsid w:val="0E73034D"/>
    <w:rsid w:val="0E752FDD"/>
    <w:rsid w:val="0E773D43"/>
    <w:rsid w:val="0E7B0A75"/>
    <w:rsid w:val="0E7C72A1"/>
    <w:rsid w:val="0E8A5825"/>
    <w:rsid w:val="0E8B67DF"/>
    <w:rsid w:val="0E9819D5"/>
    <w:rsid w:val="0EA4508A"/>
    <w:rsid w:val="0EA736CC"/>
    <w:rsid w:val="0EA854F2"/>
    <w:rsid w:val="0EA9351D"/>
    <w:rsid w:val="0EAC6E81"/>
    <w:rsid w:val="0EAD0264"/>
    <w:rsid w:val="0EB00B79"/>
    <w:rsid w:val="0EB30D93"/>
    <w:rsid w:val="0EBE339D"/>
    <w:rsid w:val="0EC05B7C"/>
    <w:rsid w:val="0EC126DC"/>
    <w:rsid w:val="0EC41F74"/>
    <w:rsid w:val="0EC61392"/>
    <w:rsid w:val="0ED07F73"/>
    <w:rsid w:val="0ED715BB"/>
    <w:rsid w:val="0ED83562"/>
    <w:rsid w:val="0ED86EBA"/>
    <w:rsid w:val="0EEA4FDD"/>
    <w:rsid w:val="0EEF2294"/>
    <w:rsid w:val="0EEF3211"/>
    <w:rsid w:val="0EF800B1"/>
    <w:rsid w:val="0EFB060C"/>
    <w:rsid w:val="0EFF3678"/>
    <w:rsid w:val="0F063AE3"/>
    <w:rsid w:val="0F083CB9"/>
    <w:rsid w:val="0F0E3DE2"/>
    <w:rsid w:val="0F0E5E8D"/>
    <w:rsid w:val="0F13775A"/>
    <w:rsid w:val="0F153F3B"/>
    <w:rsid w:val="0F26215E"/>
    <w:rsid w:val="0F263B91"/>
    <w:rsid w:val="0F2C7DED"/>
    <w:rsid w:val="0F361EDC"/>
    <w:rsid w:val="0F377658"/>
    <w:rsid w:val="0F4531F5"/>
    <w:rsid w:val="0F4730E3"/>
    <w:rsid w:val="0F4C2A36"/>
    <w:rsid w:val="0F4F06D8"/>
    <w:rsid w:val="0F503813"/>
    <w:rsid w:val="0F515C7A"/>
    <w:rsid w:val="0F543D12"/>
    <w:rsid w:val="0F58183F"/>
    <w:rsid w:val="0F5F45FE"/>
    <w:rsid w:val="0F642CEB"/>
    <w:rsid w:val="0F6446B1"/>
    <w:rsid w:val="0F650B87"/>
    <w:rsid w:val="0F66173D"/>
    <w:rsid w:val="0F764D7F"/>
    <w:rsid w:val="0F7C13D7"/>
    <w:rsid w:val="0F7F622C"/>
    <w:rsid w:val="0F857AB0"/>
    <w:rsid w:val="0F876395"/>
    <w:rsid w:val="0F892A26"/>
    <w:rsid w:val="0F8A5BE1"/>
    <w:rsid w:val="0F8E78ED"/>
    <w:rsid w:val="0F902D94"/>
    <w:rsid w:val="0F9159FD"/>
    <w:rsid w:val="0F980C17"/>
    <w:rsid w:val="0F9818AE"/>
    <w:rsid w:val="0F9A112B"/>
    <w:rsid w:val="0F9F1786"/>
    <w:rsid w:val="0F9F2FFB"/>
    <w:rsid w:val="0FB139BA"/>
    <w:rsid w:val="0FB26957"/>
    <w:rsid w:val="0FBE66CC"/>
    <w:rsid w:val="0FCD3F9E"/>
    <w:rsid w:val="0FD25339"/>
    <w:rsid w:val="0FEC00C2"/>
    <w:rsid w:val="0FEC214D"/>
    <w:rsid w:val="0FF22FB9"/>
    <w:rsid w:val="0FF82C07"/>
    <w:rsid w:val="0FF837E8"/>
    <w:rsid w:val="0FF935A9"/>
    <w:rsid w:val="0FFC20B9"/>
    <w:rsid w:val="0FFD260C"/>
    <w:rsid w:val="0FFF516E"/>
    <w:rsid w:val="10005AFD"/>
    <w:rsid w:val="10030D22"/>
    <w:rsid w:val="10086689"/>
    <w:rsid w:val="100B25FB"/>
    <w:rsid w:val="100F5D41"/>
    <w:rsid w:val="1013187C"/>
    <w:rsid w:val="10162A90"/>
    <w:rsid w:val="101804ED"/>
    <w:rsid w:val="101C418F"/>
    <w:rsid w:val="101F564F"/>
    <w:rsid w:val="10223384"/>
    <w:rsid w:val="10272BD2"/>
    <w:rsid w:val="10292A7A"/>
    <w:rsid w:val="10297DBD"/>
    <w:rsid w:val="102F2261"/>
    <w:rsid w:val="10302F0D"/>
    <w:rsid w:val="103C7D0F"/>
    <w:rsid w:val="10424568"/>
    <w:rsid w:val="104574A1"/>
    <w:rsid w:val="10457661"/>
    <w:rsid w:val="105F1E63"/>
    <w:rsid w:val="106164DB"/>
    <w:rsid w:val="106B2AE0"/>
    <w:rsid w:val="106C2DF8"/>
    <w:rsid w:val="106D2F64"/>
    <w:rsid w:val="10716486"/>
    <w:rsid w:val="107E6386"/>
    <w:rsid w:val="107F6DB2"/>
    <w:rsid w:val="108746C5"/>
    <w:rsid w:val="10876148"/>
    <w:rsid w:val="108D4157"/>
    <w:rsid w:val="10907342"/>
    <w:rsid w:val="10973D49"/>
    <w:rsid w:val="109E46E1"/>
    <w:rsid w:val="10A6408E"/>
    <w:rsid w:val="10AC0B4B"/>
    <w:rsid w:val="10B63710"/>
    <w:rsid w:val="10BD769C"/>
    <w:rsid w:val="10C07C0A"/>
    <w:rsid w:val="10CC4C1C"/>
    <w:rsid w:val="10D03632"/>
    <w:rsid w:val="10D21461"/>
    <w:rsid w:val="10DA4C47"/>
    <w:rsid w:val="10DC2762"/>
    <w:rsid w:val="10DF6316"/>
    <w:rsid w:val="10E2302E"/>
    <w:rsid w:val="10E44880"/>
    <w:rsid w:val="10EB73E2"/>
    <w:rsid w:val="10EC6DC5"/>
    <w:rsid w:val="10EE67A2"/>
    <w:rsid w:val="10F10820"/>
    <w:rsid w:val="10F10926"/>
    <w:rsid w:val="10F35076"/>
    <w:rsid w:val="10F479A9"/>
    <w:rsid w:val="10FA2DA6"/>
    <w:rsid w:val="10FA65E7"/>
    <w:rsid w:val="10FF0CC6"/>
    <w:rsid w:val="11055535"/>
    <w:rsid w:val="11086885"/>
    <w:rsid w:val="11095F62"/>
    <w:rsid w:val="11131BFB"/>
    <w:rsid w:val="1118016F"/>
    <w:rsid w:val="111C2F7A"/>
    <w:rsid w:val="111D1457"/>
    <w:rsid w:val="11243048"/>
    <w:rsid w:val="11256311"/>
    <w:rsid w:val="112B7251"/>
    <w:rsid w:val="112E0C9B"/>
    <w:rsid w:val="11400FA4"/>
    <w:rsid w:val="114E5AE4"/>
    <w:rsid w:val="11504B58"/>
    <w:rsid w:val="11512102"/>
    <w:rsid w:val="1153559E"/>
    <w:rsid w:val="115921F7"/>
    <w:rsid w:val="1159643F"/>
    <w:rsid w:val="115E085C"/>
    <w:rsid w:val="115E19CC"/>
    <w:rsid w:val="11646964"/>
    <w:rsid w:val="11664C9A"/>
    <w:rsid w:val="11665CA1"/>
    <w:rsid w:val="11685002"/>
    <w:rsid w:val="116D3EE2"/>
    <w:rsid w:val="116E0F09"/>
    <w:rsid w:val="116E6670"/>
    <w:rsid w:val="117743B4"/>
    <w:rsid w:val="11801D5A"/>
    <w:rsid w:val="11836045"/>
    <w:rsid w:val="1186072F"/>
    <w:rsid w:val="11892E1C"/>
    <w:rsid w:val="11893DE9"/>
    <w:rsid w:val="118B45BF"/>
    <w:rsid w:val="118E54E4"/>
    <w:rsid w:val="118E6220"/>
    <w:rsid w:val="1191235E"/>
    <w:rsid w:val="119948F0"/>
    <w:rsid w:val="119D78EF"/>
    <w:rsid w:val="11A2446C"/>
    <w:rsid w:val="11A25004"/>
    <w:rsid w:val="11AE387D"/>
    <w:rsid w:val="11B840AB"/>
    <w:rsid w:val="11BC6AEC"/>
    <w:rsid w:val="11BE0CF9"/>
    <w:rsid w:val="11C02579"/>
    <w:rsid w:val="11C04AD6"/>
    <w:rsid w:val="11C95B31"/>
    <w:rsid w:val="11C97FB9"/>
    <w:rsid w:val="11CC4873"/>
    <w:rsid w:val="11D140B8"/>
    <w:rsid w:val="11D76CA1"/>
    <w:rsid w:val="11D96390"/>
    <w:rsid w:val="11DC29C6"/>
    <w:rsid w:val="11DD567C"/>
    <w:rsid w:val="11EF3F60"/>
    <w:rsid w:val="11FB14D8"/>
    <w:rsid w:val="11FC22F4"/>
    <w:rsid w:val="11FE0FF1"/>
    <w:rsid w:val="12000566"/>
    <w:rsid w:val="120E1E41"/>
    <w:rsid w:val="121B2613"/>
    <w:rsid w:val="12225C35"/>
    <w:rsid w:val="1224450F"/>
    <w:rsid w:val="122A20D9"/>
    <w:rsid w:val="122B7861"/>
    <w:rsid w:val="122E3D3A"/>
    <w:rsid w:val="123067C0"/>
    <w:rsid w:val="12355C19"/>
    <w:rsid w:val="123E24C7"/>
    <w:rsid w:val="123F6510"/>
    <w:rsid w:val="124F757F"/>
    <w:rsid w:val="1252327E"/>
    <w:rsid w:val="12527D3F"/>
    <w:rsid w:val="125A7678"/>
    <w:rsid w:val="125E5805"/>
    <w:rsid w:val="125E74E2"/>
    <w:rsid w:val="126B313E"/>
    <w:rsid w:val="126F42CE"/>
    <w:rsid w:val="12704669"/>
    <w:rsid w:val="12735E49"/>
    <w:rsid w:val="127A1FC5"/>
    <w:rsid w:val="127F0D6F"/>
    <w:rsid w:val="12801BAE"/>
    <w:rsid w:val="128200D4"/>
    <w:rsid w:val="128360F3"/>
    <w:rsid w:val="12954BE9"/>
    <w:rsid w:val="129A1A4F"/>
    <w:rsid w:val="12A21EB8"/>
    <w:rsid w:val="12A2562A"/>
    <w:rsid w:val="12AC4CAC"/>
    <w:rsid w:val="12BE05AF"/>
    <w:rsid w:val="12C10896"/>
    <w:rsid w:val="12C33AC5"/>
    <w:rsid w:val="12C6392D"/>
    <w:rsid w:val="12D6156F"/>
    <w:rsid w:val="12D67602"/>
    <w:rsid w:val="12DC2A7B"/>
    <w:rsid w:val="12DD08C3"/>
    <w:rsid w:val="12DE5996"/>
    <w:rsid w:val="12E32339"/>
    <w:rsid w:val="12E758FF"/>
    <w:rsid w:val="12F10DE7"/>
    <w:rsid w:val="12F35985"/>
    <w:rsid w:val="12F65CBA"/>
    <w:rsid w:val="12FD76F1"/>
    <w:rsid w:val="13062C34"/>
    <w:rsid w:val="13083D27"/>
    <w:rsid w:val="131A70DA"/>
    <w:rsid w:val="1325755C"/>
    <w:rsid w:val="133347D1"/>
    <w:rsid w:val="133B3709"/>
    <w:rsid w:val="1345403C"/>
    <w:rsid w:val="134D7C8C"/>
    <w:rsid w:val="13573133"/>
    <w:rsid w:val="136512C9"/>
    <w:rsid w:val="13653AA2"/>
    <w:rsid w:val="1368722A"/>
    <w:rsid w:val="137163B5"/>
    <w:rsid w:val="13773995"/>
    <w:rsid w:val="137936FA"/>
    <w:rsid w:val="137B4D58"/>
    <w:rsid w:val="137B5BE9"/>
    <w:rsid w:val="137E253F"/>
    <w:rsid w:val="137E455E"/>
    <w:rsid w:val="13802C8A"/>
    <w:rsid w:val="13844CD7"/>
    <w:rsid w:val="13853754"/>
    <w:rsid w:val="139259DA"/>
    <w:rsid w:val="1394170A"/>
    <w:rsid w:val="13951726"/>
    <w:rsid w:val="13A12C3A"/>
    <w:rsid w:val="13A5250C"/>
    <w:rsid w:val="13A801BD"/>
    <w:rsid w:val="13B2237C"/>
    <w:rsid w:val="13B25038"/>
    <w:rsid w:val="13B94962"/>
    <w:rsid w:val="13B97A44"/>
    <w:rsid w:val="13B97C38"/>
    <w:rsid w:val="13BC3660"/>
    <w:rsid w:val="13BD478D"/>
    <w:rsid w:val="13C9452E"/>
    <w:rsid w:val="13D66AF7"/>
    <w:rsid w:val="13D70F4D"/>
    <w:rsid w:val="13D70F70"/>
    <w:rsid w:val="13D92077"/>
    <w:rsid w:val="13D92B99"/>
    <w:rsid w:val="13DB5AFB"/>
    <w:rsid w:val="13E57E0C"/>
    <w:rsid w:val="13E642A4"/>
    <w:rsid w:val="13E72709"/>
    <w:rsid w:val="13E92000"/>
    <w:rsid w:val="13FC546F"/>
    <w:rsid w:val="13FC5F3E"/>
    <w:rsid w:val="140347B0"/>
    <w:rsid w:val="1405396B"/>
    <w:rsid w:val="140E5D76"/>
    <w:rsid w:val="141717F4"/>
    <w:rsid w:val="141C6857"/>
    <w:rsid w:val="141E48FC"/>
    <w:rsid w:val="142A5364"/>
    <w:rsid w:val="143352CD"/>
    <w:rsid w:val="14385949"/>
    <w:rsid w:val="14396509"/>
    <w:rsid w:val="143B3F0C"/>
    <w:rsid w:val="14403689"/>
    <w:rsid w:val="14466317"/>
    <w:rsid w:val="144F61E2"/>
    <w:rsid w:val="14522278"/>
    <w:rsid w:val="1453150C"/>
    <w:rsid w:val="145570AA"/>
    <w:rsid w:val="14586DAA"/>
    <w:rsid w:val="14591CF6"/>
    <w:rsid w:val="145E6FE0"/>
    <w:rsid w:val="146501EA"/>
    <w:rsid w:val="146C2B3C"/>
    <w:rsid w:val="14733AEB"/>
    <w:rsid w:val="147573A1"/>
    <w:rsid w:val="1476219B"/>
    <w:rsid w:val="1476335E"/>
    <w:rsid w:val="147B5715"/>
    <w:rsid w:val="147E560F"/>
    <w:rsid w:val="148943A0"/>
    <w:rsid w:val="148C293B"/>
    <w:rsid w:val="148D1536"/>
    <w:rsid w:val="148F2B77"/>
    <w:rsid w:val="149C24BD"/>
    <w:rsid w:val="149E58F6"/>
    <w:rsid w:val="149F2FE4"/>
    <w:rsid w:val="14A15708"/>
    <w:rsid w:val="14A27750"/>
    <w:rsid w:val="14A6281D"/>
    <w:rsid w:val="14A71A73"/>
    <w:rsid w:val="14A7563E"/>
    <w:rsid w:val="14AB4970"/>
    <w:rsid w:val="14AE35A8"/>
    <w:rsid w:val="14AE3F8A"/>
    <w:rsid w:val="14B168A8"/>
    <w:rsid w:val="14B71FA3"/>
    <w:rsid w:val="14BB6C65"/>
    <w:rsid w:val="14C12C1D"/>
    <w:rsid w:val="14C57350"/>
    <w:rsid w:val="14C86D9F"/>
    <w:rsid w:val="14CE39EB"/>
    <w:rsid w:val="14CF560A"/>
    <w:rsid w:val="14D42C05"/>
    <w:rsid w:val="14DA401C"/>
    <w:rsid w:val="14DB38F2"/>
    <w:rsid w:val="14DD2C3C"/>
    <w:rsid w:val="14DF7B32"/>
    <w:rsid w:val="14EC149F"/>
    <w:rsid w:val="14F52C04"/>
    <w:rsid w:val="14F93501"/>
    <w:rsid w:val="15001299"/>
    <w:rsid w:val="15001E7B"/>
    <w:rsid w:val="1505026F"/>
    <w:rsid w:val="15064AC3"/>
    <w:rsid w:val="15083691"/>
    <w:rsid w:val="15154115"/>
    <w:rsid w:val="152E63F2"/>
    <w:rsid w:val="153168F7"/>
    <w:rsid w:val="153A624C"/>
    <w:rsid w:val="154B1A1A"/>
    <w:rsid w:val="154C1DE6"/>
    <w:rsid w:val="154D0F3D"/>
    <w:rsid w:val="155142DE"/>
    <w:rsid w:val="15533708"/>
    <w:rsid w:val="155669FC"/>
    <w:rsid w:val="155A734C"/>
    <w:rsid w:val="15603E94"/>
    <w:rsid w:val="15653949"/>
    <w:rsid w:val="157717CB"/>
    <w:rsid w:val="157E12E3"/>
    <w:rsid w:val="157F549A"/>
    <w:rsid w:val="15832516"/>
    <w:rsid w:val="1583425F"/>
    <w:rsid w:val="158457C7"/>
    <w:rsid w:val="158A133C"/>
    <w:rsid w:val="1591520B"/>
    <w:rsid w:val="15921B5C"/>
    <w:rsid w:val="15937EA5"/>
    <w:rsid w:val="159874A0"/>
    <w:rsid w:val="15A05834"/>
    <w:rsid w:val="15A83E47"/>
    <w:rsid w:val="15B00E15"/>
    <w:rsid w:val="15B17473"/>
    <w:rsid w:val="15B321A2"/>
    <w:rsid w:val="15B35877"/>
    <w:rsid w:val="15BD3011"/>
    <w:rsid w:val="15C01464"/>
    <w:rsid w:val="15C03043"/>
    <w:rsid w:val="15CA317C"/>
    <w:rsid w:val="15D87D94"/>
    <w:rsid w:val="15DC7E35"/>
    <w:rsid w:val="15E2417B"/>
    <w:rsid w:val="15F0521A"/>
    <w:rsid w:val="15F15067"/>
    <w:rsid w:val="15F56D07"/>
    <w:rsid w:val="15F62717"/>
    <w:rsid w:val="15F63517"/>
    <w:rsid w:val="15FC7B74"/>
    <w:rsid w:val="16087E1D"/>
    <w:rsid w:val="160A323A"/>
    <w:rsid w:val="160E046E"/>
    <w:rsid w:val="161467CF"/>
    <w:rsid w:val="161E447A"/>
    <w:rsid w:val="1625276C"/>
    <w:rsid w:val="162C742C"/>
    <w:rsid w:val="163174BA"/>
    <w:rsid w:val="16327340"/>
    <w:rsid w:val="16370B74"/>
    <w:rsid w:val="16441C2E"/>
    <w:rsid w:val="164E69C7"/>
    <w:rsid w:val="1656490E"/>
    <w:rsid w:val="165F065D"/>
    <w:rsid w:val="16634DBB"/>
    <w:rsid w:val="166F0DCC"/>
    <w:rsid w:val="1676150B"/>
    <w:rsid w:val="16785D83"/>
    <w:rsid w:val="167D43BD"/>
    <w:rsid w:val="167E0855"/>
    <w:rsid w:val="167F7FB5"/>
    <w:rsid w:val="16811F36"/>
    <w:rsid w:val="16880667"/>
    <w:rsid w:val="16882116"/>
    <w:rsid w:val="1689622E"/>
    <w:rsid w:val="168A26E6"/>
    <w:rsid w:val="1690603E"/>
    <w:rsid w:val="169D6B0C"/>
    <w:rsid w:val="16A341FD"/>
    <w:rsid w:val="16A421EE"/>
    <w:rsid w:val="16A56653"/>
    <w:rsid w:val="16B12CCC"/>
    <w:rsid w:val="16B37471"/>
    <w:rsid w:val="16B66AE3"/>
    <w:rsid w:val="16B96AC6"/>
    <w:rsid w:val="16CF5CC0"/>
    <w:rsid w:val="16D70CBC"/>
    <w:rsid w:val="16D774B8"/>
    <w:rsid w:val="16DB13D9"/>
    <w:rsid w:val="16DC74A2"/>
    <w:rsid w:val="16E01DBD"/>
    <w:rsid w:val="16E765A8"/>
    <w:rsid w:val="16E81040"/>
    <w:rsid w:val="16E833BA"/>
    <w:rsid w:val="16EC313E"/>
    <w:rsid w:val="16EC327E"/>
    <w:rsid w:val="16F40C69"/>
    <w:rsid w:val="16FF381D"/>
    <w:rsid w:val="17030C7D"/>
    <w:rsid w:val="170913FD"/>
    <w:rsid w:val="1712276D"/>
    <w:rsid w:val="172B726E"/>
    <w:rsid w:val="172D2DFF"/>
    <w:rsid w:val="17316DE5"/>
    <w:rsid w:val="17395563"/>
    <w:rsid w:val="173A12C4"/>
    <w:rsid w:val="173D76F6"/>
    <w:rsid w:val="17423586"/>
    <w:rsid w:val="1743162A"/>
    <w:rsid w:val="174360D1"/>
    <w:rsid w:val="17477F1C"/>
    <w:rsid w:val="174D3AF2"/>
    <w:rsid w:val="174F6608"/>
    <w:rsid w:val="17530F12"/>
    <w:rsid w:val="17545B30"/>
    <w:rsid w:val="17592EC6"/>
    <w:rsid w:val="175C3265"/>
    <w:rsid w:val="175F3835"/>
    <w:rsid w:val="176A7EF0"/>
    <w:rsid w:val="176D4764"/>
    <w:rsid w:val="17701D14"/>
    <w:rsid w:val="1770350D"/>
    <w:rsid w:val="17721503"/>
    <w:rsid w:val="17731037"/>
    <w:rsid w:val="17735226"/>
    <w:rsid w:val="177664F5"/>
    <w:rsid w:val="17815E87"/>
    <w:rsid w:val="178A2EDE"/>
    <w:rsid w:val="178A5629"/>
    <w:rsid w:val="179652A0"/>
    <w:rsid w:val="179A5372"/>
    <w:rsid w:val="179F05D3"/>
    <w:rsid w:val="17AC4F9E"/>
    <w:rsid w:val="17AC5C2F"/>
    <w:rsid w:val="17AE3D70"/>
    <w:rsid w:val="17B90C49"/>
    <w:rsid w:val="17B97D31"/>
    <w:rsid w:val="17C757B5"/>
    <w:rsid w:val="17C772E9"/>
    <w:rsid w:val="17C91BB5"/>
    <w:rsid w:val="17CF732F"/>
    <w:rsid w:val="17D17E2E"/>
    <w:rsid w:val="17D26C83"/>
    <w:rsid w:val="17DC28FA"/>
    <w:rsid w:val="17E070B0"/>
    <w:rsid w:val="17E15A47"/>
    <w:rsid w:val="17E340AA"/>
    <w:rsid w:val="17E8792D"/>
    <w:rsid w:val="17EE3B93"/>
    <w:rsid w:val="18175AA1"/>
    <w:rsid w:val="18177D9A"/>
    <w:rsid w:val="18184083"/>
    <w:rsid w:val="18186BEA"/>
    <w:rsid w:val="181E15C9"/>
    <w:rsid w:val="1820310A"/>
    <w:rsid w:val="182B276B"/>
    <w:rsid w:val="183043C8"/>
    <w:rsid w:val="18305928"/>
    <w:rsid w:val="1832500B"/>
    <w:rsid w:val="18343428"/>
    <w:rsid w:val="184E2B56"/>
    <w:rsid w:val="1852009B"/>
    <w:rsid w:val="185732DB"/>
    <w:rsid w:val="18577335"/>
    <w:rsid w:val="18703938"/>
    <w:rsid w:val="18754DB2"/>
    <w:rsid w:val="1876381C"/>
    <w:rsid w:val="187B4AF7"/>
    <w:rsid w:val="18823AB4"/>
    <w:rsid w:val="18845AF0"/>
    <w:rsid w:val="18867DC8"/>
    <w:rsid w:val="188810B5"/>
    <w:rsid w:val="189A1808"/>
    <w:rsid w:val="189B3911"/>
    <w:rsid w:val="189F624C"/>
    <w:rsid w:val="18A64034"/>
    <w:rsid w:val="18A91B45"/>
    <w:rsid w:val="18AC24CF"/>
    <w:rsid w:val="18B0248F"/>
    <w:rsid w:val="18BA7163"/>
    <w:rsid w:val="18C36B54"/>
    <w:rsid w:val="18CD3E54"/>
    <w:rsid w:val="18CE5C46"/>
    <w:rsid w:val="18E35ADB"/>
    <w:rsid w:val="18EA5D9E"/>
    <w:rsid w:val="18EB19A7"/>
    <w:rsid w:val="18EE3B46"/>
    <w:rsid w:val="18EE631A"/>
    <w:rsid w:val="18F35A66"/>
    <w:rsid w:val="18FC7671"/>
    <w:rsid w:val="19046E5A"/>
    <w:rsid w:val="1906058F"/>
    <w:rsid w:val="190D0D6C"/>
    <w:rsid w:val="19185CD9"/>
    <w:rsid w:val="191B2DEC"/>
    <w:rsid w:val="191F2C4D"/>
    <w:rsid w:val="192057C7"/>
    <w:rsid w:val="192A37FD"/>
    <w:rsid w:val="192A45AC"/>
    <w:rsid w:val="19323290"/>
    <w:rsid w:val="19341F4D"/>
    <w:rsid w:val="19362169"/>
    <w:rsid w:val="193C34F7"/>
    <w:rsid w:val="193E1632"/>
    <w:rsid w:val="19492C83"/>
    <w:rsid w:val="194B54E8"/>
    <w:rsid w:val="19502AFF"/>
    <w:rsid w:val="195829C4"/>
    <w:rsid w:val="195D45ED"/>
    <w:rsid w:val="195E6BBE"/>
    <w:rsid w:val="195F4A2A"/>
    <w:rsid w:val="1964459C"/>
    <w:rsid w:val="19656D1F"/>
    <w:rsid w:val="196E3F7F"/>
    <w:rsid w:val="196F36B7"/>
    <w:rsid w:val="196F5EDB"/>
    <w:rsid w:val="19712C7B"/>
    <w:rsid w:val="197A1E3C"/>
    <w:rsid w:val="19870A75"/>
    <w:rsid w:val="198A5CC0"/>
    <w:rsid w:val="19985006"/>
    <w:rsid w:val="199E31D8"/>
    <w:rsid w:val="19A03FEB"/>
    <w:rsid w:val="19A25C60"/>
    <w:rsid w:val="19A729CB"/>
    <w:rsid w:val="19AA7C86"/>
    <w:rsid w:val="19AC55BD"/>
    <w:rsid w:val="19AC7734"/>
    <w:rsid w:val="19AF3EF6"/>
    <w:rsid w:val="19B7227E"/>
    <w:rsid w:val="19B73EEC"/>
    <w:rsid w:val="19BA5A21"/>
    <w:rsid w:val="19BC29E5"/>
    <w:rsid w:val="19BC6AED"/>
    <w:rsid w:val="19BE3AB0"/>
    <w:rsid w:val="19C17C01"/>
    <w:rsid w:val="19C44BBC"/>
    <w:rsid w:val="19C73A33"/>
    <w:rsid w:val="19C81DC3"/>
    <w:rsid w:val="19CD191A"/>
    <w:rsid w:val="19CD414F"/>
    <w:rsid w:val="19D612D3"/>
    <w:rsid w:val="19D64818"/>
    <w:rsid w:val="19D85C7B"/>
    <w:rsid w:val="19DA76A4"/>
    <w:rsid w:val="19DF5450"/>
    <w:rsid w:val="19E6077F"/>
    <w:rsid w:val="19E61C53"/>
    <w:rsid w:val="19E641DE"/>
    <w:rsid w:val="19EC0249"/>
    <w:rsid w:val="19F00D87"/>
    <w:rsid w:val="19F518A6"/>
    <w:rsid w:val="19F814B8"/>
    <w:rsid w:val="19F8700F"/>
    <w:rsid w:val="1A022597"/>
    <w:rsid w:val="1A026D3D"/>
    <w:rsid w:val="1A086C20"/>
    <w:rsid w:val="1A1C66C0"/>
    <w:rsid w:val="1A1D3F39"/>
    <w:rsid w:val="1A1E542C"/>
    <w:rsid w:val="1A1F7201"/>
    <w:rsid w:val="1A2C5F21"/>
    <w:rsid w:val="1A42393B"/>
    <w:rsid w:val="1A490913"/>
    <w:rsid w:val="1A4D17CE"/>
    <w:rsid w:val="1A524D25"/>
    <w:rsid w:val="1A5A20B2"/>
    <w:rsid w:val="1A5C06DE"/>
    <w:rsid w:val="1A607E76"/>
    <w:rsid w:val="1A622AE9"/>
    <w:rsid w:val="1A67374A"/>
    <w:rsid w:val="1A6D4F42"/>
    <w:rsid w:val="1A71232B"/>
    <w:rsid w:val="1A755BDD"/>
    <w:rsid w:val="1A8570D1"/>
    <w:rsid w:val="1A881861"/>
    <w:rsid w:val="1A8C6C26"/>
    <w:rsid w:val="1AA324AC"/>
    <w:rsid w:val="1AA47EE8"/>
    <w:rsid w:val="1AA87036"/>
    <w:rsid w:val="1AAD45DE"/>
    <w:rsid w:val="1AB16925"/>
    <w:rsid w:val="1AB16B3D"/>
    <w:rsid w:val="1AB34467"/>
    <w:rsid w:val="1AB413BF"/>
    <w:rsid w:val="1AB42FA9"/>
    <w:rsid w:val="1AB72857"/>
    <w:rsid w:val="1ABB32C2"/>
    <w:rsid w:val="1ABC56CD"/>
    <w:rsid w:val="1ABE0238"/>
    <w:rsid w:val="1ABF618E"/>
    <w:rsid w:val="1AC15C66"/>
    <w:rsid w:val="1AC61500"/>
    <w:rsid w:val="1ACA49C3"/>
    <w:rsid w:val="1ACD2E99"/>
    <w:rsid w:val="1AD27BF5"/>
    <w:rsid w:val="1AD90777"/>
    <w:rsid w:val="1AD94E08"/>
    <w:rsid w:val="1ADA1D1F"/>
    <w:rsid w:val="1AE632F8"/>
    <w:rsid w:val="1AEB7F1E"/>
    <w:rsid w:val="1AED60B6"/>
    <w:rsid w:val="1AF4315A"/>
    <w:rsid w:val="1AF81F3F"/>
    <w:rsid w:val="1AFE6CB6"/>
    <w:rsid w:val="1B035B3F"/>
    <w:rsid w:val="1B046F80"/>
    <w:rsid w:val="1B075021"/>
    <w:rsid w:val="1B0C02F4"/>
    <w:rsid w:val="1B113B2C"/>
    <w:rsid w:val="1B195CAC"/>
    <w:rsid w:val="1B23458D"/>
    <w:rsid w:val="1B295A6C"/>
    <w:rsid w:val="1B31251A"/>
    <w:rsid w:val="1B3267B5"/>
    <w:rsid w:val="1B376B77"/>
    <w:rsid w:val="1B39441B"/>
    <w:rsid w:val="1B3F4E9C"/>
    <w:rsid w:val="1B40161D"/>
    <w:rsid w:val="1B441859"/>
    <w:rsid w:val="1B453C43"/>
    <w:rsid w:val="1B4B1DA6"/>
    <w:rsid w:val="1B4B2230"/>
    <w:rsid w:val="1B506D4A"/>
    <w:rsid w:val="1B557DBA"/>
    <w:rsid w:val="1B565F36"/>
    <w:rsid w:val="1B5A0D0C"/>
    <w:rsid w:val="1B5B2A1B"/>
    <w:rsid w:val="1B5B3040"/>
    <w:rsid w:val="1B5C3690"/>
    <w:rsid w:val="1B5D724A"/>
    <w:rsid w:val="1B5E190B"/>
    <w:rsid w:val="1B6606B1"/>
    <w:rsid w:val="1B6B21F3"/>
    <w:rsid w:val="1B6C2001"/>
    <w:rsid w:val="1B6F5A94"/>
    <w:rsid w:val="1B71470E"/>
    <w:rsid w:val="1B71746F"/>
    <w:rsid w:val="1B726FEE"/>
    <w:rsid w:val="1B7464D9"/>
    <w:rsid w:val="1B79588D"/>
    <w:rsid w:val="1B7E2A3C"/>
    <w:rsid w:val="1B826176"/>
    <w:rsid w:val="1B8340A0"/>
    <w:rsid w:val="1B846196"/>
    <w:rsid w:val="1B876FDA"/>
    <w:rsid w:val="1B8A39DC"/>
    <w:rsid w:val="1B8D003A"/>
    <w:rsid w:val="1B900863"/>
    <w:rsid w:val="1B996C9F"/>
    <w:rsid w:val="1B9B05F1"/>
    <w:rsid w:val="1B9B7F75"/>
    <w:rsid w:val="1B9E395F"/>
    <w:rsid w:val="1BA510EE"/>
    <w:rsid w:val="1BAC1A35"/>
    <w:rsid w:val="1BAE76FB"/>
    <w:rsid w:val="1BB10992"/>
    <w:rsid w:val="1BB33257"/>
    <w:rsid w:val="1BC24764"/>
    <w:rsid w:val="1BCC2B82"/>
    <w:rsid w:val="1BCC2ECC"/>
    <w:rsid w:val="1BCD48DA"/>
    <w:rsid w:val="1BCF14EA"/>
    <w:rsid w:val="1BD01830"/>
    <w:rsid w:val="1BD85E2E"/>
    <w:rsid w:val="1BDD2D6F"/>
    <w:rsid w:val="1BE463FD"/>
    <w:rsid w:val="1BEB7B60"/>
    <w:rsid w:val="1BF53789"/>
    <w:rsid w:val="1BF80B81"/>
    <w:rsid w:val="1BFA0A48"/>
    <w:rsid w:val="1BFB28A8"/>
    <w:rsid w:val="1BFB2A2F"/>
    <w:rsid w:val="1C091A76"/>
    <w:rsid w:val="1C0D2790"/>
    <w:rsid w:val="1C0E12DE"/>
    <w:rsid w:val="1C153956"/>
    <w:rsid w:val="1C18038B"/>
    <w:rsid w:val="1C203710"/>
    <w:rsid w:val="1C207FEE"/>
    <w:rsid w:val="1C220C55"/>
    <w:rsid w:val="1C22484A"/>
    <w:rsid w:val="1C234A14"/>
    <w:rsid w:val="1C25711E"/>
    <w:rsid w:val="1C270085"/>
    <w:rsid w:val="1C2C7B29"/>
    <w:rsid w:val="1C2D491F"/>
    <w:rsid w:val="1C2D623E"/>
    <w:rsid w:val="1C2E4E1D"/>
    <w:rsid w:val="1C33618B"/>
    <w:rsid w:val="1C342892"/>
    <w:rsid w:val="1C3527C6"/>
    <w:rsid w:val="1C35462E"/>
    <w:rsid w:val="1C3A6307"/>
    <w:rsid w:val="1C3B558D"/>
    <w:rsid w:val="1C440EF0"/>
    <w:rsid w:val="1C4549FC"/>
    <w:rsid w:val="1C4A4CB9"/>
    <w:rsid w:val="1C5E7925"/>
    <w:rsid w:val="1C5F3784"/>
    <w:rsid w:val="1C630808"/>
    <w:rsid w:val="1C671F40"/>
    <w:rsid w:val="1C6A49D1"/>
    <w:rsid w:val="1C707CE9"/>
    <w:rsid w:val="1C75038F"/>
    <w:rsid w:val="1C7B4B20"/>
    <w:rsid w:val="1C7E1C3B"/>
    <w:rsid w:val="1C7E5541"/>
    <w:rsid w:val="1C7F39E0"/>
    <w:rsid w:val="1C815C96"/>
    <w:rsid w:val="1C8A461B"/>
    <w:rsid w:val="1C9E08CF"/>
    <w:rsid w:val="1CA34625"/>
    <w:rsid w:val="1CA71996"/>
    <w:rsid w:val="1CA81B98"/>
    <w:rsid w:val="1CAB2129"/>
    <w:rsid w:val="1CAE6A23"/>
    <w:rsid w:val="1CB07382"/>
    <w:rsid w:val="1CB32A8E"/>
    <w:rsid w:val="1CB35884"/>
    <w:rsid w:val="1CB6761D"/>
    <w:rsid w:val="1CB9721A"/>
    <w:rsid w:val="1CBE2963"/>
    <w:rsid w:val="1CC31152"/>
    <w:rsid w:val="1CC5127F"/>
    <w:rsid w:val="1CCA242E"/>
    <w:rsid w:val="1CCC5749"/>
    <w:rsid w:val="1CCF6387"/>
    <w:rsid w:val="1CD836CB"/>
    <w:rsid w:val="1CDA105D"/>
    <w:rsid w:val="1CDC2253"/>
    <w:rsid w:val="1CDE3A0D"/>
    <w:rsid w:val="1CE00049"/>
    <w:rsid w:val="1CE31AC3"/>
    <w:rsid w:val="1CE85226"/>
    <w:rsid w:val="1CFD070F"/>
    <w:rsid w:val="1D051BDD"/>
    <w:rsid w:val="1D053FF3"/>
    <w:rsid w:val="1D0A2C83"/>
    <w:rsid w:val="1D0A6CA8"/>
    <w:rsid w:val="1D0C36E0"/>
    <w:rsid w:val="1D1A670D"/>
    <w:rsid w:val="1D1C7967"/>
    <w:rsid w:val="1D1E22A7"/>
    <w:rsid w:val="1D2B7B0B"/>
    <w:rsid w:val="1D2F3E6B"/>
    <w:rsid w:val="1D423F2B"/>
    <w:rsid w:val="1D4E30A1"/>
    <w:rsid w:val="1D5656DC"/>
    <w:rsid w:val="1D5C614D"/>
    <w:rsid w:val="1D5F6196"/>
    <w:rsid w:val="1D6132A5"/>
    <w:rsid w:val="1D6644FA"/>
    <w:rsid w:val="1D6C5534"/>
    <w:rsid w:val="1D6F1DC4"/>
    <w:rsid w:val="1D72360A"/>
    <w:rsid w:val="1D762413"/>
    <w:rsid w:val="1D7A7742"/>
    <w:rsid w:val="1D8E358C"/>
    <w:rsid w:val="1D8E56D5"/>
    <w:rsid w:val="1D94070A"/>
    <w:rsid w:val="1D963A24"/>
    <w:rsid w:val="1D9F0D29"/>
    <w:rsid w:val="1DA50418"/>
    <w:rsid w:val="1DA50842"/>
    <w:rsid w:val="1DA71AC9"/>
    <w:rsid w:val="1DA73862"/>
    <w:rsid w:val="1DAF2D80"/>
    <w:rsid w:val="1DAF791A"/>
    <w:rsid w:val="1DB402C8"/>
    <w:rsid w:val="1DB731EE"/>
    <w:rsid w:val="1DB918CB"/>
    <w:rsid w:val="1DBB6FFA"/>
    <w:rsid w:val="1DBD5A99"/>
    <w:rsid w:val="1DBF1FD8"/>
    <w:rsid w:val="1DC36BA4"/>
    <w:rsid w:val="1DD17197"/>
    <w:rsid w:val="1DD847FD"/>
    <w:rsid w:val="1DDC4EFC"/>
    <w:rsid w:val="1DE16BB6"/>
    <w:rsid w:val="1DFD60B5"/>
    <w:rsid w:val="1E0B6B93"/>
    <w:rsid w:val="1E0F6C4D"/>
    <w:rsid w:val="1E1627B1"/>
    <w:rsid w:val="1E172041"/>
    <w:rsid w:val="1E181DED"/>
    <w:rsid w:val="1E1D0898"/>
    <w:rsid w:val="1E270E2F"/>
    <w:rsid w:val="1E2E1AD8"/>
    <w:rsid w:val="1E2E728B"/>
    <w:rsid w:val="1E3012E2"/>
    <w:rsid w:val="1E3464F7"/>
    <w:rsid w:val="1E4B6F02"/>
    <w:rsid w:val="1E4D39FB"/>
    <w:rsid w:val="1E5B31CE"/>
    <w:rsid w:val="1E630408"/>
    <w:rsid w:val="1E7828A9"/>
    <w:rsid w:val="1E7A43DA"/>
    <w:rsid w:val="1E805280"/>
    <w:rsid w:val="1E812AA5"/>
    <w:rsid w:val="1E8551E2"/>
    <w:rsid w:val="1E8F5890"/>
    <w:rsid w:val="1E91323C"/>
    <w:rsid w:val="1E941322"/>
    <w:rsid w:val="1E9A6E89"/>
    <w:rsid w:val="1E9F5123"/>
    <w:rsid w:val="1EA451F1"/>
    <w:rsid w:val="1EA66BDE"/>
    <w:rsid w:val="1EB573CC"/>
    <w:rsid w:val="1EBE0163"/>
    <w:rsid w:val="1EC203A6"/>
    <w:rsid w:val="1ED06608"/>
    <w:rsid w:val="1ED24781"/>
    <w:rsid w:val="1ED80627"/>
    <w:rsid w:val="1EE14F4A"/>
    <w:rsid w:val="1EE41E77"/>
    <w:rsid w:val="1EF82BEB"/>
    <w:rsid w:val="1EF86DD9"/>
    <w:rsid w:val="1EF930AA"/>
    <w:rsid w:val="1F084276"/>
    <w:rsid w:val="1F09314E"/>
    <w:rsid w:val="1F0B39F2"/>
    <w:rsid w:val="1F0D2AA6"/>
    <w:rsid w:val="1F0F4F93"/>
    <w:rsid w:val="1F2A4BB1"/>
    <w:rsid w:val="1F4B3F42"/>
    <w:rsid w:val="1F4B72AC"/>
    <w:rsid w:val="1F4D3D68"/>
    <w:rsid w:val="1F555D1E"/>
    <w:rsid w:val="1F604BC7"/>
    <w:rsid w:val="1F6A2798"/>
    <w:rsid w:val="1F6D61B8"/>
    <w:rsid w:val="1F787474"/>
    <w:rsid w:val="1F861224"/>
    <w:rsid w:val="1F8D5727"/>
    <w:rsid w:val="1F8F463A"/>
    <w:rsid w:val="1F956468"/>
    <w:rsid w:val="1F962E5D"/>
    <w:rsid w:val="1F970030"/>
    <w:rsid w:val="1F9E6C03"/>
    <w:rsid w:val="1FA6717C"/>
    <w:rsid w:val="1FA74CA5"/>
    <w:rsid w:val="1FA83694"/>
    <w:rsid w:val="1FB16C3F"/>
    <w:rsid w:val="1FB44DF6"/>
    <w:rsid w:val="1FB81AE0"/>
    <w:rsid w:val="1FBC763F"/>
    <w:rsid w:val="1FC3579B"/>
    <w:rsid w:val="1FCA360B"/>
    <w:rsid w:val="1FD57BB9"/>
    <w:rsid w:val="1FDA2C3E"/>
    <w:rsid w:val="1FDA4138"/>
    <w:rsid w:val="1FE365C3"/>
    <w:rsid w:val="1FE53ECB"/>
    <w:rsid w:val="1FE7539E"/>
    <w:rsid w:val="1FE83919"/>
    <w:rsid w:val="1FEA471B"/>
    <w:rsid w:val="1FF14E34"/>
    <w:rsid w:val="1FF15E89"/>
    <w:rsid w:val="1FF328F0"/>
    <w:rsid w:val="1FF64ED6"/>
    <w:rsid w:val="1FF815A9"/>
    <w:rsid w:val="1FFA7FBC"/>
    <w:rsid w:val="1FFC64AB"/>
    <w:rsid w:val="1FFD5854"/>
    <w:rsid w:val="1FFF68FF"/>
    <w:rsid w:val="20136660"/>
    <w:rsid w:val="202206DA"/>
    <w:rsid w:val="202606B4"/>
    <w:rsid w:val="202E3F91"/>
    <w:rsid w:val="203601F5"/>
    <w:rsid w:val="203A0343"/>
    <w:rsid w:val="20402835"/>
    <w:rsid w:val="20403240"/>
    <w:rsid w:val="20433AE4"/>
    <w:rsid w:val="20455C06"/>
    <w:rsid w:val="204C2272"/>
    <w:rsid w:val="205A6B55"/>
    <w:rsid w:val="205D1976"/>
    <w:rsid w:val="20662F04"/>
    <w:rsid w:val="20663EA2"/>
    <w:rsid w:val="20671BE0"/>
    <w:rsid w:val="206873DB"/>
    <w:rsid w:val="2069753D"/>
    <w:rsid w:val="206C1EBC"/>
    <w:rsid w:val="20713375"/>
    <w:rsid w:val="20754056"/>
    <w:rsid w:val="207A7523"/>
    <w:rsid w:val="20921AD9"/>
    <w:rsid w:val="2092736E"/>
    <w:rsid w:val="20930C54"/>
    <w:rsid w:val="20946B62"/>
    <w:rsid w:val="20963CB8"/>
    <w:rsid w:val="20967207"/>
    <w:rsid w:val="209756A6"/>
    <w:rsid w:val="20A16F75"/>
    <w:rsid w:val="20A81A1B"/>
    <w:rsid w:val="20AB3DAA"/>
    <w:rsid w:val="20B07FB6"/>
    <w:rsid w:val="20B3434A"/>
    <w:rsid w:val="20B646FB"/>
    <w:rsid w:val="20B64B51"/>
    <w:rsid w:val="20C21199"/>
    <w:rsid w:val="20C76EC2"/>
    <w:rsid w:val="20C81B00"/>
    <w:rsid w:val="20CA6BCC"/>
    <w:rsid w:val="20D04B64"/>
    <w:rsid w:val="20DF7FAD"/>
    <w:rsid w:val="20E01E9E"/>
    <w:rsid w:val="20E7301E"/>
    <w:rsid w:val="20EA3839"/>
    <w:rsid w:val="20EB31A7"/>
    <w:rsid w:val="21110852"/>
    <w:rsid w:val="2113252C"/>
    <w:rsid w:val="211429CD"/>
    <w:rsid w:val="211D2D97"/>
    <w:rsid w:val="212571FF"/>
    <w:rsid w:val="212B00D9"/>
    <w:rsid w:val="2139440F"/>
    <w:rsid w:val="213B74B1"/>
    <w:rsid w:val="213D4A48"/>
    <w:rsid w:val="21424DA6"/>
    <w:rsid w:val="21434114"/>
    <w:rsid w:val="214A27FC"/>
    <w:rsid w:val="214B6A15"/>
    <w:rsid w:val="214C429E"/>
    <w:rsid w:val="21541602"/>
    <w:rsid w:val="215837EF"/>
    <w:rsid w:val="215A2310"/>
    <w:rsid w:val="215A7BA3"/>
    <w:rsid w:val="215B5CFC"/>
    <w:rsid w:val="2160597E"/>
    <w:rsid w:val="21620ECE"/>
    <w:rsid w:val="21665264"/>
    <w:rsid w:val="21690B3D"/>
    <w:rsid w:val="217E72F0"/>
    <w:rsid w:val="217F141D"/>
    <w:rsid w:val="21957C48"/>
    <w:rsid w:val="2197751D"/>
    <w:rsid w:val="21A47E48"/>
    <w:rsid w:val="21B32DAF"/>
    <w:rsid w:val="21B46859"/>
    <w:rsid w:val="21B76080"/>
    <w:rsid w:val="21B77BBF"/>
    <w:rsid w:val="21B87A54"/>
    <w:rsid w:val="21BB5835"/>
    <w:rsid w:val="21BD11EE"/>
    <w:rsid w:val="21C242B0"/>
    <w:rsid w:val="21C42362"/>
    <w:rsid w:val="21C663E0"/>
    <w:rsid w:val="21D42761"/>
    <w:rsid w:val="21D56CF7"/>
    <w:rsid w:val="21D855E4"/>
    <w:rsid w:val="21DE318A"/>
    <w:rsid w:val="21E62252"/>
    <w:rsid w:val="21EA170B"/>
    <w:rsid w:val="21ED18BE"/>
    <w:rsid w:val="21EF5B80"/>
    <w:rsid w:val="21F7445F"/>
    <w:rsid w:val="21F77FBB"/>
    <w:rsid w:val="21F9464D"/>
    <w:rsid w:val="220141A9"/>
    <w:rsid w:val="22072655"/>
    <w:rsid w:val="220F3557"/>
    <w:rsid w:val="22162A53"/>
    <w:rsid w:val="221B78A7"/>
    <w:rsid w:val="221D545A"/>
    <w:rsid w:val="221E042B"/>
    <w:rsid w:val="222817E7"/>
    <w:rsid w:val="222B1658"/>
    <w:rsid w:val="222C7F81"/>
    <w:rsid w:val="223E0A9A"/>
    <w:rsid w:val="22406AB0"/>
    <w:rsid w:val="22497996"/>
    <w:rsid w:val="224D22B5"/>
    <w:rsid w:val="22542FF0"/>
    <w:rsid w:val="22550AE0"/>
    <w:rsid w:val="22576990"/>
    <w:rsid w:val="225A5CA8"/>
    <w:rsid w:val="2268206F"/>
    <w:rsid w:val="226D7882"/>
    <w:rsid w:val="227B299A"/>
    <w:rsid w:val="22842F43"/>
    <w:rsid w:val="228D3187"/>
    <w:rsid w:val="228F2A3D"/>
    <w:rsid w:val="228F79C3"/>
    <w:rsid w:val="229051F7"/>
    <w:rsid w:val="22905371"/>
    <w:rsid w:val="229149BC"/>
    <w:rsid w:val="22926D53"/>
    <w:rsid w:val="229A7F7E"/>
    <w:rsid w:val="229C5D53"/>
    <w:rsid w:val="229D2E12"/>
    <w:rsid w:val="22A111C6"/>
    <w:rsid w:val="22A118D0"/>
    <w:rsid w:val="22A90E79"/>
    <w:rsid w:val="22B57DEA"/>
    <w:rsid w:val="22BE24B2"/>
    <w:rsid w:val="22BE59FA"/>
    <w:rsid w:val="22C542E3"/>
    <w:rsid w:val="22C74BC2"/>
    <w:rsid w:val="22CA2A8E"/>
    <w:rsid w:val="22CA36C7"/>
    <w:rsid w:val="22CA4ADD"/>
    <w:rsid w:val="22CB780C"/>
    <w:rsid w:val="22D979ED"/>
    <w:rsid w:val="22DE7D27"/>
    <w:rsid w:val="22DF250B"/>
    <w:rsid w:val="22E56EC3"/>
    <w:rsid w:val="22F35088"/>
    <w:rsid w:val="22F47480"/>
    <w:rsid w:val="22F63957"/>
    <w:rsid w:val="22FF13AC"/>
    <w:rsid w:val="23006D85"/>
    <w:rsid w:val="23071F20"/>
    <w:rsid w:val="230B6414"/>
    <w:rsid w:val="230F0E8A"/>
    <w:rsid w:val="23116F35"/>
    <w:rsid w:val="23136DD3"/>
    <w:rsid w:val="231B3837"/>
    <w:rsid w:val="23205045"/>
    <w:rsid w:val="232128E0"/>
    <w:rsid w:val="23217E3D"/>
    <w:rsid w:val="2334194D"/>
    <w:rsid w:val="23350224"/>
    <w:rsid w:val="2339371F"/>
    <w:rsid w:val="233C7081"/>
    <w:rsid w:val="2346744C"/>
    <w:rsid w:val="23475E17"/>
    <w:rsid w:val="234A4B3C"/>
    <w:rsid w:val="2351679A"/>
    <w:rsid w:val="23555E2D"/>
    <w:rsid w:val="23646C19"/>
    <w:rsid w:val="23662EC2"/>
    <w:rsid w:val="236B5020"/>
    <w:rsid w:val="23866B67"/>
    <w:rsid w:val="239330E8"/>
    <w:rsid w:val="239528A3"/>
    <w:rsid w:val="239C7583"/>
    <w:rsid w:val="239D49B4"/>
    <w:rsid w:val="23A036A8"/>
    <w:rsid w:val="23A1038F"/>
    <w:rsid w:val="23AA4120"/>
    <w:rsid w:val="23AE5800"/>
    <w:rsid w:val="23B062DD"/>
    <w:rsid w:val="23B71C02"/>
    <w:rsid w:val="23B81A5C"/>
    <w:rsid w:val="23BD7FC6"/>
    <w:rsid w:val="23BF0FB2"/>
    <w:rsid w:val="23C14F5C"/>
    <w:rsid w:val="23C22252"/>
    <w:rsid w:val="23C53959"/>
    <w:rsid w:val="23C725EA"/>
    <w:rsid w:val="23D72239"/>
    <w:rsid w:val="23DC3D41"/>
    <w:rsid w:val="23DD324E"/>
    <w:rsid w:val="23DE1C48"/>
    <w:rsid w:val="23F60732"/>
    <w:rsid w:val="23FB3E6B"/>
    <w:rsid w:val="23FB6A9C"/>
    <w:rsid w:val="23FD724B"/>
    <w:rsid w:val="23FE4182"/>
    <w:rsid w:val="23FE6712"/>
    <w:rsid w:val="23FF5D65"/>
    <w:rsid w:val="240174E0"/>
    <w:rsid w:val="240210CD"/>
    <w:rsid w:val="240864B0"/>
    <w:rsid w:val="241879BD"/>
    <w:rsid w:val="241B7DF5"/>
    <w:rsid w:val="241C3003"/>
    <w:rsid w:val="24274EA5"/>
    <w:rsid w:val="242A507F"/>
    <w:rsid w:val="24307432"/>
    <w:rsid w:val="243212A8"/>
    <w:rsid w:val="24330CF2"/>
    <w:rsid w:val="2435743C"/>
    <w:rsid w:val="24360753"/>
    <w:rsid w:val="24363BE3"/>
    <w:rsid w:val="243B5917"/>
    <w:rsid w:val="243B691D"/>
    <w:rsid w:val="243E5108"/>
    <w:rsid w:val="24427C37"/>
    <w:rsid w:val="244B4523"/>
    <w:rsid w:val="2453715E"/>
    <w:rsid w:val="24546EA6"/>
    <w:rsid w:val="245C753B"/>
    <w:rsid w:val="245E31A6"/>
    <w:rsid w:val="246027F3"/>
    <w:rsid w:val="246062EC"/>
    <w:rsid w:val="24645584"/>
    <w:rsid w:val="24681F92"/>
    <w:rsid w:val="246B0B47"/>
    <w:rsid w:val="246C53DB"/>
    <w:rsid w:val="246D0198"/>
    <w:rsid w:val="24741D97"/>
    <w:rsid w:val="247735FD"/>
    <w:rsid w:val="24774A54"/>
    <w:rsid w:val="247878F6"/>
    <w:rsid w:val="247B7669"/>
    <w:rsid w:val="247C4349"/>
    <w:rsid w:val="247D5D73"/>
    <w:rsid w:val="248954A3"/>
    <w:rsid w:val="24900810"/>
    <w:rsid w:val="24963A7A"/>
    <w:rsid w:val="24976248"/>
    <w:rsid w:val="24992C5F"/>
    <w:rsid w:val="249B3A3C"/>
    <w:rsid w:val="249C309C"/>
    <w:rsid w:val="249D7E59"/>
    <w:rsid w:val="24A64958"/>
    <w:rsid w:val="24A73CD2"/>
    <w:rsid w:val="24AE4DD5"/>
    <w:rsid w:val="24AF4E61"/>
    <w:rsid w:val="24B4282B"/>
    <w:rsid w:val="24B571C5"/>
    <w:rsid w:val="24B8363E"/>
    <w:rsid w:val="24BA4988"/>
    <w:rsid w:val="24BF09F7"/>
    <w:rsid w:val="24C14123"/>
    <w:rsid w:val="24C30A43"/>
    <w:rsid w:val="24C46E73"/>
    <w:rsid w:val="24D14976"/>
    <w:rsid w:val="24D3712E"/>
    <w:rsid w:val="24D43B53"/>
    <w:rsid w:val="24D80C4E"/>
    <w:rsid w:val="24E15958"/>
    <w:rsid w:val="24E418DA"/>
    <w:rsid w:val="24E51459"/>
    <w:rsid w:val="24E52245"/>
    <w:rsid w:val="24F622A0"/>
    <w:rsid w:val="24FC2405"/>
    <w:rsid w:val="25046F8D"/>
    <w:rsid w:val="250722B6"/>
    <w:rsid w:val="250A5A88"/>
    <w:rsid w:val="250F2A0B"/>
    <w:rsid w:val="2514172A"/>
    <w:rsid w:val="25146672"/>
    <w:rsid w:val="251B31F6"/>
    <w:rsid w:val="251F596E"/>
    <w:rsid w:val="252B21A9"/>
    <w:rsid w:val="252D53FE"/>
    <w:rsid w:val="25307B95"/>
    <w:rsid w:val="2536069B"/>
    <w:rsid w:val="25394E41"/>
    <w:rsid w:val="253B0E33"/>
    <w:rsid w:val="253E4326"/>
    <w:rsid w:val="2543743B"/>
    <w:rsid w:val="254E22BA"/>
    <w:rsid w:val="254F11A1"/>
    <w:rsid w:val="25586072"/>
    <w:rsid w:val="25644472"/>
    <w:rsid w:val="256535EF"/>
    <w:rsid w:val="25686D8B"/>
    <w:rsid w:val="25773333"/>
    <w:rsid w:val="257A0D66"/>
    <w:rsid w:val="257A4D8C"/>
    <w:rsid w:val="257B1D7F"/>
    <w:rsid w:val="257F297E"/>
    <w:rsid w:val="257F50E8"/>
    <w:rsid w:val="25836E73"/>
    <w:rsid w:val="25893ED0"/>
    <w:rsid w:val="258D31F8"/>
    <w:rsid w:val="258D7A38"/>
    <w:rsid w:val="259432DC"/>
    <w:rsid w:val="25986EA2"/>
    <w:rsid w:val="259C2952"/>
    <w:rsid w:val="25A5409B"/>
    <w:rsid w:val="25B77F93"/>
    <w:rsid w:val="25C665F5"/>
    <w:rsid w:val="25C671D2"/>
    <w:rsid w:val="25C83703"/>
    <w:rsid w:val="25C9546C"/>
    <w:rsid w:val="25D11C8B"/>
    <w:rsid w:val="25E45BE6"/>
    <w:rsid w:val="25E5088C"/>
    <w:rsid w:val="25EC29D7"/>
    <w:rsid w:val="25EC2D81"/>
    <w:rsid w:val="25F20225"/>
    <w:rsid w:val="25FA4A08"/>
    <w:rsid w:val="25FC7AE1"/>
    <w:rsid w:val="26013577"/>
    <w:rsid w:val="260C1FB6"/>
    <w:rsid w:val="260D72E5"/>
    <w:rsid w:val="26110E2C"/>
    <w:rsid w:val="2611147B"/>
    <w:rsid w:val="26157CC7"/>
    <w:rsid w:val="26175AC2"/>
    <w:rsid w:val="26176E7E"/>
    <w:rsid w:val="26177E4B"/>
    <w:rsid w:val="261817C9"/>
    <w:rsid w:val="26185978"/>
    <w:rsid w:val="262A2793"/>
    <w:rsid w:val="262B2929"/>
    <w:rsid w:val="262C5FD1"/>
    <w:rsid w:val="262E09D8"/>
    <w:rsid w:val="263537A8"/>
    <w:rsid w:val="26381331"/>
    <w:rsid w:val="26490763"/>
    <w:rsid w:val="264A723C"/>
    <w:rsid w:val="264C1297"/>
    <w:rsid w:val="2651132F"/>
    <w:rsid w:val="26593AC5"/>
    <w:rsid w:val="265E72B1"/>
    <w:rsid w:val="2667536F"/>
    <w:rsid w:val="26694517"/>
    <w:rsid w:val="266F3BC3"/>
    <w:rsid w:val="26742679"/>
    <w:rsid w:val="26786B30"/>
    <w:rsid w:val="267A5E7B"/>
    <w:rsid w:val="267B62EA"/>
    <w:rsid w:val="268A75B0"/>
    <w:rsid w:val="26931938"/>
    <w:rsid w:val="26994743"/>
    <w:rsid w:val="269F2FEB"/>
    <w:rsid w:val="26C84D56"/>
    <w:rsid w:val="26D828FD"/>
    <w:rsid w:val="26DD339B"/>
    <w:rsid w:val="26E22104"/>
    <w:rsid w:val="26E251BC"/>
    <w:rsid w:val="26E44165"/>
    <w:rsid w:val="26EA1493"/>
    <w:rsid w:val="26F71190"/>
    <w:rsid w:val="26FE4D06"/>
    <w:rsid w:val="27024D3B"/>
    <w:rsid w:val="27064F4E"/>
    <w:rsid w:val="27174512"/>
    <w:rsid w:val="271E4938"/>
    <w:rsid w:val="273B2923"/>
    <w:rsid w:val="27466574"/>
    <w:rsid w:val="274C2B75"/>
    <w:rsid w:val="27585300"/>
    <w:rsid w:val="275F7302"/>
    <w:rsid w:val="2763497C"/>
    <w:rsid w:val="276531B8"/>
    <w:rsid w:val="27655A46"/>
    <w:rsid w:val="27664F08"/>
    <w:rsid w:val="2767551A"/>
    <w:rsid w:val="277057A2"/>
    <w:rsid w:val="27726EC2"/>
    <w:rsid w:val="2786250D"/>
    <w:rsid w:val="278834E8"/>
    <w:rsid w:val="27963277"/>
    <w:rsid w:val="27AC7A37"/>
    <w:rsid w:val="27B10512"/>
    <w:rsid w:val="27B330F2"/>
    <w:rsid w:val="27B34F0C"/>
    <w:rsid w:val="27B572B7"/>
    <w:rsid w:val="27B61D84"/>
    <w:rsid w:val="27B802FB"/>
    <w:rsid w:val="27BC2F64"/>
    <w:rsid w:val="27BC330A"/>
    <w:rsid w:val="27C55D40"/>
    <w:rsid w:val="27D07AFD"/>
    <w:rsid w:val="27DC2D0A"/>
    <w:rsid w:val="27DD187E"/>
    <w:rsid w:val="27F80E42"/>
    <w:rsid w:val="27FC29A2"/>
    <w:rsid w:val="28056A01"/>
    <w:rsid w:val="28081013"/>
    <w:rsid w:val="280876C6"/>
    <w:rsid w:val="28113A35"/>
    <w:rsid w:val="28117DD6"/>
    <w:rsid w:val="28147337"/>
    <w:rsid w:val="28157229"/>
    <w:rsid w:val="28193195"/>
    <w:rsid w:val="28223BB2"/>
    <w:rsid w:val="28257B04"/>
    <w:rsid w:val="28280969"/>
    <w:rsid w:val="282B09BF"/>
    <w:rsid w:val="28377363"/>
    <w:rsid w:val="28386364"/>
    <w:rsid w:val="283B38A1"/>
    <w:rsid w:val="283C5B0C"/>
    <w:rsid w:val="283E4E78"/>
    <w:rsid w:val="28471C47"/>
    <w:rsid w:val="284B3608"/>
    <w:rsid w:val="284B72D1"/>
    <w:rsid w:val="284B7491"/>
    <w:rsid w:val="284C383B"/>
    <w:rsid w:val="284C5F6E"/>
    <w:rsid w:val="284C7B12"/>
    <w:rsid w:val="28575C58"/>
    <w:rsid w:val="28587B2A"/>
    <w:rsid w:val="28621DE7"/>
    <w:rsid w:val="286A0811"/>
    <w:rsid w:val="28774E53"/>
    <w:rsid w:val="28776D4F"/>
    <w:rsid w:val="28780C0F"/>
    <w:rsid w:val="2879560E"/>
    <w:rsid w:val="28827D63"/>
    <w:rsid w:val="28832322"/>
    <w:rsid w:val="2894130B"/>
    <w:rsid w:val="28986E34"/>
    <w:rsid w:val="289D65D2"/>
    <w:rsid w:val="289F5125"/>
    <w:rsid w:val="28A21648"/>
    <w:rsid w:val="28A71901"/>
    <w:rsid w:val="28A87C9D"/>
    <w:rsid w:val="28B40D42"/>
    <w:rsid w:val="28B72F4B"/>
    <w:rsid w:val="28B9246E"/>
    <w:rsid w:val="28BE5CD7"/>
    <w:rsid w:val="28C3623D"/>
    <w:rsid w:val="28C76E84"/>
    <w:rsid w:val="28C92C06"/>
    <w:rsid w:val="28CE7210"/>
    <w:rsid w:val="28D21120"/>
    <w:rsid w:val="28D30404"/>
    <w:rsid w:val="28D46A19"/>
    <w:rsid w:val="28E00425"/>
    <w:rsid w:val="28E30FC1"/>
    <w:rsid w:val="28EE22F3"/>
    <w:rsid w:val="28F37446"/>
    <w:rsid w:val="28F906CE"/>
    <w:rsid w:val="28FC3E61"/>
    <w:rsid w:val="290125BD"/>
    <w:rsid w:val="29054051"/>
    <w:rsid w:val="290A51D5"/>
    <w:rsid w:val="290C678C"/>
    <w:rsid w:val="290E7AA9"/>
    <w:rsid w:val="2910681D"/>
    <w:rsid w:val="29137358"/>
    <w:rsid w:val="291B68C0"/>
    <w:rsid w:val="291F68B6"/>
    <w:rsid w:val="29206EB8"/>
    <w:rsid w:val="292F6999"/>
    <w:rsid w:val="2932182A"/>
    <w:rsid w:val="2933589A"/>
    <w:rsid w:val="29345FFE"/>
    <w:rsid w:val="29400D44"/>
    <w:rsid w:val="294C1B7A"/>
    <w:rsid w:val="29595666"/>
    <w:rsid w:val="29626662"/>
    <w:rsid w:val="296801DC"/>
    <w:rsid w:val="297415BE"/>
    <w:rsid w:val="297675E1"/>
    <w:rsid w:val="297D349C"/>
    <w:rsid w:val="29874881"/>
    <w:rsid w:val="298C7F80"/>
    <w:rsid w:val="2997650C"/>
    <w:rsid w:val="299D3B3E"/>
    <w:rsid w:val="299F0A1E"/>
    <w:rsid w:val="299F36B8"/>
    <w:rsid w:val="29A200CD"/>
    <w:rsid w:val="29A44451"/>
    <w:rsid w:val="29A46175"/>
    <w:rsid w:val="29AA24D7"/>
    <w:rsid w:val="29AD0402"/>
    <w:rsid w:val="29B060C8"/>
    <w:rsid w:val="29B13E8B"/>
    <w:rsid w:val="29B42175"/>
    <w:rsid w:val="29B80978"/>
    <w:rsid w:val="29BC2617"/>
    <w:rsid w:val="29CB2F70"/>
    <w:rsid w:val="29D05F2D"/>
    <w:rsid w:val="29D8669C"/>
    <w:rsid w:val="29DA2A64"/>
    <w:rsid w:val="29E20C59"/>
    <w:rsid w:val="29E278B5"/>
    <w:rsid w:val="29E325E0"/>
    <w:rsid w:val="29E37D96"/>
    <w:rsid w:val="29E4257A"/>
    <w:rsid w:val="29E50332"/>
    <w:rsid w:val="29E53B82"/>
    <w:rsid w:val="29EE588B"/>
    <w:rsid w:val="29F72343"/>
    <w:rsid w:val="2A07545B"/>
    <w:rsid w:val="2A0B0FC4"/>
    <w:rsid w:val="2A0F25D6"/>
    <w:rsid w:val="2A1610E4"/>
    <w:rsid w:val="2A1C15E1"/>
    <w:rsid w:val="2A211A0F"/>
    <w:rsid w:val="2A22099E"/>
    <w:rsid w:val="2A237B51"/>
    <w:rsid w:val="2A26348E"/>
    <w:rsid w:val="2A2A149C"/>
    <w:rsid w:val="2A2B4465"/>
    <w:rsid w:val="2A2C0A1E"/>
    <w:rsid w:val="2A2D1A83"/>
    <w:rsid w:val="2A34022E"/>
    <w:rsid w:val="2A35042A"/>
    <w:rsid w:val="2A3531CA"/>
    <w:rsid w:val="2A355D74"/>
    <w:rsid w:val="2A387A38"/>
    <w:rsid w:val="2A3E1D2E"/>
    <w:rsid w:val="2A3E6D4A"/>
    <w:rsid w:val="2A411E77"/>
    <w:rsid w:val="2A415A4C"/>
    <w:rsid w:val="2A452503"/>
    <w:rsid w:val="2A471359"/>
    <w:rsid w:val="2A486FC8"/>
    <w:rsid w:val="2A4F047C"/>
    <w:rsid w:val="2A580712"/>
    <w:rsid w:val="2A616E79"/>
    <w:rsid w:val="2A6400B8"/>
    <w:rsid w:val="2A6723A5"/>
    <w:rsid w:val="2A6B10BE"/>
    <w:rsid w:val="2A742772"/>
    <w:rsid w:val="2A7936BA"/>
    <w:rsid w:val="2A7947DF"/>
    <w:rsid w:val="2A84376E"/>
    <w:rsid w:val="2A872931"/>
    <w:rsid w:val="2A8D76CD"/>
    <w:rsid w:val="2A971323"/>
    <w:rsid w:val="2A9841A3"/>
    <w:rsid w:val="2AA045D9"/>
    <w:rsid w:val="2AA169D7"/>
    <w:rsid w:val="2AA17F1D"/>
    <w:rsid w:val="2AA33290"/>
    <w:rsid w:val="2AA62AF5"/>
    <w:rsid w:val="2AAF4F08"/>
    <w:rsid w:val="2AB367CB"/>
    <w:rsid w:val="2AB44B65"/>
    <w:rsid w:val="2AB71ACB"/>
    <w:rsid w:val="2AB827ED"/>
    <w:rsid w:val="2ABA4014"/>
    <w:rsid w:val="2AC221A6"/>
    <w:rsid w:val="2AC3248C"/>
    <w:rsid w:val="2AC60F4D"/>
    <w:rsid w:val="2ACB495E"/>
    <w:rsid w:val="2ACC73A0"/>
    <w:rsid w:val="2AD10600"/>
    <w:rsid w:val="2AD14601"/>
    <w:rsid w:val="2AD361A2"/>
    <w:rsid w:val="2AD6546D"/>
    <w:rsid w:val="2AD6580F"/>
    <w:rsid w:val="2ADF15B5"/>
    <w:rsid w:val="2AE06A63"/>
    <w:rsid w:val="2AF90FEE"/>
    <w:rsid w:val="2AFD0534"/>
    <w:rsid w:val="2B0668AD"/>
    <w:rsid w:val="2B0C6A21"/>
    <w:rsid w:val="2B0E6AF9"/>
    <w:rsid w:val="2B124C79"/>
    <w:rsid w:val="2B141AA3"/>
    <w:rsid w:val="2B1B1F0F"/>
    <w:rsid w:val="2B1C18E2"/>
    <w:rsid w:val="2B1F5B97"/>
    <w:rsid w:val="2B203BBD"/>
    <w:rsid w:val="2B203F8C"/>
    <w:rsid w:val="2B204A27"/>
    <w:rsid w:val="2B24030C"/>
    <w:rsid w:val="2B261911"/>
    <w:rsid w:val="2B263B5D"/>
    <w:rsid w:val="2B2A2F7B"/>
    <w:rsid w:val="2B2B1DFB"/>
    <w:rsid w:val="2B3108EA"/>
    <w:rsid w:val="2B312790"/>
    <w:rsid w:val="2B3B360F"/>
    <w:rsid w:val="2B3D202E"/>
    <w:rsid w:val="2B440968"/>
    <w:rsid w:val="2B54295B"/>
    <w:rsid w:val="2B550329"/>
    <w:rsid w:val="2B605D59"/>
    <w:rsid w:val="2B6565E6"/>
    <w:rsid w:val="2B676395"/>
    <w:rsid w:val="2B6C37C8"/>
    <w:rsid w:val="2B767EDF"/>
    <w:rsid w:val="2B7F1AA0"/>
    <w:rsid w:val="2B7F53F7"/>
    <w:rsid w:val="2B8666F2"/>
    <w:rsid w:val="2B8768DD"/>
    <w:rsid w:val="2B8A5E59"/>
    <w:rsid w:val="2B8E7B8C"/>
    <w:rsid w:val="2B90157A"/>
    <w:rsid w:val="2B9A5EA9"/>
    <w:rsid w:val="2B9B2BEB"/>
    <w:rsid w:val="2BA936A8"/>
    <w:rsid w:val="2BAF74B5"/>
    <w:rsid w:val="2BB40AEF"/>
    <w:rsid w:val="2BB54DDC"/>
    <w:rsid w:val="2BBB6125"/>
    <w:rsid w:val="2BBC2105"/>
    <w:rsid w:val="2BBC4769"/>
    <w:rsid w:val="2BC16144"/>
    <w:rsid w:val="2BC5112A"/>
    <w:rsid w:val="2BC92910"/>
    <w:rsid w:val="2BE82EF2"/>
    <w:rsid w:val="2BEE5B1F"/>
    <w:rsid w:val="2BF12F2D"/>
    <w:rsid w:val="2C015EF4"/>
    <w:rsid w:val="2C054340"/>
    <w:rsid w:val="2C0A350E"/>
    <w:rsid w:val="2C116830"/>
    <w:rsid w:val="2C1310F6"/>
    <w:rsid w:val="2C155722"/>
    <w:rsid w:val="2C1800A8"/>
    <w:rsid w:val="2C216216"/>
    <w:rsid w:val="2C2534E6"/>
    <w:rsid w:val="2C2804F2"/>
    <w:rsid w:val="2C2F4323"/>
    <w:rsid w:val="2C3119B5"/>
    <w:rsid w:val="2C315A5A"/>
    <w:rsid w:val="2C393F08"/>
    <w:rsid w:val="2C3C5442"/>
    <w:rsid w:val="2C4300F3"/>
    <w:rsid w:val="2C4B1C25"/>
    <w:rsid w:val="2C4C0277"/>
    <w:rsid w:val="2C511142"/>
    <w:rsid w:val="2C646F21"/>
    <w:rsid w:val="2C653137"/>
    <w:rsid w:val="2C6B2BEF"/>
    <w:rsid w:val="2C6B6BFD"/>
    <w:rsid w:val="2C8B435B"/>
    <w:rsid w:val="2C90139B"/>
    <w:rsid w:val="2C901A50"/>
    <w:rsid w:val="2C9548F8"/>
    <w:rsid w:val="2C9607DD"/>
    <w:rsid w:val="2C970E1B"/>
    <w:rsid w:val="2CA216D0"/>
    <w:rsid w:val="2CB45D3B"/>
    <w:rsid w:val="2CB95AB3"/>
    <w:rsid w:val="2CBA2806"/>
    <w:rsid w:val="2CC0317F"/>
    <w:rsid w:val="2CC40CA6"/>
    <w:rsid w:val="2CC45FAF"/>
    <w:rsid w:val="2CC6515A"/>
    <w:rsid w:val="2CC874B6"/>
    <w:rsid w:val="2CD3100C"/>
    <w:rsid w:val="2CE157EA"/>
    <w:rsid w:val="2CE176DC"/>
    <w:rsid w:val="2CE5381B"/>
    <w:rsid w:val="2CEC491E"/>
    <w:rsid w:val="2CF06047"/>
    <w:rsid w:val="2CF762DC"/>
    <w:rsid w:val="2CF972DD"/>
    <w:rsid w:val="2CFA6912"/>
    <w:rsid w:val="2CFE2C9C"/>
    <w:rsid w:val="2D05743F"/>
    <w:rsid w:val="2D0B632B"/>
    <w:rsid w:val="2D1606C7"/>
    <w:rsid w:val="2D1A59D2"/>
    <w:rsid w:val="2D1B54A6"/>
    <w:rsid w:val="2D276645"/>
    <w:rsid w:val="2D2D09BA"/>
    <w:rsid w:val="2D31720D"/>
    <w:rsid w:val="2D3B4CCF"/>
    <w:rsid w:val="2D3B51A9"/>
    <w:rsid w:val="2D3C54F6"/>
    <w:rsid w:val="2D464E44"/>
    <w:rsid w:val="2D497D5C"/>
    <w:rsid w:val="2D4D553A"/>
    <w:rsid w:val="2D4F41C3"/>
    <w:rsid w:val="2D510EC7"/>
    <w:rsid w:val="2D5609BD"/>
    <w:rsid w:val="2D57314C"/>
    <w:rsid w:val="2D5B3554"/>
    <w:rsid w:val="2D635F7E"/>
    <w:rsid w:val="2D64751E"/>
    <w:rsid w:val="2D666ABF"/>
    <w:rsid w:val="2D6A240C"/>
    <w:rsid w:val="2D883C2C"/>
    <w:rsid w:val="2D8E11B9"/>
    <w:rsid w:val="2D8E211C"/>
    <w:rsid w:val="2D945EC3"/>
    <w:rsid w:val="2D9B4E70"/>
    <w:rsid w:val="2D9E56F5"/>
    <w:rsid w:val="2DA3256D"/>
    <w:rsid w:val="2DA41285"/>
    <w:rsid w:val="2DAC0A4B"/>
    <w:rsid w:val="2DB041A7"/>
    <w:rsid w:val="2DB22DFA"/>
    <w:rsid w:val="2DB552AC"/>
    <w:rsid w:val="2DB651CE"/>
    <w:rsid w:val="2DBB7DEF"/>
    <w:rsid w:val="2DBD7BA2"/>
    <w:rsid w:val="2DC317CD"/>
    <w:rsid w:val="2DC702F0"/>
    <w:rsid w:val="2DCE4A40"/>
    <w:rsid w:val="2DCF3A41"/>
    <w:rsid w:val="2DD74C43"/>
    <w:rsid w:val="2DDC1A2E"/>
    <w:rsid w:val="2DDC2871"/>
    <w:rsid w:val="2DE24215"/>
    <w:rsid w:val="2DE609EE"/>
    <w:rsid w:val="2DE9521A"/>
    <w:rsid w:val="2DEE4056"/>
    <w:rsid w:val="2DFA24BD"/>
    <w:rsid w:val="2E016287"/>
    <w:rsid w:val="2E0520FF"/>
    <w:rsid w:val="2E076F03"/>
    <w:rsid w:val="2E0B43D9"/>
    <w:rsid w:val="2E100858"/>
    <w:rsid w:val="2E1952A2"/>
    <w:rsid w:val="2E1D0595"/>
    <w:rsid w:val="2E1E4B22"/>
    <w:rsid w:val="2E216AB2"/>
    <w:rsid w:val="2E2C4F71"/>
    <w:rsid w:val="2E2F5BC3"/>
    <w:rsid w:val="2E3107B2"/>
    <w:rsid w:val="2E364DB9"/>
    <w:rsid w:val="2E3D03C5"/>
    <w:rsid w:val="2E425B83"/>
    <w:rsid w:val="2E484086"/>
    <w:rsid w:val="2E4A0963"/>
    <w:rsid w:val="2E4D1585"/>
    <w:rsid w:val="2E5844D8"/>
    <w:rsid w:val="2E5F0B69"/>
    <w:rsid w:val="2E6445B8"/>
    <w:rsid w:val="2E667F96"/>
    <w:rsid w:val="2E680EB2"/>
    <w:rsid w:val="2E6A3C12"/>
    <w:rsid w:val="2E8226AB"/>
    <w:rsid w:val="2E8737C0"/>
    <w:rsid w:val="2E8A4FC6"/>
    <w:rsid w:val="2E9C151D"/>
    <w:rsid w:val="2E9F63AF"/>
    <w:rsid w:val="2EA1217E"/>
    <w:rsid w:val="2EA3048C"/>
    <w:rsid w:val="2EA55480"/>
    <w:rsid w:val="2EA72540"/>
    <w:rsid w:val="2EA961D3"/>
    <w:rsid w:val="2EAB202D"/>
    <w:rsid w:val="2EB81DB7"/>
    <w:rsid w:val="2EBD258D"/>
    <w:rsid w:val="2EC0181C"/>
    <w:rsid w:val="2EC553C9"/>
    <w:rsid w:val="2EC8566A"/>
    <w:rsid w:val="2ED3025B"/>
    <w:rsid w:val="2ED32D78"/>
    <w:rsid w:val="2ED41374"/>
    <w:rsid w:val="2ED50B43"/>
    <w:rsid w:val="2ED61540"/>
    <w:rsid w:val="2EDA3F7C"/>
    <w:rsid w:val="2EDB675B"/>
    <w:rsid w:val="2EE901C0"/>
    <w:rsid w:val="2EF9540A"/>
    <w:rsid w:val="2EFE4FB9"/>
    <w:rsid w:val="2F00586E"/>
    <w:rsid w:val="2F0919F8"/>
    <w:rsid w:val="2F0E4B0D"/>
    <w:rsid w:val="2F1C3757"/>
    <w:rsid w:val="2F1E127D"/>
    <w:rsid w:val="2F1E302B"/>
    <w:rsid w:val="2F283B53"/>
    <w:rsid w:val="2F285C58"/>
    <w:rsid w:val="2F302D1F"/>
    <w:rsid w:val="2F313268"/>
    <w:rsid w:val="2F3159ED"/>
    <w:rsid w:val="2F3A18DC"/>
    <w:rsid w:val="2F40488B"/>
    <w:rsid w:val="2F4371AC"/>
    <w:rsid w:val="2F45705A"/>
    <w:rsid w:val="2F4B7749"/>
    <w:rsid w:val="2F4E5ABB"/>
    <w:rsid w:val="2F4F683A"/>
    <w:rsid w:val="2F5577F6"/>
    <w:rsid w:val="2F561292"/>
    <w:rsid w:val="2F5A49BA"/>
    <w:rsid w:val="2F657AEF"/>
    <w:rsid w:val="2F745327"/>
    <w:rsid w:val="2F755A62"/>
    <w:rsid w:val="2F7B45F9"/>
    <w:rsid w:val="2F846214"/>
    <w:rsid w:val="2F8554A4"/>
    <w:rsid w:val="2FA64647"/>
    <w:rsid w:val="2FA93902"/>
    <w:rsid w:val="2FAD2A51"/>
    <w:rsid w:val="2FC52728"/>
    <w:rsid w:val="2FC746D2"/>
    <w:rsid w:val="2FCC4940"/>
    <w:rsid w:val="2FCF13E9"/>
    <w:rsid w:val="2FD01080"/>
    <w:rsid w:val="2FD065E6"/>
    <w:rsid w:val="2FD41C6F"/>
    <w:rsid w:val="2FD835A4"/>
    <w:rsid w:val="2FD96870"/>
    <w:rsid w:val="2FDE5293"/>
    <w:rsid w:val="2FDF7E90"/>
    <w:rsid w:val="2FEC19F6"/>
    <w:rsid w:val="2FF564F0"/>
    <w:rsid w:val="2FFA51BE"/>
    <w:rsid w:val="2FFF3C7E"/>
    <w:rsid w:val="300E1A11"/>
    <w:rsid w:val="30131ECD"/>
    <w:rsid w:val="30155D28"/>
    <w:rsid w:val="301C5FF0"/>
    <w:rsid w:val="302059C7"/>
    <w:rsid w:val="30233EAF"/>
    <w:rsid w:val="30287F27"/>
    <w:rsid w:val="302A1C96"/>
    <w:rsid w:val="30314299"/>
    <w:rsid w:val="30382480"/>
    <w:rsid w:val="303A628A"/>
    <w:rsid w:val="303C2E9C"/>
    <w:rsid w:val="303D4261"/>
    <w:rsid w:val="30471F54"/>
    <w:rsid w:val="304A77BB"/>
    <w:rsid w:val="304B22C7"/>
    <w:rsid w:val="30516A45"/>
    <w:rsid w:val="30523734"/>
    <w:rsid w:val="30580BC9"/>
    <w:rsid w:val="30596C91"/>
    <w:rsid w:val="3067626D"/>
    <w:rsid w:val="306A3ED1"/>
    <w:rsid w:val="307736D2"/>
    <w:rsid w:val="307A01F3"/>
    <w:rsid w:val="307A2EC4"/>
    <w:rsid w:val="307F1319"/>
    <w:rsid w:val="30863E36"/>
    <w:rsid w:val="308B2B6E"/>
    <w:rsid w:val="308C52B4"/>
    <w:rsid w:val="30A7350C"/>
    <w:rsid w:val="30AF5D0D"/>
    <w:rsid w:val="30B332A0"/>
    <w:rsid w:val="30B92EBD"/>
    <w:rsid w:val="30C776F3"/>
    <w:rsid w:val="30D047F9"/>
    <w:rsid w:val="30D2231F"/>
    <w:rsid w:val="30D34055"/>
    <w:rsid w:val="30D7738E"/>
    <w:rsid w:val="30E00A2B"/>
    <w:rsid w:val="30E36CD9"/>
    <w:rsid w:val="30ED015F"/>
    <w:rsid w:val="30F42857"/>
    <w:rsid w:val="30FD03DE"/>
    <w:rsid w:val="30FF5388"/>
    <w:rsid w:val="310D77FB"/>
    <w:rsid w:val="310F1A7C"/>
    <w:rsid w:val="311E2ED7"/>
    <w:rsid w:val="31242549"/>
    <w:rsid w:val="31327262"/>
    <w:rsid w:val="31390670"/>
    <w:rsid w:val="31422953"/>
    <w:rsid w:val="3146324D"/>
    <w:rsid w:val="31501496"/>
    <w:rsid w:val="31554AE1"/>
    <w:rsid w:val="315619EE"/>
    <w:rsid w:val="315925A5"/>
    <w:rsid w:val="315C449C"/>
    <w:rsid w:val="315C5C51"/>
    <w:rsid w:val="315E1341"/>
    <w:rsid w:val="3167505A"/>
    <w:rsid w:val="316A7F73"/>
    <w:rsid w:val="316E106E"/>
    <w:rsid w:val="31772BA4"/>
    <w:rsid w:val="31775571"/>
    <w:rsid w:val="317F3923"/>
    <w:rsid w:val="31816918"/>
    <w:rsid w:val="31840B7C"/>
    <w:rsid w:val="31881240"/>
    <w:rsid w:val="31905D39"/>
    <w:rsid w:val="319248E7"/>
    <w:rsid w:val="3195304C"/>
    <w:rsid w:val="31976B01"/>
    <w:rsid w:val="31AA3F1B"/>
    <w:rsid w:val="31B2081A"/>
    <w:rsid w:val="31B629A4"/>
    <w:rsid w:val="31B65E6B"/>
    <w:rsid w:val="31B82709"/>
    <w:rsid w:val="31C0486E"/>
    <w:rsid w:val="31C13471"/>
    <w:rsid w:val="31C33672"/>
    <w:rsid w:val="31C56CB4"/>
    <w:rsid w:val="31C87DAE"/>
    <w:rsid w:val="31C91299"/>
    <w:rsid w:val="31CC7B09"/>
    <w:rsid w:val="31D05482"/>
    <w:rsid w:val="31D83305"/>
    <w:rsid w:val="31D8640C"/>
    <w:rsid w:val="31D9492A"/>
    <w:rsid w:val="31DD115D"/>
    <w:rsid w:val="31E71DFA"/>
    <w:rsid w:val="31ED71F9"/>
    <w:rsid w:val="31EF6C80"/>
    <w:rsid w:val="320324A7"/>
    <w:rsid w:val="32037535"/>
    <w:rsid w:val="32062180"/>
    <w:rsid w:val="32081D71"/>
    <w:rsid w:val="320E15A1"/>
    <w:rsid w:val="3214059A"/>
    <w:rsid w:val="32144594"/>
    <w:rsid w:val="321B221E"/>
    <w:rsid w:val="321F46DF"/>
    <w:rsid w:val="322671C5"/>
    <w:rsid w:val="322748ED"/>
    <w:rsid w:val="322C7F41"/>
    <w:rsid w:val="323738B5"/>
    <w:rsid w:val="32400B34"/>
    <w:rsid w:val="32437F40"/>
    <w:rsid w:val="324E0C2B"/>
    <w:rsid w:val="3262043F"/>
    <w:rsid w:val="3268532D"/>
    <w:rsid w:val="326E1612"/>
    <w:rsid w:val="327333DF"/>
    <w:rsid w:val="327D1F7E"/>
    <w:rsid w:val="328A55CC"/>
    <w:rsid w:val="328E4A33"/>
    <w:rsid w:val="329315E2"/>
    <w:rsid w:val="32955080"/>
    <w:rsid w:val="329E6876"/>
    <w:rsid w:val="32A25F90"/>
    <w:rsid w:val="32AA1ED4"/>
    <w:rsid w:val="32AB4227"/>
    <w:rsid w:val="32B22720"/>
    <w:rsid w:val="32B9401B"/>
    <w:rsid w:val="32C229D6"/>
    <w:rsid w:val="32D12B9B"/>
    <w:rsid w:val="32D35FBF"/>
    <w:rsid w:val="32DB2FD5"/>
    <w:rsid w:val="32DC7FC1"/>
    <w:rsid w:val="32E4681E"/>
    <w:rsid w:val="32EE5E31"/>
    <w:rsid w:val="32F5641E"/>
    <w:rsid w:val="32FB16AE"/>
    <w:rsid w:val="33084D6E"/>
    <w:rsid w:val="331172F8"/>
    <w:rsid w:val="33143905"/>
    <w:rsid w:val="33194511"/>
    <w:rsid w:val="331A0DDF"/>
    <w:rsid w:val="331C00CB"/>
    <w:rsid w:val="331C792E"/>
    <w:rsid w:val="331F02E6"/>
    <w:rsid w:val="332A63C3"/>
    <w:rsid w:val="332C69AF"/>
    <w:rsid w:val="33300053"/>
    <w:rsid w:val="333015F2"/>
    <w:rsid w:val="3330394B"/>
    <w:rsid w:val="33312A8C"/>
    <w:rsid w:val="33332C42"/>
    <w:rsid w:val="33352F2B"/>
    <w:rsid w:val="333655E8"/>
    <w:rsid w:val="33393481"/>
    <w:rsid w:val="333D2C43"/>
    <w:rsid w:val="33426536"/>
    <w:rsid w:val="334734C5"/>
    <w:rsid w:val="334B6320"/>
    <w:rsid w:val="33565F48"/>
    <w:rsid w:val="335C4122"/>
    <w:rsid w:val="33640CE1"/>
    <w:rsid w:val="336719B8"/>
    <w:rsid w:val="33686F6B"/>
    <w:rsid w:val="336F3324"/>
    <w:rsid w:val="337B0E24"/>
    <w:rsid w:val="337C084E"/>
    <w:rsid w:val="337D36C3"/>
    <w:rsid w:val="337F58BD"/>
    <w:rsid w:val="3394365D"/>
    <w:rsid w:val="339462FF"/>
    <w:rsid w:val="33967233"/>
    <w:rsid w:val="33A378C3"/>
    <w:rsid w:val="33A40BAF"/>
    <w:rsid w:val="33AA5D59"/>
    <w:rsid w:val="33B852A9"/>
    <w:rsid w:val="33BF5192"/>
    <w:rsid w:val="33C9449E"/>
    <w:rsid w:val="33C963B1"/>
    <w:rsid w:val="33CA667C"/>
    <w:rsid w:val="33CE53F3"/>
    <w:rsid w:val="33D05A95"/>
    <w:rsid w:val="33D934D4"/>
    <w:rsid w:val="33DE547F"/>
    <w:rsid w:val="33E02389"/>
    <w:rsid w:val="33E03111"/>
    <w:rsid w:val="33F64589"/>
    <w:rsid w:val="33FE2F6A"/>
    <w:rsid w:val="34055539"/>
    <w:rsid w:val="34056B80"/>
    <w:rsid w:val="340E07E5"/>
    <w:rsid w:val="34114A53"/>
    <w:rsid w:val="34221E92"/>
    <w:rsid w:val="34234F1B"/>
    <w:rsid w:val="34235BF7"/>
    <w:rsid w:val="342F1837"/>
    <w:rsid w:val="34325CF5"/>
    <w:rsid w:val="34362200"/>
    <w:rsid w:val="343E5F1E"/>
    <w:rsid w:val="34434878"/>
    <w:rsid w:val="34475BD0"/>
    <w:rsid w:val="3447656B"/>
    <w:rsid w:val="344C33F3"/>
    <w:rsid w:val="344D0099"/>
    <w:rsid w:val="345D7962"/>
    <w:rsid w:val="34641C6A"/>
    <w:rsid w:val="34685E36"/>
    <w:rsid w:val="346D766F"/>
    <w:rsid w:val="347C1377"/>
    <w:rsid w:val="347C1D4F"/>
    <w:rsid w:val="348B5DF9"/>
    <w:rsid w:val="349138C6"/>
    <w:rsid w:val="349A4389"/>
    <w:rsid w:val="349F226B"/>
    <w:rsid w:val="34A2193F"/>
    <w:rsid w:val="34AC164D"/>
    <w:rsid w:val="34AC38E5"/>
    <w:rsid w:val="34B75F38"/>
    <w:rsid w:val="34B82A3C"/>
    <w:rsid w:val="34C24120"/>
    <w:rsid w:val="34C81B17"/>
    <w:rsid w:val="34C8785B"/>
    <w:rsid w:val="34CB1486"/>
    <w:rsid w:val="34CC71FA"/>
    <w:rsid w:val="34CE001E"/>
    <w:rsid w:val="34D050BC"/>
    <w:rsid w:val="34D36512"/>
    <w:rsid w:val="34DB5613"/>
    <w:rsid w:val="34DD1522"/>
    <w:rsid w:val="34E609EA"/>
    <w:rsid w:val="34EB1C96"/>
    <w:rsid w:val="34F234CC"/>
    <w:rsid w:val="34F654CD"/>
    <w:rsid w:val="34FD5924"/>
    <w:rsid w:val="34FF251D"/>
    <w:rsid w:val="35013B72"/>
    <w:rsid w:val="3507290A"/>
    <w:rsid w:val="350C2353"/>
    <w:rsid w:val="350F4547"/>
    <w:rsid w:val="350F7505"/>
    <w:rsid w:val="351429B9"/>
    <w:rsid w:val="35163B05"/>
    <w:rsid w:val="3516543A"/>
    <w:rsid w:val="351B7281"/>
    <w:rsid w:val="3523445E"/>
    <w:rsid w:val="352F7347"/>
    <w:rsid w:val="353B1940"/>
    <w:rsid w:val="353D7A12"/>
    <w:rsid w:val="353F0E18"/>
    <w:rsid w:val="354A3DC9"/>
    <w:rsid w:val="354A4276"/>
    <w:rsid w:val="354C5ECE"/>
    <w:rsid w:val="3550473F"/>
    <w:rsid w:val="356309B1"/>
    <w:rsid w:val="356D277E"/>
    <w:rsid w:val="35792788"/>
    <w:rsid w:val="35812BC3"/>
    <w:rsid w:val="35835695"/>
    <w:rsid w:val="35845A35"/>
    <w:rsid w:val="3588083B"/>
    <w:rsid w:val="358856A2"/>
    <w:rsid w:val="358C5FA8"/>
    <w:rsid w:val="358F66C7"/>
    <w:rsid w:val="35946098"/>
    <w:rsid w:val="35957067"/>
    <w:rsid w:val="35997B16"/>
    <w:rsid w:val="359A4316"/>
    <w:rsid w:val="35A10BFF"/>
    <w:rsid w:val="35A50E73"/>
    <w:rsid w:val="35A5121D"/>
    <w:rsid w:val="35A85770"/>
    <w:rsid w:val="35AA02EA"/>
    <w:rsid w:val="35B536D0"/>
    <w:rsid w:val="35BB7247"/>
    <w:rsid w:val="35C07B19"/>
    <w:rsid w:val="35C15DF1"/>
    <w:rsid w:val="35C80A6A"/>
    <w:rsid w:val="35CB7427"/>
    <w:rsid w:val="35D3791E"/>
    <w:rsid w:val="35F14B60"/>
    <w:rsid w:val="35F44EAC"/>
    <w:rsid w:val="35F60FD4"/>
    <w:rsid w:val="35FA2604"/>
    <w:rsid w:val="35FE1052"/>
    <w:rsid w:val="36074A7F"/>
    <w:rsid w:val="360B20EB"/>
    <w:rsid w:val="360B284B"/>
    <w:rsid w:val="360C70F1"/>
    <w:rsid w:val="360D2B77"/>
    <w:rsid w:val="360F1760"/>
    <w:rsid w:val="362C0CFE"/>
    <w:rsid w:val="363B2011"/>
    <w:rsid w:val="363D3597"/>
    <w:rsid w:val="363D5E48"/>
    <w:rsid w:val="363F29C0"/>
    <w:rsid w:val="365A6C6B"/>
    <w:rsid w:val="36761EEF"/>
    <w:rsid w:val="3679323D"/>
    <w:rsid w:val="36795CB8"/>
    <w:rsid w:val="367F0513"/>
    <w:rsid w:val="36873BAC"/>
    <w:rsid w:val="36915AD6"/>
    <w:rsid w:val="36923549"/>
    <w:rsid w:val="369D2369"/>
    <w:rsid w:val="36A04519"/>
    <w:rsid w:val="36A443E7"/>
    <w:rsid w:val="36AA0C64"/>
    <w:rsid w:val="36AD61E9"/>
    <w:rsid w:val="36B75FBF"/>
    <w:rsid w:val="36BD0C45"/>
    <w:rsid w:val="36C67B72"/>
    <w:rsid w:val="36C9273F"/>
    <w:rsid w:val="36CA4237"/>
    <w:rsid w:val="36E05C97"/>
    <w:rsid w:val="36E73F6C"/>
    <w:rsid w:val="36E94875"/>
    <w:rsid w:val="36F90503"/>
    <w:rsid w:val="36FC78C7"/>
    <w:rsid w:val="370225EB"/>
    <w:rsid w:val="370527FE"/>
    <w:rsid w:val="370711FC"/>
    <w:rsid w:val="370C2C5A"/>
    <w:rsid w:val="37103654"/>
    <w:rsid w:val="37107EEB"/>
    <w:rsid w:val="37113A61"/>
    <w:rsid w:val="37132F1C"/>
    <w:rsid w:val="37154C13"/>
    <w:rsid w:val="371A36E7"/>
    <w:rsid w:val="37223E98"/>
    <w:rsid w:val="37254DEE"/>
    <w:rsid w:val="3727598A"/>
    <w:rsid w:val="372B2A45"/>
    <w:rsid w:val="372D45A4"/>
    <w:rsid w:val="3733136E"/>
    <w:rsid w:val="37333E29"/>
    <w:rsid w:val="3734377A"/>
    <w:rsid w:val="373733D7"/>
    <w:rsid w:val="373F613F"/>
    <w:rsid w:val="37424989"/>
    <w:rsid w:val="374A2770"/>
    <w:rsid w:val="37516D43"/>
    <w:rsid w:val="37517004"/>
    <w:rsid w:val="37522A5C"/>
    <w:rsid w:val="37542179"/>
    <w:rsid w:val="37555A58"/>
    <w:rsid w:val="375A559C"/>
    <w:rsid w:val="375D789F"/>
    <w:rsid w:val="37652BE0"/>
    <w:rsid w:val="376766A3"/>
    <w:rsid w:val="37711674"/>
    <w:rsid w:val="37752A36"/>
    <w:rsid w:val="377806A3"/>
    <w:rsid w:val="37804388"/>
    <w:rsid w:val="37856EE7"/>
    <w:rsid w:val="3789349B"/>
    <w:rsid w:val="378E5963"/>
    <w:rsid w:val="3796011C"/>
    <w:rsid w:val="379F32E9"/>
    <w:rsid w:val="37A00B75"/>
    <w:rsid w:val="37A060F7"/>
    <w:rsid w:val="37B72094"/>
    <w:rsid w:val="37B965A2"/>
    <w:rsid w:val="37BA0ADC"/>
    <w:rsid w:val="37BA68DC"/>
    <w:rsid w:val="37BD14EA"/>
    <w:rsid w:val="37BD674C"/>
    <w:rsid w:val="37C329C2"/>
    <w:rsid w:val="37CD325B"/>
    <w:rsid w:val="37D66B28"/>
    <w:rsid w:val="37D92074"/>
    <w:rsid w:val="37DF783A"/>
    <w:rsid w:val="37E00298"/>
    <w:rsid w:val="37E12A02"/>
    <w:rsid w:val="37E3763E"/>
    <w:rsid w:val="37E97076"/>
    <w:rsid w:val="37F767DD"/>
    <w:rsid w:val="38067F37"/>
    <w:rsid w:val="38090BBC"/>
    <w:rsid w:val="380E4795"/>
    <w:rsid w:val="38111423"/>
    <w:rsid w:val="38157BC2"/>
    <w:rsid w:val="381F15FE"/>
    <w:rsid w:val="382041C8"/>
    <w:rsid w:val="382167B2"/>
    <w:rsid w:val="3821741C"/>
    <w:rsid w:val="382C1764"/>
    <w:rsid w:val="38301519"/>
    <w:rsid w:val="38481F1F"/>
    <w:rsid w:val="38575F37"/>
    <w:rsid w:val="385D3AC9"/>
    <w:rsid w:val="3861668B"/>
    <w:rsid w:val="38616FB2"/>
    <w:rsid w:val="38620A9F"/>
    <w:rsid w:val="386275C9"/>
    <w:rsid w:val="386C365A"/>
    <w:rsid w:val="387041C5"/>
    <w:rsid w:val="387305E2"/>
    <w:rsid w:val="387651A8"/>
    <w:rsid w:val="387A2C15"/>
    <w:rsid w:val="387E1802"/>
    <w:rsid w:val="3886314B"/>
    <w:rsid w:val="388A1560"/>
    <w:rsid w:val="38A41A6C"/>
    <w:rsid w:val="38A47FB0"/>
    <w:rsid w:val="38AC2380"/>
    <w:rsid w:val="38B302F9"/>
    <w:rsid w:val="38C00FCE"/>
    <w:rsid w:val="38CA76FC"/>
    <w:rsid w:val="38CF2D37"/>
    <w:rsid w:val="38D1261B"/>
    <w:rsid w:val="38D70B59"/>
    <w:rsid w:val="38DB4E8C"/>
    <w:rsid w:val="38E56418"/>
    <w:rsid w:val="38F12CD3"/>
    <w:rsid w:val="38F94775"/>
    <w:rsid w:val="38FE5E59"/>
    <w:rsid w:val="39024C54"/>
    <w:rsid w:val="39030238"/>
    <w:rsid w:val="39097B09"/>
    <w:rsid w:val="390B0D4C"/>
    <w:rsid w:val="390C0FE7"/>
    <w:rsid w:val="390E4110"/>
    <w:rsid w:val="392128F2"/>
    <w:rsid w:val="39243934"/>
    <w:rsid w:val="392522EF"/>
    <w:rsid w:val="39265A97"/>
    <w:rsid w:val="392971ED"/>
    <w:rsid w:val="392C08C6"/>
    <w:rsid w:val="392E33AD"/>
    <w:rsid w:val="392F05FE"/>
    <w:rsid w:val="39325651"/>
    <w:rsid w:val="39374C23"/>
    <w:rsid w:val="393C2593"/>
    <w:rsid w:val="39482013"/>
    <w:rsid w:val="39553E4B"/>
    <w:rsid w:val="395B2089"/>
    <w:rsid w:val="395D4162"/>
    <w:rsid w:val="39693F63"/>
    <w:rsid w:val="39697628"/>
    <w:rsid w:val="396A5D1F"/>
    <w:rsid w:val="39782234"/>
    <w:rsid w:val="39796A08"/>
    <w:rsid w:val="397E6367"/>
    <w:rsid w:val="398B2C14"/>
    <w:rsid w:val="399274A7"/>
    <w:rsid w:val="39976D63"/>
    <w:rsid w:val="39996D22"/>
    <w:rsid w:val="399D58E4"/>
    <w:rsid w:val="39A47007"/>
    <w:rsid w:val="39B151B0"/>
    <w:rsid w:val="39B34559"/>
    <w:rsid w:val="39B36A66"/>
    <w:rsid w:val="39B620D3"/>
    <w:rsid w:val="39B643A0"/>
    <w:rsid w:val="39B83232"/>
    <w:rsid w:val="39BC34D2"/>
    <w:rsid w:val="39C15930"/>
    <w:rsid w:val="39C33F70"/>
    <w:rsid w:val="39C773C1"/>
    <w:rsid w:val="39C95444"/>
    <w:rsid w:val="39CB74D2"/>
    <w:rsid w:val="39CD38DB"/>
    <w:rsid w:val="39CF6B9D"/>
    <w:rsid w:val="39DC40B5"/>
    <w:rsid w:val="39DE3EB2"/>
    <w:rsid w:val="39E35DB1"/>
    <w:rsid w:val="39E63007"/>
    <w:rsid w:val="39EF1509"/>
    <w:rsid w:val="39F71369"/>
    <w:rsid w:val="39FB14DB"/>
    <w:rsid w:val="39FB6A58"/>
    <w:rsid w:val="3A081C8E"/>
    <w:rsid w:val="3A0C30DD"/>
    <w:rsid w:val="3A0C47BE"/>
    <w:rsid w:val="3A105777"/>
    <w:rsid w:val="3A1C1406"/>
    <w:rsid w:val="3A1C19D4"/>
    <w:rsid w:val="3A217E4F"/>
    <w:rsid w:val="3A227AAA"/>
    <w:rsid w:val="3A2B6423"/>
    <w:rsid w:val="3A30265C"/>
    <w:rsid w:val="3A3244C4"/>
    <w:rsid w:val="3A354C3C"/>
    <w:rsid w:val="3A3B7187"/>
    <w:rsid w:val="3A3D6AD4"/>
    <w:rsid w:val="3A403BBE"/>
    <w:rsid w:val="3A513317"/>
    <w:rsid w:val="3A5B3385"/>
    <w:rsid w:val="3A5D1A49"/>
    <w:rsid w:val="3A65336D"/>
    <w:rsid w:val="3A6C06D7"/>
    <w:rsid w:val="3A6E51D3"/>
    <w:rsid w:val="3A710EBF"/>
    <w:rsid w:val="3A7172B7"/>
    <w:rsid w:val="3A772A5A"/>
    <w:rsid w:val="3A872856"/>
    <w:rsid w:val="3AAE2D52"/>
    <w:rsid w:val="3AB0487C"/>
    <w:rsid w:val="3AB06C4D"/>
    <w:rsid w:val="3AB32B63"/>
    <w:rsid w:val="3ABC400B"/>
    <w:rsid w:val="3ABF42A8"/>
    <w:rsid w:val="3ACB3EC3"/>
    <w:rsid w:val="3ACC17BB"/>
    <w:rsid w:val="3ACC5CEA"/>
    <w:rsid w:val="3AD93526"/>
    <w:rsid w:val="3ADB1971"/>
    <w:rsid w:val="3AE15613"/>
    <w:rsid w:val="3AEC7137"/>
    <w:rsid w:val="3AFE4728"/>
    <w:rsid w:val="3AFE6F5D"/>
    <w:rsid w:val="3AFF4D3B"/>
    <w:rsid w:val="3B03682A"/>
    <w:rsid w:val="3B065C6F"/>
    <w:rsid w:val="3B1A7DEB"/>
    <w:rsid w:val="3B1C79D3"/>
    <w:rsid w:val="3B204C9B"/>
    <w:rsid w:val="3B2A7FAA"/>
    <w:rsid w:val="3B340358"/>
    <w:rsid w:val="3B342E0C"/>
    <w:rsid w:val="3B3763D1"/>
    <w:rsid w:val="3B391EA3"/>
    <w:rsid w:val="3B471980"/>
    <w:rsid w:val="3B4C5D1B"/>
    <w:rsid w:val="3B5025C4"/>
    <w:rsid w:val="3B5433ED"/>
    <w:rsid w:val="3B5A4290"/>
    <w:rsid w:val="3B5E066D"/>
    <w:rsid w:val="3B7429BF"/>
    <w:rsid w:val="3B7546D1"/>
    <w:rsid w:val="3B78237A"/>
    <w:rsid w:val="3B7B35B3"/>
    <w:rsid w:val="3B865664"/>
    <w:rsid w:val="3B9C1A9A"/>
    <w:rsid w:val="3B9F6C6E"/>
    <w:rsid w:val="3BA51363"/>
    <w:rsid w:val="3BAC3CE7"/>
    <w:rsid w:val="3BAC535D"/>
    <w:rsid w:val="3BAF7488"/>
    <w:rsid w:val="3BB56C59"/>
    <w:rsid w:val="3BBC0935"/>
    <w:rsid w:val="3BC14C70"/>
    <w:rsid w:val="3BC72F21"/>
    <w:rsid w:val="3BD416E4"/>
    <w:rsid w:val="3BD876E6"/>
    <w:rsid w:val="3BDA3501"/>
    <w:rsid w:val="3BEA2207"/>
    <w:rsid w:val="3BFD221A"/>
    <w:rsid w:val="3C025A83"/>
    <w:rsid w:val="3C0C7D8C"/>
    <w:rsid w:val="3C147219"/>
    <w:rsid w:val="3C163B20"/>
    <w:rsid w:val="3C18679E"/>
    <w:rsid w:val="3C1E1EE9"/>
    <w:rsid w:val="3C273470"/>
    <w:rsid w:val="3C2F6E1E"/>
    <w:rsid w:val="3C351AA4"/>
    <w:rsid w:val="3C396F31"/>
    <w:rsid w:val="3C3D4F39"/>
    <w:rsid w:val="3C4345AB"/>
    <w:rsid w:val="3C4F64BA"/>
    <w:rsid w:val="3C5971A4"/>
    <w:rsid w:val="3C6C46B9"/>
    <w:rsid w:val="3C6F72FE"/>
    <w:rsid w:val="3C726F71"/>
    <w:rsid w:val="3C737F8A"/>
    <w:rsid w:val="3C7426F5"/>
    <w:rsid w:val="3C820238"/>
    <w:rsid w:val="3C9A0168"/>
    <w:rsid w:val="3C9C1DFB"/>
    <w:rsid w:val="3C9E4A16"/>
    <w:rsid w:val="3CAE6E57"/>
    <w:rsid w:val="3CB036B4"/>
    <w:rsid w:val="3CB31D73"/>
    <w:rsid w:val="3CB7686D"/>
    <w:rsid w:val="3CBB038A"/>
    <w:rsid w:val="3CBB3436"/>
    <w:rsid w:val="3CBB6BD7"/>
    <w:rsid w:val="3CBC0191"/>
    <w:rsid w:val="3CCB1B9B"/>
    <w:rsid w:val="3CDA245A"/>
    <w:rsid w:val="3CE26A9A"/>
    <w:rsid w:val="3CE77BC8"/>
    <w:rsid w:val="3CEA09F1"/>
    <w:rsid w:val="3CFB4DE5"/>
    <w:rsid w:val="3D035C06"/>
    <w:rsid w:val="3D0466AB"/>
    <w:rsid w:val="3D052704"/>
    <w:rsid w:val="3D1E06B7"/>
    <w:rsid w:val="3D2215D1"/>
    <w:rsid w:val="3D223110"/>
    <w:rsid w:val="3D233661"/>
    <w:rsid w:val="3D2635A5"/>
    <w:rsid w:val="3D292674"/>
    <w:rsid w:val="3D29776B"/>
    <w:rsid w:val="3D432A0E"/>
    <w:rsid w:val="3D485A22"/>
    <w:rsid w:val="3D58056B"/>
    <w:rsid w:val="3D5E424A"/>
    <w:rsid w:val="3D5E76C5"/>
    <w:rsid w:val="3D6366A5"/>
    <w:rsid w:val="3D651B7D"/>
    <w:rsid w:val="3D697F52"/>
    <w:rsid w:val="3D6F0A07"/>
    <w:rsid w:val="3D707D85"/>
    <w:rsid w:val="3D723D26"/>
    <w:rsid w:val="3D766655"/>
    <w:rsid w:val="3D78193E"/>
    <w:rsid w:val="3D7A08F9"/>
    <w:rsid w:val="3D7D6F14"/>
    <w:rsid w:val="3D7F0111"/>
    <w:rsid w:val="3D831A26"/>
    <w:rsid w:val="3D840E45"/>
    <w:rsid w:val="3D875995"/>
    <w:rsid w:val="3D891229"/>
    <w:rsid w:val="3D8E6B39"/>
    <w:rsid w:val="3D966E8F"/>
    <w:rsid w:val="3D967C50"/>
    <w:rsid w:val="3DA27F58"/>
    <w:rsid w:val="3DA37C7B"/>
    <w:rsid w:val="3DA930F3"/>
    <w:rsid w:val="3DBA798D"/>
    <w:rsid w:val="3DBC2320"/>
    <w:rsid w:val="3DBC63C8"/>
    <w:rsid w:val="3DC3202C"/>
    <w:rsid w:val="3DC91550"/>
    <w:rsid w:val="3DCB2F17"/>
    <w:rsid w:val="3DD4073F"/>
    <w:rsid w:val="3DDE2530"/>
    <w:rsid w:val="3DE04E53"/>
    <w:rsid w:val="3DE84CBD"/>
    <w:rsid w:val="3DF86273"/>
    <w:rsid w:val="3DFB42AC"/>
    <w:rsid w:val="3DFD29A6"/>
    <w:rsid w:val="3DFF5185"/>
    <w:rsid w:val="3E01335B"/>
    <w:rsid w:val="3E047928"/>
    <w:rsid w:val="3E05245F"/>
    <w:rsid w:val="3E080CD5"/>
    <w:rsid w:val="3E0D74B7"/>
    <w:rsid w:val="3E131A78"/>
    <w:rsid w:val="3E162E94"/>
    <w:rsid w:val="3E197BE3"/>
    <w:rsid w:val="3E1B3331"/>
    <w:rsid w:val="3E1C6A93"/>
    <w:rsid w:val="3E1D5959"/>
    <w:rsid w:val="3E203B46"/>
    <w:rsid w:val="3E2A565D"/>
    <w:rsid w:val="3E3C4565"/>
    <w:rsid w:val="3E46614C"/>
    <w:rsid w:val="3E466B2E"/>
    <w:rsid w:val="3E4930B4"/>
    <w:rsid w:val="3E5055D8"/>
    <w:rsid w:val="3E5144F4"/>
    <w:rsid w:val="3E581C25"/>
    <w:rsid w:val="3E5D7B17"/>
    <w:rsid w:val="3E644199"/>
    <w:rsid w:val="3E6720C7"/>
    <w:rsid w:val="3E6950B0"/>
    <w:rsid w:val="3E6B4168"/>
    <w:rsid w:val="3E6E7FC7"/>
    <w:rsid w:val="3E7020EF"/>
    <w:rsid w:val="3E711348"/>
    <w:rsid w:val="3E7818A1"/>
    <w:rsid w:val="3E7837B6"/>
    <w:rsid w:val="3E7C0C2D"/>
    <w:rsid w:val="3E8831D8"/>
    <w:rsid w:val="3E950E30"/>
    <w:rsid w:val="3EBD0D1E"/>
    <w:rsid w:val="3EC7661E"/>
    <w:rsid w:val="3ED12066"/>
    <w:rsid w:val="3EDA0523"/>
    <w:rsid w:val="3EDC25BB"/>
    <w:rsid w:val="3EE7701B"/>
    <w:rsid w:val="3EF152E9"/>
    <w:rsid w:val="3EF63EBC"/>
    <w:rsid w:val="3F010153"/>
    <w:rsid w:val="3F096D2E"/>
    <w:rsid w:val="3F0E1329"/>
    <w:rsid w:val="3F103CB5"/>
    <w:rsid w:val="3F170BA5"/>
    <w:rsid w:val="3F1B69A6"/>
    <w:rsid w:val="3F311198"/>
    <w:rsid w:val="3F371751"/>
    <w:rsid w:val="3F3C486B"/>
    <w:rsid w:val="3F410949"/>
    <w:rsid w:val="3F415F33"/>
    <w:rsid w:val="3F4529AA"/>
    <w:rsid w:val="3F4F1150"/>
    <w:rsid w:val="3F50388F"/>
    <w:rsid w:val="3F53450A"/>
    <w:rsid w:val="3F542492"/>
    <w:rsid w:val="3F5A0148"/>
    <w:rsid w:val="3F672A06"/>
    <w:rsid w:val="3F6E6F77"/>
    <w:rsid w:val="3F7615B8"/>
    <w:rsid w:val="3F762CF2"/>
    <w:rsid w:val="3F787607"/>
    <w:rsid w:val="3F7D3D9E"/>
    <w:rsid w:val="3F81602C"/>
    <w:rsid w:val="3F8A17C7"/>
    <w:rsid w:val="3F942FAC"/>
    <w:rsid w:val="3F9765E7"/>
    <w:rsid w:val="3F9E5EC8"/>
    <w:rsid w:val="3FA20762"/>
    <w:rsid w:val="3FA31B2F"/>
    <w:rsid w:val="3FA3298B"/>
    <w:rsid w:val="3FA57D8C"/>
    <w:rsid w:val="3FA61CFB"/>
    <w:rsid w:val="3FB03AA0"/>
    <w:rsid w:val="3FB74EE5"/>
    <w:rsid w:val="3FB94973"/>
    <w:rsid w:val="3FBA13F5"/>
    <w:rsid w:val="3FBB06F9"/>
    <w:rsid w:val="3FC24FC3"/>
    <w:rsid w:val="3FCF5F8F"/>
    <w:rsid w:val="3FD34A4C"/>
    <w:rsid w:val="3FEC7DEC"/>
    <w:rsid w:val="3FF10F30"/>
    <w:rsid w:val="3FF41718"/>
    <w:rsid w:val="3FF832A6"/>
    <w:rsid w:val="3FFA6406"/>
    <w:rsid w:val="3FFB2586"/>
    <w:rsid w:val="40004EC5"/>
    <w:rsid w:val="400C5E43"/>
    <w:rsid w:val="40176B3D"/>
    <w:rsid w:val="40184506"/>
    <w:rsid w:val="40220D46"/>
    <w:rsid w:val="402575CD"/>
    <w:rsid w:val="403F095F"/>
    <w:rsid w:val="405A2861"/>
    <w:rsid w:val="40647366"/>
    <w:rsid w:val="40660A4A"/>
    <w:rsid w:val="4068122B"/>
    <w:rsid w:val="40716471"/>
    <w:rsid w:val="40773936"/>
    <w:rsid w:val="407A6407"/>
    <w:rsid w:val="40800F6B"/>
    <w:rsid w:val="40881E86"/>
    <w:rsid w:val="40894000"/>
    <w:rsid w:val="408C234C"/>
    <w:rsid w:val="408D784B"/>
    <w:rsid w:val="408E724C"/>
    <w:rsid w:val="408F6988"/>
    <w:rsid w:val="409018AF"/>
    <w:rsid w:val="40974070"/>
    <w:rsid w:val="409A7514"/>
    <w:rsid w:val="40A23414"/>
    <w:rsid w:val="40A271ED"/>
    <w:rsid w:val="40B02584"/>
    <w:rsid w:val="40B22467"/>
    <w:rsid w:val="40B723A4"/>
    <w:rsid w:val="40BC4452"/>
    <w:rsid w:val="40C02CF2"/>
    <w:rsid w:val="40C727D2"/>
    <w:rsid w:val="40CB61A0"/>
    <w:rsid w:val="40D36B51"/>
    <w:rsid w:val="40D5799B"/>
    <w:rsid w:val="40D66DCC"/>
    <w:rsid w:val="40E25DCA"/>
    <w:rsid w:val="40EE6492"/>
    <w:rsid w:val="40F05BC5"/>
    <w:rsid w:val="40F56CB6"/>
    <w:rsid w:val="40F77D52"/>
    <w:rsid w:val="410B032B"/>
    <w:rsid w:val="410B79B6"/>
    <w:rsid w:val="410D1152"/>
    <w:rsid w:val="41127521"/>
    <w:rsid w:val="41137A3E"/>
    <w:rsid w:val="41181AF3"/>
    <w:rsid w:val="411C704D"/>
    <w:rsid w:val="411F7EAC"/>
    <w:rsid w:val="412763A7"/>
    <w:rsid w:val="412C2DAE"/>
    <w:rsid w:val="41375873"/>
    <w:rsid w:val="41381318"/>
    <w:rsid w:val="413869F2"/>
    <w:rsid w:val="413D3098"/>
    <w:rsid w:val="413E57AF"/>
    <w:rsid w:val="41457027"/>
    <w:rsid w:val="41481157"/>
    <w:rsid w:val="41511F79"/>
    <w:rsid w:val="41517511"/>
    <w:rsid w:val="41533327"/>
    <w:rsid w:val="41590A3B"/>
    <w:rsid w:val="41593FEB"/>
    <w:rsid w:val="415D3482"/>
    <w:rsid w:val="415D390F"/>
    <w:rsid w:val="41602433"/>
    <w:rsid w:val="416141B9"/>
    <w:rsid w:val="416601A4"/>
    <w:rsid w:val="41784796"/>
    <w:rsid w:val="417A6C63"/>
    <w:rsid w:val="417C3179"/>
    <w:rsid w:val="41870307"/>
    <w:rsid w:val="41941531"/>
    <w:rsid w:val="419422F9"/>
    <w:rsid w:val="419B7FA3"/>
    <w:rsid w:val="41A77B65"/>
    <w:rsid w:val="41AA2EB5"/>
    <w:rsid w:val="41B93A4D"/>
    <w:rsid w:val="41BC3F38"/>
    <w:rsid w:val="41BF0BE4"/>
    <w:rsid w:val="41C662EF"/>
    <w:rsid w:val="41C76250"/>
    <w:rsid w:val="41D12ECA"/>
    <w:rsid w:val="41D43F69"/>
    <w:rsid w:val="41DE287C"/>
    <w:rsid w:val="41DF489C"/>
    <w:rsid w:val="41E641FB"/>
    <w:rsid w:val="41E85500"/>
    <w:rsid w:val="41EA0F9B"/>
    <w:rsid w:val="41F10A81"/>
    <w:rsid w:val="41FE052B"/>
    <w:rsid w:val="4200449D"/>
    <w:rsid w:val="42097B6B"/>
    <w:rsid w:val="422400F6"/>
    <w:rsid w:val="42253299"/>
    <w:rsid w:val="422839BD"/>
    <w:rsid w:val="423A3BCC"/>
    <w:rsid w:val="423D5CA4"/>
    <w:rsid w:val="42411AF0"/>
    <w:rsid w:val="42413088"/>
    <w:rsid w:val="42446696"/>
    <w:rsid w:val="42450B6A"/>
    <w:rsid w:val="42457AAD"/>
    <w:rsid w:val="42481BD8"/>
    <w:rsid w:val="424C725A"/>
    <w:rsid w:val="424E57D2"/>
    <w:rsid w:val="42575352"/>
    <w:rsid w:val="425E3E98"/>
    <w:rsid w:val="4262660E"/>
    <w:rsid w:val="42667DE7"/>
    <w:rsid w:val="426A3F28"/>
    <w:rsid w:val="427C5649"/>
    <w:rsid w:val="428057D5"/>
    <w:rsid w:val="4280591A"/>
    <w:rsid w:val="428A7BB2"/>
    <w:rsid w:val="428D62AA"/>
    <w:rsid w:val="428E3A99"/>
    <w:rsid w:val="42B26C49"/>
    <w:rsid w:val="42B945D4"/>
    <w:rsid w:val="42BA5348"/>
    <w:rsid w:val="42BE5A1A"/>
    <w:rsid w:val="42C16673"/>
    <w:rsid w:val="42C95654"/>
    <w:rsid w:val="42CD4C8F"/>
    <w:rsid w:val="42E21BB3"/>
    <w:rsid w:val="42E75BDC"/>
    <w:rsid w:val="42F00A9A"/>
    <w:rsid w:val="43012E27"/>
    <w:rsid w:val="43122A4F"/>
    <w:rsid w:val="431A1904"/>
    <w:rsid w:val="431C1CD4"/>
    <w:rsid w:val="432224AF"/>
    <w:rsid w:val="432A6B67"/>
    <w:rsid w:val="432C1D8D"/>
    <w:rsid w:val="43300437"/>
    <w:rsid w:val="43311FC0"/>
    <w:rsid w:val="43323C35"/>
    <w:rsid w:val="433349EA"/>
    <w:rsid w:val="433504EC"/>
    <w:rsid w:val="4336310B"/>
    <w:rsid w:val="433A5616"/>
    <w:rsid w:val="433A6FE6"/>
    <w:rsid w:val="43442F67"/>
    <w:rsid w:val="43480868"/>
    <w:rsid w:val="434F18F6"/>
    <w:rsid w:val="4350713C"/>
    <w:rsid w:val="43537411"/>
    <w:rsid w:val="43545CAA"/>
    <w:rsid w:val="435B17CF"/>
    <w:rsid w:val="43636A81"/>
    <w:rsid w:val="436653E0"/>
    <w:rsid w:val="43704F28"/>
    <w:rsid w:val="43706B35"/>
    <w:rsid w:val="437A23E0"/>
    <w:rsid w:val="437B23A2"/>
    <w:rsid w:val="43880008"/>
    <w:rsid w:val="438D7C90"/>
    <w:rsid w:val="43925478"/>
    <w:rsid w:val="43941D66"/>
    <w:rsid w:val="439C2070"/>
    <w:rsid w:val="439D2516"/>
    <w:rsid w:val="43A017E2"/>
    <w:rsid w:val="43A81CA6"/>
    <w:rsid w:val="43A94F44"/>
    <w:rsid w:val="43AD595F"/>
    <w:rsid w:val="43AE555B"/>
    <w:rsid w:val="43B11CDC"/>
    <w:rsid w:val="43B6508C"/>
    <w:rsid w:val="43B9692C"/>
    <w:rsid w:val="43BB71C9"/>
    <w:rsid w:val="43C4431A"/>
    <w:rsid w:val="43D575D2"/>
    <w:rsid w:val="43D71CB0"/>
    <w:rsid w:val="43DC49B2"/>
    <w:rsid w:val="43E723DB"/>
    <w:rsid w:val="43EA47F6"/>
    <w:rsid w:val="43F164CA"/>
    <w:rsid w:val="43F403A7"/>
    <w:rsid w:val="4400749C"/>
    <w:rsid w:val="440F1DC4"/>
    <w:rsid w:val="441E551A"/>
    <w:rsid w:val="44250759"/>
    <w:rsid w:val="44280780"/>
    <w:rsid w:val="443745A1"/>
    <w:rsid w:val="444061E0"/>
    <w:rsid w:val="444265E3"/>
    <w:rsid w:val="444904D5"/>
    <w:rsid w:val="444C69C9"/>
    <w:rsid w:val="444E0707"/>
    <w:rsid w:val="444F0108"/>
    <w:rsid w:val="44576874"/>
    <w:rsid w:val="445B5807"/>
    <w:rsid w:val="44684A2B"/>
    <w:rsid w:val="447B3FAC"/>
    <w:rsid w:val="447E57BF"/>
    <w:rsid w:val="44826138"/>
    <w:rsid w:val="44874CBF"/>
    <w:rsid w:val="448E70F0"/>
    <w:rsid w:val="448F0C19"/>
    <w:rsid w:val="44946E53"/>
    <w:rsid w:val="449851D6"/>
    <w:rsid w:val="449C2943"/>
    <w:rsid w:val="44A91DFA"/>
    <w:rsid w:val="44AB0970"/>
    <w:rsid w:val="44B1766E"/>
    <w:rsid w:val="44B2095F"/>
    <w:rsid w:val="44B65639"/>
    <w:rsid w:val="44B951CC"/>
    <w:rsid w:val="44BA1A23"/>
    <w:rsid w:val="44BC72D5"/>
    <w:rsid w:val="44C24001"/>
    <w:rsid w:val="44C31377"/>
    <w:rsid w:val="44C40F17"/>
    <w:rsid w:val="44CD14E0"/>
    <w:rsid w:val="44CD1B82"/>
    <w:rsid w:val="44D025D7"/>
    <w:rsid w:val="44D67407"/>
    <w:rsid w:val="44DD38AA"/>
    <w:rsid w:val="44DF7F8D"/>
    <w:rsid w:val="44E7630E"/>
    <w:rsid w:val="44EB3ABC"/>
    <w:rsid w:val="44F00A9F"/>
    <w:rsid w:val="44F20B0B"/>
    <w:rsid w:val="44FD2225"/>
    <w:rsid w:val="45135787"/>
    <w:rsid w:val="451505D5"/>
    <w:rsid w:val="45185AAE"/>
    <w:rsid w:val="451A62CF"/>
    <w:rsid w:val="4528385E"/>
    <w:rsid w:val="452E5F4C"/>
    <w:rsid w:val="4540685D"/>
    <w:rsid w:val="454710E4"/>
    <w:rsid w:val="45482614"/>
    <w:rsid w:val="454E3FCF"/>
    <w:rsid w:val="45537EBD"/>
    <w:rsid w:val="45595020"/>
    <w:rsid w:val="455A72EA"/>
    <w:rsid w:val="4561192C"/>
    <w:rsid w:val="45612018"/>
    <w:rsid w:val="45627CF5"/>
    <w:rsid w:val="456A1035"/>
    <w:rsid w:val="457C50F5"/>
    <w:rsid w:val="45804277"/>
    <w:rsid w:val="458946E9"/>
    <w:rsid w:val="45956A30"/>
    <w:rsid w:val="459737E5"/>
    <w:rsid w:val="459C6F06"/>
    <w:rsid w:val="45A47C0E"/>
    <w:rsid w:val="45AC2C0E"/>
    <w:rsid w:val="45B64635"/>
    <w:rsid w:val="45B65E33"/>
    <w:rsid w:val="45BE2F38"/>
    <w:rsid w:val="45C27B8B"/>
    <w:rsid w:val="45CA5BC4"/>
    <w:rsid w:val="45CF13AE"/>
    <w:rsid w:val="45D14402"/>
    <w:rsid w:val="45D61CEC"/>
    <w:rsid w:val="45D64D80"/>
    <w:rsid w:val="45DF4DDB"/>
    <w:rsid w:val="45DF7346"/>
    <w:rsid w:val="45E61B8D"/>
    <w:rsid w:val="45ED6512"/>
    <w:rsid w:val="45EE46EB"/>
    <w:rsid w:val="45F83A54"/>
    <w:rsid w:val="460762A0"/>
    <w:rsid w:val="4609638B"/>
    <w:rsid w:val="460A7262"/>
    <w:rsid w:val="460B799F"/>
    <w:rsid w:val="46196A82"/>
    <w:rsid w:val="461B44EA"/>
    <w:rsid w:val="461D76B1"/>
    <w:rsid w:val="46245672"/>
    <w:rsid w:val="462A20B3"/>
    <w:rsid w:val="462B0BA9"/>
    <w:rsid w:val="462D002C"/>
    <w:rsid w:val="462F58FB"/>
    <w:rsid w:val="46337490"/>
    <w:rsid w:val="46373B52"/>
    <w:rsid w:val="4638108E"/>
    <w:rsid w:val="46391239"/>
    <w:rsid w:val="463B2E8B"/>
    <w:rsid w:val="463E54AB"/>
    <w:rsid w:val="464676B5"/>
    <w:rsid w:val="46496788"/>
    <w:rsid w:val="464C489E"/>
    <w:rsid w:val="4650010C"/>
    <w:rsid w:val="46561C28"/>
    <w:rsid w:val="46577FD6"/>
    <w:rsid w:val="465B4709"/>
    <w:rsid w:val="465B7918"/>
    <w:rsid w:val="465F49F5"/>
    <w:rsid w:val="46617A51"/>
    <w:rsid w:val="46621E6E"/>
    <w:rsid w:val="46643D1E"/>
    <w:rsid w:val="46655A5C"/>
    <w:rsid w:val="46810AD3"/>
    <w:rsid w:val="4682613E"/>
    <w:rsid w:val="468442B2"/>
    <w:rsid w:val="468907F3"/>
    <w:rsid w:val="468B5E2F"/>
    <w:rsid w:val="469248DD"/>
    <w:rsid w:val="469449DB"/>
    <w:rsid w:val="469B63B7"/>
    <w:rsid w:val="46A50DCD"/>
    <w:rsid w:val="46AD7E5F"/>
    <w:rsid w:val="46B057DC"/>
    <w:rsid w:val="46B817CD"/>
    <w:rsid w:val="46C05F90"/>
    <w:rsid w:val="46C35D24"/>
    <w:rsid w:val="46C705CE"/>
    <w:rsid w:val="46C77421"/>
    <w:rsid w:val="46CD1C0F"/>
    <w:rsid w:val="46D3192C"/>
    <w:rsid w:val="46D955A7"/>
    <w:rsid w:val="46DC4B0B"/>
    <w:rsid w:val="46E262A3"/>
    <w:rsid w:val="46E451B3"/>
    <w:rsid w:val="46E94889"/>
    <w:rsid w:val="46EC5774"/>
    <w:rsid w:val="46EE20BC"/>
    <w:rsid w:val="46F75979"/>
    <w:rsid w:val="46FF2159"/>
    <w:rsid w:val="47013FF5"/>
    <w:rsid w:val="470433B8"/>
    <w:rsid w:val="470C4C17"/>
    <w:rsid w:val="4713341F"/>
    <w:rsid w:val="47133957"/>
    <w:rsid w:val="47146012"/>
    <w:rsid w:val="47244AC2"/>
    <w:rsid w:val="47307BDB"/>
    <w:rsid w:val="47353C3C"/>
    <w:rsid w:val="47353F78"/>
    <w:rsid w:val="47385092"/>
    <w:rsid w:val="47441929"/>
    <w:rsid w:val="47460F19"/>
    <w:rsid w:val="47466930"/>
    <w:rsid w:val="474C0072"/>
    <w:rsid w:val="474C7598"/>
    <w:rsid w:val="47511906"/>
    <w:rsid w:val="4754203D"/>
    <w:rsid w:val="475D609F"/>
    <w:rsid w:val="475E2A40"/>
    <w:rsid w:val="4765678F"/>
    <w:rsid w:val="476600B5"/>
    <w:rsid w:val="47663446"/>
    <w:rsid w:val="477201B8"/>
    <w:rsid w:val="47725431"/>
    <w:rsid w:val="477338DE"/>
    <w:rsid w:val="47736A05"/>
    <w:rsid w:val="477D372D"/>
    <w:rsid w:val="477E36CB"/>
    <w:rsid w:val="477E54F3"/>
    <w:rsid w:val="478156BD"/>
    <w:rsid w:val="47890BBF"/>
    <w:rsid w:val="478A7E58"/>
    <w:rsid w:val="47935E36"/>
    <w:rsid w:val="479517A9"/>
    <w:rsid w:val="47965051"/>
    <w:rsid w:val="479F6D29"/>
    <w:rsid w:val="47A07E0C"/>
    <w:rsid w:val="47A541C7"/>
    <w:rsid w:val="47B54A31"/>
    <w:rsid w:val="47B7656C"/>
    <w:rsid w:val="47C41275"/>
    <w:rsid w:val="47D03C43"/>
    <w:rsid w:val="47D17C93"/>
    <w:rsid w:val="47D42F88"/>
    <w:rsid w:val="47D80B7E"/>
    <w:rsid w:val="47DB412C"/>
    <w:rsid w:val="47E22AEE"/>
    <w:rsid w:val="47E939C3"/>
    <w:rsid w:val="47EB4013"/>
    <w:rsid w:val="47EF22B1"/>
    <w:rsid w:val="47F80CF9"/>
    <w:rsid w:val="47FC07D6"/>
    <w:rsid w:val="47FE0709"/>
    <w:rsid w:val="4801132D"/>
    <w:rsid w:val="48081CC3"/>
    <w:rsid w:val="48094725"/>
    <w:rsid w:val="480C1886"/>
    <w:rsid w:val="480F58C6"/>
    <w:rsid w:val="48132967"/>
    <w:rsid w:val="481609C2"/>
    <w:rsid w:val="481B12D7"/>
    <w:rsid w:val="482363A7"/>
    <w:rsid w:val="482A146D"/>
    <w:rsid w:val="482C45FA"/>
    <w:rsid w:val="482E1FE3"/>
    <w:rsid w:val="4830355F"/>
    <w:rsid w:val="48327CE9"/>
    <w:rsid w:val="48336CBA"/>
    <w:rsid w:val="48381158"/>
    <w:rsid w:val="48447BA8"/>
    <w:rsid w:val="48476205"/>
    <w:rsid w:val="485044B9"/>
    <w:rsid w:val="48591292"/>
    <w:rsid w:val="48596651"/>
    <w:rsid w:val="485B7F57"/>
    <w:rsid w:val="48603BFB"/>
    <w:rsid w:val="48617759"/>
    <w:rsid w:val="48621B71"/>
    <w:rsid w:val="48682295"/>
    <w:rsid w:val="486A3B4B"/>
    <w:rsid w:val="4870272E"/>
    <w:rsid w:val="487C220F"/>
    <w:rsid w:val="4881691B"/>
    <w:rsid w:val="48825884"/>
    <w:rsid w:val="48877025"/>
    <w:rsid w:val="488A0814"/>
    <w:rsid w:val="48962662"/>
    <w:rsid w:val="4897554D"/>
    <w:rsid w:val="489B6252"/>
    <w:rsid w:val="48A67BC5"/>
    <w:rsid w:val="48AF265D"/>
    <w:rsid w:val="48B501BF"/>
    <w:rsid w:val="48BA396D"/>
    <w:rsid w:val="48BC593A"/>
    <w:rsid w:val="48BE0117"/>
    <w:rsid w:val="48C05C74"/>
    <w:rsid w:val="48C9402F"/>
    <w:rsid w:val="48CE77DB"/>
    <w:rsid w:val="48D01B69"/>
    <w:rsid w:val="48D1111D"/>
    <w:rsid w:val="48D23FA5"/>
    <w:rsid w:val="48D719C0"/>
    <w:rsid w:val="48DA2CE4"/>
    <w:rsid w:val="48E309F9"/>
    <w:rsid w:val="48E546E3"/>
    <w:rsid w:val="48E93872"/>
    <w:rsid w:val="48E95E3B"/>
    <w:rsid w:val="48F360E6"/>
    <w:rsid w:val="48F6240D"/>
    <w:rsid w:val="48F91696"/>
    <w:rsid w:val="48FE6AB8"/>
    <w:rsid w:val="49072F7C"/>
    <w:rsid w:val="490F3D12"/>
    <w:rsid w:val="49115557"/>
    <w:rsid w:val="49137975"/>
    <w:rsid w:val="491A08B0"/>
    <w:rsid w:val="491D47A2"/>
    <w:rsid w:val="4921579A"/>
    <w:rsid w:val="49215F50"/>
    <w:rsid w:val="49222C95"/>
    <w:rsid w:val="492418F0"/>
    <w:rsid w:val="492D02BC"/>
    <w:rsid w:val="492E6F2A"/>
    <w:rsid w:val="492F496F"/>
    <w:rsid w:val="49360FB4"/>
    <w:rsid w:val="49364CA6"/>
    <w:rsid w:val="4937593E"/>
    <w:rsid w:val="49414C2D"/>
    <w:rsid w:val="49431995"/>
    <w:rsid w:val="494319A1"/>
    <w:rsid w:val="494C4163"/>
    <w:rsid w:val="495C728B"/>
    <w:rsid w:val="49604FE3"/>
    <w:rsid w:val="49654D68"/>
    <w:rsid w:val="49794C27"/>
    <w:rsid w:val="497B4444"/>
    <w:rsid w:val="498102A2"/>
    <w:rsid w:val="49944EFE"/>
    <w:rsid w:val="499458D6"/>
    <w:rsid w:val="49951CE4"/>
    <w:rsid w:val="49974844"/>
    <w:rsid w:val="49A575DF"/>
    <w:rsid w:val="49A95FC6"/>
    <w:rsid w:val="49AD5280"/>
    <w:rsid w:val="49B52C28"/>
    <w:rsid w:val="49BE4EF8"/>
    <w:rsid w:val="49C26759"/>
    <w:rsid w:val="49C60640"/>
    <w:rsid w:val="49CC3AD9"/>
    <w:rsid w:val="49CE4D80"/>
    <w:rsid w:val="49D011FD"/>
    <w:rsid w:val="49D46CB0"/>
    <w:rsid w:val="49D710A4"/>
    <w:rsid w:val="49DC7715"/>
    <w:rsid w:val="49E739DA"/>
    <w:rsid w:val="49F379D7"/>
    <w:rsid w:val="49F87B9B"/>
    <w:rsid w:val="49FC075C"/>
    <w:rsid w:val="49FE1C6F"/>
    <w:rsid w:val="4A023139"/>
    <w:rsid w:val="4A055311"/>
    <w:rsid w:val="4A0838F8"/>
    <w:rsid w:val="4A0D7738"/>
    <w:rsid w:val="4A133A9F"/>
    <w:rsid w:val="4A170DAF"/>
    <w:rsid w:val="4A2515AD"/>
    <w:rsid w:val="4A2635B0"/>
    <w:rsid w:val="4A280D07"/>
    <w:rsid w:val="4A2833EA"/>
    <w:rsid w:val="4A296B57"/>
    <w:rsid w:val="4A2E1570"/>
    <w:rsid w:val="4A2F181C"/>
    <w:rsid w:val="4A365275"/>
    <w:rsid w:val="4A3C6F2F"/>
    <w:rsid w:val="4A5302EC"/>
    <w:rsid w:val="4A567D09"/>
    <w:rsid w:val="4A5D5FF4"/>
    <w:rsid w:val="4A614835"/>
    <w:rsid w:val="4A64744C"/>
    <w:rsid w:val="4A6F07E2"/>
    <w:rsid w:val="4A737F08"/>
    <w:rsid w:val="4A766472"/>
    <w:rsid w:val="4A766910"/>
    <w:rsid w:val="4A777B33"/>
    <w:rsid w:val="4A790845"/>
    <w:rsid w:val="4A7A7858"/>
    <w:rsid w:val="4A7B576F"/>
    <w:rsid w:val="4A847B06"/>
    <w:rsid w:val="4A892945"/>
    <w:rsid w:val="4A8E58B4"/>
    <w:rsid w:val="4A9E2E1A"/>
    <w:rsid w:val="4A9E38A4"/>
    <w:rsid w:val="4AAC52C8"/>
    <w:rsid w:val="4AB76134"/>
    <w:rsid w:val="4ABB6F59"/>
    <w:rsid w:val="4ABD307D"/>
    <w:rsid w:val="4AC6637B"/>
    <w:rsid w:val="4ACC38FC"/>
    <w:rsid w:val="4AD036BD"/>
    <w:rsid w:val="4AD17353"/>
    <w:rsid w:val="4AD53402"/>
    <w:rsid w:val="4AD73F59"/>
    <w:rsid w:val="4ADD11A5"/>
    <w:rsid w:val="4AE4298B"/>
    <w:rsid w:val="4AE515FF"/>
    <w:rsid w:val="4AEC1DD8"/>
    <w:rsid w:val="4AEC6877"/>
    <w:rsid w:val="4AF33DC5"/>
    <w:rsid w:val="4AF561A9"/>
    <w:rsid w:val="4AF84C20"/>
    <w:rsid w:val="4B044132"/>
    <w:rsid w:val="4B08640A"/>
    <w:rsid w:val="4B2257F9"/>
    <w:rsid w:val="4B286B42"/>
    <w:rsid w:val="4B2F0DF3"/>
    <w:rsid w:val="4B3071E9"/>
    <w:rsid w:val="4B452F2D"/>
    <w:rsid w:val="4B4A2D40"/>
    <w:rsid w:val="4B4F4E3C"/>
    <w:rsid w:val="4B5039C3"/>
    <w:rsid w:val="4B683D04"/>
    <w:rsid w:val="4B685C65"/>
    <w:rsid w:val="4B7F2EB4"/>
    <w:rsid w:val="4B854FF7"/>
    <w:rsid w:val="4B870F8A"/>
    <w:rsid w:val="4B8818B5"/>
    <w:rsid w:val="4BA0254F"/>
    <w:rsid w:val="4BA83976"/>
    <w:rsid w:val="4BAE1126"/>
    <w:rsid w:val="4BB31C14"/>
    <w:rsid w:val="4BB55204"/>
    <w:rsid w:val="4BB91F26"/>
    <w:rsid w:val="4BBF6745"/>
    <w:rsid w:val="4BC0436E"/>
    <w:rsid w:val="4BC349BE"/>
    <w:rsid w:val="4BC44D96"/>
    <w:rsid w:val="4BC52AF4"/>
    <w:rsid w:val="4BC649B9"/>
    <w:rsid w:val="4BC81FA5"/>
    <w:rsid w:val="4BC845F3"/>
    <w:rsid w:val="4BC90E61"/>
    <w:rsid w:val="4BCD6991"/>
    <w:rsid w:val="4BCE6737"/>
    <w:rsid w:val="4BD118CF"/>
    <w:rsid w:val="4BD450AD"/>
    <w:rsid w:val="4BDE5EE8"/>
    <w:rsid w:val="4BEE392E"/>
    <w:rsid w:val="4BFC36EA"/>
    <w:rsid w:val="4BFE5C8A"/>
    <w:rsid w:val="4C0348F3"/>
    <w:rsid w:val="4C07336D"/>
    <w:rsid w:val="4C0A4B05"/>
    <w:rsid w:val="4C0C7CC8"/>
    <w:rsid w:val="4C142145"/>
    <w:rsid w:val="4C1B2975"/>
    <w:rsid w:val="4C261569"/>
    <w:rsid w:val="4C296D3D"/>
    <w:rsid w:val="4C2D3537"/>
    <w:rsid w:val="4C35316B"/>
    <w:rsid w:val="4C3D2B4B"/>
    <w:rsid w:val="4C3D78F7"/>
    <w:rsid w:val="4C455D23"/>
    <w:rsid w:val="4C4A0649"/>
    <w:rsid w:val="4C583318"/>
    <w:rsid w:val="4C5B7B6B"/>
    <w:rsid w:val="4C6C6E54"/>
    <w:rsid w:val="4C790AB4"/>
    <w:rsid w:val="4C7D172F"/>
    <w:rsid w:val="4C7D2A25"/>
    <w:rsid w:val="4C7E5ECA"/>
    <w:rsid w:val="4C826FF4"/>
    <w:rsid w:val="4C8461DE"/>
    <w:rsid w:val="4C8661B2"/>
    <w:rsid w:val="4C876AA5"/>
    <w:rsid w:val="4C8825C1"/>
    <w:rsid w:val="4C8E2730"/>
    <w:rsid w:val="4C93580D"/>
    <w:rsid w:val="4C95532B"/>
    <w:rsid w:val="4C966303"/>
    <w:rsid w:val="4C9E53B7"/>
    <w:rsid w:val="4CA75B73"/>
    <w:rsid w:val="4CA91508"/>
    <w:rsid w:val="4CB32E65"/>
    <w:rsid w:val="4CBF3E2E"/>
    <w:rsid w:val="4CC32A26"/>
    <w:rsid w:val="4CCA439B"/>
    <w:rsid w:val="4CCC1B5B"/>
    <w:rsid w:val="4CD037C3"/>
    <w:rsid w:val="4CD17952"/>
    <w:rsid w:val="4CD41AAD"/>
    <w:rsid w:val="4CD472AD"/>
    <w:rsid w:val="4CDF755D"/>
    <w:rsid w:val="4CE61462"/>
    <w:rsid w:val="4CE76A6C"/>
    <w:rsid w:val="4CE77CC7"/>
    <w:rsid w:val="4CF0341D"/>
    <w:rsid w:val="4CF2409C"/>
    <w:rsid w:val="4CF66F3E"/>
    <w:rsid w:val="4CF74068"/>
    <w:rsid w:val="4CFA3732"/>
    <w:rsid w:val="4CFD4BA3"/>
    <w:rsid w:val="4D0E00FB"/>
    <w:rsid w:val="4D176606"/>
    <w:rsid w:val="4D253B35"/>
    <w:rsid w:val="4D3065E4"/>
    <w:rsid w:val="4D351AF3"/>
    <w:rsid w:val="4D352C58"/>
    <w:rsid w:val="4D4A63EF"/>
    <w:rsid w:val="4D5143A5"/>
    <w:rsid w:val="4D5309A6"/>
    <w:rsid w:val="4D593AE2"/>
    <w:rsid w:val="4D5A672D"/>
    <w:rsid w:val="4D5B4FF3"/>
    <w:rsid w:val="4D6A42CF"/>
    <w:rsid w:val="4D6C4AB7"/>
    <w:rsid w:val="4D757D23"/>
    <w:rsid w:val="4D7A09F6"/>
    <w:rsid w:val="4D7D1BC3"/>
    <w:rsid w:val="4D7E5D3F"/>
    <w:rsid w:val="4D7F70C7"/>
    <w:rsid w:val="4D8043A8"/>
    <w:rsid w:val="4D851FAB"/>
    <w:rsid w:val="4D896004"/>
    <w:rsid w:val="4D8D2AA4"/>
    <w:rsid w:val="4D8E3EE2"/>
    <w:rsid w:val="4D943869"/>
    <w:rsid w:val="4D9E7ED2"/>
    <w:rsid w:val="4DA02D15"/>
    <w:rsid w:val="4DA343B9"/>
    <w:rsid w:val="4DAA3713"/>
    <w:rsid w:val="4DAB4A86"/>
    <w:rsid w:val="4DB71274"/>
    <w:rsid w:val="4DBA57B3"/>
    <w:rsid w:val="4DD15751"/>
    <w:rsid w:val="4DD157C5"/>
    <w:rsid w:val="4DD1660A"/>
    <w:rsid w:val="4DDB618E"/>
    <w:rsid w:val="4DE24A83"/>
    <w:rsid w:val="4DEC4FB0"/>
    <w:rsid w:val="4DEF099A"/>
    <w:rsid w:val="4DEF40B9"/>
    <w:rsid w:val="4DF07395"/>
    <w:rsid w:val="4DF66865"/>
    <w:rsid w:val="4E075D8A"/>
    <w:rsid w:val="4E083F26"/>
    <w:rsid w:val="4E1C584F"/>
    <w:rsid w:val="4E1E04FA"/>
    <w:rsid w:val="4E252606"/>
    <w:rsid w:val="4E2531FA"/>
    <w:rsid w:val="4E361BAD"/>
    <w:rsid w:val="4E3C35F8"/>
    <w:rsid w:val="4E461E7A"/>
    <w:rsid w:val="4E4B5532"/>
    <w:rsid w:val="4E543294"/>
    <w:rsid w:val="4E65493B"/>
    <w:rsid w:val="4E6776FB"/>
    <w:rsid w:val="4E681FAC"/>
    <w:rsid w:val="4E6A1D89"/>
    <w:rsid w:val="4E6C6CCD"/>
    <w:rsid w:val="4E7931DE"/>
    <w:rsid w:val="4E7F3E0C"/>
    <w:rsid w:val="4E8B0469"/>
    <w:rsid w:val="4E8B6AEC"/>
    <w:rsid w:val="4E8E5EDD"/>
    <w:rsid w:val="4E992AC7"/>
    <w:rsid w:val="4EA317A5"/>
    <w:rsid w:val="4EA31D70"/>
    <w:rsid w:val="4EAA4D88"/>
    <w:rsid w:val="4EAD5B12"/>
    <w:rsid w:val="4EB44578"/>
    <w:rsid w:val="4EB5137C"/>
    <w:rsid w:val="4EB817BC"/>
    <w:rsid w:val="4EBB5AD9"/>
    <w:rsid w:val="4EBC1E86"/>
    <w:rsid w:val="4EBC3E53"/>
    <w:rsid w:val="4EC00FAD"/>
    <w:rsid w:val="4EC126F8"/>
    <w:rsid w:val="4EC6189C"/>
    <w:rsid w:val="4ED9772D"/>
    <w:rsid w:val="4EE07A65"/>
    <w:rsid w:val="4EE17106"/>
    <w:rsid w:val="4EE5021D"/>
    <w:rsid w:val="4EE90647"/>
    <w:rsid w:val="4EE97894"/>
    <w:rsid w:val="4EED2F8A"/>
    <w:rsid w:val="4EF13E61"/>
    <w:rsid w:val="4EF16AE6"/>
    <w:rsid w:val="4EF37898"/>
    <w:rsid w:val="4F0247BF"/>
    <w:rsid w:val="4F043C59"/>
    <w:rsid w:val="4F053468"/>
    <w:rsid w:val="4F210395"/>
    <w:rsid w:val="4F247531"/>
    <w:rsid w:val="4F275E13"/>
    <w:rsid w:val="4F2C6C30"/>
    <w:rsid w:val="4F2E7779"/>
    <w:rsid w:val="4F3A1777"/>
    <w:rsid w:val="4F3A6CE9"/>
    <w:rsid w:val="4F3B1C2C"/>
    <w:rsid w:val="4F451303"/>
    <w:rsid w:val="4F595AEB"/>
    <w:rsid w:val="4F5B1F65"/>
    <w:rsid w:val="4F693A96"/>
    <w:rsid w:val="4F6C562A"/>
    <w:rsid w:val="4F6E0E3A"/>
    <w:rsid w:val="4F6E6553"/>
    <w:rsid w:val="4F7311E7"/>
    <w:rsid w:val="4F73735B"/>
    <w:rsid w:val="4F790C42"/>
    <w:rsid w:val="4F7A0022"/>
    <w:rsid w:val="4F7C2ECC"/>
    <w:rsid w:val="4F7F7ECF"/>
    <w:rsid w:val="4F8068C1"/>
    <w:rsid w:val="4F84448E"/>
    <w:rsid w:val="4F870321"/>
    <w:rsid w:val="4F8907DC"/>
    <w:rsid w:val="4F8B1DDB"/>
    <w:rsid w:val="4F907575"/>
    <w:rsid w:val="4F94717E"/>
    <w:rsid w:val="4F9843DC"/>
    <w:rsid w:val="4F9F4A32"/>
    <w:rsid w:val="4FAB1C96"/>
    <w:rsid w:val="4FB5139F"/>
    <w:rsid w:val="4FBD3540"/>
    <w:rsid w:val="4FC32657"/>
    <w:rsid w:val="4FC34453"/>
    <w:rsid w:val="4FC62A8C"/>
    <w:rsid w:val="4FC719EF"/>
    <w:rsid w:val="4FCC38E0"/>
    <w:rsid w:val="4FCD346D"/>
    <w:rsid w:val="4FCD641D"/>
    <w:rsid w:val="4FE20F0D"/>
    <w:rsid w:val="4FE51552"/>
    <w:rsid w:val="4FEA31C3"/>
    <w:rsid w:val="4FF64C83"/>
    <w:rsid w:val="4FFC5896"/>
    <w:rsid w:val="4FFD3392"/>
    <w:rsid w:val="4FFE4DDA"/>
    <w:rsid w:val="5000412D"/>
    <w:rsid w:val="500138E6"/>
    <w:rsid w:val="50041542"/>
    <w:rsid w:val="500B6A7C"/>
    <w:rsid w:val="5022212F"/>
    <w:rsid w:val="502300A4"/>
    <w:rsid w:val="50256650"/>
    <w:rsid w:val="503333B3"/>
    <w:rsid w:val="503F3964"/>
    <w:rsid w:val="504109B6"/>
    <w:rsid w:val="504978D2"/>
    <w:rsid w:val="504F4C26"/>
    <w:rsid w:val="50504C4B"/>
    <w:rsid w:val="50507D76"/>
    <w:rsid w:val="50517CDC"/>
    <w:rsid w:val="505604DC"/>
    <w:rsid w:val="5064275C"/>
    <w:rsid w:val="506E2C9A"/>
    <w:rsid w:val="507137F4"/>
    <w:rsid w:val="50742CD1"/>
    <w:rsid w:val="50763A2C"/>
    <w:rsid w:val="50773124"/>
    <w:rsid w:val="507B29F8"/>
    <w:rsid w:val="50844A24"/>
    <w:rsid w:val="508473EC"/>
    <w:rsid w:val="50876DEC"/>
    <w:rsid w:val="50930038"/>
    <w:rsid w:val="509333F8"/>
    <w:rsid w:val="509C2025"/>
    <w:rsid w:val="509C51D0"/>
    <w:rsid w:val="509C6E7C"/>
    <w:rsid w:val="50A76C8D"/>
    <w:rsid w:val="50B41B06"/>
    <w:rsid w:val="50BC016A"/>
    <w:rsid w:val="50BC3752"/>
    <w:rsid w:val="50BC5616"/>
    <w:rsid w:val="50CA17D7"/>
    <w:rsid w:val="50CA5423"/>
    <w:rsid w:val="50D20483"/>
    <w:rsid w:val="50D63DAB"/>
    <w:rsid w:val="50D70E34"/>
    <w:rsid w:val="50DC209F"/>
    <w:rsid w:val="50DE6FBD"/>
    <w:rsid w:val="50E05F3B"/>
    <w:rsid w:val="50E07CA0"/>
    <w:rsid w:val="50E9148F"/>
    <w:rsid w:val="50ED6515"/>
    <w:rsid w:val="50F02465"/>
    <w:rsid w:val="50F50C05"/>
    <w:rsid w:val="50F717AA"/>
    <w:rsid w:val="510E6F5E"/>
    <w:rsid w:val="511013D0"/>
    <w:rsid w:val="51142410"/>
    <w:rsid w:val="51195F35"/>
    <w:rsid w:val="511F553D"/>
    <w:rsid w:val="5129013D"/>
    <w:rsid w:val="512E644D"/>
    <w:rsid w:val="51413328"/>
    <w:rsid w:val="51437E87"/>
    <w:rsid w:val="51477BAE"/>
    <w:rsid w:val="514C514E"/>
    <w:rsid w:val="514D388E"/>
    <w:rsid w:val="514F5872"/>
    <w:rsid w:val="51501BC4"/>
    <w:rsid w:val="515464E3"/>
    <w:rsid w:val="515603E3"/>
    <w:rsid w:val="515C16B1"/>
    <w:rsid w:val="51615D91"/>
    <w:rsid w:val="5162104E"/>
    <w:rsid w:val="516513A5"/>
    <w:rsid w:val="51655007"/>
    <w:rsid w:val="51670881"/>
    <w:rsid w:val="516D372A"/>
    <w:rsid w:val="516F74B9"/>
    <w:rsid w:val="51722AF5"/>
    <w:rsid w:val="517729DF"/>
    <w:rsid w:val="5178076C"/>
    <w:rsid w:val="5183053C"/>
    <w:rsid w:val="51891EF7"/>
    <w:rsid w:val="51955AD0"/>
    <w:rsid w:val="51957463"/>
    <w:rsid w:val="51B560F6"/>
    <w:rsid w:val="51B70246"/>
    <w:rsid w:val="51B9300C"/>
    <w:rsid w:val="51C322FE"/>
    <w:rsid w:val="51C80593"/>
    <w:rsid w:val="51CF309C"/>
    <w:rsid w:val="51DA2907"/>
    <w:rsid w:val="51DF3CFA"/>
    <w:rsid w:val="51E51114"/>
    <w:rsid w:val="51EE239F"/>
    <w:rsid w:val="51FE6E46"/>
    <w:rsid w:val="5200063B"/>
    <w:rsid w:val="5201338C"/>
    <w:rsid w:val="52036385"/>
    <w:rsid w:val="520A19BE"/>
    <w:rsid w:val="520E0564"/>
    <w:rsid w:val="520F3F3E"/>
    <w:rsid w:val="52141D39"/>
    <w:rsid w:val="521C1ADE"/>
    <w:rsid w:val="521C61DD"/>
    <w:rsid w:val="52227F70"/>
    <w:rsid w:val="52242D72"/>
    <w:rsid w:val="5224534F"/>
    <w:rsid w:val="52274D2E"/>
    <w:rsid w:val="522A3FDA"/>
    <w:rsid w:val="522C3A67"/>
    <w:rsid w:val="52357808"/>
    <w:rsid w:val="52390B98"/>
    <w:rsid w:val="523A2ED0"/>
    <w:rsid w:val="523B091E"/>
    <w:rsid w:val="523D5137"/>
    <w:rsid w:val="52445DFD"/>
    <w:rsid w:val="52461642"/>
    <w:rsid w:val="52482B08"/>
    <w:rsid w:val="524D50B2"/>
    <w:rsid w:val="524F6476"/>
    <w:rsid w:val="525E1E1E"/>
    <w:rsid w:val="525F4EB1"/>
    <w:rsid w:val="52614023"/>
    <w:rsid w:val="52615755"/>
    <w:rsid w:val="52627BBF"/>
    <w:rsid w:val="526A3273"/>
    <w:rsid w:val="52724402"/>
    <w:rsid w:val="527D75CA"/>
    <w:rsid w:val="52815ACD"/>
    <w:rsid w:val="529404D2"/>
    <w:rsid w:val="52982428"/>
    <w:rsid w:val="52A1586A"/>
    <w:rsid w:val="52AC2C2F"/>
    <w:rsid w:val="52AE4F7B"/>
    <w:rsid w:val="52B37D5D"/>
    <w:rsid w:val="52BD2900"/>
    <w:rsid w:val="52C734B1"/>
    <w:rsid w:val="52CB7128"/>
    <w:rsid w:val="52DC09F9"/>
    <w:rsid w:val="52DE4FEC"/>
    <w:rsid w:val="52DE7BC1"/>
    <w:rsid w:val="52DF3DB7"/>
    <w:rsid w:val="52E43674"/>
    <w:rsid w:val="52E60C37"/>
    <w:rsid w:val="52E8515E"/>
    <w:rsid w:val="52F21574"/>
    <w:rsid w:val="53007FC0"/>
    <w:rsid w:val="53034C0E"/>
    <w:rsid w:val="53080A68"/>
    <w:rsid w:val="53113267"/>
    <w:rsid w:val="53177FC5"/>
    <w:rsid w:val="531D5224"/>
    <w:rsid w:val="531E5C69"/>
    <w:rsid w:val="53205E6B"/>
    <w:rsid w:val="533D77F9"/>
    <w:rsid w:val="533F163E"/>
    <w:rsid w:val="53451647"/>
    <w:rsid w:val="53462B92"/>
    <w:rsid w:val="5347077D"/>
    <w:rsid w:val="53515F32"/>
    <w:rsid w:val="535C37EB"/>
    <w:rsid w:val="536820BE"/>
    <w:rsid w:val="536C1ECE"/>
    <w:rsid w:val="536C28E0"/>
    <w:rsid w:val="536D0A2E"/>
    <w:rsid w:val="53721727"/>
    <w:rsid w:val="53740C7D"/>
    <w:rsid w:val="537531A8"/>
    <w:rsid w:val="53770120"/>
    <w:rsid w:val="53794425"/>
    <w:rsid w:val="537C7382"/>
    <w:rsid w:val="53804F90"/>
    <w:rsid w:val="5389275D"/>
    <w:rsid w:val="538E4AE5"/>
    <w:rsid w:val="538F1360"/>
    <w:rsid w:val="538F1C7A"/>
    <w:rsid w:val="53916092"/>
    <w:rsid w:val="5399473F"/>
    <w:rsid w:val="53A039CC"/>
    <w:rsid w:val="53A1505A"/>
    <w:rsid w:val="53A43404"/>
    <w:rsid w:val="53A641B7"/>
    <w:rsid w:val="53AD17CF"/>
    <w:rsid w:val="53B17E1F"/>
    <w:rsid w:val="53B4540A"/>
    <w:rsid w:val="53B47F1B"/>
    <w:rsid w:val="53C128DF"/>
    <w:rsid w:val="53CC345F"/>
    <w:rsid w:val="53D5439A"/>
    <w:rsid w:val="53D65D27"/>
    <w:rsid w:val="53DC49DA"/>
    <w:rsid w:val="53EC109A"/>
    <w:rsid w:val="53EC3271"/>
    <w:rsid w:val="53ED5032"/>
    <w:rsid w:val="53F00CB9"/>
    <w:rsid w:val="53FD7E81"/>
    <w:rsid w:val="540103F2"/>
    <w:rsid w:val="54063E08"/>
    <w:rsid w:val="540743F0"/>
    <w:rsid w:val="540D16CD"/>
    <w:rsid w:val="540D6A44"/>
    <w:rsid w:val="540E386C"/>
    <w:rsid w:val="5415124D"/>
    <w:rsid w:val="541A6CFE"/>
    <w:rsid w:val="541B2E59"/>
    <w:rsid w:val="541D1254"/>
    <w:rsid w:val="54201DF1"/>
    <w:rsid w:val="542F1AC9"/>
    <w:rsid w:val="5434093C"/>
    <w:rsid w:val="54342932"/>
    <w:rsid w:val="543437E8"/>
    <w:rsid w:val="543538AF"/>
    <w:rsid w:val="543567BD"/>
    <w:rsid w:val="54360433"/>
    <w:rsid w:val="543E332E"/>
    <w:rsid w:val="54482775"/>
    <w:rsid w:val="544A09CE"/>
    <w:rsid w:val="545147C3"/>
    <w:rsid w:val="54560FAD"/>
    <w:rsid w:val="545B66DF"/>
    <w:rsid w:val="547B0779"/>
    <w:rsid w:val="547B7B21"/>
    <w:rsid w:val="547C51E1"/>
    <w:rsid w:val="547E03B9"/>
    <w:rsid w:val="548432A7"/>
    <w:rsid w:val="548C7319"/>
    <w:rsid w:val="549777F4"/>
    <w:rsid w:val="54AA4231"/>
    <w:rsid w:val="54B24606"/>
    <w:rsid w:val="54B75204"/>
    <w:rsid w:val="54BA2EF5"/>
    <w:rsid w:val="54BD2870"/>
    <w:rsid w:val="54C13FEE"/>
    <w:rsid w:val="54C24852"/>
    <w:rsid w:val="54CE4645"/>
    <w:rsid w:val="54D35CC7"/>
    <w:rsid w:val="54D418DF"/>
    <w:rsid w:val="54E23ACC"/>
    <w:rsid w:val="54F521B3"/>
    <w:rsid w:val="54F73313"/>
    <w:rsid w:val="54F770D8"/>
    <w:rsid w:val="54F80955"/>
    <w:rsid w:val="54F82FA2"/>
    <w:rsid w:val="54FB06BE"/>
    <w:rsid w:val="54FE358D"/>
    <w:rsid w:val="54FE4BA4"/>
    <w:rsid w:val="55027E89"/>
    <w:rsid w:val="550B571C"/>
    <w:rsid w:val="550C2655"/>
    <w:rsid w:val="550F1330"/>
    <w:rsid w:val="55124859"/>
    <w:rsid w:val="55194708"/>
    <w:rsid w:val="551A50D7"/>
    <w:rsid w:val="551C6A7C"/>
    <w:rsid w:val="551F4A10"/>
    <w:rsid w:val="55207E5C"/>
    <w:rsid w:val="5530216D"/>
    <w:rsid w:val="55312AD7"/>
    <w:rsid w:val="553273D1"/>
    <w:rsid w:val="553359B9"/>
    <w:rsid w:val="553A2D76"/>
    <w:rsid w:val="553B595F"/>
    <w:rsid w:val="553D1AF8"/>
    <w:rsid w:val="554131AF"/>
    <w:rsid w:val="55427458"/>
    <w:rsid w:val="55476EDF"/>
    <w:rsid w:val="554A79C4"/>
    <w:rsid w:val="554E4C48"/>
    <w:rsid w:val="555168D2"/>
    <w:rsid w:val="555170A7"/>
    <w:rsid w:val="555A22FC"/>
    <w:rsid w:val="555F2DB8"/>
    <w:rsid w:val="556529F8"/>
    <w:rsid w:val="55674BF2"/>
    <w:rsid w:val="556B01BC"/>
    <w:rsid w:val="556E76C1"/>
    <w:rsid w:val="5577167B"/>
    <w:rsid w:val="55771BF5"/>
    <w:rsid w:val="55772F4D"/>
    <w:rsid w:val="557A23D7"/>
    <w:rsid w:val="557A5FEF"/>
    <w:rsid w:val="558244D2"/>
    <w:rsid w:val="55846A6B"/>
    <w:rsid w:val="55847A01"/>
    <w:rsid w:val="55865616"/>
    <w:rsid w:val="5587536D"/>
    <w:rsid w:val="558E2BFB"/>
    <w:rsid w:val="558E5DCE"/>
    <w:rsid w:val="558F1155"/>
    <w:rsid w:val="55933176"/>
    <w:rsid w:val="55973470"/>
    <w:rsid w:val="559772D9"/>
    <w:rsid w:val="55986BA1"/>
    <w:rsid w:val="55992A5B"/>
    <w:rsid w:val="559A5D0C"/>
    <w:rsid w:val="559B174B"/>
    <w:rsid w:val="559B7685"/>
    <w:rsid w:val="55A21A04"/>
    <w:rsid w:val="55A35FA6"/>
    <w:rsid w:val="55A376E6"/>
    <w:rsid w:val="55A46FA9"/>
    <w:rsid w:val="55A65C90"/>
    <w:rsid w:val="55A703E1"/>
    <w:rsid w:val="55AE0EEB"/>
    <w:rsid w:val="55B45C20"/>
    <w:rsid w:val="55BE6973"/>
    <w:rsid w:val="55C03021"/>
    <w:rsid w:val="55C51889"/>
    <w:rsid w:val="55C55359"/>
    <w:rsid w:val="55CC1EF9"/>
    <w:rsid w:val="55CE0CF4"/>
    <w:rsid w:val="55DD1D61"/>
    <w:rsid w:val="55E725D5"/>
    <w:rsid w:val="55E969CE"/>
    <w:rsid w:val="55EF09CE"/>
    <w:rsid w:val="55EF6090"/>
    <w:rsid w:val="55F27B39"/>
    <w:rsid w:val="55FA4C44"/>
    <w:rsid w:val="56004900"/>
    <w:rsid w:val="560317C1"/>
    <w:rsid w:val="56071453"/>
    <w:rsid w:val="56181FA6"/>
    <w:rsid w:val="561B4E1D"/>
    <w:rsid w:val="56235F65"/>
    <w:rsid w:val="5624337B"/>
    <w:rsid w:val="562F360D"/>
    <w:rsid w:val="56422EEB"/>
    <w:rsid w:val="564337D1"/>
    <w:rsid w:val="564455E3"/>
    <w:rsid w:val="5645373D"/>
    <w:rsid w:val="564E3995"/>
    <w:rsid w:val="564F5E71"/>
    <w:rsid w:val="565371AF"/>
    <w:rsid w:val="56537713"/>
    <w:rsid w:val="565B56A9"/>
    <w:rsid w:val="566D1152"/>
    <w:rsid w:val="566F57DD"/>
    <w:rsid w:val="5670476A"/>
    <w:rsid w:val="56710779"/>
    <w:rsid w:val="56776919"/>
    <w:rsid w:val="568036C9"/>
    <w:rsid w:val="568A00B8"/>
    <w:rsid w:val="568A480D"/>
    <w:rsid w:val="568F6F88"/>
    <w:rsid w:val="569071B7"/>
    <w:rsid w:val="56A41354"/>
    <w:rsid w:val="56A96DA7"/>
    <w:rsid w:val="56B22A9C"/>
    <w:rsid w:val="56B54000"/>
    <w:rsid w:val="56BB5F45"/>
    <w:rsid w:val="56BD500F"/>
    <w:rsid w:val="56C00970"/>
    <w:rsid w:val="56C8194B"/>
    <w:rsid w:val="56C87F8A"/>
    <w:rsid w:val="56CB6399"/>
    <w:rsid w:val="56D70953"/>
    <w:rsid w:val="56DA35B2"/>
    <w:rsid w:val="56E243AA"/>
    <w:rsid w:val="56F36B25"/>
    <w:rsid w:val="56FB7B00"/>
    <w:rsid w:val="57046A22"/>
    <w:rsid w:val="57056FE9"/>
    <w:rsid w:val="57062F10"/>
    <w:rsid w:val="57070C43"/>
    <w:rsid w:val="57081818"/>
    <w:rsid w:val="571945A2"/>
    <w:rsid w:val="571A046F"/>
    <w:rsid w:val="571C095D"/>
    <w:rsid w:val="571D7CC1"/>
    <w:rsid w:val="57226D77"/>
    <w:rsid w:val="57286336"/>
    <w:rsid w:val="572A63DA"/>
    <w:rsid w:val="572B19D4"/>
    <w:rsid w:val="572C096D"/>
    <w:rsid w:val="5730129E"/>
    <w:rsid w:val="57362461"/>
    <w:rsid w:val="573A0BDA"/>
    <w:rsid w:val="573A229A"/>
    <w:rsid w:val="573D04AF"/>
    <w:rsid w:val="574147D6"/>
    <w:rsid w:val="574370C4"/>
    <w:rsid w:val="574F7CBD"/>
    <w:rsid w:val="57511F20"/>
    <w:rsid w:val="5753390A"/>
    <w:rsid w:val="5753657B"/>
    <w:rsid w:val="57573278"/>
    <w:rsid w:val="57585C1C"/>
    <w:rsid w:val="57596FD3"/>
    <w:rsid w:val="575A7E01"/>
    <w:rsid w:val="575C4744"/>
    <w:rsid w:val="576014E7"/>
    <w:rsid w:val="57644C88"/>
    <w:rsid w:val="5765639C"/>
    <w:rsid w:val="57717346"/>
    <w:rsid w:val="5778787A"/>
    <w:rsid w:val="57810A86"/>
    <w:rsid w:val="57887C4A"/>
    <w:rsid w:val="578E43E2"/>
    <w:rsid w:val="579426CC"/>
    <w:rsid w:val="57973EDD"/>
    <w:rsid w:val="57975D89"/>
    <w:rsid w:val="579E26AC"/>
    <w:rsid w:val="57A627AC"/>
    <w:rsid w:val="57A84251"/>
    <w:rsid w:val="57AF2187"/>
    <w:rsid w:val="57B0458F"/>
    <w:rsid w:val="57B16566"/>
    <w:rsid w:val="57B331A5"/>
    <w:rsid w:val="57B51FCB"/>
    <w:rsid w:val="57B72A76"/>
    <w:rsid w:val="57B86F36"/>
    <w:rsid w:val="57B91F58"/>
    <w:rsid w:val="57BB2B70"/>
    <w:rsid w:val="57C3426C"/>
    <w:rsid w:val="57C77A03"/>
    <w:rsid w:val="57CE1F93"/>
    <w:rsid w:val="57D20970"/>
    <w:rsid w:val="57DF637C"/>
    <w:rsid w:val="57E223DF"/>
    <w:rsid w:val="57E7484B"/>
    <w:rsid w:val="57F55A00"/>
    <w:rsid w:val="57F60F6F"/>
    <w:rsid w:val="5801161F"/>
    <w:rsid w:val="5806302B"/>
    <w:rsid w:val="58090F57"/>
    <w:rsid w:val="581E69F8"/>
    <w:rsid w:val="582C415B"/>
    <w:rsid w:val="58365FBD"/>
    <w:rsid w:val="58391CDA"/>
    <w:rsid w:val="583B4C83"/>
    <w:rsid w:val="584D169C"/>
    <w:rsid w:val="58507BFB"/>
    <w:rsid w:val="58535020"/>
    <w:rsid w:val="58562F86"/>
    <w:rsid w:val="585F21FD"/>
    <w:rsid w:val="5862602D"/>
    <w:rsid w:val="5865210F"/>
    <w:rsid w:val="5868673D"/>
    <w:rsid w:val="58733973"/>
    <w:rsid w:val="58767E23"/>
    <w:rsid w:val="587816CD"/>
    <w:rsid w:val="587A6C75"/>
    <w:rsid w:val="587B3FDD"/>
    <w:rsid w:val="58812D7C"/>
    <w:rsid w:val="5883074D"/>
    <w:rsid w:val="58842ABC"/>
    <w:rsid w:val="588660D3"/>
    <w:rsid w:val="58873022"/>
    <w:rsid w:val="588743D1"/>
    <w:rsid w:val="5887701A"/>
    <w:rsid w:val="58880205"/>
    <w:rsid w:val="58893BE8"/>
    <w:rsid w:val="588A1D0F"/>
    <w:rsid w:val="589C101F"/>
    <w:rsid w:val="58A60428"/>
    <w:rsid w:val="58AA6E4D"/>
    <w:rsid w:val="58AE4756"/>
    <w:rsid w:val="58AF0F33"/>
    <w:rsid w:val="58B22C8C"/>
    <w:rsid w:val="58B24A9D"/>
    <w:rsid w:val="58B71249"/>
    <w:rsid w:val="58B953DA"/>
    <w:rsid w:val="58BA3AC5"/>
    <w:rsid w:val="58BE12F3"/>
    <w:rsid w:val="58DB5826"/>
    <w:rsid w:val="58DC6D3E"/>
    <w:rsid w:val="58DC7930"/>
    <w:rsid w:val="58E118E4"/>
    <w:rsid w:val="58E53DF3"/>
    <w:rsid w:val="58E5494E"/>
    <w:rsid w:val="58F156AF"/>
    <w:rsid w:val="58F71077"/>
    <w:rsid w:val="58F83047"/>
    <w:rsid w:val="58FE78A6"/>
    <w:rsid w:val="59056846"/>
    <w:rsid w:val="590C6438"/>
    <w:rsid w:val="591C1B46"/>
    <w:rsid w:val="59202975"/>
    <w:rsid w:val="59245548"/>
    <w:rsid w:val="592616DF"/>
    <w:rsid w:val="592919B8"/>
    <w:rsid w:val="592B7A72"/>
    <w:rsid w:val="592E02F3"/>
    <w:rsid w:val="59335C19"/>
    <w:rsid w:val="59342DD0"/>
    <w:rsid w:val="59372F22"/>
    <w:rsid w:val="594139BF"/>
    <w:rsid w:val="59413C36"/>
    <w:rsid w:val="59480B21"/>
    <w:rsid w:val="594C1A46"/>
    <w:rsid w:val="595377C0"/>
    <w:rsid w:val="59572154"/>
    <w:rsid w:val="595816FC"/>
    <w:rsid w:val="595844CF"/>
    <w:rsid w:val="59597EA9"/>
    <w:rsid w:val="59605CC1"/>
    <w:rsid w:val="5963728F"/>
    <w:rsid w:val="596514A9"/>
    <w:rsid w:val="596F43C2"/>
    <w:rsid w:val="597319E9"/>
    <w:rsid w:val="59893D38"/>
    <w:rsid w:val="598A0407"/>
    <w:rsid w:val="598F2E3D"/>
    <w:rsid w:val="59916DA5"/>
    <w:rsid w:val="59994E70"/>
    <w:rsid w:val="599A7410"/>
    <w:rsid w:val="599C048F"/>
    <w:rsid w:val="599E6993"/>
    <w:rsid w:val="59A5319B"/>
    <w:rsid w:val="59A977D9"/>
    <w:rsid w:val="59AE0B9D"/>
    <w:rsid w:val="59BE69B9"/>
    <w:rsid w:val="59C0439F"/>
    <w:rsid w:val="59C05C85"/>
    <w:rsid w:val="59C178AE"/>
    <w:rsid w:val="59C33AC3"/>
    <w:rsid w:val="59C41907"/>
    <w:rsid w:val="59CD1E6C"/>
    <w:rsid w:val="59CF0601"/>
    <w:rsid w:val="59D84F2B"/>
    <w:rsid w:val="59E728C0"/>
    <w:rsid w:val="59EA7E2A"/>
    <w:rsid w:val="59F27C15"/>
    <w:rsid w:val="5A0D100A"/>
    <w:rsid w:val="5A12445D"/>
    <w:rsid w:val="5A16203C"/>
    <w:rsid w:val="5A1E5555"/>
    <w:rsid w:val="5A2C376F"/>
    <w:rsid w:val="5A2F41BB"/>
    <w:rsid w:val="5A2F478E"/>
    <w:rsid w:val="5A322BE5"/>
    <w:rsid w:val="5A3419CB"/>
    <w:rsid w:val="5A3B26D5"/>
    <w:rsid w:val="5A3C50F3"/>
    <w:rsid w:val="5A4C5C34"/>
    <w:rsid w:val="5A585A68"/>
    <w:rsid w:val="5A6351A7"/>
    <w:rsid w:val="5A6666E3"/>
    <w:rsid w:val="5A6B7090"/>
    <w:rsid w:val="5A706E85"/>
    <w:rsid w:val="5A730236"/>
    <w:rsid w:val="5A7367B9"/>
    <w:rsid w:val="5A7A411C"/>
    <w:rsid w:val="5A8318CD"/>
    <w:rsid w:val="5A832AF2"/>
    <w:rsid w:val="5A843DDB"/>
    <w:rsid w:val="5A8874DB"/>
    <w:rsid w:val="5A890379"/>
    <w:rsid w:val="5A8C2208"/>
    <w:rsid w:val="5A9304C2"/>
    <w:rsid w:val="5A932DF6"/>
    <w:rsid w:val="5A936388"/>
    <w:rsid w:val="5A955FE8"/>
    <w:rsid w:val="5A9C3010"/>
    <w:rsid w:val="5AA17B4C"/>
    <w:rsid w:val="5AAF00EC"/>
    <w:rsid w:val="5AB02B3B"/>
    <w:rsid w:val="5ABE2233"/>
    <w:rsid w:val="5AC35B8F"/>
    <w:rsid w:val="5ACB2F3A"/>
    <w:rsid w:val="5AD8685A"/>
    <w:rsid w:val="5ADB6021"/>
    <w:rsid w:val="5AE67852"/>
    <w:rsid w:val="5AF275C1"/>
    <w:rsid w:val="5AFF146F"/>
    <w:rsid w:val="5B022BF8"/>
    <w:rsid w:val="5B055F12"/>
    <w:rsid w:val="5B09003F"/>
    <w:rsid w:val="5B0937C1"/>
    <w:rsid w:val="5B0A0138"/>
    <w:rsid w:val="5B1348C5"/>
    <w:rsid w:val="5B2757C0"/>
    <w:rsid w:val="5B2A54B0"/>
    <w:rsid w:val="5B2D4232"/>
    <w:rsid w:val="5B377CE8"/>
    <w:rsid w:val="5B47312F"/>
    <w:rsid w:val="5B486C77"/>
    <w:rsid w:val="5B4D60A4"/>
    <w:rsid w:val="5B51086A"/>
    <w:rsid w:val="5B54364F"/>
    <w:rsid w:val="5B560481"/>
    <w:rsid w:val="5B5A7288"/>
    <w:rsid w:val="5B7139EA"/>
    <w:rsid w:val="5B7A78B7"/>
    <w:rsid w:val="5B82542A"/>
    <w:rsid w:val="5B851B4F"/>
    <w:rsid w:val="5B8E2E41"/>
    <w:rsid w:val="5B907E49"/>
    <w:rsid w:val="5B910F88"/>
    <w:rsid w:val="5B9224AE"/>
    <w:rsid w:val="5B9A6049"/>
    <w:rsid w:val="5B9D3517"/>
    <w:rsid w:val="5B9D57EA"/>
    <w:rsid w:val="5BA059FB"/>
    <w:rsid w:val="5BA2164F"/>
    <w:rsid w:val="5BA50A83"/>
    <w:rsid w:val="5BAD0BEA"/>
    <w:rsid w:val="5BB256C2"/>
    <w:rsid w:val="5BBA57A5"/>
    <w:rsid w:val="5BC32FB8"/>
    <w:rsid w:val="5BD25FA9"/>
    <w:rsid w:val="5BD42575"/>
    <w:rsid w:val="5BD72B87"/>
    <w:rsid w:val="5BDC1835"/>
    <w:rsid w:val="5BDF5D95"/>
    <w:rsid w:val="5BE4128F"/>
    <w:rsid w:val="5BE81A2A"/>
    <w:rsid w:val="5BEA3C82"/>
    <w:rsid w:val="5BEB088F"/>
    <w:rsid w:val="5BED6CE8"/>
    <w:rsid w:val="5BF2170C"/>
    <w:rsid w:val="5BF619BE"/>
    <w:rsid w:val="5BF63107"/>
    <w:rsid w:val="5BF63E32"/>
    <w:rsid w:val="5BFE7528"/>
    <w:rsid w:val="5C010525"/>
    <w:rsid w:val="5C1240E7"/>
    <w:rsid w:val="5C160585"/>
    <w:rsid w:val="5C204799"/>
    <w:rsid w:val="5C2F0DAB"/>
    <w:rsid w:val="5C373CDE"/>
    <w:rsid w:val="5C390BF5"/>
    <w:rsid w:val="5C413150"/>
    <w:rsid w:val="5C41729C"/>
    <w:rsid w:val="5C417AAA"/>
    <w:rsid w:val="5C4375BC"/>
    <w:rsid w:val="5C467236"/>
    <w:rsid w:val="5C474011"/>
    <w:rsid w:val="5C4A4F8E"/>
    <w:rsid w:val="5C5528BE"/>
    <w:rsid w:val="5C5A1A53"/>
    <w:rsid w:val="5C70560B"/>
    <w:rsid w:val="5C772BB6"/>
    <w:rsid w:val="5C7E1615"/>
    <w:rsid w:val="5C926086"/>
    <w:rsid w:val="5C961D75"/>
    <w:rsid w:val="5C97125A"/>
    <w:rsid w:val="5C98655F"/>
    <w:rsid w:val="5C9A2A95"/>
    <w:rsid w:val="5C9C31FE"/>
    <w:rsid w:val="5CA60064"/>
    <w:rsid w:val="5CAD3288"/>
    <w:rsid w:val="5CAE4550"/>
    <w:rsid w:val="5CB150F3"/>
    <w:rsid w:val="5CB71B24"/>
    <w:rsid w:val="5CC051B2"/>
    <w:rsid w:val="5CC20BEA"/>
    <w:rsid w:val="5CD40A7F"/>
    <w:rsid w:val="5CDB5AA3"/>
    <w:rsid w:val="5CDD0010"/>
    <w:rsid w:val="5CE2128D"/>
    <w:rsid w:val="5CE54426"/>
    <w:rsid w:val="5CE56AE6"/>
    <w:rsid w:val="5CEB1422"/>
    <w:rsid w:val="5CEB3F56"/>
    <w:rsid w:val="5CF30F45"/>
    <w:rsid w:val="5CF321A5"/>
    <w:rsid w:val="5CF429D2"/>
    <w:rsid w:val="5CF44274"/>
    <w:rsid w:val="5CFF719B"/>
    <w:rsid w:val="5D003290"/>
    <w:rsid w:val="5D016739"/>
    <w:rsid w:val="5D04642F"/>
    <w:rsid w:val="5D063851"/>
    <w:rsid w:val="5D067E86"/>
    <w:rsid w:val="5D0F7EED"/>
    <w:rsid w:val="5D140BCD"/>
    <w:rsid w:val="5D166991"/>
    <w:rsid w:val="5D192F00"/>
    <w:rsid w:val="5D1940CF"/>
    <w:rsid w:val="5D1C20F5"/>
    <w:rsid w:val="5D1F1876"/>
    <w:rsid w:val="5D235E39"/>
    <w:rsid w:val="5D2865E5"/>
    <w:rsid w:val="5D326BC3"/>
    <w:rsid w:val="5D3466E0"/>
    <w:rsid w:val="5D3C2B6C"/>
    <w:rsid w:val="5D3F2547"/>
    <w:rsid w:val="5D4A3FF9"/>
    <w:rsid w:val="5D4D4958"/>
    <w:rsid w:val="5D4E7CD2"/>
    <w:rsid w:val="5D551369"/>
    <w:rsid w:val="5D56410C"/>
    <w:rsid w:val="5D5737C7"/>
    <w:rsid w:val="5D582E7D"/>
    <w:rsid w:val="5D59154F"/>
    <w:rsid w:val="5D5C5A6C"/>
    <w:rsid w:val="5D7202BA"/>
    <w:rsid w:val="5D741B88"/>
    <w:rsid w:val="5D7C705B"/>
    <w:rsid w:val="5D883321"/>
    <w:rsid w:val="5D8D38CB"/>
    <w:rsid w:val="5D946CF1"/>
    <w:rsid w:val="5D9D6B85"/>
    <w:rsid w:val="5DA17ADB"/>
    <w:rsid w:val="5DA21F39"/>
    <w:rsid w:val="5DA64A17"/>
    <w:rsid w:val="5DAA1DAA"/>
    <w:rsid w:val="5DAA4E3F"/>
    <w:rsid w:val="5DAC159D"/>
    <w:rsid w:val="5DB43B22"/>
    <w:rsid w:val="5DB90C4F"/>
    <w:rsid w:val="5DBB0F5E"/>
    <w:rsid w:val="5DC54698"/>
    <w:rsid w:val="5DC62BDC"/>
    <w:rsid w:val="5DC77DE8"/>
    <w:rsid w:val="5DC81C9A"/>
    <w:rsid w:val="5DCA3C94"/>
    <w:rsid w:val="5DD60C99"/>
    <w:rsid w:val="5DE055E7"/>
    <w:rsid w:val="5DE073DA"/>
    <w:rsid w:val="5DE36B4E"/>
    <w:rsid w:val="5DE711E8"/>
    <w:rsid w:val="5DE9146C"/>
    <w:rsid w:val="5DEA790E"/>
    <w:rsid w:val="5DEB65C2"/>
    <w:rsid w:val="5DEC6FCD"/>
    <w:rsid w:val="5DF75266"/>
    <w:rsid w:val="5E005E3D"/>
    <w:rsid w:val="5E0D59C3"/>
    <w:rsid w:val="5E0D6A60"/>
    <w:rsid w:val="5E151684"/>
    <w:rsid w:val="5E1619BF"/>
    <w:rsid w:val="5E2467F1"/>
    <w:rsid w:val="5E2855E8"/>
    <w:rsid w:val="5E2A5E69"/>
    <w:rsid w:val="5E2C45BD"/>
    <w:rsid w:val="5E2E19DF"/>
    <w:rsid w:val="5E3033AC"/>
    <w:rsid w:val="5E31427A"/>
    <w:rsid w:val="5E3873B6"/>
    <w:rsid w:val="5E3B309E"/>
    <w:rsid w:val="5E3B7F3C"/>
    <w:rsid w:val="5E3E1D22"/>
    <w:rsid w:val="5E4248F1"/>
    <w:rsid w:val="5E4941D3"/>
    <w:rsid w:val="5E4B43AF"/>
    <w:rsid w:val="5E4D77E2"/>
    <w:rsid w:val="5E4F4700"/>
    <w:rsid w:val="5E5225FF"/>
    <w:rsid w:val="5E577D66"/>
    <w:rsid w:val="5E671260"/>
    <w:rsid w:val="5E694D8E"/>
    <w:rsid w:val="5E6C3469"/>
    <w:rsid w:val="5E713780"/>
    <w:rsid w:val="5E71450E"/>
    <w:rsid w:val="5E745F14"/>
    <w:rsid w:val="5E765C75"/>
    <w:rsid w:val="5E7D714D"/>
    <w:rsid w:val="5E7D768A"/>
    <w:rsid w:val="5E840D8A"/>
    <w:rsid w:val="5E84465F"/>
    <w:rsid w:val="5E8A74DD"/>
    <w:rsid w:val="5E8B3C0B"/>
    <w:rsid w:val="5E947B4C"/>
    <w:rsid w:val="5EA33DFC"/>
    <w:rsid w:val="5EA4455C"/>
    <w:rsid w:val="5EA64CE3"/>
    <w:rsid w:val="5EA677F5"/>
    <w:rsid w:val="5EAC6A96"/>
    <w:rsid w:val="5EB31DB3"/>
    <w:rsid w:val="5EB3475F"/>
    <w:rsid w:val="5EC807BC"/>
    <w:rsid w:val="5ECE62C9"/>
    <w:rsid w:val="5ED66074"/>
    <w:rsid w:val="5EDC6C27"/>
    <w:rsid w:val="5EDD4CC3"/>
    <w:rsid w:val="5EDE02EB"/>
    <w:rsid w:val="5EEA7F0C"/>
    <w:rsid w:val="5EF50793"/>
    <w:rsid w:val="5EFB020D"/>
    <w:rsid w:val="5F0853E0"/>
    <w:rsid w:val="5F0A0191"/>
    <w:rsid w:val="5F1871F0"/>
    <w:rsid w:val="5F1A2B43"/>
    <w:rsid w:val="5F1D29FE"/>
    <w:rsid w:val="5F2B65B8"/>
    <w:rsid w:val="5F35580E"/>
    <w:rsid w:val="5F3B7F97"/>
    <w:rsid w:val="5F4815EF"/>
    <w:rsid w:val="5F503648"/>
    <w:rsid w:val="5F5D3118"/>
    <w:rsid w:val="5F5D489E"/>
    <w:rsid w:val="5F6175AF"/>
    <w:rsid w:val="5F6B46A5"/>
    <w:rsid w:val="5F6D126A"/>
    <w:rsid w:val="5F735347"/>
    <w:rsid w:val="5F791603"/>
    <w:rsid w:val="5F7F1015"/>
    <w:rsid w:val="5F8403FE"/>
    <w:rsid w:val="5F886D8D"/>
    <w:rsid w:val="5F89526B"/>
    <w:rsid w:val="5F93147C"/>
    <w:rsid w:val="5F9C61F8"/>
    <w:rsid w:val="5FA71AC8"/>
    <w:rsid w:val="5FAB3A92"/>
    <w:rsid w:val="5FB711E9"/>
    <w:rsid w:val="5FB837BB"/>
    <w:rsid w:val="5FCE3E5E"/>
    <w:rsid w:val="5FD41469"/>
    <w:rsid w:val="5FDD31B5"/>
    <w:rsid w:val="5FDD76C7"/>
    <w:rsid w:val="5FE07BD7"/>
    <w:rsid w:val="5FE861F1"/>
    <w:rsid w:val="5FE969A7"/>
    <w:rsid w:val="5FEA4ADB"/>
    <w:rsid w:val="5FEF089A"/>
    <w:rsid w:val="5FFE04EE"/>
    <w:rsid w:val="60067E97"/>
    <w:rsid w:val="60085A27"/>
    <w:rsid w:val="60087388"/>
    <w:rsid w:val="600E4A81"/>
    <w:rsid w:val="600F4A9B"/>
    <w:rsid w:val="601272F7"/>
    <w:rsid w:val="601A5EED"/>
    <w:rsid w:val="601D4141"/>
    <w:rsid w:val="601E4B76"/>
    <w:rsid w:val="6024352F"/>
    <w:rsid w:val="60246CED"/>
    <w:rsid w:val="60251971"/>
    <w:rsid w:val="602867A0"/>
    <w:rsid w:val="60294EEA"/>
    <w:rsid w:val="602E465A"/>
    <w:rsid w:val="60320183"/>
    <w:rsid w:val="60345993"/>
    <w:rsid w:val="604C2E78"/>
    <w:rsid w:val="604C5957"/>
    <w:rsid w:val="604C7586"/>
    <w:rsid w:val="60616C50"/>
    <w:rsid w:val="60680117"/>
    <w:rsid w:val="606947D9"/>
    <w:rsid w:val="606C7CAC"/>
    <w:rsid w:val="6071095D"/>
    <w:rsid w:val="6073653C"/>
    <w:rsid w:val="60775F27"/>
    <w:rsid w:val="60783525"/>
    <w:rsid w:val="60797061"/>
    <w:rsid w:val="60867D06"/>
    <w:rsid w:val="608B350E"/>
    <w:rsid w:val="608D5867"/>
    <w:rsid w:val="609031D2"/>
    <w:rsid w:val="60912A85"/>
    <w:rsid w:val="60A24A3A"/>
    <w:rsid w:val="60A25A91"/>
    <w:rsid w:val="60A8156A"/>
    <w:rsid w:val="60B0506F"/>
    <w:rsid w:val="60C6179E"/>
    <w:rsid w:val="60C90708"/>
    <w:rsid w:val="60C95DAB"/>
    <w:rsid w:val="60CC405A"/>
    <w:rsid w:val="60CC67F9"/>
    <w:rsid w:val="60CD1AC4"/>
    <w:rsid w:val="60CE6F96"/>
    <w:rsid w:val="60D37589"/>
    <w:rsid w:val="60D5054C"/>
    <w:rsid w:val="60EA49C1"/>
    <w:rsid w:val="60F4071A"/>
    <w:rsid w:val="60F66235"/>
    <w:rsid w:val="61002E15"/>
    <w:rsid w:val="61032035"/>
    <w:rsid w:val="610552EC"/>
    <w:rsid w:val="61181F02"/>
    <w:rsid w:val="612627D9"/>
    <w:rsid w:val="612C0D5A"/>
    <w:rsid w:val="612C5BB6"/>
    <w:rsid w:val="6134648A"/>
    <w:rsid w:val="614616C2"/>
    <w:rsid w:val="615A292E"/>
    <w:rsid w:val="61645BB1"/>
    <w:rsid w:val="61695AED"/>
    <w:rsid w:val="616962E5"/>
    <w:rsid w:val="616B0E05"/>
    <w:rsid w:val="616B40D0"/>
    <w:rsid w:val="616C6804"/>
    <w:rsid w:val="617050B9"/>
    <w:rsid w:val="617D0A71"/>
    <w:rsid w:val="617F5994"/>
    <w:rsid w:val="618008E6"/>
    <w:rsid w:val="6191487B"/>
    <w:rsid w:val="61921DCC"/>
    <w:rsid w:val="6195412E"/>
    <w:rsid w:val="619670D7"/>
    <w:rsid w:val="619A7D7F"/>
    <w:rsid w:val="619C114A"/>
    <w:rsid w:val="619F5281"/>
    <w:rsid w:val="61A51999"/>
    <w:rsid w:val="61A55F49"/>
    <w:rsid w:val="61B9454D"/>
    <w:rsid w:val="61BD5EFA"/>
    <w:rsid w:val="61C04172"/>
    <w:rsid w:val="61C05310"/>
    <w:rsid w:val="61C37B81"/>
    <w:rsid w:val="61C43BE5"/>
    <w:rsid w:val="61C9669A"/>
    <w:rsid w:val="61D71DD5"/>
    <w:rsid w:val="61DD2F5C"/>
    <w:rsid w:val="61E215D8"/>
    <w:rsid w:val="61E664C3"/>
    <w:rsid w:val="61EF479E"/>
    <w:rsid w:val="61FC3CBC"/>
    <w:rsid w:val="61FE0917"/>
    <w:rsid w:val="62045801"/>
    <w:rsid w:val="62051CA5"/>
    <w:rsid w:val="62081B90"/>
    <w:rsid w:val="620A1184"/>
    <w:rsid w:val="620B209F"/>
    <w:rsid w:val="620C0B13"/>
    <w:rsid w:val="62153542"/>
    <w:rsid w:val="621B3775"/>
    <w:rsid w:val="621F52ED"/>
    <w:rsid w:val="62232F3D"/>
    <w:rsid w:val="62265BA1"/>
    <w:rsid w:val="62364782"/>
    <w:rsid w:val="623B3801"/>
    <w:rsid w:val="623F19EA"/>
    <w:rsid w:val="62451A46"/>
    <w:rsid w:val="62470FF6"/>
    <w:rsid w:val="62481652"/>
    <w:rsid w:val="624D3381"/>
    <w:rsid w:val="6252234E"/>
    <w:rsid w:val="62625E95"/>
    <w:rsid w:val="62670454"/>
    <w:rsid w:val="62672C9A"/>
    <w:rsid w:val="62697E68"/>
    <w:rsid w:val="626C3AD2"/>
    <w:rsid w:val="62777938"/>
    <w:rsid w:val="627A3652"/>
    <w:rsid w:val="62867D61"/>
    <w:rsid w:val="628A7E39"/>
    <w:rsid w:val="628E332A"/>
    <w:rsid w:val="629135FB"/>
    <w:rsid w:val="629628B8"/>
    <w:rsid w:val="62985996"/>
    <w:rsid w:val="62A04058"/>
    <w:rsid w:val="62A26FA2"/>
    <w:rsid w:val="62A5256B"/>
    <w:rsid w:val="62A92C7C"/>
    <w:rsid w:val="62BC760C"/>
    <w:rsid w:val="62BD0421"/>
    <w:rsid w:val="62BE7574"/>
    <w:rsid w:val="62D106E8"/>
    <w:rsid w:val="62E545DD"/>
    <w:rsid w:val="62E573AB"/>
    <w:rsid w:val="62F330B3"/>
    <w:rsid w:val="62F80711"/>
    <w:rsid w:val="62FB23A4"/>
    <w:rsid w:val="6309775D"/>
    <w:rsid w:val="6313775F"/>
    <w:rsid w:val="631B5967"/>
    <w:rsid w:val="631F2282"/>
    <w:rsid w:val="63200C00"/>
    <w:rsid w:val="63257CC8"/>
    <w:rsid w:val="632B74E9"/>
    <w:rsid w:val="632D2C1C"/>
    <w:rsid w:val="632E3057"/>
    <w:rsid w:val="63324CC2"/>
    <w:rsid w:val="633F0DF5"/>
    <w:rsid w:val="63457CEE"/>
    <w:rsid w:val="634645D0"/>
    <w:rsid w:val="634E142A"/>
    <w:rsid w:val="63520F1A"/>
    <w:rsid w:val="63561896"/>
    <w:rsid w:val="635A48B2"/>
    <w:rsid w:val="63653FE4"/>
    <w:rsid w:val="636D321D"/>
    <w:rsid w:val="636D7208"/>
    <w:rsid w:val="6372478B"/>
    <w:rsid w:val="63752AE3"/>
    <w:rsid w:val="63761686"/>
    <w:rsid w:val="637B2247"/>
    <w:rsid w:val="637D7DBF"/>
    <w:rsid w:val="637E3E53"/>
    <w:rsid w:val="638B38F1"/>
    <w:rsid w:val="638E1B41"/>
    <w:rsid w:val="639206EE"/>
    <w:rsid w:val="6394356A"/>
    <w:rsid w:val="63983243"/>
    <w:rsid w:val="63A219BF"/>
    <w:rsid w:val="63B43255"/>
    <w:rsid w:val="63B572AB"/>
    <w:rsid w:val="63BB08FE"/>
    <w:rsid w:val="63BF196D"/>
    <w:rsid w:val="63C010DE"/>
    <w:rsid w:val="63C5106F"/>
    <w:rsid w:val="63C61B2C"/>
    <w:rsid w:val="63D316B8"/>
    <w:rsid w:val="63D40BE9"/>
    <w:rsid w:val="63D67499"/>
    <w:rsid w:val="63E2721C"/>
    <w:rsid w:val="63F60923"/>
    <w:rsid w:val="63F677CB"/>
    <w:rsid w:val="63FE26D2"/>
    <w:rsid w:val="63FF3272"/>
    <w:rsid w:val="640C3491"/>
    <w:rsid w:val="640E7A46"/>
    <w:rsid w:val="64102431"/>
    <w:rsid w:val="64185246"/>
    <w:rsid w:val="642530D4"/>
    <w:rsid w:val="64285698"/>
    <w:rsid w:val="6429780C"/>
    <w:rsid w:val="642B412D"/>
    <w:rsid w:val="64307C9C"/>
    <w:rsid w:val="643428E4"/>
    <w:rsid w:val="644111BA"/>
    <w:rsid w:val="644623EE"/>
    <w:rsid w:val="644B094A"/>
    <w:rsid w:val="64570A89"/>
    <w:rsid w:val="64583912"/>
    <w:rsid w:val="645A32AF"/>
    <w:rsid w:val="645C11BE"/>
    <w:rsid w:val="64606EB9"/>
    <w:rsid w:val="64632D48"/>
    <w:rsid w:val="64640D82"/>
    <w:rsid w:val="6471003C"/>
    <w:rsid w:val="64827218"/>
    <w:rsid w:val="648740CC"/>
    <w:rsid w:val="649551E6"/>
    <w:rsid w:val="6496762C"/>
    <w:rsid w:val="649A2861"/>
    <w:rsid w:val="649E1F3D"/>
    <w:rsid w:val="64A2188E"/>
    <w:rsid w:val="64A2339E"/>
    <w:rsid w:val="64A5243A"/>
    <w:rsid w:val="64AD59D2"/>
    <w:rsid w:val="64B10030"/>
    <w:rsid w:val="64B3358E"/>
    <w:rsid w:val="64B467DE"/>
    <w:rsid w:val="64B545B1"/>
    <w:rsid w:val="64BD515D"/>
    <w:rsid w:val="64BE5373"/>
    <w:rsid w:val="64C263FD"/>
    <w:rsid w:val="64C563D5"/>
    <w:rsid w:val="64C74ED6"/>
    <w:rsid w:val="64C97708"/>
    <w:rsid w:val="64D770CC"/>
    <w:rsid w:val="64DE6897"/>
    <w:rsid w:val="64EF2016"/>
    <w:rsid w:val="64F1491E"/>
    <w:rsid w:val="64F531DE"/>
    <w:rsid w:val="64F608A7"/>
    <w:rsid w:val="64F66D82"/>
    <w:rsid w:val="64FC4735"/>
    <w:rsid w:val="64FD7E41"/>
    <w:rsid w:val="65032F11"/>
    <w:rsid w:val="6504348C"/>
    <w:rsid w:val="650A75D2"/>
    <w:rsid w:val="65111FD7"/>
    <w:rsid w:val="651E197D"/>
    <w:rsid w:val="652012B0"/>
    <w:rsid w:val="65227778"/>
    <w:rsid w:val="65296BE9"/>
    <w:rsid w:val="652C4D32"/>
    <w:rsid w:val="65303323"/>
    <w:rsid w:val="65373578"/>
    <w:rsid w:val="654A3841"/>
    <w:rsid w:val="654B157F"/>
    <w:rsid w:val="654B1D00"/>
    <w:rsid w:val="654C3DE1"/>
    <w:rsid w:val="65565269"/>
    <w:rsid w:val="655A0DC3"/>
    <w:rsid w:val="6569254B"/>
    <w:rsid w:val="656B450B"/>
    <w:rsid w:val="657301E5"/>
    <w:rsid w:val="65743605"/>
    <w:rsid w:val="657468C9"/>
    <w:rsid w:val="65750B3F"/>
    <w:rsid w:val="65776C43"/>
    <w:rsid w:val="657844BA"/>
    <w:rsid w:val="658D7833"/>
    <w:rsid w:val="65944AEB"/>
    <w:rsid w:val="65947180"/>
    <w:rsid w:val="659B5E92"/>
    <w:rsid w:val="659E03C1"/>
    <w:rsid w:val="659F5254"/>
    <w:rsid w:val="65A036D7"/>
    <w:rsid w:val="65A2091E"/>
    <w:rsid w:val="65A724F4"/>
    <w:rsid w:val="65A75D3F"/>
    <w:rsid w:val="65AC1896"/>
    <w:rsid w:val="65AC289D"/>
    <w:rsid w:val="65AC38A3"/>
    <w:rsid w:val="65B459ED"/>
    <w:rsid w:val="65B65064"/>
    <w:rsid w:val="65BC623D"/>
    <w:rsid w:val="65BE591B"/>
    <w:rsid w:val="65C9134E"/>
    <w:rsid w:val="65CE2DE3"/>
    <w:rsid w:val="65D03F86"/>
    <w:rsid w:val="65D15DC5"/>
    <w:rsid w:val="65D4337B"/>
    <w:rsid w:val="65DF38FA"/>
    <w:rsid w:val="65EB7E2E"/>
    <w:rsid w:val="65F12562"/>
    <w:rsid w:val="65F26870"/>
    <w:rsid w:val="65F40C07"/>
    <w:rsid w:val="65F83024"/>
    <w:rsid w:val="661203C6"/>
    <w:rsid w:val="66190B84"/>
    <w:rsid w:val="661970C4"/>
    <w:rsid w:val="661A6386"/>
    <w:rsid w:val="661E49A2"/>
    <w:rsid w:val="66227860"/>
    <w:rsid w:val="662E1D21"/>
    <w:rsid w:val="66324E77"/>
    <w:rsid w:val="664E405E"/>
    <w:rsid w:val="66570E9B"/>
    <w:rsid w:val="666E160D"/>
    <w:rsid w:val="666F0E0F"/>
    <w:rsid w:val="668317D9"/>
    <w:rsid w:val="66854E66"/>
    <w:rsid w:val="6694184A"/>
    <w:rsid w:val="66956604"/>
    <w:rsid w:val="66A04BFC"/>
    <w:rsid w:val="66A334BD"/>
    <w:rsid w:val="66A92684"/>
    <w:rsid w:val="66AE0D56"/>
    <w:rsid w:val="66AF1FFA"/>
    <w:rsid w:val="66B140C6"/>
    <w:rsid w:val="66B36EAE"/>
    <w:rsid w:val="66B36F14"/>
    <w:rsid w:val="66C012D9"/>
    <w:rsid w:val="66C968AA"/>
    <w:rsid w:val="66CF6AE9"/>
    <w:rsid w:val="66D16059"/>
    <w:rsid w:val="66D22468"/>
    <w:rsid w:val="66D65D26"/>
    <w:rsid w:val="66D857E6"/>
    <w:rsid w:val="66DB0A1C"/>
    <w:rsid w:val="66E17C5F"/>
    <w:rsid w:val="66E250A2"/>
    <w:rsid w:val="66EE324A"/>
    <w:rsid w:val="66F82568"/>
    <w:rsid w:val="6702419B"/>
    <w:rsid w:val="67070783"/>
    <w:rsid w:val="670950B3"/>
    <w:rsid w:val="67112F29"/>
    <w:rsid w:val="671405B4"/>
    <w:rsid w:val="67157152"/>
    <w:rsid w:val="67167D84"/>
    <w:rsid w:val="671F124A"/>
    <w:rsid w:val="6728404F"/>
    <w:rsid w:val="67292F7B"/>
    <w:rsid w:val="672E57FA"/>
    <w:rsid w:val="67311ED1"/>
    <w:rsid w:val="67375610"/>
    <w:rsid w:val="673F4C12"/>
    <w:rsid w:val="674357F1"/>
    <w:rsid w:val="67494852"/>
    <w:rsid w:val="6753384D"/>
    <w:rsid w:val="6753700F"/>
    <w:rsid w:val="67556620"/>
    <w:rsid w:val="67566544"/>
    <w:rsid w:val="6759039D"/>
    <w:rsid w:val="675A00D7"/>
    <w:rsid w:val="675C189F"/>
    <w:rsid w:val="675E4D8F"/>
    <w:rsid w:val="67606D44"/>
    <w:rsid w:val="67694B28"/>
    <w:rsid w:val="67697CCE"/>
    <w:rsid w:val="67714665"/>
    <w:rsid w:val="677A1659"/>
    <w:rsid w:val="677A33C6"/>
    <w:rsid w:val="67883CDC"/>
    <w:rsid w:val="678D3456"/>
    <w:rsid w:val="67916F86"/>
    <w:rsid w:val="67966F8A"/>
    <w:rsid w:val="679B0157"/>
    <w:rsid w:val="67A12EE8"/>
    <w:rsid w:val="67B07487"/>
    <w:rsid w:val="67B55255"/>
    <w:rsid w:val="67BF18AE"/>
    <w:rsid w:val="67C704C1"/>
    <w:rsid w:val="67E559CF"/>
    <w:rsid w:val="67ED79B4"/>
    <w:rsid w:val="67EF5D62"/>
    <w:rsid w:val="67F6490D"/>
    <w:rsid w:val="67FC3439"/>
    <w:rsid w:val="67FC3792"/>
    <w:rsid w:val="68032106"/>
    <w:rsid w:val="68040EDF"/>
    <w:rsid w:val="680919C4"/>
    <w:rsid w:val="681432BF"/>
    <w:rsid w:val="68154807"/>
    <w:rsid w:val="681F6961"/>
    <w:rsid w:val="68330C87"/>
    <w:rsid w:val="68336F12"/>
    <w:rsid w:val="683571CE"/>
    <w:rsid w:val="683756AA"/>
    <w:rsid w:val="683B492C"/>
    <w:rsid w:val="683C11E1"/>
    <w:rsid w:val="685330AE"/>
    <w:rsid w:val="6859062E"/>
    <w:rsid w:val="685F12E8"/>
    <w:rsid w:val="68610A2F"/>
    <w:rsid w:val="68630724"/>
    <w:rsid w:val="686A27A5"/>
    <w:rsid w:val="687942A0"/>
    <w:rsid w:val="687B37E1"/>
    <w:rsid w:val="687E4BCB"/>
    <w:rsid w:val="68805514"/>
    <w:rsid w:val="68837E49"/>
    <w:rsid w:val="6888716E"/>
    <w:rsid w:val="689067BC"/>
    <w:rsid w:val="68953BBC"/>
    <w:rsid w:val="68981EC8"/>
    <w:rsid w:val="689B6345"/>
    <w:rsid w:val="68A43F3C"/>
    <w:rsid w:val="68A4415C"/>
    <w:rsid w:val="68A47CF2"/>
    <w:rsid w:val="68AB0F11"/>
    <w:rsid w:val="68AB60EB"/>
    <w:rsid w:val="68B72F8C"/>
    <w:rsid w:val="68BE5C06"/>
    <w:rsid w:val="68C263BB"/>
    <w:rsid w:val="68D930BF"/>
    <w:rsid w:val="68DF67C6"/>
    <w:rsid w:val="68E8273E"/>
    <w:rsid w:val="68EF3E9B"/>
    <w:rsid w:val="68F00BFE"/>
    <w:rsid w:val="68F43732"/>
    <w:rsid w:val="68FB73B3"/>
    <w:rsid w:val="68FF0E6F"/>
    <w:rsid w:val="68FF4D5F"/>
    <w:rsid w:val="69020DF2"/>
    <w:rsid w:val="6919180B"/>
    <w:rsid w:val="691F48A5"/>
    <w:rsid w:val="6920299E"/>
    <w:rsid w:val="69235AD5"/>
    <w:rsid w:val="69244D84"/>
    <w:rsid w:val="692501BC"/>
    <w:rsid w:val="6928130C"/>
    <w:rsid w:val="692C3DAE"/>
    <w:rsid w:val="692E0A88"/>
    <w:rsid w:val="69316E2F"/>
    <w:rsid w:val="69353BD8"/>
    <w:rsid w:val="693F79E5"/>
    <w:rsid w:val="694305E8"/>
    <w:rsid w:val="694B60CE"/>
    <w:rsid w:val="694E2071"/>
    <w:rsid w:val="69571E23"/>
    <w:rsid w:val="69595190"/>
    <w:rsid w:val="695A2C0F"/>
    <w:rsid w:val="695F5BDA"/>
    <w:rsid w:val="69613562"/>
    <w:rsid w:val="69660CC9"/>
    <w:rsid w:val="696B4560"/>
    <w:rsid w:val="69702ECB"/>
    <w:rsid w:val="697548DE"/>
    <w:rsid w:val="69766163"/>
    <w:rsid w:val="697930EA"/>
    <w:rsid w:val="697A3B33"/>
    <w:rsid w:val="69850290"/>
    <w:rsid w:val="69865813"/>
    <w:rsid w:val="698D253B"/>
    <w:rsid w:val="699851AD"/>
    <w:rsid w:val="69985F4C"/>
    <w:rsid w:val="69A837F1"/>
    <w:rsid w:val="69AD6495"/>
    <w:rsid w:val="69B5322F"/>
    <w:rsid w:val="69BB3033"/>
    <w:rsid w:val="69BD6931"/>
    <w:rsid w:val="69D44760"/>
    <w:rsid w:val="69D7378B"/>
    <w:rsid w:val="69DA7BC1"/>
    <w:rsid w:val="69E04855"/>
    <w:rsid w:val="69E7199C"/>
    <w:rsid w:val="69E82E77"/>
    <w:rsid w:val="69EA2F3F"/>
    <w:rsid w:val="69F23404"/>
    <w:rsid w:val="69FE149D"/>
    <w:rsid w:val="69FE1A0E"/>
    <w:rsid w:val="6A0045A4"/>
    <w:rsid w:val="6A042214"/>
    <w:rsid w:val="6A0445F0"/>
    <w:rsid w:val="6A062053"/>
    <w:rsid w:val="6A091F39"/>
    <w:rsid w:val="6A0967E9"/>
    <w:rsid w:val="6A115C79"/>
    <w:rsid w:val="6A1525ED"/>
    <w:rsid w:val="6A1934D6"/>
    <w:rsid w:val="6A1B5045"/>
    <w:rsid w:val="6A22170F"/>
    <w:rsid w:val="6A23013E"/>
    <w:rsid w:val="6A231BC9"/>
    <w:rsid w:val="6A2B7C78"/>
    <w:rsid w:val="6A2C7206"/>
    <w:rsid w:val="6A324B77"/>
    <w:rsid w:val="6A332C51"/>
    <w:rsid w:val="6A33443E"/>
    <w:rsid w:val="6A38107F"/>
    <w:rsid w:val="6A451048"/>
    <w:rsid w:val="6A4B5C65"/>
    <w:rsid w:val="6A520EC7"/>
    <w:rsid w:val="6A52507D"/>
    <w:rsid w:val="6A56708B"/>
    <w:rsid w:val="6A6255CE"/>
    <w:rsid w:val="6A626A1B"/>
    <w:rsid w:val="6A682D15"/>
    <w:rsid w:val="6A6B0EAD"/>
    <w:rsid w:val="6A6E7493"/>
    <w:rsid w:val="6A757862"/>
    <w:rsid w:val="6A767D18"/>
    <w:rsid w:val="6A7C208B"/>
    <w:rsid w:val="6A7D30CB"/>
    <w:rsid w:val="6A894BE1"/>
    <w:rsid w:val="6A8A1347"/>
    <w:rsid w:val="6A8E7E17"/>
    <w:rsid w:val="6A8F4E01"/>
    <w:rsid w:val="6A90057A"/>
    <w:rsid w:val="6A921242"/>
    <w:rsid w:val="6A940514"/>
    <w:rsid w:val="6A991B8B"/>
    <w:rsid w:val="6A9B04F8"/>
    <w:rsid w:val="6AA02946"/>
    <w:rsid w:val="6AA73C12"/>
    <w:rsid w:val="6AA77207"/>
    <w:rsid w:val="6AAD1A12"/>
    <w:rsid w:val="6AB23084"/>
    <w:rsid w:val="6AB575F9"/>
    <w:rsid w:val="6AB75B07"/>
    <w:rsid w:val="6ABC4866"/>
    <w:rsid w:val="6ABF57AC"/>
    <w:rsid w:val="6AC3603F"/>
    <w:rsid w:val="6AC448EF"/>
    <w:rsid w:val="6ACA6DFB"/>
    <w:rsid w:val="6AD32425"/>
    <w:rsid w:val="6ADA49EC"/>
    <w:rsid w:val="6ADB75C4"/>
    <w:rsid w:val="6ADD3039"/>
    <w:rsid w:val="6ADD5634"/>
    <w:rsid w:val="6AE757D1"/>
    <w:rsid w:val="6AE83F12"/>
    <w:rsid w:val="6AF0037C"/>
    <w:rsid w:val="6AF439E1"/>
    <w:rsid w:val="6AF87E20"/>
    <w:rsid w:val="6AFE6317"/>
    <w:rsid w:val="6B0A5295"/>
    <w:rsid w:val="6B0C77EA"/>
    <w:rsid w:val="6B126EF3"/>
    <w:rsid w:val="6B1409F0"/>
    <w:rsid w:val="6B1C2AC3"/>
    <w:rsid w:val="6B1F479A"/>
    <w:rsid w:val="6B21223F"/>
    <w:rsid w:val="6B250372"/>
    <w:rsid w:val="6B2B5108"/>
    <w:rsid w:val="6B315B3E"/>
    <w:rsid w:val="6B322639"/>
    <w:rsid w:val="6B32437D"/>
    <w:rsid w:val="6B3504F5"/>
    <w:rsid w:val="6B3E0BC3"/>
    <w:rsid w:val="6B542A22"/>
    <w:rsid w:val="6B557466"/>
    <w:rsid w:val="6B5A2AF8"/>
    <w:rsid w:val="6B622A78"/>
    <w:rsid w:val="6B6B007B"/>
    <w:rsid w:val="6B6C7C3D"/>
    <w:rsid w:val="6B753F40"/>
    <w:rsid w:val="6B790EAD"/>
    <w:rsid w:val="6B7A155B"/>
    <w:rsid w:val="6B7C2F36"/>
    <w:rsid w:val="6B7E2D99"/>
    <w:rsid w:val="6B833C3B"/>
    <w:rsid w:val="6B884920"/>
    <w:rsid w:val="6B8D67C7"/>
    <w:rsid w:val="6B8E04EE"/>
    <w:rsid w:val="6B8F6B7E"/>
    <w:rsid w:val="6B906551"/>
    <w:rsid w:val="6B9B1A94"/>
    <w:rsid w:val="6BA918AF"/>
    <w:rsid w:val="6BAA5DB2"/>
    <w:rsid w:val="6BAD5E40"/>
    <w:rsid w:val="6BB16785"/>
    <w:rsid w:val="6BB26165"/>
    <w:rsid w:val="6BB4256F"/>
    <w:rsid w:val="6BBC3646"/>
    <w:rsid w:val="6BBF2EC5"/>
    <w:rsid w:val="6BC9105F"/>
    <w:rsid w:val="6BC940B1"/>
    <w:rsid w:val="6BCE0B68"/>
    <w:rsid w:val="6BD10E4A"/>
    <w:rsid w:val="6BD431B2"/>
    <w:rsid w:val="6BD633BE"/>
    <w:rsid w:val="6BDD2CCB"/>
    <w:rsid w:val="6BE24F9D"/>
    <w:rsid w:val="6BEE4FCB"/>
    <w:rsid w:val="6BEF307E"/>
    <w:rsid w:val="6BF12CE8"/>
    <w:rsid w:val="6BF74D1C"/>
    <w:rsid w:val="6BFA21F8"/>
    <w:rsid w:val="6C034A19"/>
    <w:rsid w:val="6C0B41B7"/>
    <w:rsid w:val="6C147AE1"/>
    <w:rsid w:val="6C1A5D9A"/>
    <w:rsid w:val="6C1D5C0D"/>
    <w:rsid w:val="6C23020C"/>
    <w:rsid w:val="6C243584"/>
    <w:rsid w:val="6C2814C5"/>
    <w:rsid w:val="6C381820"/>
    <w:rsid w:val="6C413AB8"/>
    <w:rsid w:val="6C4330AD"/>
    <w:rsid w:val="6C44776E"/>
    <w:rsid w:val="6C447F20"/>
    <w:rsid w:val="6C4A0460"/>
    <w:rsid w:val="6C4B22E0"/>
    <w:rsid w:val="6C4F64A4"/>
    <w:rsid w:val="6C51706B"/>
    <w:rsid w:val="6C5346AE"/>
    <w:rsid w:val="6C636C38"/>
    <w:rsid w:val="6C662FEC"/>
    <w:rsid w:val="6C74292E"/>
    <w:rsid w:val="6C81689F"/>
    <w:rsid w:val="6C8F42D9"/>
    <w:rsid w:val="6C91631D"/>
    <w:rsid w:val="6C931647"/>
    <w:rsid w:val="6C9332E2"/>
    <w:rsid w:val="6C9B6458"/>
    <w:rsid w:val="6C9F2CF6"/>
    <w:rsid w:val="6CA81D5D"/>
    <w:rsid w:val="6CA85A57"/>
    <w:rsid w:val="6CAC5C48"/>
    <w:rsid w:val="6CAF3B4B"/>
    <w:rsid w:val="6CB16062"/>
    <w:rsid w:val="6CB349DA"/>
    <w:rsid w:val="6CC47F18"/>
    <w:rsid w:val="6CCA5F1D"/>
    <w:rsid w:val="6CCB6C0B"/>
    <w:rsid w:val="6CCC6B90"/>
    <w:rsid w:val="6CD57DDC"/>
    <w:rsid w:val="6CD9731E"/>
    <w:rsid w:val="6CDB72EE"/>
    <w:rsid w:val="6CDE6813"/>
    <w:rsid w:val="6CE329D7"/>
    <w:rsid w:val="6CEF3EAF"/>
    <w:rsid w:val="6CF97543"/>
    <w:rsid w:val="6CFB13EA"/>
    <w:rsid w:val="6CFF7B9D"/>
    <w:rsid w:val="6D053CA7"/>
    <w:rsid w:val="6D084613"/>
    <w:rsid w:val="6D0A4E31"/>
    <w:rsid w:val="6D1501A8"/>
    <w:rsid w:val="6D154AB9"/>
    <w:rsid w:val="6D2B458A"/>
    <w:rsid w:val="6D2E6323"/>
    <w:rsid w:val="6D3067E0"/>
    <w:rsid w:val="6D345F80"/>
    <w:rsid w:val="6D360AA7"/>
    <w:rsid w:val="6D3D0001"/>
    <w:rsid w:val="6D480B82"/>
    <w:rsid w:val="6D4F1768"/>
    <w:rsid w:val="6D5A670A"/>
    <w:rsid w:val="6D5B270D"/>
    <w:rsid w:val="6D5B2EE9"/>
    <w:rsid w:val="6D5F7056"/>
    <w:rsid w:val="6D606D91"/>
    <w:rsid w:val="6D6276C9"/>
    <w:rsid w:val="6D6668C3"/>
    <w:rsid w:val="6D6A0696"/>
    <w:rsid w:val="6D6A7698"/>
    <w:rsid w:val="6D6B5502"/>
    <w:rsid w:val="6D6C4F0E"/>
    <w:rsid w:val="6D743A98"/>
    <w:rsid w:val="6D7826CF"/>
    <w:rsid w:val="6D7C375E"/>
    <w:rsid w:val="6D7D1282"/>
    <w:rsid w:val="6D800726"/>
    <w:rsid w:val="6D8016BD"/>
    <w:rsid w:val="6D8560C0"/>
    <w:rsid w:val="6D8663A0"/>
    <w:rsid w:val="6D88378A"/>
    <w:rsid w:val="6D8B2758"/>
    <w:rsid w:val="6D8D3999"/>
    <w:rsid w:val="6DA17ECF"/>
    <w:rsid w:val="6DA80DC5"/>
    <w:rsid w:val="6DB34098"/>
    <w:rsid w:val="6DB545B6"/>
    <w:rsid w:val="6DC32535"/>
    <w:rsid w:val="6DC7127D"/>
    <w:rsid w:val="6DC85927"/>
    <w:rsid w:val="6DCF6F43"/>
    <w:rsid w:val="6DD13687"/>
    <w:rsid w:val="6DD91FD9"/>
    <w:rsid w:val="6DDC6604"/>
    <w:rsid w:val="6DE02FB4"/>
    <w:rsid w:val="6DF20FD9"/>
    <w:rsid w:val="6DF222C0"/>
    <w:rsid w:val="6DF8763E"/>
    <w:rsid w:val="6DF91476"/>
    <w:rsid w:val="6DFF3A4C"/>
    <w:rsid w:val="6E075FA3"/>
    <w:rsid w:val="6E0A2D16"/>
    <w:rsid w:val="6E102C35"/>
    <w:rsid w:val="6E1F698B"/>
    <w:rsid w:val="6E227F36"/>
    <w:rsid w:val="6E233CCC"/>
    <w:rsid w:val="6E245801"/>
    <w:rsid w:val="6E25485B"/>
    <w:rsid w:val="6E2C6825"/>
    <w:rsid w:val="6E2D0DFF"/>
    <w:rsid w:val="6E2F1909"/>
    <w:rsid w:val="6E39278D"/>
    <w:rsid w:val="6E395D10"/>
    <w:rsid w:val="6E396093"/>
    <w:rsid w:val="6E4111D4"/>
    <w:rsid w:val="6E4151C3"/>
    <w:rsid w:val="6E4A555D"/>
    <w:rsid w:val="6E514CED"/>
    <w:rsid w:val="6E613B06"/>
    <w:rsid w:val="6E680AA8"/>
    <w:rsid w:val="6E6B1AD6"/>
    <w:rsid w:val="6E743B47"/>
    <w:rsid w:val="6E780E73"/>
    <w:rsid w:val="6E7B2F80"/>
    <w:rsid w:val="6E7C509D"/>
    <w:rsid w:val="6E7D2AAC"/>
    <w:rsid w:val="6E7E1EE9"/>
    <w:rsid w:val="6E804D5C"/>
    <w:rsid w:val="6E823BC3"/>
    <w:rsid w:val="6E8644D7"/>
    <w:rsid w:val="6E8B29C7"/>
    <w:rsid w:val="6E90498F"/>
    <w:rsid w:val="6E916532"/>
    <w:rsid w:val="6E9D1B01"/>
    <w:rsid w:val="6E9E684B"/>
    <w:rsid w:val="6EA00294"/>
    <w:rsid w:val="6EAA6F5C"/>
    <w:rsid w:val="6EB563D5"/>
    <w:rsid w:val="6EB8585B"/>
    <w:rsid w:val="6EC7442A"/>
    <w:rsid w:val="6ED73510"/>
    <w:rsid w:val="6ED92677"/>
    <w:rsid w:val="6EE048AA"/>
    <w:rsid w:val="6EF335F0"/>
    <w:rsid w:val="6EFE32AD"/>
    <w:rsid w:val="6EFF4F49"/>
    <w:rsid w:val="6F040BC7"/>
    <w:rsid w:val="6F043A71"/>
    <w:rsid w:val="6F063E1D"/>
    <w:rsid w:val="6F07109C"/>
    <w:rsid w:val="6F075035"/>
    <w:rsid w:val="6F127FE7"/>
    <w:rsid w:val="6F13367D"/>
    <w:rsid w:val="6F16494E"/>
    <w:rsid w:val="6F17762D"/>
    <w:rsid w:val="6F1F5487"/>
    <w:rsid w:val="6F201CDD"/>
    <w:rsid w:val="6F225983"/>
    <w:rsid w:val="6F2318BF"/>
    <w:rsid w:val="6F245629"/>
    <w:rsid w:val="6F2579AB"/>
    <w:rsid w:val="6F376B16"/>
    <w:rsid w:val="6F376B73"/>
    <w:rsid w:val="6F4170E3"/>
    <w:rsid w:val="6F484EA9"/>
    <w:rsid w:val="6F49036C"/>
    <w:rsid w:val="6F4B39B0"/>
    <w:rsid w:val="6F4E660B"/>
    <w:rsid w:val="6F571ED1"/>
    <w:rsid w:val="6F5A4D44"/>
    <w:rsid w:val="6F5B03C7"/>
    <w:rsid w:val="6F5F7907"/>
    <w:rsid w:val="6F60676D"/>
    <w:rsid w:val="6F607271"/>
    <w:rsid w:val="6F635110"/>
    <w:rsid w:val="6F6A5670"/>
    <w:rsid w:val="6F7A52D3"/>
    <w:rsid w:val="6F8A0BAA"/>
    <w:rsid w:val="6F8E7E73"/>
    <w:rsid w:val="6F8F3668"/>
    <w:rsid w:val="6F93534C"/>
    <w:rsid w:val="6F966EFB"/>
    <w:rsid w:val="6F9C48F3"/>
    <w:rsid w:val="6FA261D8"/>
    <w:rsid w:val="6FA64B04"/>
    <w:rsid w:val="6FA74C59"/>
    <w:rsid w:val="6FB46AC9"/>
    <w:rsid w:val="6FC56824"/>
    <w:rsid w:val="6FC74F0A"/>
    <w:rsid w:val="6FC76875"/>
    <w:rsid w:val="6FD04777"/>
    <w:rsid w:val="6FDA413E"/>
    <w:rsid w:val="6FDB0DDA"/>
    <w:rsid w:val="6FE1231C"/>
    <w:rsid w:val="6FE269BE"/>
    <w:rsid w:val="6FE73B33"/>
    <w:rsid w:val="6FEE3AEB"/>
    <w:rsid w:val="6FF627FC"/>
    <w:rsid w:val="6FF67F54"/>
    <w:rsid w:val="6FF87C88"/>
    <w:rsid w:val="6FF938F5"/>
    <w:rsid w:val="6FFC5590"/>
    <w:rsid w:val="6FFF2857"/>
    <w:rsid w:val="700127D7"/>
    <w:rsid w:val="700F759E"/>
    <w:rsid w:val="70112F5E"/>
    <w:rsid w:val="701B2C1F"/>
    <w:rsid w:val="701C2C61"/>
    <w:rsid w:val="701C6F62"/>
    <w:rsid w:val="70212815"/>
    <w:rsid w:val="70251CF6"/>
    <w:rsid w:val="70252FBF"/>
    <w:rsid w:val="70301F79"/>
    <w:rsid w:val="703837B2"/>
    <w:rsid w:val="704D0BD9"/>
    <w:rsid w:val="70540C15"/>
    <w:rsid w:val="705426F3"/>
    <w:rsid w:val="705C0864"/>
    <w:rsid w:val="705D3DBB"/>
    <w:rsid w:val="70655BAD"/>
    <w:rsid w:val="706B056B"/>
    <w:rsid w:val="706D1DD0"/>
    <w:rsid w:val="707D0AF6"/>
    <w:rsid w:val="7081544B"/>
    <w:rsid w:val="70856B87"/>
    <w:rsid w:val="708D7EBC"/>
    <w:rsid w:val="709044EF"/>
    <w:rsid w:val="709544EC"/>
    <w:rsid w:val="709F32C5"/>
    <w:rsid w:val="70B35E58"/>
    <w:rsid w:val="70B51D2E"/>
    <w:rsid w:val="70B668C5"/>
    <w:rsid w:val="70B92D99"/>
    <w:rsid w:val="70BC0A6A"/>
    <w:rsid w:val="70C62591"/>
    <w:rsid w:val="70CF155E"/>
    <w:rsid w:val="70D527EE"/>
    <w:rsid w:val="70D87B76"/>
    <w:rsid w:val="70DD5BBD"/>
    <w:rsid w:val="70E03493"/>
    <w:rsid w:val="70E544D8"/>
    <w:rsid w:val="70E667F1"/>
    <w:rsid w:val="70E71A20"/>
    <w:rsid w:val="70EB650A"/>
    <w:rsid w:val="70F72C98"/>
    <w:rsid w:val="70FD3ED2"/>
    <w:rsid w:val="71060694"/>
    <w:rsid w:val="71062DE5"/>
    <w:rsid w:val="71114C30"/>
    <w:rsid w:val="71145970"/>
    <w:rsid w:val="711643EA"/>
    <w:rsid w:val="71180F2A"/>
    <w:rsid w:val="71187EF2"/>
    <w:rsid w:val="711B1224"/>
    <w:rsid w:val="711F256D"/>
    <w:rsid w:val="712107C1"/>
    <w:rsid w:val="71265E09"/>
    <w:rsid w:val="71280D6B"/>
    <w:rsid w:val="713242B9"/>
    <w:rsid w:val="713278E2"/>
    <w:rsid w:val="71402852"/>
    <w:rsid w:val="714157CE"/>
    <w:rsid w:val="715150D0"/>
    <w:rsid w:val="715B5300"/>
    <w:rsid w:val="715D5D5C"/>
    <w:rsid w:val="71603E77"/>
    <w:rsid w:val="7160680B"/>
    <w:rsid w:val="716323FD"/>
    <w:rsid w:val="7163442E"/>
    <w:rsid w:val="716C3540"/>
    <w:rsid w:val="717511C6"/>
    <w:rsid w:val="717C0DCC"/>
    <w:rsid w:val="718526FF"/>
    <w:rsid w:val="71882180"/>
    <w:rsid w:val="718B4BE7"/>
    <w:rsid w:val="719F4D17"/>
    <w:rsid w:val="71A12CE7"/>
    <w:rsid w:val="71A40AD6"/>
    <w:rsid w:val="71AB53FA"/>
    <w:rsid w:val="71AD4A11"/>
    <w:rsid w:val="71B01B27"/>
    <w:rsid w:val="71B37F60"/>
    <w:rsid w:val="71B62861"/>
    <w:rsid w:val="71B72167"/>
    <w:rsid w:val="71C009DE"/>
    <w:rsid w:val="71CB360D"/>
    <w:rsid w:val="71D216E4"/>
    <w:rsid w:val="71D27F8A"/>
    <w:rsid w:val="71D40023"/>
    <w:rsid w:val="71DD574F"/>
    <w:rsid w:val="71EB2026"/>
    <w:rsid w:val="71ED06E8"/>
    <w:rsid w:val="71ED233B"/>
    <w:rsid w:val="71F66F65"/>
    <w:rsid w:val="71FC11C8"/>
    <w:rsid w:val="720011E0"/>
    <w:rsid w:val="720B0F24"/>
    <w:rsid w:val="720D72AB"/>
    <w:rsid w:val="72123837"/>
    <w:rsid w:val="721414C2"/>
    <w:rsid w:val="72183133"/>
    <w:rsid w:val="72205C0F"/>
    <w:rsid w:val="7224750E"/>
    <w:rsid w:val="72304ACA"/>
    <w:rsid w:val="72323CC5"/>
    <w:rsid w:val="7240187A"/>
    <w:rsid w:val="724216F8"/>
    <w:rsid w:val="724F2C7B"/>
    <w:rsid w:val="72553024"/>
    <w:rsid w:val="725771B2"/>
    <w:rsid w:val="726626E5"/>
    <w:rsid w:val="7272271B"/>
    <w:rsid w:val="7274382D"/>
    <w:rsid w:val="72773D38"/>
    <w:rsid w:val="727F515C"/>
    <w:rsid w:val="7285263A"/>
    <w:rsid w:val="72907D26"/>
    <w:rsid w:val="72920148"/>
    <w:rsid w:val="729708EB"/>
    <w:rsid w:val="72972DE1"/>
    <w:rsid w:val="729B0DCE"/>
    <w:rsid w:val="729F2FF2"/>
    <w:rsid w:val="72A150F4"/>
    <w:rsid w:val="72AC2D8A"/>
    <w:rsid w:val="72AE0016"/>
    <w:rsid w:val="72B50366"/>
    <w:rsid w:val="72BF7C4E"/>
    <w:rsid w:val="72C328B5"/>
    <w:rsid w:val="72C60E5B"/>
    <w:rsid w:val="72C71647"/>
    <w:rsid w:val="72CB2ADA"/>
    <w:rsid w:val="72DC4E5B"/>
    <w:rsid w:val="72F427DC"/>
    <w:rsid w:val="72F91108"/>
    <w:rsid w:val="72FC32BA"/>
    <w:rsid w:val="730162EC"/>
    <w:rsid w:val="73025BDC"/>
    <w:rsid w:val="730439DF"/>
    <w:rsid w:val="73056792"/>
    <w:rsid w:val="730A1368"/>
    <w:rsid w:val="730B7B32"/>
    <w:rsid w:val="731004AA"/>
    <w:rsid w:val="73122968"/>
    <w:rsid w:val="731429C7"/>
    <w:rsid w:val="7315106E"/>
    <w:rsid w:val="731A42B1"/>
    <w:rsid w:val="731F5D5E"/>
    <w:rsid w:val="73243F55"/>
    <w:rsid w:val="73307800"/>
    <w:rsid w:val="733476DB"/>
    <w:rsid w:val="733B4E1D"/>
    <w:rsid w:val="734A6677"/>
    <w:rsid w:val="736160E7"/>
    <w:rsid w:val="73740A39"/>
    <w:rsid w:val="73774F22"/>
    <w:rsid w:val="737E1899"/>
    <w:rsid w:val="73843B37"/>
    <w:rsid w:val="738526D4"/>
    <w:rsid w:val="7389232D"/>
    <w:rsid w:val="73981E8F"/>
    <w:rsid w:val="739860FD"/>
    <w:rsid w:val="73A00C60"/>
    <w:rsid w:val="73A72E29"/>
    <w:rsid w:val="73A86D90"/>
    <w:rsid w:val="73AC0C35"/>
    <w:rsid w:val="73B35C30"/>
    <w:rsid w:val="73B9740F"/>
    <w:rsid w:val="73C153AF"/>
    <w:rsid w:val="73C40AF9"/>
    <w:rsid w:val="73C51AD5"/>
    <w:rsid w:val="73DA4287"/>
    <w:rsid w:val="73DC04E8"/>
    <w:rsid w:val="73E101B6"/>
    <w:rsid w:val="73E150EE"/>
    <w:rsid w:val="73E44B37"/>
    <w:rsid w:val="73EA0783"/>
    <w:rsid w:val="73EE2DCD"/>
    <w:rsid w:val="73F95630"/>
    <w:rsid w:val="73FC3960"/>
    <w:rsid w:val="74021577"/>
    <w:rsid w:val="74035B51"/>
    <w:rsid w:val="74050670"/>
    <w:rsid w:val="74053E97"/>
    <w:rsid w:val="74090AA8"/>
    <w:rsid w:val="740B2A1F"/>
    <w:rsid w:val="740E2995"/>
    <w:rsid w:val="740F288C"/>
    <w:rsid w:val="74117554"/>
    <w:rsid w:val="741178B5"/>
    <w:rsid w:val="7416095F"/>
    <w:rsid w:val="741A6D1D"/>
    <w:rsid w:val="741E793C"/>
    <w:rsid w:val="7420471D"/>
    <w:rsid w:val="74205676"/>
    <w:rsid w:val="742360A6"/>
    <w:rsid w:val="74281992"/>
    <w:rsid w:val="74286573"/>
    <w:rsid w:val="742A6152"/>
    <w:rsid w:val="742A6882"/>
    <w:rsid w:val="74300D31"/>
    <w:rsid w:val="743731C7"/>
    <w:rsid w:val="74374F74"/>
    <w:rsid w:val="743774E1"/>
    <w:rsid w:val="744C2DEF"/>
    <w:rsid w:val="7451495A"/>
    <w:rsid w:val="74587CE5"/>
    <w:rsid w:val="745E3944"/>
    <w:rsid w:val="745F0765"/>
    <w:rsid w:val="746109C6"/>
    <w:rsid w:val="74631C02"/>
    <w:rsid w:val="74735F5D"/>
    <w:rsid w:val="74774B25"/>
    <w:rsid w:val="7479439E"/>
    <w:rsid w:val="74803216"/>
    <w:rsid w:val="74845F5B"/>
    <w:rsid w:val="74850A24"/>
    <w:rsid w:val="748756D3"/>
    <w:rsid w:val="748C095B"/>
    <w:rsid w:val="74910E2D"/>
    <w:rsid w:val="74974EDC"/>
    <w:rsid w:val="749E6411"/>
    <w:rsid w:val="74A44550"/>
    <w:rsid w:val="74A62F5E"/>
    <w:rsid w:val="74A74EF0"/>
    <w:rsid w:val="74A97D36"/>
    <w:rsid w:val="74BE50C3"/>
    <w:rsid w:val="74C178B7"/>
    <w:rsid w:val="74CB22A8"/>
    <w:rsid w:val="74D01DF4"/>
    <w:rsid w:val="74D0428F"/>
    <w:rsid w:val="74D5391C"/>
    <w:rsid w:val="74D55484"/>
    <w:rsid w:val="74D6182E"/>
    <w:rsid w:val="74D85B45"/>
    <w:rsid w:val="74DB4E54"/>
    <w:rsid w:val="74DF132E"/>
    <w:rsid w:val="74E512BE"/>
    <w:rsid w:val="74EF3667"/>
    <w:rsid w:val="74F01BA7"/>
    <w:rsid w:val="74F305F0"/>
    <w:rsid w:val="74F34CCD"/>
    <w:rsid w:val="74F8087E"/>
    <w:rsid w:val="74F90F6A"/>
    <w:rsid w:val="74FA4DE4"/>
    <w:rsid w:val="74FC1493"/>
    <w:rsid w:val="74FD086C"/>
    <w:rsid w:val="75084863"/>
    <w:rsid w:val="7508768B"/>
    <w:rsid w:val="750E6428"/>
    <w:rsid w:val="750E729A"/>
    <w:rsid w:val="75103225"/>
    <w:rsid w:val="75105E82"/>
    <w:rsid w:val="751D2A0A"/>
    <w:rsid w:val="751E7D25"/>
    <w:rsid w:val="75257E91"/>
    <w:rsid w:val="752B650B"/>
    <w:rsid w:val="753C745A"/>
    <w:rsid w:val="753D6D75"/>
    <w:rsid w:val="75400618"/>
    <w:rsid w:val="754E3A4B"/>
    <w:rsid w:val="755C3532"/>
    <w:rsid w:val="75647DD5"/>
    <w:rsid w:val="756A3135"/>
    <w:rsid w:val="756D04A2"/>
    <w:rsid w:val="756D1AAE"/>
    <w:rsid w:val="75770164"/>
    <w:rsid w:val="757C3944"/>
    <w:rsid w:val="757D43C2"/>
    <w:rsid w:val="758D33B6"/>
    <w:rsid w:val="758F6379"/>
    <w:rsid w:val="7591264A"/>
    <w:rsid w:val="759D317D"/>
    <w:rsid w:val="75A51F32"/>
    <w:rsid w:val="75A53138"/>
    <w:rsid w:val="75A60C51"/>
    <w:rsid w:val="75AE4B52"/>
    <w:rsid w:val="75B02970"/>
    <w:rsid w:val="75B25FE1"/>
    <w:rsid w:val="75B5786C"/>
    <w:rsid w:val="75B7328D"/>
    <w:rsid w:val="75C36E54"/>
    <w:rsid w:val="75CA78B8"/>
    <w:rsid w:val="75D23528"/>
    <w:rsid w:val="75D3339C"/>
    <w:rsid w:val="75E42353"/>
    <w:rsid w:val="75E726D1"/>
    <w:rsid w:val="75ED329D"/>
    <w:rsid w:val="75EE730B"/>
    <w:rsid w:val="75FC2356"/>
    <w:rsid w:val="7605607D"/>
    <w:rsid w:val="7608131E"/>
    <w:rsid w:val="760A149F"/>
    <w:rsid w:val="761F090A"/>
    <w:rsid w:val="76245669"/>
    <w:rsid w:val="76255075"/>
    <w:rsid w:val="76272768"/>
    <w:rsid w:val="76283102"/>
    <w:rsid w:val="762F32E4"/>
    <w:rsid w:val="763158B0"/>
    <w:rsid w:val="76322EB4"/>
    <w:rsid w:val="7635099D"/>
    <w:rsid w:val="763E0E8A"/>
    <w:rsid w:val="764515FB"/>
    <w:rsid w:val="7655312D"/>
    <w:rsid w:val="76593C85"/>
    <w:rsid w:val="765A2524"/>
    <w:rsid w:val="765B3098"/>
    <w:rsid w:val="76634D49"/>
    <w:rsid w:val="7668764A"/>
    <w:rsid w:val="766E0FA8"/>
    <w:rsid w:val="766F0B96"/>
    <w:rsid w:val="76783F09"/>
    <w:rsid w:val="767D08FB"/>
    <w:rsid w:val="768A01EF"/>
    <w:rsid w:val="768A55EA"/>
    <w:rsid w:val="768B7100"/>
    <w:rsid w:val="768E05A1"/>
    <w:rsid w:val="7696419A"/>
    <w:rsid w:val="769A0D12"/>
    <w:rsid w:val="76A113B6"/>
    <w:rsid w:val="76A44F91"/>
    <w:rsid w:val="76AE4262"/>
    <w:rsid w:val="76B85602"/>
    <w:rsid w:val="76BF257B"/>
    <w:rsid w:val="76C761F5"/>
    <w:rsid w:val="76C82CE0"/>
    <w:rsid w:val="76CC2E05"/>
    <w:rsid w:val="76D31C55"/>
    <w:rsid w:val="76D33636"/>
    <w:rsid w:val="76D466F7"/>
    <w:rsid w:val="76DC1B97"/>
    <w:rsid w:val="76DE4FBE"/>
    <w:rsid w:val="76FA3A75"/>
    <w:rsid w:val="76FC3AC8"/>
    <w:rsid w:val="770420D4"/>
    <w:rsid w:val="77174971"/>
    <w:rsid w:val="771B11CB"/>
    <w:rsid w:val="771D05B9"/>
    <w:rsid w:val="77212524"/>
    <w:rsid w:val="772971CD"/>
    <w:rsid w:val="772B028B"/>
    <w:rsid w:val="772B3A07"/>
    <w:rsid w:val="772E1235"/>
    <w:rsid w:val="772E5735"/>
    <w:rsid w:val="7732133B"/>
    <w:rsid w:val="77377510"/>
    <w:rsid w:val="7738632D"/>
    <w:rsid w:val="773A774B"/>
    <w:rsid w:val="774814F3"/>
    <w:rsid w:val="775364FB"/>
    <w:rsid w:val="775762B8"/>
    <w:rsid w:val="77576C02"/>
    <w:rsid w:val="77580387"/>
    <w:rsid w:val="77625CAB"/>
    <w:rsid w:val="776C2571"/>
    <w:rsid w:val="77706D55"/>
    <w:rsid w:val="77744336"/>
    <w:rsid w:val="77762421"/>
    <w:rsid w:val="77787005"/>
    <w:rsid w:val="777A66B2"/>
    <w:rsid w:val="777B43B5"/>
    <w:rsid w:val="77804029"/>
    <w:rsid w:val="779009FF"/>
    <w:rsid w:val="77915CC9"/>
    <w:rsid w:val="779C1361"/>
    <w:rsid w:val="779F59ED"/>
    <w:rsid w:val="77A47413"/>
    <w:rsid w:val="77A770E8"/>
    <w:rsid w:val="77B501C9"/>
    <w:rsid w:val="77B56B1F"/>
    <w:rsid w:val="77BF6F51"/>
    <w:rsid w:val="77C74756"/>
    <w:rsid w:val="77C90E2D"/>
    <w:rsid w:val="77CB172C"/>
    <w:rsid w:val="77CE3E38"/>
    <w:rsid w:val="77ED700C"/>
    <w:rsid w:val="77EE61F2"/>
    <w:rsid w:val="77EF00B6"/>
    <w:rsid w:val="77F1194F"/>
    <w:rsid w:val="77F52E5A"/>
    <w:rsid w:val="77F55918"/>
    <w:rsid w:val="780417B8"/>
    <w:rsid w:val="78057F58"/>
    <w:rsid w:val="780600CD"/>
    <w:rsid w:val="780779A0"/>
    <w:rsid w:val="78081C02"/>
    <w:rsid w:val="780C2D3A"/>
    <w:rsid w:val="780E739B"/>
    <w:rsid w:val="780F09F4"/>
    <w:rsid w:val="781D1EEC"/>
    <w:rsid w:val="781F3B0E"/>
    <w:rsid w:val="782870B9"/>
    <w:rsid w:val="782A49F9"/>
    <w:rsid w:val="782B39D2"/>
    <w:rsid w:val="78340AE0"/>
    <w:rsid w:val="783452FF"/>
    <w:rsid w:val="784E013F"/>
    <w:rsid w:val="7854438D"/>
    <w:rsid w:val="785457B3"/>
    <w:rsid w:val="78586372"/>
    <w:rsid w:val="785E1968"/>
    <w:rsid w:val="78651B87"/>
    <w:rsid w:val="7868523B"/>
    <w:rsid w:val="786C39BB"/>
    <w:rsid w:val="787600D7"/>
    <w:rsid w:val="787603B5"/>
    <w:rsid w:val="78772BD8"/>
    <w:rsid w:val="787C1675"/>
    <w:rsid w:val="787D2544"/>
    <w:rsid w:val="787D7B3E"/>
    <w:rsid w:val="78857C23"/>
    <w:rsid w:val="78897AB3"/>
    <w:rsid w:val="788C022E"/>
    <w:rsid w:val="789871B4"/>
    <w:rsid w:val="789A3C32"/>
    <w:rsid w:val="789B12CD"/>
    <w:rsid w:val="789D7E94"/>
    <w:rsid w:val="78A761F5"/>
    <w:rsid w:val="78A90480"/>
    <w:rsid w:val="78AA2455"/>
    <w:rsid w:val="78AE1852"/>
    <w:rsid w:val="78B6564F"/>
    <w:rsid w:val="78C13360"/>
    <w:rsid w:val="78D15775"/>
    <w:rsid w:val="78D22305"/>
    <w:rsid w:val="78D67C39"/>
    <w:rsid w:val="78DE7623"/>
    <w:rsid w:val="78E20911"/>
    <w:rsid w:val="78E67F9B"/>
    <w:rsid w:val="78E91966"/>
    <w:rsid w:val="78F0179B"/>
    <w:rsid w:val="78F223F9"/>
    <w:rsid w:val="78FF0AC1"/>
    <w:rsid w:val="78FF0F89"/>
    <w:rsid w:val="78FF376E"/>
    <w:rsid w:val="78FF619B"/>
    <w:rsid w:val="79134850"/>
    <w:rsid w:val="79182A8D"/>
    <w:rsid w:val="791B05AC"/>
    <w:rsid w:val="791C2AA0"/>
    <w:rsid w:val="791D1203"/>
    <w:rsid w:val="791F19C9"/>
    <w:rsid w:val="79201954"/>
    <w:rsid w:val="79227E47"/>
    <w:rsid w:val="79263E4A"/>
    <w:rsid w:val="792E4151"/>
    <w:rsid w:val="79341395"/>
    <w:rsid w:val="793575E9"/>
    <w:rsid w:val="793B5BCC"/>
    <w:rsid w:val="793F0D68"/>
    <w:rsid w:val="793F6654"/>
    <w:rsid w:val="79404AC4"/>
    <w:rsid w:val="794160B1"/>
    <w:rsid w:val="794212ED"/>
    <w:rsid w:val="794F45F0"/>
    <w:rsid w:val="79500BAE"/>
    <w:rsid w:val="79517FC1"/>
    <w:rsid w:val="79543E2F"/>
    <w:rsid w:val="795961E1"/>
    <w:rsid w:val="795B17FD"/>
    <w:rsid w:val="796E3B0E"/>
    <w:rsid w:val="7975285F"/>
    <w:rsid w:val="79834BC4"/>
    <w:rsid w:val="79880ABC"/>
    <w:rsid w:val="798D0CE8"/>
    <w:rsid w:val="798E193D"/>
    <w:rsid w:val="799B12EF"/>
    <w:rsid w:val="799B36F5"/>
    <w:rsid w:val="79A436A4"/>
    <w:rsid w:val="79A6126A"/>
    <w:rsid w:val="79AA5D2D"/>
    <w:rsid w:val="79AA7275"/>
    <w:rsid w:val="79AC3E9D"/>
    <w:rsid w:val="79AD6A52"/>
    <w:rsid w:val="79B33CA4"/>
    <w:rsid w:val="79B807E5"/>
    <w:rsid w:val="79B871A5"/>
    <w:rsid w:val="79B90F02"/>
    <w:rsid w:val="79C0281E"/>
    <w:rsid w:val="79C37C0E"/>
    <w:rsid w:val="79CB6BDA"/>
    <w:rsid w:val="79CF774C"/>
    <w:rsid w:val="79DA5815"/>
    <w:rsid w:val="79E34218"/>
    <w:rsid w:val="79E826E9"/>
    <w:rsid w:val="79EF28AA"/>
    <w:rsid w:val="79F43456"/>
    <w:rsid w:val="79FF7101"/>
    <w:rsid w:val="7A0311BE"/>
    <w:rsid w:val="7A115B67"/>
    <w:rsid w:val="7A131F65"/>
    <w:rsid w:val="7A164F50"/>
    <w:rsid w:val="7A1A0106"/>
    <w:rsid w:val="7A1C14E2"/>
    <w:rsid w:val="7A214E3B"/>
    <w:rsid w:val="7A26439E"/>
    <w:rsid w:val="7A293EBD"/>
    <w:rsid w:val="7A301F8E"/>
    <w:rsid w:val="7A364017"/>
    <w:rsid w:val="7A41640B"/>
    <w:rsid w:val="7A476C22"/>
    <w:rsid w:val="7A4B5D2B"/>
    <w:rsid w:val="7A561394"/>
    <w:rsid w:val="7A581778"/>
    <w:rsid w:val="7A626F56"/>
    <w:rsid w:val="7A6A0050"/>
    <w:rsid w:val="7A701A13"/>
    <w:rsid w:val="7A7B08FF"/>
    <w:rsid w:val="7A7C210D"/>
    <w:rsid w:val="7A8265E1"/>
    <w:rsid w:val="7A863A06"/>
    <w:rsid w:val="7A8F36DA"/>
    <w:rsid w:val="7A8F68D5"/>
    <w:rsid w:val="7A9A5FB3"/>
    <w:rsid w:val="7A9D5D16"/>
    <w:rsid w:val="7AA73A06"/>
    <w:rsid w:val="7AAA5E9E"/>
    <w:rsid w:val="7AAF7999"/>
    <w:rsid w:val="7AB24BE7"/>
    <w:rsid w:val="7AB52E9C"/>
    <w:rsid w:val="7AC01D86"/>
    <w:rsid w:val="7AC04F99"/>
    <w:rsid w:val="7AC93207"/>
    <w:rsid w:val="7ACC6DAE"/>
    <w:rsid w:val="7AE477C6"/>
    <w:rsid w:val="7AE52E0C"/>
    <w:rsid w:val="7AF15B44"/>
    <w:rsid w:val="7AF47AED"/>
    <w:rsid w:val="7AFE4150"/>
    <w:rsid w:val="7B07727D"/>
    <w:rsid w:val="7B0A3D98"/>
    <w:rsid w:val="7B213F57"/>
    <w:rsid w:val="7B34065E"/>
    <w:rsid w:val="7B3571D5"/>
    <w:rsid w:val="7B4C06F2"/>
    <w:rsid w:val="7B51165F"/>
    <w:rsid w:val="7B5D5929"/>
    <w:rsid w:val="7B5E05FA"/>
    <w:rsid w:val="7B634699"/>
    <w:rsid w:val="7B65368B"/>
    <w:rsid w:val="7B661454"/>
    <w:rsid w:val="7B686D42"/>
    <w:rsid w:val="7B6E02FB"/>
    <w:rsid w:val="7B770116"/>
    <w:rsid w:val="7B785804"/>
    <w:rsid w:val="7B794C52"/>
    <w:rsid w:val="7B7E3B56"/>
    <w:rsid w:val="7B810197"/>
    <w:rsid w:val="7B841746"/>
    <w:rsid w:val="7B905919"/>
    <w:rsid w:val="7B9B1A4F"/>
    <w:rsid w:val="7BA02409"/>
    <w:rsid w:val="7BA13D73"/>
    <w:rsid w:val="7BAD041D"/>
    <w:rsid w:val="7BB035F8"/>
    <w:rsid w:val="7BB3088A"/>
    <w:rsid w:val="7BBC4C73"/>
    <w:rsid w:val="7BC959AD"/>
    <w:rsid w:val="7BD22752"/>
    <w:rsid w:val="7BDA6ACE"/>
    <w:rsid w:val="7BE149FB"/>
    <w:rsid w:val="7BF255E5"/>
    <w:rsid w:val="7C164964"/>
    <w:rsid w:val="7C1A0934"/>
    <w:rsid w:val="7C1B3718"/>
    <w:rsid w:val="7C1E6F58"/>
    <w:rsid w:val="7C264CF7"/>
    <w:rsid w:val="7C330C74"/>
    <w:rsid w:val="7C3B1B2A"/>
    <w:rsid w:val="7C3C2310"/>
    <w:rsid w:val="7C3C64C8"/>
    <w:rsid w:val="7C3E06C0"/>
    <w:rsid w:val="7C3E7002"/>
    <w:rsid w:val="7C3F770A"/>
    <w:rsid w:val="7C4644A2"/>
    <w:rsid w:val="7C575966"/>
    <w:rsid w:val="7C5A4544"/>
    <w:rsid w:val="7C693F9E"/>
    <w:rsid w:val="7C6C5AC7"/>
    <w:rsid w:val="7C6D4277"/>
    <w:rsid w:val="7C6D4BB1"/>
    <w:rsid w:val="7C7165F7"/>
    <w:rsid w:val="7C792C77"/>
    <w:rsid w:val="7C7B2B55"/>
    <w:rsid w:val="7C7B61A6"/>
    <w:rsid w:val="7C7F3FAA"/>
    <w:rsid w:val="7C8109FD"/>
    <w:rsid w:val="7C822414"/>
    <w:rsid w:val="7C8244BB"/>
    <w:rsid w:val="7C8A7F9A"/>
    <w:rsid w:val="7C8B715D"/>
    <w:rsid w:val="7C8E05E9"/>
    <w:rsid w:val="7C8E1DBD"/>
    <w:rsid w:val="7C8E3BCC"/>
    <w:rsid w:val="7C8F2CBF"/>
    <w:rsid w:val="7C981C38"/>
    <w:rsid w:val="7C9F4148"/>
    <w:rsid w:val="7CA30A7F"/>
    <w:rsid w:val="7CA37D3F"/>
    <w:rsid w:val="7CA55F42"/>
    <w:rsid w:val="7CBD250E"/>
    <w:rsid w:val="7CBE0AD4"/>
    <w:rsid w:val="7CBF597A"/>
    <w:rsid w:val="7CC6544B"/>
    <w:rsid w:val="7CCB43CB"/>
    <w:rsid w:val="7CCC15CB"/>
    <w:rsid w:val="7CD34CAB"/>
    <w:rsid w:val="7CE043F9"/>
    <w:rsid w:val="7CE303A0"/>
    <w:rsid w:val="7CE8584D"/>
    <w:rsid w:val="7CEA52FB"/>
    <w:rsid w:val="7CF90963"/>
    <w:rsid w:val="7CFD1A9F"/>
    <w:rsid w:val="7D0239FF"/>
    <w:rsid w:val="7D086514"/>
    <w:rsid w:val="7D0B4F3B"/>
    <w:rsid w:val="7D0B531C"/>
    <w:rsid w:val="7D0C0F2E"/>
    <w:rsid w:val="7D0C1789"/>
    <w:rsid w:val="7D1511EF"/>
    <w:rsid w:val="7D156EBA"/>
    <w:rsid w:val="7D192EEA"/>
    <w:rsid w:val="7D206F50"/>
    <w:rsid w:val="7D23401D"/>
    <w:rsid w:val="7D2E69C2"/>
    <w:rsid w:val="7D2F5290"/>
    <w:rsid w:val="7D323F39"/>
    <w:rsid w:val="7D334622"/>
    <w:rsid w:val="7D432644"/>
    <w:rsid w:val="7D5353C0"/>
    <w:rsid w:val="7D5B536E"/>
    <w:rsid w:val="7D5E40CD"/>
    <w:rsid w:val="7D665BDE"/>
    <w:rsid w:val="7D6B1D17"/>
    <w:rsid w:val="7D7E105F"/>
    <w:rsid w:val="7D805C4B"/>
    <w:rsid w:val="7D936A73"/>
    <w:rsid w:val="7D997A1A"/>
    <w:rsid w:val="7D9F51E1"/>
    <w:rsid w:val="7DA52E26"/>
    <w:rsid w:val="7DB32AE5"/>
    <w:rsid w:val="7DB514F7"/>
    <w:rsid w:val="7DC80D8E"/>
    <w:rsid w:val="7DCD56F2"/>
    <w:rsid w:val="7DD375F1"/>
    <w:rsid w:val="7DD543BB"/>
    <w:rsid w:val="7DDE7D4D"/>
    <w:rsid w:val="7DE2389E"/>
    <w:rsid w:val="7DE76F07"/>
    <w:rsid w:val="7DED6AA4"/>
    <w:rsid w:val="7DF51984"/>
    <w:rsid w:val="7E02675F"/>
    <w:rsid w:val="7E05027F"/>
    <w:rsid w:val="7E1417AA"/>
    <w:rsid w:val="7E2508D0"/>
    <w:rsid w:val="7E3B6ABF"/>
    <w:rsid w:val="7E3E54EB"/>
    <w:rsid w:val="7E3F6795"/>
    <w:rsid w:val="7E424159"/>
    <w:rsid w:val="7E4E22F3"/>
    <w:rsid w:val="7E4E33E8"/>
    <w:rsid w:val="7E4E4CF9"/>
    <w:rsid w:val="7E5643C2"/>
    <w:rsid w:val="7E6255FC"/>
    <w:rsid w:val="7E635EF5"/>
    <w:rsid w:val="7E7233BF"/>
    <w:rsid w:val="7E7A37C0"/>
    <w:rsid w:val="7E7E397F"/>
    <w:rsid w:val="7E831536"/>
    <w:rsid w:val="7E8E5955"/>
    <w:rsid w:val="7E910E77"/>
    <w:rsid w:val="7E9D6D58"/>
    <w:rsid w:val="7EA620B6"/>
    <w:rsid w:val="7EA64483"/>
    <w:rsid w:val="7EA761DC"/>
    <w:rsid w:val="7EA96C28"/>
    <w:rsid w:val="7EAE67A3"/>
    <w:rsid w:val="7EAE7778"/>
    <w:rsid w:val="7EB76216"/>
    <w:rsid w:val="7EB9734C"/>
    <w:rsid w:val="7EBA24F0"/>
    <w:rsid w:val="7EBC0081"/>
    <w:rsid w:val="7EC10E0D"/>
    <w:rsid w:val="7EC27FCA"/>
    <w:rsid w:val="7EC90CD2"/>
    <w:rsid w:val="7ECA27A9"/>
    <w:rsid w:val="7ED27516"/>
    <w:rsid w:val="7ED4682F"/>
    <w:rsid w:val="7ED66C68"/>
    <w:rsid w:val="7ED77BA2"/>
    <w:rsid w:val="7EDB5BB1"/>
    <w:rsid w:val="7EDE1FFB"/>
    <w:rsid w:val="7EE475CA"/>
    <w:rsid w:val="7EE503CD"/>
    <w:rsid w:val="7EEF5417"/>
    <w:rsid w:val="7EF12411"/>
    <w:rsid w:val="7EF26CB5"/>
    <w:rsid w:val="7F001CE7"/>
    <w:rsid w:val="7F025023"/>
    <w:rsid w:val="7F0E3AD8"/>
    <w:rsid w:val="7F131AEC"/>
    <w:rsid w:val="7F1909AD"/>
    <w:rsid w:val="7F1A04F8"/>
    <w:rsid w:val="7F1C724E"/>
    <w:rsid w:val="7F252CC8"/>
    <w:rsid w:val="7F264010"/>
    <w:rsid w:val="7F437EB5"/>
    <w:rsid w:val="7F523401"/>
    <w:rsid w:val="7F6E7E39"/>
    <w:rsid w:val="7F7352F4"/>
    <w:rsid w:val="7F810186"/>
    <w:rsid w:val="7F831F94"/>
    <w:rsid w:val="7F9109CF"/>
    <w:rsid w:val="7F92714B"/>
    <w:rsid w:val="7F9330C9"/>
    <w:rsid w:val="7F986DEB"/>
    <w:rsid w:val="7F9C6F42"/>
    <w:rsid w:val="7FA25219"/>
    <w:rsid w:val="7FA517C7"/>
    <w:rsid w:val="7FAD2DF2"/>
    <w:rsid w:val="7FBA66F6"/>
    <w:rsid w:val="7FBC6941"/>
    <w:rsid w:val="7FBE1BB3"/>
    <w:rsid w:val="7FC120FB"/>
    <w:rsid w:val="7FC71450"/>
    <w:rsid w:val="7FCF0517"/>
    <w:rsid w:val="7FCF656C"/>
    <w:rsid w:val="7FD006AC"/>
    <w:rsid w:val="7FD21AA2"/>
    <w:rsid w:val="7FD83E65"/>
    <w:rsid w:val="7FDA61F0"/>
    <w:rsid w:val="7FE47E50"/>
    <w:rsid w:val="7FE70EC3"/>
    <w:rsid w:val="7FE95B83"/>
    <w:rsid w:val="7FE95F4A"/>
    <w:rsid w:val="7FF15856"/>
    <w:rsid w:val="7FF415ED"/>
    <w:rsid w:val="7FF54025"/>
  </w:rsids>
  <w:docVars>
    <w:docVar w:name="commondata" w:val="eyJoZGlkIjoiZTYxMDRiNzA3YWM2Y2VhMGY4NjYzOWZiN2I2NTI0ZjgifQ=="/>
  </w:docVars>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nhideWhenUsed="0" w:qFormat="1"/>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qFormat="1"/>
    <w:lsdException w:name="footnote text" w:locked="1" w:semiHidden="0" w:uiPriority="0" w:unhideWhenUsed="0"/>
    <w:lsdException w:name="annotation text" w:uiPriority="0" w:unhideWhenUsed="0"/>
    <w:lsdException w:name="header" w:semiHidden="0" w:uiPriority="0" w:unhideWhenUsed="0"/>
    <w:lsdException w:name="footer" w:semiHidden="0" w:unhideWhenUsed="0"/>
    <w:lsdException w:name="index heading" w:locked="1" w:semiHidden="0" w:uiPriority="0" w:unhideWhenUsed="0"/>
    <w:lsdException w:name="caption" w:locked="1" w:uiPriority="0" w:qFormat="1"/>
    <w:lsdException w:name="table of figures" w:locked="1" w:semiHidden="0" w:qFormat="1"/>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semiHidden="0" w:uiPriority="0" w:unhideWhenUsed="0"/>
    <w:lsdException w:name="Body Text First Indent" w:locked="1" w:semiHidden="0" w:uiPriority="0" w:unhideWhenUsed="0" w:qFormat="1"/>
    <w:lsdException w:name="Body Text First Indent 2" w:locked="1" w:semiHidden="0" w:uiPriority="0" w:unhideWhenUsed="0" w:qFormat="1"/>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qFormat="1"/>
    <w:lsdException w:name="Block Text" w:locked="1" w:semiHidden="0" w:uiPriority="0" w:unhideWhenUsed="0" w:qFormat="1"/>
    <w:lsdException w:name="Hyperlink" w:locked="1" w:semiHidden="0" w:uiPriority="0" w:unhideWhenUsed="0"/>
    <w:lsdException w:name="FollowedHyperlink" w:locked="1" w:semiHidden="0" w:uiPriority="0" w:unhideWhenUsed="0"/>
    <w:lsdException w:name="Strong" w:locked="1" w:semiHidden="0" w:uiPriority="22"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qFormat="1"/>
    <w:lsdException w:name="E-mail Signature" w:locked="1" w:semiHidden="0" w:uiPriority="0" w:unhideWhenUsed="0"/>
    <w:lsdException w:name="Normal (Web)"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uiPriority="0" w:unhideWhenUsed="0"/>
    <w:lsdException w:name="annotation subject"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uiPriority="0" w:unhideWhenUsed="0"/>
    <w:lsdException w:name="Table Grid" w:semiHidden="0" w:uiPriority="0" w:unhideWhenUsed="0"/>
    <w:lsdException w:name="Table Theme"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2"/>
    <w:qFormat/>
    <w:pPr>
      <w:widowControl w:val="0"/>
      <w:jc w:val="both"/>
    </w:pPr>
    <w:rPr>
      <w:kern w:val="2"/>
      <w:sz w:val="21"/>
      <w:szCs w:val="24"/>
      <w:lang w:val="en-US" w:eastAsia="zh-CN" w:bidi="ar-SA"/>
    </w:rPr>
  </w:style>
  <w:style w:type="paragraph" w:styleId="Heading1">
    <w:name w:val="heading 1"/>
    <w:basedOn w:val="Normal"/>
    <w:next w:val="Normal"/>
    <w:uiPriority w:val="99"/>
    <w:qFormat/>
    <w:locke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Heading2">
    <w:name w:val="heading 2"/>
    <w:basedOn w:val="Normal"/>
    <w:next w:val="Normal"/>
    <w:qFormat/>
    <w:locked/>
    <w:pPr>
      <w:keepNext/>
      <w:spacing w:line="360" w:lineRule="auto"/>
      <w:outlineLvl w:val="1"/>
    </w:pPr>
    <w:rPr>
      <w:sz w:val="28"/>
    </w:rPr>
  </w:style>
  <w:style w:type="paragraph" w:styleId="Heading3">
    <w:name w:val="heading 3"/>
    <w:basedOn w:val="Normal"/>
    <w:next w:val="Normal"/>
    <w:qFormat/>
    <w:locked/>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Char">
    <w:name w:val="表格 Char"/>
    <w:link w:val="a15"/>
    <w:locked/>
    <w:rPr>
      <w:rFonts w:ascii="宋体"/>
      <w:sz w:val="21"/>
    </w:rPr>
  </w:style>
  <w:style w:type="character" w:customStyle="1" w:styleId="1">
    <w:name w:val="日期 字符1"/>
    <w:link w:val="Date"/>
    <w:locked/>
    <w:rPr>
      <w:rFonts w:ascii="Times New Roman" w:eastAsia="宋体" w:hAnsi="Times New Roman"/>
      <w:sz w:val="24"/>
    </w:rPr>
  </w:style>
  <w:style w:type="character" w:customStyle="1" w:styleId="211pt">
    <w:name w:val="正文文本 (2) + 11 pt"/>
    <w:qFormat/>
    <w:rPr>
      <w:rFonts w:ascii="MingLiU" w:eastAsia="MingLiU" w:hAnsi="MingLiU" w:cs="MingLiU"/>
      <w:color w:val="000000"/>
      <w:spacing w:val="0"/>
      <w:w w:val="100"/>
      <w:position w:val="0"/>
      <w:sz w:val="22"/>
      <w:szCs w:val="22"/>
      <w:shd w:val="clear" w:color="auto" w:fill="FFFFFF"/>
      <w:lang w:val="zh-CN" w:eastAsia="zh-CN" w:bidi="zh-CN"/>
    </w:rPr>
  </w:style>
  <w:style w:type="character" w:customStyle="1" w:styleId="10">
    <w:name w:val="批注文字 字符1"/>
    <w:semiHidden/>
    <w:rPr>
      <w:rFonts w:ascii="Times New Roman" w:eastAsia="宋体" w:hAnsi="Times New Roman"/>
      <w:sz w:val="24"/>
    </w:rPr>
  </w:style>
  <w:style w:type="character" w:customStyle="1" w:styleId="11">
    <w:name w:val="页脚 字符1"/>
    <w:link w:val="Footer"/>
    <w:uiPriority w:val="99"/>
    <w:locked/>
    <w:rPr>
      <w:sz w:val="18"/>
    </w:rPr>
  </w:style>
  <w:style w:type="character" w:customStyle="1" w:styleId="a">
    <w:name w:val="批注框文本 字符"/>
    <w:link w:val="BalloonText"/>
    <w:semiHidden/>
    <w:locked/>
    <w:rPr>
      <w:rFonts w:ascii="Times New Roman" w:eastAsia="宋体" w:hAnsi="Times New Roman"/>
      <w:sz w:val="18"/>
    </w:rPr>
  </w:style>
  <w:style w:type="character" w:customStyle="1" w:styleId="a0">
    <w:name w:val="正文文本缩进 字符"/>
    <w:link w:val="BodyTextIndent"/>
    <w:semiHidden/>
    <w:locked/>
    <w:rPr>
      <w:rFonts w:ascii="Times New Roman" w:eastAsia="宋体" w:hAnsi="Times New Roman"/>
      <w:sz w:val="24"/>
    </w:rPr>
  </w:style>
  <w:style w:type="character" w:styleId="PageNumber">
    <w:name w:val="page number"/>
    <w:locked/>
  </w:style>
  <w:style w:type="character" w:customStyle="1" w:styleId="a1">
    <w:name w:val="正文文本 字符"/>
    <w:link w:val="BodyText"/>
    <w:locked/>
    <w:rPr>
      <w:sz w:val="18"/>
    </w:rPr>
  </w:style>
  <w:style w:type="character" w:styleId="Hyperlink">
    <w:name w:val="Hyperlink"/>
    <w:locked/>
    <w:rPr>
      <w:color w:val="0000FF"/>
      <w:u w:val="single"/>
    </w:rPr>
  </w:style>
  <w:style w:type="character" w:customStyle="1" w:styleId="12">
    <w:name w:val="正文文本 字符1"/>
    <w:semiHidden/>
    <w:rPr>
      <w:rFonts w:ascii="Times New Roman" w:eastAsia="宋体" w:hAnsi="Times New Roman"/>
      <w:sz w:val="24"/>
    </w:rPr>
  </w:style>
  <w:style w:type="character" w:customStyle="1" w:styleId="a2">
    <w:name w:val="日期 字符"/>
    <w:semiHidden/>
    <w:rPr>
      <w:rFonts w:ascii="Times New Roman" w:eastAsia="宋体" w:hAnsi="Times New Roman"/>
      <w:sz w:val="24"/>
    </w:rPr>
  </w:style>
  <w:style w:type="character" w:customStyle="1" w:styleId="a3">
    <w:name w:val="批注文字 字符"/>
    <w:link w:val="CommentText"/>
    <w:locked/>
    <w:rPr>
      <w:rFonts w:ascii="Times New Roman" w:eastAsia="宋体" w:hAnsi="Times New Roman"/>
      <w:sz w:val="24"/>
    </w:rPr>
  </w:style>
  <w:style w:type="character" w:customStyle="1" w:styleId="a4">
    <w:name w:val="批注主题 字符"/>
    <w:link w:val="CommentSubject"/>
    <w:semiHidden/>
    <w:locked/>
    <w:rPr>
      <w:rFonts w:ascii="Times New Roman" w:eastAsia="宋体" w:hAnsi="Times New Roman"/>
      <w:b/>
      <w:kern w:val="2"/>
      <w:sz w:val="24"/>
    </w:rPr>
  </w:style>
  <w:style w:type="character" w:customStyle="1" w:styleId="a5">
    <w:name w:val="普通(网站) 字符"/>
    <w:link w:val="NormalWeb"/>
    <w:locked/>
    <w:rPr>
      <w:rFonts w:ascii="宋体" w:eastAsia="宋体" w:hAnsi="宋体"/>
      <w:sz w:val="24"/>
    </w:rPr>
  </w:style>
  <w:style w:type="character" w:customStyle="1" w:styleId="a6">
    <w:name w:val="页眉 字符"/>
    <w:link w:val="Header"/>
    <w:locked/>
    <w:rPr>
      <w:sz w:val="18"/>
    </w:rPr>
  </w:style>
  <w:style w:type="character" w:styleId="CommentReference">
    <w:name w:val="annotation reference"/>
    <w:semiHidden/>
    <w:rPr>
      <w:sz w:val="21"/>
    </w:rPr>
  </w:style>
  <w:style w:type="character" w:styleId="Strong">
    <w:name w:val="Strong"/>
    <w:uiPriority w:val="22"/>
    <w:qFormat/>
    <w:locked/>
    <w:rPr>
      <w:rFonts w:ascii="宋体" w:eastAsia="宋体" w:hAnsi="宋体" w:cs="宋体" w:hint="eastAsia"/>
      <w:b/>
      <w:bCs/>
      <w:sz w:val="24"/>
      <w:szCs w:val="24"/>
    </w:rPr>
  </w:style>
  <w:style w:type="character" w:customStyle="1" w:styleId="a7">
    <w:name w:val="页脚 字符"/>
    <w:uiPriority w:val="99"/>
  </w:style>
  <w:style w:type="character" w:customStyle="1" w:styleId="fontstyle01">
    <w:name w:val="fontstyle01"/>
    <w:basedOn w:val="DefaultParagraphFont"/>
    <w:qFormat/>
    <w:rPr>
      <w:rFonts w:ascii="宋体" w:eastAsia="宋体" w:hAnsi="宋体" w:cs="宋体"/>
      <w:color w:val="000000"/>
      <w:sz w:val="24"/>
      <w:szCs w:val="24"/>
    </w:rPr>
  </w:style>
  <w:style w:type="paragraph" w:customStyle="1" w:styleId="Default">
    <w:name w:val="Default"/>
    <w:qFormat/>
    <w:pPr>
      <w:widowControl w:val="0"/>
      <w:autoSpaceDE w:val="0"/>
      <w:autoSpaceDN w:val="0"/>
      <w:adjustRightInd w:val="0"/>
    </w:pPr>
    <w:rPr>
      <w:rFonts w:ascii="仿宋_GB2312" w:eastAsia="仿宋_GB2312" w:cs="仿宋_GB2312"/>
      <w:color w:val="000000"/>
      <w:sz w:val="24"/>
      <w:szCs w:val="24"/>
      <w:lang w:val="en-US" w:eastAsia="zh-CN" w:bidi="ar-SA"/>
    </w:rPr>
  </w:style>
  <w:style w:type="paragraph" w:customStyle="1" w:styleId="xl30">
    <w:name w:val="xl30"/>
    <w:basedOn w:val="Normal"/>
    <w:qFormat/>
    <w:pPr>
      <w:widowControl/>
      <w:pBdr>
        <w:left w:val="single" w:sz="12" w:space="0" w:color="auto"/>
        <w:right w:val="single" w:sz="4" w:space="0" w:color="auto"/>
      </w:pBdr>
      <w:spacing w:before="100" w:after="100"/>
      <w:jc w:val="center"/>
    </w:pPr>
    <w:rPr>
      <w:rFonts w:ascii="宋体"/>
      <w:kern w:val="0"/>
      <w:sz w:val="24"/>
      <w:szCs w:val="20"/>
    </w:rPr>
  </w:style>
  <w:style w:type="paragraph" w:customStyle="1" w:styleId="100">
    <w:name w:val="正文_10"/>
    <w:pPr>
      <w:widowControl w:val="0"/>
      <w:jc w:val="both"/>
    </w:pPr>
    <w:rPr>
      <w:kern w:val="2"/>
      <w:sz w:val="21"/>
      <w:szCs w:val="22"/>
      <w:lang w:val="en-US" w:eastAsia="zh-CN" w:bidi="ar-SA"/>
    </w:rPr>
  </w:style>
  <w:style w:type="paragraph" w:styleId="ListBullet5">
    <w:name w:val="List Bullet 5"/>
    <w:basedOn w:val="Normal"/>
    <w:locked/>
    <w:pPr>
      <w:numPr>
        <w:ilvl w:val="0"/>
        <w:numId w:val="1"/>
      </w:numPr>
      <w:tabs>
        <w:tab w:val="left" w:pos="2040"/>
      </w:tabs>
    </w:pPr>
  </w:style>
  <w:style w:type="paragraph" w:customStyle="1" w:styleId="a8">
    <w:name w:val="已有表格"/>
    <w:basedOn w:val="Normal"/>
    <w:qFormat/>
    <w:pPr>
      <w:adjustRightInd w:val="0"/>
      <w:spacing w:before="40" w:beforeLines="0" w:after="40" w:afterLines="0"/>
      <w:jc w:val="center"/>
      <w:textAlignment w:val="baseline"/>
    </w:pPr>
    <w:rPr>
      <w:b/>
      <w:kern w:val="0"/>
      <w:sz w:val="24"/>
    </w:rPr>
  </w:style>
  <w:style w:type="paragraph" w:styleId="BodyTextIndent">
    <w:name w:val="Body Text Indent"/>
    <w:basedOn w:val="Normal"/>
    <w:next w:val="Normal"/>
    <w:link w:val="a0"/>
    <w:pPr>
      <w:spacing w:after="120"/>
      <w:ind w:left="420" w:leftChars="200"/>
    </w:pPr>
    <w:rPr>
      <w:kern w:val="0"/>
      <w:sz w:val="24"/>
      <w:szCs w:val="20"/>
    </w:rPr>
  </w:style>
  <w:style w:type="paragraph" w:styleId="BodyTextFirstIndent">
    <w:name w:val="Body Text First Indent"/>
    <w:basedOn w:val="BodyText"/>
    <w:next w:val="TableofFigures"/>
    <w:qFormat/>
    <w:locked/>
    <w:pPr>
      <w:spacing w:after="120"/>
      <w:ind w:firstLine="420" w:firstLineChars="100"/>
    </w:pPr>
    <w:rPr>
      <w:rFonts w:eastAsia="宋体"/>
      <w:sz w:val="21"/>
    </w:rPr>
  </w:style>
  <w:style w:type="paragraph" w:styleId="TableofFigures">
    <w:name w:val="table of figures"/>
    <w:basedOn w:val="Normal"/>
    <w:next w:val="Normal"/>
    <w:uiPriority w:val="99"/>
    <w:unhideWhenUsed/>
    <w:qFormat/>
    <w:locked/>
  </w:style>
  <w:style w:type="paragraph" w:styleId="BalloonText">
    <w:name w:val="Balloon Text"/>
    <w:basedOn w:val="Normal"/>
    <w:link w:val="a"/>
    <w:semiHidden/>
    <w:rPr>
      <w:kern w:val="0"/>
      <w:sz w:val="18"/>
      <w:szCs w:val="20"/>
    </w:rPr>
  </w:style>
  <w:style w:type="paragraph" w:customStyle="1" w:styleId="a9">
    <w:name w:val="图标标题"/>
    <w:basedOn w:val="Normal"/>
    <w:qFormat/>
    <w:pPr>
      <w:spacing w:line="240" w:lineRule="auto"/>
      <w:ind w:firstLine="0" w:firstLineChars="0"/>
      <w:jc w:val="center"/>
    </w:pPr>
    <w:rPr>
      <w:rFonts w:cs="Times New Roman"/>
      <w:b/>
      <w:kern w:val="0"/>
      <w:sz w:val="21"/>
      <w:szCs w:val="20"/>
    </w:rPr>
  </w:style>
  <w:style w:type="paragraph" w:customStyle="1" w:styleId="a10">
    <w:name w:val="表格文字"/>
    <w:basedOn w:val="Normal"/>
    <w:qFormat/>
    <w:pPr>
      <w:jc w:val="center"/>
    </w:pPr>
    <w:rPr>
      <w:rFonts w:ascii="仿宋_GB2312" w:eastAsia="仿宋_GB2312" w:hAnsi="Arial Black"/>
      <w:kern w:val="44"/>
      <w:sz w:val="24"/>
    </w:rPr>
  </w:style>
  <w:style w:type="paragraph" w:styleId="BodyText">
    <w:name w:val="Body Text"/>
    <w:basedOn w:val="Normal"/>
    <w:next w:val="Normal"/>
    <w:link w:val="a1"/>
    <w:pPr>
      <w:widowControl/>
      <w:snapToGrid w:val="0"/>
      <w:spacing w:before="60" w:after="160" w:line="259" w:lineRule="auto"/>
      <w:ind w:right="113"/>
    </w:pPr>
    <w:rPr>
      <w:kern w:val="0"/>
      <w:sz w:val="18"/>
      <w:szCs w:val="20"/>
    </w:rPr>
  </w:style>
  <w:style w:type="paragraph" w:styleId="CommentText">
    <w:name w:val="annotation text"/>
    <w:basedOn w:val="Normal"/>
    <w:link w:val="a3"/>
    <w:semiHidden/>
    <w:pPr>
      <w:jc w:val="left"/>
    </w:pPr>
    <w:rPr>
      <w:kern w:val="0"/>
      <w:sz w:val="24"/>
      <w:szCs w:val="20"/>
    </w:rPr>
  </w:style>
  <w:style w:type="paragraph" w:customStyle="1" w:styleId="a11">
    <w:name w:val="我正文"/>
    <w:basedOn w:val="Normal"/>
    <w:qFormat/>
    <w:pPr>
      <w:spacing w:line="360" w:lineRule="auto"/>
      <w:ind w:firstLine="480" w:firstLineChars="200"/>
    </w:pPr>
    <w:rPr>
      <w:sz w:val="24"/>
      <w:szCs w:val="20"/>
    </w:rPr>
  </w:style>
  <w:style w:type="paragraph" w:styleId="Date">
    <w:name w:val="Date"/>
    <w:basedOn w:val="Normal"/>
    <w:next w:val="Normal"/>
    <w:link w:val="1"/>
    <w:pPr>
      <w:ind w:left="100" w:leftChars="2500"/>
    </w:pPr>
    <w:rPr>
      <w:kern w:val="0"/>
      <w:sz w:val="24"/>
      <w:szCs w:val="20"/>
    </w:rPr>
  </w:style>
  <w:style w:type="paragraph" w:customStyle="1" w:styleId="HDY">
    <w:name w:val="HDY正文"/>
    <w:basedOn w:val="Normal"/>
    <w:qFormat/>
    <w:pPr>
      <w:widowControl/>
      <w:spacing w:line="360" w:lineRule="auto"/>
      <w:ind w:firstLine="480" w:firstLineChars="200"/>
    </w:pPr>
    <w:rPr>
      <w:rFonts w:ascii="Times New Roman" w:hAnsi="Times New Roman"/>
      <w:kern w:val="0"/>
      <w:sz w:val="24"/>
      <w:szCs w:val="22"/>
    </w:rPr>
  </w:style>
  <w:style w:type="paragraph" w:styleId="BodyTextFirstIndent2">
    <w:name w:val="Body Text First Indent 2"/>
    <w:basedOn w:val="BodyTextIndent"/>
    <w:next w:val="Normal"/>
    <w:qFormat/>
    <w:locked/>
    <w:pPr>
      <w:spacing w:before="0" w:after="120"/>
      <w:ind w:left="420" w:firstLine="420" w:leftChars="200" w:firstLineChars="200"/>
    </w:pPr>
    <w:rPr>
      <w:sz w:val="21"/>
    </w:rPr>
  </w:style>
  <w:style w:type="paragraph" w:styleId="Footer">
    <w:name w:val="footer"/>
    <w:basedOn w:val="Normal"/>
    <w:link w:val="11"/>
    <w:uiPriority w:val="99"/>
    <w:pPr>
      <w:tabs>
        <w:tab w:val="center" w:pos="4153"/>
        <w:tab w:val="right" w:pos="8306"/>
      </w:tabs>
      <w:snapToGrid w:val="0"/>
      <w:jc w:val="left"/>
    </w:pPr>
    <w:rPr>
      <w:kern w:val="0"/>
      <w:sz w:val="18"/>
      <w:szCs w:val="20"/>
    </w:rPr>
  </w:style>
  <w:style w:type="paragraph" w:styleId="NormalIndent">
    <w:name w:val="Normal Indent"/>
    <w:basedOn w:val="Normal"/>
    <w:qFormat/>
    <w:locked/>
    <w:pPr>
      <w:ind w:firstLine="420"/>
    </w:pPr>
    <w:rPr>
      <w:rFonts w:ascii="Calibri" w:hAnsi="Calibri"/>
      <w:sz w:val="21"/>
      <w:szCs w:val="22"/>
    </w:rPr>
  </w:style>
  <w:style w:type="paragraph" w:customStyle="1" w:styleId="a12">
    <w:name w:val="表格文字我要的"/>
    <w:basedOn w:val="Normal"/>
    <w:qFormat/>
    <w:pPr>
      <w:adjustRightInd/>
      <w:snapToGrid/>
      <w:spacing w:line="240" w:lineRule="auto"/>
      <w:ind w:firstLine="0" w:firstLineChars="0"/>
      <w:jc w:val="center"/>
    </w:pPr>
    <w:rPr>
      <w:kern w:val="0"/>
      <w:sz w:val="21"/>
      <w:szCs w:val="21"/>
    </w:rPr>
  </w:style>
  <w:style w:type="paragraph" w:styleId="BodyTextIndent2">
    <w:name w:val="Body Text Indent 2"/>
    <w:basedOn w:val="Normal"/>
    <w:locked/>
    <w:pPr>
      <w:spacing w:line="360" w:lineRule="auto"/>
      <w:ind w:firstLine="560" w:firstLineChars="200"/>
    </w:pPr>
    <w:rPr>
      <w:sz w:val="28"/>
    </w:rPr>
  </w:style>
  <w:style w:type="paragraph" w:customStyle="1" w:styleId="a13">
    <w:name w:val="报告正文"/>
    <w:basedOn w:val="Normal"/>
    <w:qFormat/>
    <w:pPr>
      <w:adjustRightInd w:val="0"/>
      <w:snapToGrid w:val="0"/>
      <w:spacing w:line="360" w:lineRule="auto"/>
      <w:ind w:firstLine="720" w:firstLineChars="200"/>
    </w:pPr>
    <w:rPr>
      <w:kern w:val="0"/>
      <w:sz w:val="24"/>
      <w:szCs w:val="20"/>
    </w:rPr>
  </w:style>
  <w:style w:type="paragraph" w:customStyle="1" w:styleId="a14">
    <w:name w:val="+正文"/>
    <w:basedOn w:val="Normal"/>
    <w:qFormat/>
    <w:pPr>
      <w:adjustRightInd w:val="0"/>
      <w:snapToGrid w:val="0"/>
      <w:ind w:firstLine="200" w:firstLineChars="200"/>
      <w:jc w:val="both"/>
    </w:pPr>
  </w:style>
  <w:style w:type="paragraph" w:customStyle="1" w:styleId="a15">
    <w:name w:val="表格"/>
    <w:basedOn w:val="a18"/>
    <w:next w:val="Normal"/>
    <w:link w:val="Char"/>
    <w:pPr>
      <w:adjustRightInd w:val="0"/>
      <w:snapToGrid w:val="0"/>
      <w:spacing w:beforeLines="10" w:afterLines="10" w:line="259" w:lineRule="auto"/>
      <w:jc w:val="center"/>
    </w:pPr>
    <w:rPr>
      <w:rFonts w:ascii="宋体"/>
      <w:kern w:val="0"/>
      <w:szCs w:val="20"/>
    </w:rPr>
  </w:style>
  <w:style w:type="paragraph" w:styleId="Index8">
    <w:name w:val="index 8"/>
    <w:basedOn w:val="Normal"/>
    <w:next w:val="Normal"/>
    <w:uiPriority w:val="99"/>
    <w:qFormat/>
    <w:locked/>
    <w:pPr>
      <w:ind w:left="2940"/>
    </w:pPr>
  </w:style>
  <w:style w:type="paragraph" w:styleId="BodyTextIndent3">
    <w:name w:val="Body Text Indent 3"/>
    <w:basedOn w:val="Normal"/>
    <w:qFormat/>
    <w:locked/>
    <w:pPr>
      <w:ind w:firstLine="601"/>
    </w:pPr>
    <w:rPr>
      <w:rFonts w:eastAsia="仿宋_GB2312"/>
      <w:sz w:val="28"/>
    </w:rPr>
  </w:style>
  <w:style w:type="paragraph" w:styleId="Header">
    <w:name w:val="header"/>
    <w:basedOn w:val="Normal"/>
    <w:link w:val="a6"/>
    <w:pPr>
      <w:pBdr>
        <w:bottom w:val="single" w:sz="6" w:space="1" w:color="auto"/>
      </w:pBdr>
      <w:tabs>
        <w:tab w:val="center" w:pos="4153"/>
        <w:tab w:val="right" w:pos="8306"/>
      </w:tabs>
      <w:snapToGrid w:val="0"/>
      <w:jc w:val="center"/>
    </w:pPr>
    <w:rPr>
      <w:kern w:val="0"/>
      <w:sz w:val="18"/>
      <w:szCs w:val="20"/>
    </w:rPr>
  </w:style>
  <w:style w:type="paragraph" w:customStyle="1" w:styleId="a16">
    <w:name w:val="表格内容"/>
    <w:basedOn w:val="a9"/>
    <w:qFormat/>
    <w:pPr>
      <w:overflowPunct w:val="0"/>
      <w:adjustRightInd w:val="0"/>
      <w:spacing w:before="40" w:after="60" w:line="200" w:lineRule="atLeast"/>
      <w:textAlignment w:val="baseline"/>
    </w:pPr>
    <w:rPr>
      <w:rFonts w:ascii="Arial" w:eastAsia="仿宋_GB2312" w:hAnsi="Arial"/>
      <w:kern w:val="0"/>
      <w:sz w:val="24"/>
      <w:szCs w:val="20"/>
    </w:rPr>
  </w:style>
  <w:style w:type="paragraph" w:customStyle="1" w:styleId="Default1">
    <w:name w:val="Default1"/>
    <w:uiPriority w:val="99"/>
    <w:qFormat/>
    <w:pPr>
      <w:widowControl w:val="0"/>
      <w:autoSpaceDE w:val="0"/>
      <w:autoSpaceDN w:val="0"/>
      <w:adjustRightInd w:val="0"/>
    </w:pPr>
    <w:rPr>
      <w:rFonts w:ascii="宋体" w:eastAsia="微软雅黑" w:hAnsi="Calibri" w:cs="宋体"/>
      <w:color w:val="000000"/>
      <w:sz w:val="24"/>
      <w:szCs w:val="24"/>
      <w:lang w:val="en-US" w:eastAsia="zh-CN" w:bidi="ar-SA"/>
    </w:rPr>
  </w:style>
  <w:style w:type="paragraph" w:customStyle="1" w:styleId="2">
    <w:name w:val="普通(网站)2"/>
    <w:basedOn w:val="Normal"/>
    <w:pPr>
      <w:widowControl/>
      <w:spacing w:before="100" w:beforeAutospacing="1" w:after="100" w:afterAutospacing="1"/>
      <w:jc w:val="left"/>
    </w:pPr>
    <w:rPr>
      <w:rFonts w:ascii="宋体" w:hAnsi="宋体"/>
      <w:sz w:val="24"/>
      <w:szCs w:val="20"/>
    </w:rPr>
  </w:style>
  <w:style w:type="paragraph" w:customStyle="1" w:styleId="a17">
    <w:name w:val="应填表格"/>
    <w:basedOn w:val="a8"/>
    <w:qFormat/>
    <w:pPr>
      <w:adjustRightInd w:val="0"/>
      <w:spacing w:before="40" w:after="40"/>
      <w:jc w:val="left"/>
      <w:textAlignment w:val="baseline"/>
    </w:pPr>
    <w:rPr>
      <w:kern w:val="0"/>
      <w:sz w:val="24"/>
      <w:szCs w:val="20"/>
    </w:rPr>
  </w:style>
  <w:style w:type="paragraph" w:customStyle="1" w:styleId="20">
    <w:name w:val="正文文本 (2)"/>
    <w:basedOn w:val="Normal"/>
    <w:qFormat/>
    <w:pPr>
      <w:shd w:val="clear" w:color="auto" w:fill="FFFFFF"/>
      <w:spacing w:before="300" w:after="300" w:line="0" w:lineRule="atLeast"/>
      <w:jc w:val="distribute"/>
    </w:pPr>
    <w:rPr>
      <w:rFonts w:ascii="MingLiU" w:eastAsia="MingLiU" w:hAnsi="MingLiU" w:cs="MingLiU"/>
      <w:kern w:val="0"/>
      <w:sz w:val="28"/>
      <w:szCs w:val="28"/>
    </w:rPr>
  </w:style>
  <w:style w:type="paragraph" w:customStyle="1" w:styleId="xl27">
    <w:name w:val="xl2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18">
    <w:name w:val="表头"/>
    <w:basedOn w:val="BodyText"/>
    <w:next w:val="Normal"/>
    <w:qFormat/>
    <w:pPr>
      <w:overflowPunct w:val="0"/>
      <w:autoSpaceDE w:val="0"/>
      <w:autoSpaceDN w:val="0"/>
      <w:adjustRightInd w:val="0"/>
      <w:spacing w:before="60" w:after="60" w:line="360" w:lineRule="auto"/>
      <w:ind w:firstLine="539"/>
      <w:jc w:val="center"/>
      <w:textAlignment w:val="baseline"/>
    </w:pPr>
    <w:rPr>
      <w:rFonts w:eastAsia="黑体"/>
      <w:kern w:val="0"/>
      <w:szCs w:val="20"/>
    </w:rPr>
  </w:style>
  <w:style w:type="paragraph" w:styleId="PlainText">
    <w:name w:val="Plain Text"/>
    <w:basedOn w:val="Normal"/>
    <w:qFormat/>
    <w:locked/>
    <w:pPr>
      <w:spacing w:line="240" w:lineRule="atLeast"/>
    </w:pPr>
    <w:rPr>
      <w:rFonts w:ascii="宋体" w:hAnsi="Courier New"/>
      <w:sz w:val="28"/>
      <w:szCs w:val="21"/>
    </w:rPr>
  </w:style>
  <w:style w:type="paragraph" w:styleId="CommentSubject">
    <w:name w:val="annotation subject"/>
    <w:basedOn w:val="CommentText"/>
    <w:next w:val="CommentText"/>
    <w:link w:val="a4"/>
    <w:semiHidden/>
    <w:rPr>
      <w:b/>
      <w:sz w:val="24"/>
      <w:szCs w:val="20"/>
    </w:rPr>
  </w:style>
  <w:style w:type="paragraph" w:customStyle="1" w:styleId="p18">
    <w:name w:val="p18"/>
    <w:basedOn w:val="Normal"/>
    <w:qFormat/>
    <w:pPr>
      <w:widowControl/>
      <w:snapToGrid w:val="0"/>
      <w:spacing w:line="360" w:lineRule="auto"/>
      <w:ind w:firstLine="420"/>
    </w:pPr>
    <w:rPr>
      <w:kern w:val="0"/>
      <w:sz w:val="24"/>
    </w:rPr>
  </w:style>
  <w:style w:type="paragraph" w:customStyle="1" w:styleId="a19">
    <w:name w:val="正文（缩进）"/>
    <w:basedOn w:val="Normal"/>
    <w:uiPriority w:val="99"/>
    <w:qFormat/>
    <w:pPr>
      <w:spacing w:line="360" w:lineRule="auto"/>
      <w:ind w:firstLine="480" w:firstLineChars="200"/>
    </w:pPr>
    <w:rPr>
      <w:sz w:val="24"/>
    </w:rPr>
  </w:style>
  <w:style w:type="paragraph" w:customStyle="1" w:styleId="21">
    <w:name w:val="正文首行缩进2个字"/>
    <w:basedOn w:val="Normal"/>
    <w:qFormat/>
    <w:pPr>
      <w:ind w:firstLine="200" w:firstLineChars="200"/>
    </w:pPr>
    <w:rPr>
      <w:spacing w:val="3"/>
    </w:rPr>
  </w:style>
  <w:style w:type="paragraph" w:styleId="NormalWeb">
    <w:name w:val="Normal (Web)"/>
    <w:basedOn w:val="Normal"/>
    <w:link w:val="a5"/>
    <w:pPr>
      <w:widowControl/>
      <w:spacing w:before="100" w:beforeAutospacing="1" w:after="100" w:afterAutospacing="1"/>
      <w:jc w:val="left"/>
    </w:pPr>
    <w:rPr>
      <w:rFonts w:ascii="宋体" w:hAnsi="宋体"/>
      <w:kern w:val="0"/>
      <w:sz w:val="24"/>
      <w:szCs w:val="20"/>
    </w:rPr>
  </w:style>
  <w:style w:type="paragraph" w:customStyle="1" w:styleId="13">
    <w:name w:val="1正文"/>
    <w:basedOn w:val="Normal"/>
    <w:qFormat/>
    <w:pPr>
      <w:widowControl/>
      <w:spacing w:line="360" w:lineRule="auto"/>
      <w:ind w:firstLine="200" w:firstLineChars="200"/>
    </w:pPr>
    <w:rPr>
      <w:kern w:val="0"/>
      <w:sz w:val="24"/>
      <w:szCs w:val="20"/>
      <w:lang w:val="en-GB"/>
    </w:rPr>
  </w:style>
  <w:style w:type="table" w:styleId="TableGrid">
    <w:name w:val="Table Grid"/>
    <w:basedOn w:val="TableNormal"/>
    <w:rPr>
      <w:lang w:val="en-US" w:eastAsia="zh-CN"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hyperlink" Target="https://d.book118.com/887006110164006053" TargetMode="External" /><Relationship Id="rId15" Type="http://schemas.openxmlformats.org/officeDocument/2006/relationships/footer" Target="footer11.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27281</Words>
  <Characters>31923</Characters>
  <Application>Microsoft Office Word</Application>
  <DocSecurity>0</DocSecurity>
  <Lines>205</Lines>
  <Paragraphs>57</Paragraphs>
  <ScaleCrop>false</ScaleCrop>
  <Company>微软中国</Company>
  <LinksUpToDate>false</LinksUpToDate>
  <CharactersWithSpaces>32128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lhj</dc:creator>
  <cp:lastModifiedBy>WPS_1559717548</cp:lastModifiedBy>
  <cp:revision>5</cp:revision>
  <cp:lastPrinted>2020-12-29T02:43:00Z</cp:lastPrinted>
  <dcterms:created xsi:type="dcterms:W3CDTF">2020-12-24T01:29:00Z</dcterms:created>
  <dcterms:modified xsi:type="dcterms:W3CDTF">2024-03-18T07:26:39Z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AE00FA187AD349AD899041F1DA0DF565</vt:lpwstr>
  </property>
  <property fmtid="{D5CDD505-2E9C-101B-9397-08002B2CF9AE}" pid="3" name="KSOProductBuildVer">
    <vt:lpwstr>2052-11.1.0.10009</vt:lpwstr>
  </property>
</Properties>
</file>