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1、[单选题]竹叶石膏汤证的病机特点是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A.病后余热未清，气阴两伤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B.病后余热未清，燥结成实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C.病后里热炽盛，气津两伤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D.病后津液受伤，胃失和降。E,病后余热复聚，气机痞寒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3岁男孩，因反复全身多部位感染3年，间断发热8个月入院。曾发现左腋、腹股沟包块，肛周红肿，在外胸片提示“双侧肺门淋巴结结核”，抗结核治疗18个月，此间患“肺炎”l次。此后反复发热，咳嗽，咳痰，口腔溃疡，多次8超：肝脾大，有低密度阴影。外周血WBC20.1×109/L，Hbl099/L，PLT115×109/L，IgG7.16g/L，IgA0.78g/L，IgM0.48g/L.最可能的诊断是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A.粘附分子缺陷病l型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B.粘附分子缺陷病Ⅱ型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C.X-连锁慢性肉芽肿病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D.非X-连锁慢性肉芽肿病。E,联合免疫缺陷病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3、[单选题]肾上腺脑白质营养不良的病理特点为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A.髓鞘蛋白编码基因缺陷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B.β-半乳糖苷酶的缺乏，使半乳糖脑苷脂沉积于脑内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C.中枢神经进行性脱髓鞘和(或)肾上腺皮质萎缩或发育不良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D.肾上腺皮质萎缩或发育不良。E,中枢神经进行性脱髓鞘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4、[题干]儿童皮肌炎的治疗应首选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A.肌营养药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B.静脉丙种球蛋白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C.糖皮质激素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D.免疫抑制剂。E,非留体抗炎药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【解析】早期足量使用糖皮质激素是治疗本病的关键。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5、[题干]双人实施婴儿心肺复苏时，推荐胸外按压的方法是()。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A.双手环抱法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B.双指按压法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C.单指按压法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D.单掌按压法。E,双手按压法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https://d.book118.com/887014032023006043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88701403202300604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