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0"/>
        <w:rPr>
          <w:rFonts w:hint="eastAsia"/>
          <w:b/>
          <w:sz w:val="32"/>
          <w:szCs w:val="32"/>
        </w:rPr>
      </w:pPr>
      <w:bookmarkStart w:id="0" w:name="_GoBack"/>
      <w:bookmarkEnd w:id="0"/>
    </w:p>
    <w:p>
      <w:pPr>
        <w:pStyle w:val="Normal0"/>
        <w:rPr>
          <w:rFonts w:hint="eastAsia"/>
          <w:b/>
          <w:sz w:val="32"/>
          <w:szCs w:val="32"/>
        </w:rPr>
      </w:pPr>
      <w:r>
        <w:rPr>
          <w:rFonts w:hint="eastAsia"/>
          <w:b/>
          <w:sz w:val="32"/>
          <w:szCs w:val="32"/>
        </w:rPr>
        <w:t>金华国际汽配商贸城</w:t>
      </w:r>
      <w:r>
        <w:rPr>
          <w:rFonts w:hint="eastAsia"/>
          <w:b/>
          <w:sz w:val="32"/>
          <w:szCs w:val="32"/>
          <w:lang w:eastAsia="zh-CN"/>
        </w:rPr>
        <w:t>相关项目</w:t>
      </w:r>
      <w:r>
        <w:rPr>
          <w:rFonts w:hint="eastAsia"/>
          <w:b/>
          <w:sz w:val="32"/>
          <w:szCs w:val="32"/>
        </w:rPr>
        <w:t>建议书.doc *</w:t>
      </w:r>
    </w:p>
    <w:p>
      <w:pPr>
        <w:pStyle w:val="Normal0"/>
        <w:rPr>
          <w:rFonts w:hint="eastAsia"/>
          <w:sz w:val="32"/>
          <w:szCs w:val="32"/>
        </w:rPr>
      </w:pPr>
    </w:p>
    <w:p>
      <w:pPr>
        <w:pStyle w:val="Normal0"/>
        <w:rPr>
          <w:rFonts w:hint="eastAsia"/>
          <w:sz w:val="32"/>
          <w:szCs w:val="32"/>
        </w:rPr>
      </w:pPr>
    </w:p>
    <w:p>
      <w:pPr>
        <w:pStyle w:val="Normal0"/>
        <w:rPr>
          <w:rFonts w:hint="eastAsia"/>
          <w:sz w:val="32"/>
          <w:szCs w:val="32"/>
        </w:rPr>
      </w:pPr>
    </w:p>
    <w:p>
      <w:pPr>
        <w:pStyle w:val="Normal0"/>
        <w:jc w:val="center"/>
        <w:rPr>
          <w:rFonts w:hint="eastAsia"/>
          <w:b/>
          <w:sz w:val="32"/>
          <w:szCs w:val="32"/>
        </w:rPr>
      </w:pPr>
    </w:p>
    <w:p>
      <w:pPr>
        <w:pStyle w:val="Normal0"/>
        <w:jc w:val="center"/>
        <w:rPr>
          <w:rFonts w:hint="eastAsia"/>
          <w:b/>
          <w:sz w:val="32"/>
          <w:szCs w:val="32"/>
        </w:rPr>
      </w:pPr>
      <w:r>
        <w:rPr>
          <w:rFonts w:hint="eastAsia"/>
          <w:b/>
          <w:sz w:val="32"/>
          <w:szCs w:val="32"/>
        </w:rPr>
        <w:t>金华国际汽配商贸城</w:t>
      </w:r>
    </w:p>
    <w:p>
      <w:pPr>
        <w:pStyle w:val="Normal0"/>
        <w:jc w:val="center"/>
        <w:rPr>
          <w:rFonts w:hint="eastAsia"/>
          <w:b/>
          <w:sz w:val="32"/>
          <w:szCs w:val="32"/>
        </w:rPr>
      </w:pPr>
    </w:p>
    <w:p>
      <w:pPr>
        <w:pStyle w:val="Normal0"/>
        <w:jc w:val="center"/>
        <w:rPr>
          <w:rFonts w:hint="eastAsia"/>
          <w:b/>
          <w:sz w:val="32"/>
          <w:szCs w:val="32"/>
        </w:rPr>
      </w:pPr>
    </w:p>
    <w:p>
      <w:pPr>
        <w:pStyle w:val="Normal0"/>
        <w:jc w:val="center"/>
        <w:rPr>
          <w:rFonts w:ascii="黑体" w:eastAsia="黑体" w:hint="eastAsia"/>
          <w:sz w:val="32"/>
          <w:szCs w:val="32"/>
        </w:rPr>
      </w:pPr>
      <w:r>
        <w:rPr>
          <w:rFonts w:ascii="黑体" w:eastAsia="黑体" w:hint="eastAsia"/>
          <w:sz w:val="32"/>
          <w:szCs w:val="32"/>
        </w:rPr>
        <w:t>项 目 建 议 书</w:t>
      </w:r>
    </w:p>
    <w:p>
      <w:pPr>
        <w:pStyle w:val="Normal0"/>
        <w:ind w:left="1619" w:firstLine="944" w:leftChars="771" w:firstLineChars="295"/>
        <w:outlineLvl w:val="0"/>
        <w:rPr>
          <w:rFonts w:hint="eastAsia"/>
          <w:sz w:val="32"/>
          <w:szCs w:val="32"/>
        </w:rPr>
      </w:pPr>
    </w:p>
    <w:p>
      <w:pPr>
        <w:pStyle w:val="Normal0"/>
        <w:ind w:left="1619" w:firstLine="944" w:leftChars="771" w:firstLineChars="295"/>
        <w:outlineLvl w:val="0"/>
        <w:rPr>
          <w:rFonts w:hint="eastAsia"/>
          <w:sz w:val="32"/>
          <w:szCs w:val="32"/>
        </w:rPr>
      </w:pPr>
    </w:p>
    <w:p>
      <w:pPr>
        <w:pStyle w:val="Normal0"/>
        <w:ind w:left="1619" w:firstLine="944" w:leftChars="771" w:firstLineChars="295"/>
        <w:outlineLvl w:val="0"/>
        <w:rPr>
          <w:rFonts w:hint="eastAsia"/>
          <w:sz w:val="32"/>
          <w:szCs w:val="32"/>
        </w:rPr>
      </w:pPr>
    </w:p>
    <w:p>
      <w:pPr>
        <w:pStyle w:val="Normal0"/>
        <w:ind w:left="1619" w:firstLine="944" w:leftChars="771" w:firstLineChars="295"/>
        <w:outlineLvl w:val="0"/>
        <w:rPr>
          <w:rFonts w:hint="eastAsia"/>
          <w:sz w:val="32"/>
          <w:szCs w:val="32"/>
        </w:rPr>
      </w:pPr>
    </w:p>
    <w:p>
      <w:pPr>
        <w:pStyle w:val="Normal0"/>
        <w:ind w:left="2466" w:hanging="2464" w:leftChars="1" w:hangingChars="770"/>
        <w:jc w:val="center"/>
        <w:outlineLvl w:val="0"/>
        <w:rPr>
          <w:rFonts w:hint="eastAsia"/>
          <w:sz w:val="32"/>
          <w:szCs w:val="32"/>
        </w:rPr>
      </w:pPr>
    </w:p>
    <w:p>
      <w:pPr>
        <w:pStyle w:val="Normal0"/>
        <w:ind w:left="2466" w:hanging="2464" w:leftChars="1" w:hangingChars="770"/>
        <w:jc w:val="center"/>
        <w:outlineLvl w:val="0"/>
        <w:rPr>
          <w:rFonts w:hint="eastAsia"/>
          <w:sz w:val="32"/>
          <w:szCs w:val="32"/>
        </w:rPr>
      </w:pPr>
    </w:p>
    <w:p>
      <w:pPr>
        <w:pStyle w:val="Normal0"/>
        <w:ind w:left="2466" w:hanging="2464" w:leftChars="1" w:hangingChars="770"/>
        <w:jc w:val="center"/>
        <w:outlineLvl w:val="0"/>
        <w:rPr>
          <w:rFonts w:hint="eastAsia"/>
          <w:sz w:val="32"/>
          <w:szCs w:val="32"/>
        </w:rPr>
      </w:pPr>
    </w:p>
    <w:p>
      <w:pPr>
        <w:pStyle w:val="Normal0"/>
        <w:ind w:left="2466" w:hanging="2464" w:leftChars="1" w:hangingChars="770"/>
        <w:jc w:val="center"/>
        <w:outlineLvl w:val="0"/>
        <w:rPr>
          <w:rFonts w:hint="eastAsia"/>
          <w:sz w:val="32"/>
          <w:szCs w:val="32"/>
        </w:rPr>
      </w:pPr>
    </w:p>
    <w:p>
      <w:pPr>
        <w:pStyle w:val="Normal0"/>
        <w:ind w:left="1619" w:firstLine="944" w:leftChars="771" w:firstLineChars="295"/>
        <w:outlineLvl w:val="0"/>
        <w:rPr>
          <w:rFonts w:hint="eastAsia"/>
          <w:sz w:val="32"/>
          <w:szCs w:val="32"/>
        </w:rPr>
      </w:pPr>
    </w:p>
    <w:p>
      <w:pPr>
        <w:pStyle w:val="Normal0"/>
        <w:ind w:left="1619" w:firstLine="944" w:leftChars="771" w:firstLineChars="295"/>
        <w:outlineLvl w:val="0"/>
        <w:rPr>
          <w:rFonts w:hint="eastAsia"/>
          <w:sz w:val="32"/>
          <w:szCs w:val="32"/>
        </w:rPr>
      </w:pPr>
    </w:p>
    <w:p>
      <w:pPr>
        <w:pStyle w:val="Normal0"/>
        <w:ind w:left="1619" w:firstLine="944" w:leftChars="771" w:firstLineChars="295"/>
        <w:outlineLvl w:val="0"/>
        <w:rPr>
          <w:rFonts w:hint="eastAsia"/>
          <w:sz w:val="32"/>
          <w:szCs w:val="32"/>
        </w:rPr>
      </w:pPr>
    </w:p>
    <w:p>
      <w:pPr>
        <w:pStyle w:val="Normal0"/>
        <w:rPr>
          <w:rFonts w:hint="eastAsia"/>
          <w:sz w:val="32"/>
          <w:szCs w:val="32"/>
        </w:rPr>
        <w:sectPr>
          <w:pgSz w:w="11906" w:h="16838"/>
          <w:pgMar w:top="1440" w:right="1286" w:bottom="1440" w:left="1797" w:header="851" w:footer="992" w:gutter="0"/>
          <w:cols w:num="1" w:space="425"/>
          <w:docGrid w:type="lines" w:linePitch="312" w:charSpace="0"/>
        </w:sectPr>
      </w:pPr>
    </w:p>
    <w:p>
      <w:pPr>
        <w:pStyle w:val="Normal0"/>
        <w:rPr>
          <w:rFonts w:hint="eastAsia"/>
          <w:sz w:val="32"/>
          <w:szCs w:val="32"/>
        </w:rPr>
      </w:pPr>
    </w:p>
    <w:p>
      <w:pPr>
        <w:pStyle w:val="Normal0"/>
        <w:rPr>
          <w:rFonts w:hint="eastAsia"/>
          <w:sz w:val="32"/>
          <w:szCs w:val="32"/>
        </w:rPr>
      </w:pPr>
    </w:p>
    <w:p>
      <w:pPr>
        <w:pStyle w:val="Normal0"/>
        <w:rPr>
          <w:rFonts w:hint="eastAsia"/>
          <w:sz w:val="32"/>
          <w:szCs w:val="32"/>
        </w:rPr>
      </w:pPr>
    </w:p>
    <w:p>
      <w:pPr>
        <w:pStyle w:val="Normal0"/>
        <w:rPr>
          <w:rFonts w:hint="eastAsia"/>
          <w:sz w:val="32"/>
          <w:szCs w:val="32"/>
        </w:rPr>
      </w:pPr>
    </w:p>
    <w:p>
      <w:pPr>
        <w:pStyle w:val="Normal0"/>
        <w:rPr>
          <w:rFonts w:hint="eastAsia"/>
          <w:sz w:val="32"/>
          <w:szCs w:val="32"/>
        </w:rPr>
      </w:pPr>
    </w:p>
    <w:p>
      <w:pPr>
        <w:pStyle w:val="Normal0"/>
        <w:rPr>
          <w:rFonts w:hint="eastAsia"/>
          <w:sz w:val="32"/>
          <w:szCs w:val="32"/>
        </w:rPr>
      </w:pPr>
    </w:p>
    <w:p>
      <w:pPr>
        <w:pStyle w:val="Normal0"/>
        <w:rPr>
          <w:rFonts w:hint="eastAsia"/>
          <w:sz w:val="32"/>
          <w:szCs w:val="32"/>
        </w:rPr>
      </w:pPr>
    </w:p>
    <w:p>
      <w:pPr>
        <w:pStyle w:val="Normal0"/>
        <w:rPr>
          <w:rFonts w:hint="eastAsia"/>
          <w:sz w:val="32"/>
          <w:szCs w:val="32"/>
        </w:rPr>
      </w:pPr>
    </w:p>
    <w:p>
      <w:pPr>
        <w:pStyle w:val="Normal0"/>
        <w:rPr>
          <w:rFonts w:hint="eastAsia"/>
          <w:sz w:val="32"/>
          <w:szCs w:val="32"/>
        </w:rPr>
      </w:pPr>
    </w:p>
    <w:p>
      <w:pPr>
        <w:pStyle w:val="Normal0"/>
        <w:jc w:val="center"/>
        <w:rPr>
          <w:rFonts w:hint="eastAsia"/>
          <w:sz w:val="32"/>
          <w:szCs w:val="32"/>
        </w:rPr>
      </w:pPr>
      <w:r>
        <w:rPr>
          <w:rFonts w:hint="eastAsia"/>
          <w:sz w:val="32"/>
          <w:szCs w:val="32"/>
        </w:rPr>
        <w:t>金华国际汽配商贸城（筹备处）</w:t>
      </w:r>
    </w:p>
    <w:p>
      <w:pPr>
        <w:pStyle w:val="Normal0"/>
        <w:jc w:val="center"/>
        <w:rPr>
          <w:rFonts w:ascii="华文楷体" w:eastAsia="华文楷体" w:hAnsi="华文楷体" w:hint="eastAsia"/>
          <w:sz w:val="32"/>
          <w:szCs w:val="32"/>
        </w:rPr>
      </w:pPr>
    </w:p>
    <w:p>
      <w:pPr>
        <w:pStyle w:val="Normal0"/>
        <w:jc w:val="center"/>
        <w:rPr>
          <w:rFonts w:hint="eastAsia"/>
          <w:sz w:val="32"/>
          <w:szCs w:val="32"/>
        </w:rPr>
      </w:pPr>
      <w:r>
        <w:rPr>
          <w:rFonts w:ascii="华文楷体" w:eastAsia="华文楷体" w:hAnsi="华文楷体" w:hint="eastAsia"/>
          <w:sz w:val="32"/>
          <w:szCs w:val="32"/>
        </w:rPr>
        <w:t>二○○四年五月十一日</w:t>
      </w:r>
    </w:p>
    <w:p>
      <w:pPr>
        <w:pStyle w:val="Normal0"/>
        <w:rPr>
          <w:rFonts w:hint="eastAsia"/>
          <w:sz w:val="32"/>
          <w:szCs w:val="32"/>
        </w:rPr>
      </w:pPr>
    </w:p>
    <w:p>
      <w:pPr>
        <w:pStyle w:val="Normal0"/>
        <w:rPr>
          <w:rFonts w:hint="eastAsia"/>
          <w:sz w:val="32"/>
          <w:szCs w:val="32"/>
        </w:rPr>
        <w:sectPr>
          <w:type w:val="nextPage"/>
          <w:pgSz w:w="11906" w:h="16838"/>
          <w:pgMar w:top="1440" w:right="1286" w:bottom="1440" w:left="1797" w:header="851" w:footer="992" w:gutter="0"/>
          <w:pgNumType w:start="2"/>
          <w:cols w:num="1" w:space="425"/>
          <w:titlePg w:val="0"/>
          <w:docGrid w:type="lines" w:linePitch="312" w:charSpace="0"/>
        </w:sectPr>
      </w:pPr>
    </w:p>
    <w:p>
      <w:pPr>
        <w:pStyle w:val="Heading1"/>
        <w:keepLines/>
        <w:numPr>
          <w:ilvl w:val="0"/>
          <w:numId w:val="2"/>
        </w:numPr>
        <w:spacing w:before="340" w:after="330" w:line="578" w:lineRule="auto"/>
        <w:rPr>
          <w:rFonts w:hint="eastAsia"/>
        </w:rPr>
      </w:pPr>
      <w:r>
        <w:rPr>
          <w:rFonts w:hint="eastAsia"/>
          <w:lang w:eastAsia="zh-CN"/>
        </w:rPr>
        <w:t>相关项目</w:t>
      </w:r>
      <w:r>
        <w:rPr>
          <w:rFonts w:hint="eastAsia"/>
        </w:rPr>
        <w:t>概览</w:t>
      </w:r>
    </w:p>
    <w:p>
      <w:pPr>
        <w:pStyle w:val="Normal0"/>
        <w:spacing w:after="156" w:afterLines="50"/>
        <w:ind w:firstLine="640" w:firstLineChars="200"/>
        <w:rPr>
          <w:rFonts w:eastAsia="黑体" w:hint="eastAsia"/>
          <w:b/>
          <w:sz w:val="32"/>
          <w:szCs w:val="32"/>
        </w:rPr>
      </w:pPr>
      <w:r>
        <w:rPr>
          <w:rFonts w:eastAsia="黑体" w:hint="eastAsia"/>
          <w:b/>
          <w:sz w:val="32"/>
          <w:szCs w:val="32"/>
          <w:lang w:eastAsia="zh-CN"/>
        </w:rPr>
        <w:t>相关项目</w:t>
      </w:r>
      <w:r>
        <w:rPr>
          <w:rFonts w:eastAsia="黑体" w:hint="eastAsia"/>
          <w:b/>
          <w:sz w:val="32"/>
          <w:szCs w:val="32"/>
        </w:rPr>
        <w:t>建议单位及投资方：</w:t>
      </w:r>
    </w:p>
    <w:p>
      <w:pPr>
        <w:pStyle w:val="Normal0"/>
        <w:numPr>
          <w:ilvl w:val="0"/>
          <w:numId w:val="3"/>
        </w:numPr>
        <w:tabs>
          <w:tab w:val="clear" w:pos="1142"/>
          <w:tab w:val="left" w:pos="1260"/>
        </w:tabs>
        <w:spacing w:after="156" w:afterLines="50"/>
        <w:ind w:left="1260" w:hanging="360"/>
        <w:rPr>
          <w:rFonts w:hint="eastAsia"/>
          <w:sz w:val="32"/>
          <w:szCs w:val="32"/>
        </w:rPr>
      </w:pPr>
      <w:r>
        <w:rPr>
          <w:rFonts w:hint="eastAsia"/>
          <w:sz w:val="32"/>
          <w:szCs w:val="32"/>
        </w:rPr>
        <w:t>中国商业物资总公司，注册地址：北京市复兴门内大街45号，法人代表：卖连成；</w:t>
      </w:r>
    </w:p>
    <w:p>
      <w:pPr>
        <w:pStyle w:val="Normal0"/>
        <w:numPr>
          <w:ilvl w:val="0"/>
          <w:numId w:val="3"/>
        </w:numPr>
        <w:tabs>
          <w:tab w:val="clear" w:pos="1142"/>
          <w:tab w:val="left" w:pos="1260"/>
        </w:tabs>
        <w:spacing w:after="156" w:afterLines="50"/>
        <w:ind w:left="1260" w:hanging="360"/>
        <w:rPr>
          <w:rFonts w:hint="eastAsia"/>
          <w:sz w:val="32"/>
          <w:szCs w:val="32"/>
        </w:rPr>
      </w:pPr>
      <w:r>
        <w:rPr>
          <w:rFonts w:hint="eastAsia"/>
          <w:sz w:val="32"/>
          <w:szCs w:val="32"/>
        </w:rPr>
        <w:t>浙江交能投资有限公司，注册地址：浙江省温州市牛山北路56号，法人代表：张光杰；</w:t>
      </w:r>
    </w:p>
    <w:p>
      <w:pPr>
        <w:pStyle w:val="Normal0"/>
        <w:numPr>
          <w:ilvl w:val="0"/>
          <w:numId w:val="3"/>
        </w:numPr>
        <w:tabs>
          <w:tab w:val="clear" w:pos="1142"/>
          <w:tab w:val="left" w:pos="1260"/>
        </w:tabs>
        <w:spacing w:after="156" w:afterLines="50"/>
        <w:ind w:left="1260" w:hanging="360"/>
        <w:rPr>
          <w:rFonts w:hint="eastAsia"/>
          <w:sz w:val="32"/>
          <w:szCs w:val="32"/>
        </w:rPr>
      </w:pPr>
      <w:r>
        <w:rPr>
          <w:rFonts w:hint="eastAsia"/>
          <w:sz w:val="32"/>
          <w:szCs w:val="32"/>
        </w:rPr>
        <w:t>浙江泓宏投资有限公司，注册地址：浙江省泰顺县泰庆北路242号，法人代表：陶建洲；</w:t>
      </w:r>
    </w:p>
    <w:p>
      <w:pPr>
        <w:pStyle w:val="Normal0"/>
        <w:numPr>
          <w:ilvl w:val="0"/>
          <w:numId w:val="3"/>
        </w:numPr>
        <w:tabs>
          <w:tab w:val="clear" w:pos="1142"/>
          <w:tab w:val="left" w:pos="1260"/>
        </w:tabs>
        <w:spacing w:after="156" w:afterLines="50"/>
        <w:ind w:left="1260" w:hanging="360"/>
        <w:rPr>
          <w:rFonts w:hint="eastAsia"/>
          <w:sz w:val="32"/>
          <w:szCs w:val="32"/>
        </w:rPr>
      </w:pPr>
      <w:r>
        <w:rPr>
          <w:rFonts w:hint="eastAsia"/>
          <w:sz w:val="32"/>
          <w:szCs w:val="32"/>
        </w:rPr>
        <w:t>香港万成国际投资有限公司，注册地址：香港皇后大道中340号华秦大厦，法人代表：高启武</w:t>
      </w:r>
    </w:p>
    <w:p>
      <w:pPr>
        <w:pStyle w:val="Normal0"/>
        <w:spacing w:after="156" w:afterLines="50"/>
        <w:ind w:firstLine="640" w:firstLineChars="200"/>
        <w:rPr>
          <w:rFonts w:hint="eastAsia"/>
          <w:b/>
          <w:sz w:val="32"/>
          <w:szCs w:val="32"/>
        </w:rPr>
      </w:pPr>
      <w:r>
        <w:rPr>
          <w:rFonts w:eastAsia="黑体" w:hint="eastAsia"/>
          <w:b/>
          <w:sz w:val="32"/>
          <w:szCs w:val="32"/>
        </w:rPr>
        <w:t>将来经营本</w:t>
      </w:r>
      <w:r>
        <w:rPr>
          <w:rFonts w:eastAsia="黑体" w:hint="eastAsia"/>
          <w:b/>
          <w:sz w:val="32"/>
          <w:szCs w:val="32"/>
          <w:lang w:eastAsia="zh-CN"/>
        </w:rPr>
        <w:t>相关项目</w:t>
      </w:r>
      <w:r>
        <w:rPr>
          <w:rFonts w:eastAsia="黑体" w:hint="eastAsia"/>
          <w:b/>
          <w:sz w:val="32"/>
          <w:szCs w:val="32"/>
        </w:rPr>
        <w:t>的企业名称：</w:t>
      </w:r>
      <w:r>
        <w:rPr>
          <w:rFonts w:hint="eastAsia"/>
          <w:sz w:val="32"/>
          <w:szCs w:val="32"/>
        </w:rPr>
        <w:t>金华国际汽配商贸城</w:t>
      </w:r>
      <w:r>
        <w:rPr>
          <w:rFonts w:hint="eastAsia"/>
          <w:sz w:val="32"/>
          <w:szCs w:val="32"/>
          <w:lang w:eastAsia="zh-CN"/>
        </w:rPr>
        <w:t>XX</w:t>
      </w:r>
    </w:p>
    <w:p>
      <w:pPr>
        <w:pStyle w:val="Normal0"/>
        <w:spacing w:after="156" w:afterLines="50"/>
        <w:ind w:firstLine="640" w:firstLineChars="200"/>
        <w:rPr>
          <w:rFonts w:hint="eastAsia"/>
          <w:sz w:val="32"/>
          <w:szCs w:val="32"/>
        </w:rPr>
      </w:pPr>
      <w:r>
        <w:rPr>
          <w:rFonts w:eastAsia="黑体" w:hint="eastAsia"/>
          <w:b/>
          <w:sz w:val="32"/>
          <w:szCs w:val="32"/>
          <w:lang w:eastAsia="zh-CN"/>
        </w:rPr>
        <w:t>相关项目</w:t>
      </w:r>
      <w:r>
        <w:rPr>
          <w:rFonts w:eastAsia="黑体" w:hint="eastAsia"/>
          <w:b/>
          <w:sz w:val="32"/>
          <w:szCs w:val="32"/>
        </w:rPr>
        <w:t>地址：</w:t>
      </w:r>
      <w:r>
        <w:rPr>
          <w:rFonts w:hint="eastAsia"/>
          <w:sz w:val="32"/>
          <w:szCs w:val="32"/>
        </w:rPr>
        <w:t>金华汽车城对面，跨越康济街，位于03省道和北二环路之间的地块</w:t>
      </w:r>
    </w:p>
    <w:p>
      <w:pPr>
        <w:pStyle w:val="Normal0"/>
        <w:spacing w:after="156" w:afterLines="50"/>
        <w:ind w:firstLine="640" w:firstLineChars="200"/>
        <w:rPr>
          <w:rFonts w:hint="eastAsia"/>
          <w:sz w:val="32"/>
          <w:szCs w:val="32"/>
        </w:rPr>
      </w:pPr>
      <w:r>
        <w:rPr>
          <w:rFonts w:eastAsia="黑体" w:hint="eastAsia"/>
          <w:b/>
          <w:sz w:val="32"/>
          <w:szCs w:val="32"/>
          <w:lang w:eastAsia="zh-CN"/>
        </w:rPr>
        <w:t>相关项目</w:t>
      </w:r>
      <w:r>
        <w:rPr>
          <w:rFonts w:eastAsia="黑体" w:hint="eastAsia"/>
          <w:b/>
          <w:sz w:val="32"/>
          <w:szCs w:val="32"/>
        </w:rPr>
        <w:t>占地面积：</w:t>
      </w:r>
      <w:r>
        <w:rPr>
          <w:rFonts w:hint="eastAsia"/>
          <w:sz w:val="32"/>
          <w:szCs w:val="32"/>
        </w:rPr>
        <w:t>26万平方米（390亩）</w:t>
      </w:r>
    </w:p>
    <w:p>
      <w:pPr>
        <w:pStyle w:val="Normal0"/>
        <w:spacing w:after="156" w:afterLines="50"/>
        <w:ind w:firstLine="640" w:firstLineChars="200"/>
        <w:rPr>
          <w:rFonts w:hint="eastAsia"/>
          <w:sz w:val="32"/>
          <w:szCs w:val="32"/>
        </w:rPr>
        <w:sectPr>
          <w:headerReference w:type="default" r:id="rId5"/>
          <w:footerReference w:type="default" r:id="rId6"/>
          <w:pgSz w:w="11906" w:h="16838"/>
          <w:pgMar w:top="1440" w:right="1466" w:bottom="1246" w:left="1440" w:header="851" w:footer="598" w:gutter="0"/>
          <w:pgNumType w:start="3"/>
          <w:cols w:num="1" w:space="425"/>
          <w:docGrid w:type="lines" w:linePitch="312" w:charSpace="0"/>
        </w:sectPr>
      </w:pPr>
      <w:r>
        <w:rPr>
          <w:rFonts w:eastAsia="黑体" w:hint="eastAsia"/>
          <w:b/>
          <w:sz w:val="32"/>
          <w:szCs w:val="32"/>
        </w:rPr>
        <w:t>经营范围：</w:t>
      </w:r>
    </w:p>
    <w:p>
      <w:pPr>
        <w:pStyle w:val="Normal0"/>
        <w:spacing w:after="156" w:afterLines="50"/>
        <w:ind w:firstLine="640" w:firstLineChars="200"/>
        <w:rPr>
          <w:rFonts w:hint="eastAsia"/>
          <w:sz w:val="32"/>
          <w:szCs w:val="32"/>
        </w:rPr>
      </w:pPr>
      <w:r>
        <w:rPr>
          <w:rFonts w:hint="eastAsia"/>
          <w:sz w:val="32"/>
          <w:szCs w:val="32"/>
        </w:rPr>
        <w:t>各种国产和进口汽车整车，包括商用车、家用车、微型车等；各种国产和进口汽车零配件，包括发动机、汽车空调、汽车用涂料、喷涂设备、汽车美容产品、装饰、音响、养护、传动、电子、电气、仪表、轮胎、玻璃、润滑油、添加剂、线束、电瓶、粘结剂、蓄电池、安全、防盗、保护装置、清洁设备，等等；汽车零部件及其生产设备与新产品、新技术、专利成果等；汽车维修保养设备、维修保养工具、汽车检测诊断仪器设备和技术；汽车售后服务用品，包括洗车设备、装饰、加油站设备，停车场设施、添加剂、清洗液及其它相关产品；轻工、五金</w:t>
      </w:r>
    </w:p>
    <w:p>
      <w:pPr>
        <w:pStyle w:val="Normal0"/>
        <w:spacing w:after="156" w:afterLines="50"/>
        <w:ind w:firstLine="640" w:firstLineChars="200"/>
        <w:rPr>
          <w:rFonts w:hint="eastAsia"/>
          <w:sz w:val="32"/>
          <w:szCs w:val="32"/>
        </w:rPr>
      </w:pPr>
      <w:r>
        <w:rPr>
          <w:rFonts w:eastAsia="黑体" w:hint="eastAsia"/>
          <w:b/>
          <w:sz w:val="32"/>
          <w:szCs w:val="32"/>
          <w:lang w:eastAsia="zh-CN"/>
        </w:rPr>
        <w:t>相关项目合适的内容</w:t>
      </w:r>
      <w:r>
        <w:rPr>
          <w:rFonts w:eastAsia="黑体" w:hint="eastAsia"/>
          <w:b/>
          <w:sz w:val="32"/>
          <w:szCs w:val="32"/>
        </w:rPr>
        <w:t>：</w:t>
      </w:r>
      <w:r>
        <w:rPr>
          <w:rFonts w:hint="eastAsia"/>
          <w:sz w:val="32"/>
          <w:szCs w:val="32"/>
        </w:rPr>
        <w:t>投资建设和运营金华国际汽配商贸城，具体包括商贸、展示、物流仓储、配套办公和居住用房等</w:t>
      </w:r>
      <w:r>
        <w:rPr>
          <w:rFonts w:hint="eastAsia"/>
          <w:sz w:val="32"/>
          <w:szCs w:val="32"/>
          <w:lang w:eastAsia="zh-CN"/>
        </w:rPr>
        <w:t>合适的内容</w:t>
      </w:r>
      <w:r>
        <w:rPr>
          <w:rFonts w:hint="eastAsia"/>
          <w:sz w:val="32"/>
          <w:szCs w:val="32"/>
        </w:rPr>
        <w:t>。</w:t>
      </w:r>
    </w:p>
    <w:p>
      <w:pPr>
        <w:pStyle w:val="Normal0"/>
        <w:spacing w:after="156" w:afterLines="50"/>
        <w:ind w:firstLine="640" w:firstLineChars="200"/>
        <w:rPr>
          <w:rFonts w:hint="eastAsia"/>
          <w:sz w:val="32"/>
          <w:szCs w:val="32"/>
        </w:rPr>
      </w:pPr>
      <w:r>
        <w:rPr>
          <w:rFonts w:eastAsia="黑体" w:hint="eastAsia"/>
          <w:b/>
          <w:sz w:val="32"/>
          <w:szCs w:val="32"/>
        </w:rPr>
        <w:t>容积率：</w:t>
      </w:r>
      <w:r>
        <w:rPr>
          <w:rFonts w:hint="eastAsia"/>
          <w:sz w:val="32"/>
          <w:szCs w:val="32"/>
        </w:rPr>
        <w:t>1.25</w:t>
      </w:r>
    </w:p>
    <w:p>
      <w:pPr>
        <w:pStyle w:val="Normal0"/>
        <w:spacing w:after="156" w:afterLines="50"/>
        <w:ind w:firstLine="640" w:firstLineChars="200"/>
        <w:rPr>
          <w:rFonts w:hint="eastAsia"/>
          <w:sz w:val="32"/>
          <w:szCs w:val="32"/>
        </w:rPr>
      </w:pPr>
      <w:r>
        <w:rPr>
          <w:rFonts w:eastAsia="黑体" w:hint="eastAsia"/>
          <w:b/>
          <w:sz w:val="32"/>
          <w:szCs w:val="32"/>
        </w:rPr>
        <w:t>建筑密度：</w:t>
      </w:r>
      <w:r>
        <w:rPr>
          <w:rFonts w:hint="eastAsia"/>
          <w:sz w:val="32"/>
          <w:szCs w:val="32"/>
        </w:rPr>
        <w:t>&lt;40%</w:t>
      </w:r>
    </w:p>
    <w:p>
      <w:pPr>
        <w:pStyle w:val="Normal0"/>
        <w:spacing w:after="156" w:afterLines="50"/>
        <w:ind w:firstLine="640" w:firstLineChars="200"/>
        <w:rPr>
          <w:rFonts w:hint="eastAsia"/>
          <w:sz w:val="32"/>
          <w:szCs w:val="32"/>
        </w:rPr>
      </w:pPr>
      <w:r>
        <w:rPr>
          <w:rFonts w:eastAsia="黑体" w:hint="eastAsia"/>
          <w:b/>
          <w:sz w:val="32"/>
          <w:szCs w:val="32"/>
        </w:rPr>
        <w:t>绿化率：</w:t>
      </w:r>
      <w:r>
        <w:rPr>
          <w:rFonts w:hint="eastAsia"/>
          <w:sz w:val="32"/>
          <w:szCs w:val="32"/>
        </w:rPr>
        <w:t>&gt;25%</w:t>
      </w:r>
    </w:p>
    <w:p>
      <w:pPr>
        <w:pStyle w:val="Normal0"/>
        <w:spacing w:after="156" w:afterLines="50"/>
        <w:ind w:firstLine="640" w:firstLineChars="200"/>
        <w:rPr>
          <w:rFonts w:hint="eastAsia"/>
          <w:sz w:val="32"/>
          <w:szCs w:val="32"/>
        </w:rPr>
      </w:pPr>
      <w:r>
        <w:rPr>
          <w:rFonts w:eastAsia="黑体" w:hint="eastAsia"/>
          <w:b/>
          <w:sz w:val="32"/>
          <w:szCs w:val="32"/>
        </w:rPr>
        <w:t>投资总额：</w:t>
      </w:r>
      <w:r>
        <w:rPr>
          <w:rFonts w:hint="eastAsia"/>
          <w:b/>
          <w:sz w:val="32"/>
          <w:szCs w:val="32"/>
        </w:rPr>
        <w:t>4</w:t>
      </w:r>
      <w:r>
        <w:rPr>
          <w:rFonts w:hint="eastAsia"/>
          <w:sz w:val="32"/>
          <w:szCs w:val="32"/>
        </w:rPr>
        <w:t>亿元人民币。</w:t>
      </w:r>
    </w:p>
    <w:p>
      <w:pPr>
        <w:pStyle w:val="Normal0"/>
        <w:spacing w:after="156" w:afterLines="50"/>
        <w:ind w:firstLine="640" w:firstLineChars="200"/>
        <w:rPr>
          <w:rFonts w:hint="eastAsia"/>
          <w:sz w:val="32"/>
          <w:szCs w:val="32"/>
        </w:rPr>
      </w:pPr>
      <w:r>
        <w:rPr>
          <w:rFonts w:eastAsia="黑体" w:hint="eastAsia"/>
          <w:b/>
          <w:sz w:val="32"/>
          <w:szCs w:val="32"/>
          <w:lang w:eastAsia="zh-CN"/>
        </w:rPr>
        <w:t>相关项目</w:t>
      </w:r>
      <w:r>
        <w:rPr>
          <w:rFonts w:eastAsia="黑体" w:hint="eastAsia"/>
          <w:b/>
          <w:sz w:val="32"/>
          <w:szCs w:val="32"/>
        </w:rPr>
        <w:t>建成后预计年营业额：</w:t>
      </w:r>
      <w:r>
        <w:rPr>
          <w:rFonts w:hint="eastAsia"/>
          <w:b/>
          <w:sz w:val="32"/>
          <w:szCs w:val="32"/>
        </w:rPr>
        <w:t>18～130</w:t>
      </w:r>
      <w:r>
        <w:rPr>
          <w:rFonts w:hint="eastAsia"/>
          <w:sz w:val="32"/>
          <w:szCs w:val="32"/>
        </w:rPr>
        <w:t>亿元人民币。</w:t>
      </w:r>
    </w:p>
    <w:p>
      <w:pPr>
        <w:pStyle w:val="Normal0"/>
        <w:spacing w:after="156" w:afterLines="50"/>
        <w:ind w:firstLine="640" w:firstLineChars="200"/>
        <w:rPr>
          <w:rFonts w:hint="eastAsia"/>
          <w:sz w:val="32"/>
          <w:szCs w:val="32"/>
        </w:rPr>
      </w:pPr>
      <w:r>
        <w:rPr>
          <w:rFonts w:eastAsia="黑体" w:hint="eastAsia"/>
          <w:b/>
          <w:sz w:val="32"/>
          <w:szCs w:val="32"/>
        </w:rPr>
        <w:t>投资回收期：</w:t>
      </w:r>
      <w:r>
        <w:rPr>
          <w:rFonts w:hint="eastAsia"/>
          <w:sz w:val="32"/>
          <w:szCs w:val="32"/>
        </w:rPr>
        <w:t>3～8年。</w:t>
      </w:r>
    </w:p>
    <w:p>
      <w:pPr>
        <w:pStyle w:val="Normal0"/>
        <w:spacing w:after="156" w:afterLines="50"/>
        <w:ind w:firstLine="640" w:firstLineChars="200"/>
        <w:rPr>
          <w:rFonts w:hint="eastAsia"/>
          <w:sz w:val="32"/>
          <w:szCs w:val="32"/>
        </w:rPr>
      </w:pPr>
      <w:r>
        <w:rPr>
          <w:rFonts w:eastAsia="黑体" w:hint="eastAsia"/>
          <w:b/>
          <w:sz w:val="32"/>
          <w:szCs w:val="32"/>
        </w:rPr>
        <w:t>投资利润率：</w:t>
      </w:r>
      <w:r>
        <w:rPr>
          <w:rFonts w:hint="eastAsia"/>
          <w:b/>
          <w:sz w:val="32"/>
          <w:szCs w:val="32"/>
        </w:rPr>
        <w:t>&gt;</w:t>
      </w:r>
      <w:r>
        <w:rPr>
          <w:rFonts w:hint="eastAsia"/>
          <w:sz w:val="32"/>
          <w:szCs w:val="32"/>
        </w:rPr>
        <w:t>16％。</w:t>
      </w:r>
    </w:p>
    <w:p>
      <w:pPr>
        <w:pStyle w:val="Normal0"/>
        <w:spacing w:after="156" w:afterLines="50"/>
        <w:ind w:firstLine="640" w:firstLineChars="200"/>
        <w:rPr>
          <w:sz w:val="32"/>
          <w:szCs w:val="32"/>
        </w:rPr>
        <w:sectPr>
          <w:headerReference w:type="default" r:id="rId7"/>
          <w:footerReference w:type="default" r:id="rId8"/>
          <w:type w:val="nextPage"/>
          <w:pgSz w:w="11906" w:h="16838"/>
          <w:pgMar w:top="1440" w:right="1466" w:bottom="1246" w:left="1440" w:header="851" w:footer="598" w:gutter="0"/>
          <w:pgNumType w:start="4"/>
          <w:cols w:num="1" w:space="425"/>
          <w:titlePg w:val="0"/>
          <w:docGrid w:type="lines" w:linePitch="312" w:charSpace="0"/>
        </w:sectPr>
      </w:pPr>
      <w:r>
        <w:rPr>
          <w:rFonts w:eastAsia="黑体" w:hint="eastAsia"/>
          <w:b/>
          <w:sz w:val="32"/>
          <w:szCs w:val="32"/>
          <w:lang w:eastAsia="zh-CN"/>
        </w:rPr>
        <w:t>相关项目</w:t>
      </w:r>
      <w:r>
        <w:rPr>
          <w:rFonts w:eastAsia="黑体" w:hint="eastAsia"/>
          <w:b/>
          <w:sz w:val="32"/>
          <w:szCs w:val="32"/>
        </w:rPr>
        <w:t>的宏观经济效益和社会效益：</w:t>
      </w:r>
      <w:r>
        <w:rPr>
          <w:rFonts w:hint="eastAsia"/>
          <w:sz w:val="32"/>
          <w:szCs w:val="32"/>
        </w:rPr>
        <w:t>创造1500～4000就业机会；10年内贡献累计大约10亿元税收；与金华汽车城</w:t>
      </w:r>
      <w:r>
        <w:rPr>
          <w:rFonts w:hint="eastAsia"/>
          <w:sz w:val="32"/>
          <w:szCs w:val="32"/>
          <w:lang w:eastAsia="zh-CN"/>
        </w:rPr>
        <w:t>相关项目</w:t>
      </w:r>
    </w:p>
    <w:p>
      <w:pPr>
        <w:pStyle w:val="Normal0"/>
        <w:spacing w:after="156" w:afterLines="50"/>
        <w:ind w:firstLine="640" w:firstLineChars="200"/>
        <w:rPr>
          <w:sz w:val="32"/>
          <w:szCs w:val="32"/>
        </w:rPr>
        <w:sectPr>
          <w:headerReference w:type="default" r:id="rId9"/>
          <w:footerReference w:type="default" r:id="rId10"/>
          <w:type w:val="nextPage"/>
          <w:pgSz w:w="11906" w:h="16838"/>
          <w:pgMar w:top="1440" w:right="1466" w:bottom="1246" w:left="1440" w:header="851" w:footer="598" w:gutter="0"/>
          <w:pgNumType w:start="5"/>
          <w:cols w:num="1" w:space="425"/>
          <w:titlePg w:val="0"/>
          <w:docGrid w:type="lines" w:linePitch="312" w:charSpace="0"/>
        </w:sectPr>
      </w:pPr>
      <w:r>
        <w:rPr>
          <w:rFonts w:hint="eastAsia"/>
          <w:sz w:val="32"/>
          <w:szCs w:val="32"/>
        </w:rPr>
        <w:t>和金华市工业园区的汽摩配工业园相互配合，整合当地汽车及其配件用品的生产、运输、仓储、展示和销售企业，增强金华在浙江省、长江三角洲区域内的竞争力，带动相关产业的发展。</w:t>
      </w:r>
    </w:p>
    <w:p>
      <w:pPr>
        <w:pStyle w:val="Heading1"/>
        <w:keepLines/>
        <w:numPr>
          <w:ilvl w:val="0"/>
          <w:numId w:val="0"/>
        </w:numPr>
        <w:spacing w:before="340" w:after="330" w:line="578" w:lineRule="auto"/>
        <w:ind w:left="885"/>
        <w:rPr>
          <w:rFonts w:hint="eastAsia"/>
        </w:rPr>
      </w:pPr>
      <w:r>
        <w:rPr>
          <w:rFonts w:hint="eastAsia"/>
        </w:rPr>
        <w:t>立项依据</w:t>
      </w:r>
    </w:p>
    <w:p>
      <w:pPr>
        <w:pStyle w:val="Normal0"/>
        <w:spacing w:line="312" w:lineRule="auto"/>
        <w:ind w:firstLine="480"/>
        <w:rPr>
          <w:rFonts w:hint="eastAsia"/>
          <w:sz w:val="32"/>
          <w:szCs w:val="32"/>
        </w:rPr>
      </w:pPr>
      <w:r>
        <w:rPr>
          <w:rFonts w:hint="eastAsia"/>
          <w:sz w:val="32"/>
          <w:szCs w:val="32"/>
        </w:rPr>
        <w:t>本</w:t>
      </w:r>
      <w:r>
        <w:rPr>
          <w:rFonts w:hint="eastAsia"/>
          <w:sz w:val="32"/>
          <w:szCs w:val="32"/>
          <w:lang w:eastAsia="zh-CN"/>
        </w:rPr>
        <w:t>相关项目</w:t>
      </w:r>
      <w:r>
        <w:rPr>
          <w:rFonts w:hint="eastAsia"/>
          <w:sz w:val="32"/>
          <w:szCs w:val="32"/>
        </w:rPr>
        <w:t>的立项依据主要包括四点：</w:t>
      </w:r>
    </w:p>
    <w:p>
      <w:pPr>
        <w:pStyle w:val="Normal0"/>
        <w:numPr>
          <w:ilvl w:val="1"/>
          <w:numId w:val="2"/>
        </w:numPr>
        <w:rPr>
          <w:rFonts w:hint="eastAsia"/>
          <w:sz w:val="32"/>
          <w:szCs w:val="32"/>
        </w:rPr>
      </w:pPr>
      <w:r>
        <w:rPr>
          <w:rFonts w:hint="eastAsia"/>
          <w:sz w:val="32"/>
          <w:szCs w:val="32"/>
        </w:rPr>
        <w:t>中国汽车及其售后市场持续迅猛发展；</w:t>
      </w:r>
    </w:p>
    <w:p>
      <w:pPr>
        <w:pStyle w:val="Normal0"/>
        <w:numPr>
          <w:ilvl w:val="1"/>
          <w:numId w:val="2"/>
        </w:numPr>
        <w:rPr>
          <w:rFonts w:hint="eastAsia"/>
          <w:sz w:val="32"/>
          <w:szCs w:val="32"/>
        </w:rPr>
      </w:pPr>
      <w:r>
        <w:rPr>
          <w:rFonts w:hint="eastAsia"/>
          <w:sz w:val="32"/>
          <w:szCs w:val="32"/>
          <w:lang w:eastAsia="zh-CN"/>
        </w:rPr>
        <w:t>相关项目</w:t>
      </w:r>
      <w:r>
        <w:rPr>
          <w:rFonts w:hint="eastAsia"/>
          <w:sz w:val="32"/>
          <w:szCs w:val="32"/>
        </w:rPr>
        <w:t>的区位优势；</w:t>
      </w:r>
    </w:p>
    <w:p>
      <w:pPr>
        <w:pStyle w:val="Normal0"/>
        <w:numPr>
          <w:ilvl w:val="1"/>
          <w:numId w:val="2"/>
        </w:numPr>
        <w:rPr>
          <w:rFonts w:hint="eastAsia"/>
          <w:sz w:val="32"/>
          <w:szCs w:val="32"/>
        </w:rPr>
      </w:pPr>
      <w:r>
        <w:rPr>
          <w:rFonts w:hint="eastAsia"/>
          <w:sz w:val="32"/>
          <w:szCs w:val="32"/>
        </w:rPr>
        <w:t>与当地已有产业具有良好的互补和协同性；</w:t>
      </w:r>
    </w:p>
    <w:p>
      <w:pPr>
        <w:pStyle w:val="Normal0"/>
        <w:numPr>
          <w:ilvl w:val="1"/>
          <w:numId w:val="2"/>
        </w:numPr>
        <w:rPr>
          <w:rFonts w:hint="eastAsia"/>
          <w:sz w:val="32"/>
          <w:szCs w:val="32"/>
        </w:rPr>
      </w:pPr>
      <w:r>
        <w:rPr>
          <w:rFonts w:hint="eastAsia"/>
          <w:sz w:val="32"/>
          <w:szCs w:val="32"/>
        </w:rPr>
        <w:t>整合当地及附近地区汽车、配件及其售后行业的迫切需要。</w:t>
      </w:r>
    </w:p>
    <w:p>
      <w:pPr>
        <w:pStyle w:val="Normal0"/>
        <w:spacing w:line="312" w:lineRule="auto"/>
        <w:ind w:firstLine="480"/>
        <w:rPr>
          <w:rFonts w:hint="eastAsia"/>
          <w:sz w:val="32"/>
          <w:szCs w:val="32"/>
        </w:rPr>
      </w:pPr>
      <w:r>
        <w:rPr>
          <w:rFonts w:hint="eastAsia"/>
          <w:sz w:val="32"/>
          <w:szCs w:val="32"/>
        </w:rPr>
        <w:t>下面依次展开论述。</w:t>
      </w:r>
    </w:p>
    <w:p>
      <w:pPr>
        <w:pStyle w:val="Heading2"/>
        <w:rPr>
          <w:rFonts w:hint="eastAsia"/>
          <w:sz w:val="32"/>
          <w:szCs w:val="32"/>
        </w:rPr>
      </w:pPr>
      <w:r>
        <w:rPr>
          <w:rFonts w:hint="eastAsia"/>
          <w:sz w:val="32"/>
          <w:szCs w:val="32"/>
        </w:rPr>
        <w:t>1. 中国汽车及其售后市场持续迅猛发展</w:t>
      </w:r>
    </w:p>
    <w:p>
      <w:pPr>
        <w:pStyle w:val="Normal0"/>
        <w:spacing w:line="312" w:lineRule="auto"/>
        <w:ind w:firstLine="480"/>
        <w:rPr>
          <w:rFonts w:hint="eastAsia"/>
          <w:sz w:val="32"/>
          <w:szCs w:val="32"/>
        </w:rPr>
        <w:sectPr>
          <w:headerReference w:type="default" r:id="rId11"/>
          <w:footerReference w:type="default" r:id="rId12"/>
          <w:type w:val="nextPage"/>
          <w:pgSz w:w="11906" w:h="16838"/>
          <w:pgMar w:top="1440" w:right="1466" w:bottom="1246" w:left="1440" w:header="851" w:footer="598" w:gutter="0"/>
          <w:pgNumType w:start="6"/>
          <w:cols w:num="1" w:space="425"/>
          <w:titlePg w:val="0"/>
          <w:docGrid w:type="lines" w:linePitch="312" w:charSpace="0"/>
        </w:sectPr>
      </w:pPr>
      <w:r>
        <w:rPr>
          <w:rFonts w:hint="eastAsia"/>
          <w:sz w:val="32"/>
          <w:szCs w:val="32"/>
        </w:rPr>
        <w:t>截止2001年，中国的汽车保有量约为1800万辆，而当年的产销量为236万辆；2002年中国汽车销量比上年增长了37%，达到326万辆，其中乘用车为113万辆、商务车213万辆，后者所占比例为65%；2003年，中国累计生产汽车444．37万辆，同比增长35．2%，累计销售汽车439．08万辆，同比增长34．21%；2004年1-3月全国累计销售汽车127.77万辆,同比增长28.98%。国家信息中心信息资源部副主任徐长明分析说，从2004年第一季度的汽车产销量来看，汽车的主体属性已经从原来的生产资料转化为生活消费品，购买人群也从集团购买转为私人消费。徐长明表示，按照这一态势发展，到2005年，我国汽车总需求量将超过日本，成为全球第二大汽车消费国。</w:t>
      </w:r>
    </w:p>
    <w:p>
      <w:pPr>
        <w:pStyle w:val="Normal0"/>
        <w:spacing w:line="312" w:lineRule="auto"/>
        <w:jc w:val="center"/>
        <w:rPr>
          <w:rFonts w:hint="eastAsia"/>
          <w:sz w:val="32"/>
          <w:szCs w:val="32"/>
        </w:rPr>
      </w:pPr>
      <w:r>
        <w:rPr>
          <w:rFonts w:hint="eastAsia"/>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5pt;height:266.25pt" coordsize="21600,21600" o:preferrelative="t" filled="f" stroked="f">
            <v:stroke joinstyle="miter"/>
            <v:imagedata r:id="rId13" o:title="xinsrc_352005201502549271583"/>
            <o:lock v:ext="edit" aspectratio="t"/>
            <w10:anchorlock/>
          </v:shape>
        </w:pict>
      </w:r>
    </w:p>
    <w:p>
      <w:pPr>
        <w:pStyle w:val="Normal0"/>
        <w:spacing w:line="312" w:lineRule="auto"/>
        <w:jc w:val="center"/>
        <w:rPr>
          <w:rFonts w:hint="eastAsia"/>
          <w:sz w:val="32"/>
          <w:szCs w:val="32"/>
        </w:rPr>
      </w:pPr>
      <w:r>
        <w:rPr>
          <w:sz w:val="32"/>
          <w:szCs w:val="32"/>
        </w:rPr>
        <w:object>
          <v:shape id="_x0000_i1026" type="#_x0000_t75" style="width:364.95pt;height:214.55pt" o:ole="" coordsize="21600,21600" o:preferrelative="t" filled="f" stroked="f">
            <v:stroke joinstyle="miter"/>
            <v:imagedata r:id="rId14" o:title=""/>
            <o:lock v:ext="edit" aspectratio="t"/>
            <w10:anchorlock/>
          </v:shape>
          <o:OLEObject Type="Embed" ProgID="Excel.Chart.8" ShapeID="_x0000_i1026" DrawAspect="Content" ObjectID="_1468075725" r:id="rId15"/>
        </w:object>
      </w:r>
    </w:p>
    <w:p>
      <w:pPr>
        <w:pStyle w:val="Normal0"/>
        <w:spacing w:line="312" w:lineRule="auto"/>
        <w:jc w:val="center"/>
        <w:rPr>
          <w:rFonts w:hint="eastAsia"/>
          <w:sz w:val="32"/>
          <w:szCs w:val="32"/>
        </w:rPr>
      </w:pPr>
    </w:p>
    <w:p>
      <w:pPr>
        <w:pStyle w:val="Normal0"/>
        <w:spacing w:after="156" w:afterLines="50"/>
        <w:ind w:firstLine="640" w:firstLineChars="200"/>
        <w:rPr>
          <w:rFonts w:hint="eastAsia"/>
          <w:sz w:val="32"/>
          <w:szCs w:val="32"/>
        </w:rPr>
        <w:sectPr>
          <w:headerReference w:type="default" r:id="rId16"/>
          <w:footerReference w:type="default" r:id="rId17"/>
          <w:type w:val="nextPage"/>
          <w:pgSz w:w="11906" w:h="16838"/>
          <w:pgMar w:top="1440" w:right="1466" w:bottom="1246" w:left="1440" w:header="851" w:footer="598" w:gutter="0"/>
          <w:pgNumType w:start="7"/>
          <w:cols w:num="1" w:space="425"/>
          <w:titlePg w:val="0"/>
          <w:docGrid w:type="lines" w:linePitch="312" w:charSpace="0"/>
        </w:sectPr>
      </w:pPr>
      <w:r>
        <w:rPr>
          <w:rFonts w:hint="eastAsia"/>
          <w:sz w:val="32"/>
          <w:szCs w:val="32"/>
        </w:rPr>
        <w:t>同时，大企业集团的生产集中度、市场占有率稳步提高；汽车产品结构更趋合理；生产效益大幅度提高；汽车产品进出口形势喜人；汽车新产品五彩纷呈；合资合作、联合重组取得重大进展，产业结构调整又向前迈出一大步。</w:t>
      </w:r>
    </w:p>
    <w:p>
      <w:pPr>
        <w:pStyle w:val="Normal0"/>
        <w:spacing w:after="156" w:afterLines="50"/>
        <w:ind w:firstLine="640" w:firstLineChars="200"/>
        <w:rPr>
          <w:rFonts w:hint="eastAsia"/>
          <w:sz w:val="32"/>
          <w:szCs w:val="32"/>
        </w:rPr>
      </w:pPr>
      <w:r>
        <w:rPr>
          <w:rFonts w:hint="eastAsia"/>
          <w:sz w:val="32"/>
          <w:szCs w:val="32"/>
        </w:rPr>
        <w:t>与此同时，汽车零部件行业也将在今后数年内迅猛发展。随着主机跨国公司进入我国，为其配套的汽车零部件企业也纷纷进入，以独资、合资的方式，在主机厂周围设厂；非汽车行业继续大举进军汽车行业；而且汽车零部件行业已被民营企业瞄准，它们不仅是生产销售汽车零部件，甚至在开发产品。</w:t>
      </w:r>
    </w:p>
    <w:p>
      <w:pPr>
        <w:pStyle w:val="Normal0"/>
        <w:spacing w:after="156" w:afterLines="50"/>
        <w:ind w:firstLine="640" w:firstLineChars="200"/>
        <w:rPr>
          <w:rFonts w:hint="eastAsia"/>
          <w:sz w:val="32"/>
          <w:szCs w:val="32"/>
        </w:rPr>
      </w:pPr>
      <w:r>
        <w:rPr>
          <w:rFonts w:hint="eastAsia"/>
          <w:sz w:val="32"/>
          <w:szCs w:val="32"/>
        </w:rPr>
        <w:t>据估计，中国汽车工业产业目前每年对零配件的需求量达到800亿元人民币左右，而每年从一级市场到区域经营再到零售商的汽车零配件三级流通至少要完成2400亿元人民币的交易额。由此可见，中国汽配市场呈现巨大的发展空间。长期以来，中国的汽车产业政策比较重视整车生产企业，而忽视与其配套的汽车零配件市场的发展。实际上随着中国汽车工业从“乡间小道”驶入“高速公路”，汽车零配件市场呈现出前所未有的巨大发展空间。近两年来中国整车销售量每年以两位数的速度递增，形成对汽车零配件的大量需求；消费者的购买从高收入者向中等收入者渗透、从城市向农村转移，消费层面的扩大促使汽配市场结构多元化的加速形成；整车寿命普遍缩短，消费个性化使零配件业态除常规的零配件销售外，出现了汽车养护、美容等新型行业。一辆整车每增值一元，就会给它的上游市场(原材料)带来0.65元的增值，给下游市场(售后服务)带来2.6元的增值。</w:t>
      </w:r>
    </w:p>
    <w:p>
      <w:pPr>
        <w:pStyle w:val="Normal0"/>
        <w:spacing w:after="156" w:afterLines="50"/>
        <w:ind w:firstLine="640" w:firstLineChars="200"/>
        <w:rPr>
          <w:rFonts w:hint="eastAsia"/>
          <w:sz w:val="32"/>
          <w:szCs w:val="32"/>
        </w:rPr>
        <w:sectPr>
          <w:headerReference w:type="default" r:id="rId18"/>
          <w:footerReference w:type="default" r:id="rId19"/>
          <w:type w:val="nextPage"/>
          <w:pgSz w:w="11906" w:h="16838"/>
          <w:pgMar w:top="1440" w:right="1466" w:bottom="1246" w:left="1440" w:header="851" w:footer="598" w:gutter="0"/>
          <w:pgNumType w:start="8"/>
          <w:cols w:num="1" w:space="425"/>
          <w:titlePg w:val="0"/>
          <w:docGrid w:type="lines" w:linePitch="312" w:charSpace="0"/>
        </w:sectPr>
      </w:pPr>
    </w:p>
    <w:p>
      <w:pPr>
        <w:pStyle w:val="Normal0"/>
        <w:spacing w:after="156" w:afterLines="50"/>
        <w:ind w:firstLine="640" w:firstLineChars="200"/>
        <w:rPr>
          <w:rFonts w:hint="eastAsia"/>
          <w:sz w:val="32"/>
          <w:szCs w:val="32"/>
        </w:rPr>
      </w:pPr>
      <w:r>
        <w:rPr>
          <w:rFonts w:hint="eastAsia"/>
          <w:sz w:val="32"/>
          <w:szCs w:val="32"/>
        </w:rPr>
        <w:t>显然，只要汽车销量不断增长，维修与更换配件、购买自己喜欢的汽车用品等需求也必然随之扩大，这就是售后市场。有关中国汽车售后市场的预测，各个机构公布了不同的数字。据罗兰·贝格（Roland</w:t>
      </w:r>
      <w:r>
        <w:rPr>
          <w:rFonts w:hint="eastAsia"/>
          <w:sz w:val="32"/>
          <w:szCs w:val="32"/>
        </w:rPr>
        <w:t xml:space="preserve"> Berger）测算，2001年中国汽车售后市场已经形成了370亿元的规模，2002年为500亿元，2003年达800亿元。实际上，如果把1997年230亿元的市场规模作为基数，五年里市场规模增长了两倍以上。这样的成长率在全世界也是一枝独秀。目前，中国在亚洲已成为仅次于日本、韩国的第三大市场。2010年，中国的汽车售后市场规模则将会达到1900亿元，在亚洲仅次于日本位居第二。</w:t>
      </w:r>
    </w:p>
    <w:p>
      <w:pPr>
        <w:pStyle w:val="Normal0"/>
        <w:spacing w:after="156" w:afterLines="50"/>
        <w:jc w:val="center"/>
        <w:rPr>
          <w:rFonts w:hint="eastAsia"/>
          <w:sz w:val="32"/>
          <w:szCs w:val="32"/>
        </w:rPr>
      </w:pPr>
      <w:r>
        <w:rPr>
          <w:sz w:val="32"/>
          <w:szCs w:val="32"/>
        </w:rPr>
        <w:object>
          <v:shape id="_x0000_i1027" type="#_x0000_t75" style="width:415.9pt;height:227.25pt" o:ole="" coordsize="21600,21600" o:preferrelative="t" filled="f" stroked="f">
            <v:stroke joinstyle="miter"/>
            <v:imagedata r:id="rId20" o:title=""/>
            <o:lock v:ext="edit" aspectratio="t"/>
            <w10:anchorlock/>
          </v:shape>
          <o:OLEObject Type="Embed" ProgID="Excel.Chart.8" ShapeID="_x0000_i1027" DrawAspect="Content" ObjectID="_1468075726" r:id="rId21"/>
        </w:object>
      </w:r>
    </w:p>
    <w:p>
      <w:pPr>
        <w:pStyle w:val="Normal0"/>
        <w:spacing w:after="156" w:afterLines="50"/>
        <w:ind w:firstLine="640" w:firstLineChars="200"/>
        <w:rPr>
          <w:rFonts w:hint="eastAsia"/>
          <w:sz w:val="32"/>
          <w:szCs w:val="32"/>
        </w:rPr>
        <w:sectPr>
          <w:headerReference w:type="default" r:id="rId22"/>
          <w:footerReference w:type="default" r:id="rId23"/>
          <w:type w:val="nextPage"/>
          <w:pgSz w:w="11906" w:h="16838"/>
          <w:pgMar w:top="1440" w:right="1466" w:bottom="1246" w:left="1440" w:header="851" w:footer="598" w:gutter="0"/>
          <w:pgNumType w:start="9"/>
          <w:cols w:num="1" w:space="425"/>
          <w:titlePg w:val="0"/>
          <w:docGrid w:type="lines" w:linePitch="312" w:charSpace="0"/>
        </w:sectPr>
      </w:pPr>
    </w:p>
    <w:p>
      <w:pPr>
        <w:pStyle w:val="Normal0"/>
        <w:spacing w:after="156" w:afterLines="50"/>
        <w:ind w:firstLine="640" w:firstLineChars="200"/>
        <w:rPr>
          <w:rFonts w:hint="eastAsia"/>
          <w:sz w:val="32"/>
          <w:szCs w:val="32"/>
        </w:rPr>
      </w:pPr>
      <w:r>
        <w:rPr>
          <w:rFonts w:hint="eastAsia"/>
          <w:sz w:val="32"/>
          <w:szCs w:val="32"/>
        </w:rPr>
        <w:t>拿国内外成熟汽车市场盈利模式参照，目前国内汽车市场销售额中各部分的比例显得不合理。在国外成熟的汽车市场销售额中，配件占39％，制造商占21％，零售占7％，服务占33％。国内汽车市场销售额中配件占37％，制造商占43％，零售占8％，服务占12％，数据显示目前国内汽车销售额中制造商的比重依然偏大，而服务的比重过小，除金融、租赁等汽车服务有待加强外，汽车售后服务还有近10％的上升空间。行业人士预测，到2005年，仅汽车用品行业产值可达到420亿元，维修行业产值达400亿元。</w:t>
      </w:r>
    </w:p>
    <w:p>
      <w:pPr>
        <w:pStyle w:val="Normal0"/>
        <w:spacing w:after="156" w:afterLines="50"/>
        <w:ind w:left="-2" w:leftChars="-1"/>
        <w:jc w:val="center"/>
        <w:rPr>
          <w:rFonts w:hint="eastAsia"/>
          <w:sz w:val="32"/>
          <w:szCs w:val="32"/>
        </w:rPr>
      </w:pPr>
      <w:r>
        <w:rPr>
          <w:sz w:val="32"/>
          <w:szCs w:val="32"/>
        </w:rPr>
        <w:object>
          <v:shape id="_x0000_i1028" type="#_x0000_t75" style="width:364.95pt;height:201.9pt" o:ole="" coordsize="21600,21600" o:preferrelative="t" filled="f" stroked="f">
            <v:stroke joinstyle="miter"/>
            <v:imagedata r:id="rId24" o:title=""/>
            <o:lock v:ext="edit" aspectratio="t"/>
            <w10:anchorlock/>
          </v:shape>
          <o:OLEObject Type="Embed" ProgID="Excel.Chart.8" ShapeID="_x0000_i1028" DrawAspect="Content" ObjectID="_1468075727" r:id="rId25"/>
        </w:object>
      </w:r>
    </w:p>
    <w:p>
      <w:pPr>
        <w:pStyle w:val="Normal0"/>
        <w:spacing w:after="156" w:afterLines="50"/>
        <w:ind w:firstLine="640" w:firstLineChars="200"/>
        <w:rPr>
          <w:rFonts w:hint="eastAsia"/>
          <w:sz w:val="32"/>
          <w:szCs w:val="32"/>
        </w:rPr>
      </w:pPr>
      <w:r>
        <w:rPr>
          <w:rFonts w:hint="eastAsia"/>
          <w:sz w:val="32"/>
          <w:szCs w:val="32"/>
        </w:rPr>
        <w:t>按照可借鉴的国际经验，一个大国在进入汽车大众消费阶段后，汽车产业将会保持20至30年的快速增长。因此，我国汽车及其售后市场的发展前景是及其光明的。</w:t>
      </w:r>
    </w:p>
    <w:p>
      <w:pPr>
        <w:pStyle w:val="Heading2"/>
        <w:rPr>
          <w:rFonts w:hint="eastAsia"/>
          <w:sz w:val="32"/>
          <w:szCs w:val="32"/>
        </w:rPr>
      </w:pPr>
      <w:r>
        <w:rPr>
          <w:rFonts w:hint="eastAsia"/>
          <w:sz w:val="32"/>
          <w:szCs w:val="32"/>
        </w:rPr>
        <w:t>2. 区位优势</w:t>
      </w:r>
    </w:p>
    <w:p>
      <w:pPr>
        <w:pStyle w:val="Normal0"/>
        <w:spacing w:line="312" w:lineRule="auto"/>
        <w:ind w:firstLine="480"/>
        <w:rPr>
          <w:rFonts w:hint="eastAsia"/>
          <w:sz w:val="32"/>
          <w:szCs w:val="32"/>
        </w:rPr>
      </w:pPr>
      <w:r>
        <w:rPr>
          <w:rFonts w:hint="eastAsia"/>
          <w:sz w:val="32"/>
          <w:szCs w:val="32"/>
        </w:rPr>
        <w:t>金华，素有“小邹鲁”之称，古蕴深厚。和着改革开放的鼓点，金华对外开放呈跳跃式提升之势，中国国际小商品城义乌、中国科技五金城永康的超常规发展，打开了金华全方位步入国际舞台的窗口。金华以其独特的地理位置及强劲的发展势头，倍受各方关注与认可。建设浙江中部中心城市，营造城市群，成就大金华是金华市委市政府的重大战略目标。</w:t>
      </w:r>
      <w:r>
        <w:rPr>
          <w:rFonts w:hint="eastAsia"/>
          <w:sz w:val="32"/>
          <w:szCs w:val="32"/>
        </w:rPr>
        <w:br/>
      </w:r>
      <w:r>
        <w:rPr>
          <w:rFonts w:hint="eastAsia"/>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https://d.book118.com/887016154103006045</w:t>
        </w:r>
      </w:hyperlink>
    </w:p>
    <w:p>
      <w:pPr>
        <w:pStyle w:val="Normal0"/>
        <w:spacing w:line="312" w:lineRule="auto"/>
        <w:ind w:firstLine="480"/>
        <w:rPr>
          <w:rFonts w:hint="eastAsia"/>
          <w:sz w:val="32"/>
          <w:szCs w:val="32"/>
        </w:rPr>
      </w:pPr>
    </w:p>
    <w:sectPr>
      <w:headerReference w:type="default" r:id="rId27"/>
      <w:footerReference w:type="default" r:id="rId28"/>
      <w:type w:val="nextPage"/>
      <w:pgSz w:w="11906" w:h="16838"/>
      <w:pgMar w:top="1440" w:right="1466" w:bottom="1246" w:left="1440" w:header="851" w:footer="598"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BatangChe">
    <w:altName w:val="Malgun Gothic"/>
    <w:panose1 w:val="02030609000101010101"/>
    <w:charset w:val="81"/>
    <w:family w:val="modern"/>
    <w:pitch w:val="default"/>
    <w:sig w:usb0="00000000" w:usb1="00000000" w:usb2="00000030" w:usb3="00000000" w:csb0="0008009F" w:csb1="00000000"/>
  </w:font>
  <w:font w:name="PMingLiU">
    <w:altName w:val="PMingLiU-ExtB"/>
    <w:panose1 w:val="02020300000000000000"/>
    <w:charset w:val="88"/>
    <w:family w:val="roman"/>
    <w:pitch w:val="default"/>
    <w:sig w:usb0="00000000" w:usb1="00000000" w:usb2="00000016" w:usb3="00000000" w:csb0="00100001" w:csb1="00000000"/>
  </w:font>
  <w:font w:name="华文楷体">
    <w:panose1 w:val="02010600040101010101"/>
    <w:charset w:val="86"/>
    <w:family w:val="auto"/>
    <w:pitch w:val="default"/>
    <w:sig w:usb0="00000287" w:usb1="080F0000" w:usb2="00000000" w:usb3="00000000" w:csb0="0004009F" w:csb1="DFD70000"/>
  </w:font>
  <w:font w:name="PMingLiU-ExtB">
    <w:panose1 w:val="02020500000000000000"/>
    <w:charset w:val="88"/>
    <w:family w:val="auto"/>
    <w:pitch w:val="default"/>
    <w:sig w:usb0="8000002F" w:usb1="02000008" w:usb2="00000000" w:usb3="00000000" w:csb0="0010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0" type="#_x0000_t202" style="width:2in;height:2in;margin-top:0;margin-left:0;mso-height-relative:page;mso-position-horizontal:right;mso-position-horizontal-relative:margin;mso-width-relative:page;mso-wrap-style:none;position:absolute;z-index:25165824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12</w:t>
                </w:r>
                <w:r>
                  <w:fldChar w:fldCharType="end"/>
                </w:r>
                <w:r>
                  <w:rPr>
                    <w:rFonts w:hint="eastAsia"/>
                  </w:rPr>
                  <w:t xml:space="preserve"> 页</w:t>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2" type="#_x0000_t202" style="width:2in;height:2in;margin-top:0;margin-left:0;mso-height-relative:page;mso-position-horizontal:right;mso-position-horizontal-relative:margin;mso-width-relative:page;mso-wrap-style:none;position:absolute;z-index:25165926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12</w:t>
                </w:r>
                <w:r>
                  <w:fldChar w:fldCharType="end"/>
                </w:r>
                <w:r>
                  <w:rPr>
                    <w:rFonts w:hint="eastAsia"/>
                  </w:rPr>
                  <w:t xml:space="preserve"> 页</w:t>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4" type="#_x0000_t202" style="width:2in;height:2in;margin-top:0;margin-left:0;mso-height-relative:page;mso-position-horizontal:right;mso-position-horizontal-relative:margin;mso-width-relative:page;mso-wrap-style:none;position:absolute;z-index:25166028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12</w:t>
                </w:r>
                <w:r>
                  <w:fldChar w:fldCharType="end"/>
                </w:r>
                <w:r>
                  <w:rPr>
                    <w:rFonts w:hint="eastAsia"/>
                  </w:rPr>
                  <w:t xml:space="preserve"> 页</w:t>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6" type="#_x0000_t202" style="width:2in;height:2in;margin-top:0;margin-left:0;mso-height-relative:page;mso-position-horizontal:right;mso-position-horizontal-relative:margin;mso-width-relative:page;mso-wrap-style:none;position:absolute;z-index:25166131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12</w:t>
                </w:r>
                <w:r>
                  <w:fldChar w:fldCharType="end"/>
                </w:r>
                <w:r>
                  <w:rPr>
                    <w:rFonts w:hint="eastAsia"/>
                  </w:rPr>
                  <w:t xml:space="preserve"> 页</w:t>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8" type="#_x0000_t202" style="width:2in;height:2in;margin-top:0;margin-left:0;mso-height-relative:page;mso-position-horizontal:right;mso-position-horizontal-relative:margin;mso-width-relative:page;mso-wrap-style:none;position:absolute;z-index:25166233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12</w:t>
                </w:r>
                <w:r>
                  <w:fldChar w:fldCharType="end"/>
                </w:r>
                <w:r>
                  <w:rPr>
                    <w:rFonts w:hint="eastAsia"/>
                  </w:rPr>
                  <w:t xml:space="preserve"> 页</w:t>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0" type="#_x0000_t202" style="width:2in;height:2in;margin-top:0;margin-left:0;mso-height-relative:page;mso-position-horizontal:right;mso-position-horizontal-relative:margin;mso-width-relative:page;mso-wrap-style:none;position:absolute;z-index:25166336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12</w:t>
                </w:r>
                <w:r>
                  <w:fldChar w:fldCharType="end"/>
                </w:r>
                <w:r>
                  <w:rPr>
                    <w:rFonts w:hint="eastAsia"/>
                  </w:rPr>
                  <w:t xml:space="preserve"> 页</w:t>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2" type="#_x0000_t202" style="width:2in;height:2in;margin-top:0;margin-left:0;mso-height-relative:page;mso-position-horizontal:right;mso-position-horizontal-relative:margin;mso-width-relative:page;mso-wrap-style:none;position:absolute;z-index:25166438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12</w:t>
                </w:r>
                <w:r>
                  <w:fldChar w:fldCharType="end"/>
                </w:r>
                <w:r>
                  <w:rPr>
                    <w:rFonts w:hint="eastAsia"/>
                  </w:rPr>
                  <w:t xml:space="preserve"> 页</w:t>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4" type="#_x0000_t202" style="width:2in;height:2in;margin-top:0;margin-left:0;mso-height-relative:page;mso-position-horizontal:right;mso-position-horizontal-relative:margin;mso-width-relative:page;mso-wrap-style:none;position:absolute;z-index:25166540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12</w:t>
                </w:r>
                <w:r>
                  <w:fldChar w:fldCharType="end"/>
                </w:r>
                <w:r>
                  <w:rPr>
                    <w:rFonts w:hint="eastAsia"/>
                  </w:rPr>
                  <w:t xml:space="preserve"> 页</w:t>
                </w:r>
              </w:p>
            </w:txbxContent>
          </v:textbox>
          <w10:wrap anchorx="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4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824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721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619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516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414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312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209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12</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107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C944D7A"/>
    <w:multiLevelType w:val="multilevel"/>
    <w:tmpl w:val="0C944D7A"/>
    <w:lvl w:ilvl="0">
      <w:start w:val="1"/>
      <w:numFmt w:val="decimal"/>
      <w:lvlText w:val="%1."/>
      <w:lvlJc w:val="left"/>
      <w:pPr>
        <w:tabs>
          <w:tab w:val="left" w:pos="1142"/>
        </w:tabs>
        <w:ind w:left="1142" w:hanging="660"/>
      </w:pPr>
      <w:rPr>
        <w:rFonts w:eastAsia="黑体" w:hint="default"/>
        <w:b/>
      </w:rPr>
    </w:lvl>
    <w:lvl w:ilvl="1">
      <w:start w:val="1"/>
      <w:numFmt w:val="lowerLetter"/>
      <w:lvlText w:val="%2)"/>
      <w:lvlJc w:val="left"/>
      <w:pPr>
        <w:tabs>
          <w:tab w:val="left" w:pos="1322"/>
        </w:tabs>
        <w:ind w:left="1322" w:hanging="420"/>
      </w:pPr>
    </w:lvl>
    <w:lvl w:ilvl="2">
      <w:start w:val="1"/>
      <w:numFmt w:val="lowerRoman"/>
      <w:lvlText w:val="%3."/>
      <w:lvlJc w:val="right"/>
      <w:pPr>
        <w:tabs>
          <w:tab w:val="left" w:pos="1742"/>
        </w:tabs>
        <w:ind w:left="1742" w:hanging="420"/>
      </w:pPr>
    </w:lvl>
    <w:lvl w:ilvl="3">
      <w:start w:val="1"/>
      <w:numFmt w:val="decimal"/>
      <w:lvlText w:val="%4."/>
      <w:lvlJc w:val="left"/>
      <w:pPr>
        <w:tabs>
          <w:tab w:val="left" w:pos="2162"/>
        </w:tabs>
        <w:ind w:left="2162" w:hanging="420"/>
      </w:pPr>
    </w:lvl>
    <w:lvl w:ilvl="4">
      <w:start w:val="1"/>
      <w:numFmt w:val="lowerLetter"/>
      <w:lvlText w:val="%5)"/>
      <w:lvlJc w:val="left"/>
      <w:pPr>
        <w:tabs>
          <w:tab w:val="left" w:pos="2582"/>
        </w:tabs>
        <w:ind w:left="2582" w:hanging="420"/>
      </w:pPr>
    </w:lvl>
    <w:lvl w:ilvl="5">
      <w:start w:val="1"/>
      <w:numFmt w:val="lowerRoman"/>
      <w:lvlText w:val="%6."/>
      <w:lvlJc w:val="right"/>
      <w:pPr>
        <w:tabs>
          <w:tab w:val="left" w:pos="3002"/>
        </w:tabs>
        <w:ind w:left="3002" w:hanging="420"/>
      </w:pPr>
    </w:lvl>
    <w:lvl w:ilvl="6">
      <w:start w:val="1"/>
      <w:numFmt w:val="decimal"/>
      <w:lvlText w:val="%7."/>
      <w:lvlJc w:val="left"/>
      <w:pPr>
        <w:tabs>
          <w:tab w:val="left" w:pos="3422"/>
        </w:tabs>
        <w:ind w:left="3422" w:hanging="420"/>
      </w:pPr>
    </w:lvl>
    <w:lvl w:ilvl="7">
      <w:start w:val="1"/>
      <w:numFmt w:val="lowerLetter"/>
      <w:lvlText w:val="%8)"/>
      <w:lvlJc w:val="left"/>
      <w:pPr>
        <w:tabs>
          <w:tab w:val="left" w:pos="3842"/>
        </w:tabs>
        <w:ind w:left="3842" w:hanging="420"/>
      </w:pPr>
    </w:lvl>
    <w:lvl w:ilvl="8">
      <w:start w:val="1"/>
      <w:numFmt w:val="lowerRoman"/>
      <w:lvlText w:val="%9."/>
      <w:lvlJc w:val="right"/>
      <w:pPr>
        <w:tabs>
          <w:tab w:val="left" w:pos="4262"/>
        </w:tabs>
        <w:ind w:left="4262" w:hanging="420"/>
      </w:pPr>
    </w:lvl>
  </w:abstractNum>
  <w:abstractNum w:abstractNumId="1">
    <w:nsid w:val="36AF0921"/>
    <w:multiLevelType w:val="multilevel"/>
    <w:tmpl w:val="36AF0921"/>
    <w:lvl w:ilvl="0">
      <w:start w:val="1"/>
      <w:numFmt w:val="upperLetter"/>
      <w:pStyle w:val="Heading1"/>
      <w:lvlText w:val="%1."/>
      <w:lvlJc w:val="left"/>
      <w:pPr>
        <w:tabs>
          <w:tab w:val="left" w:pos="887"/>
        </w:tabs>
        <w:ind w:left="887" w:hanging="360"/>
      </w:pPr>
      <w:rPr>
        <w:rFonts w:hint="eastAsia"/>
      </w:rPr>
    </w:lvl>
    <w:lvl w:ilvl="1">
      <w:start w:val="1"/>
      <w:numFmt w:val="lowerLetter"/>
      <w:lvlText w:val="%2)"/>
      <w:lvlJc w:val="left"/>
      <w:pPr>
        <w:tabs>
          <w:tab w:val="left" w:pos="1367"/>
        </w:tabs>
        <w:ind w:left="1367" w:hanging="420"/>
      </w:pPr>
    </w:lvl>
    <w:lvl w:ilvl="2">
      <w:start w:val="1"/>
      <w:numFmt w:val="lowerRoman"/>
      <w:lvlText w:val="%3."/>
      <w:lvlJc w:val="right"/>
      <w:pPr>
        <w:tabs>
          <w:tab w:val="left" w:pos="1787"/>
        </w:tabs>
        <w:ind w:left="1787" w:hanging="420"/>
      </w:pPr>
    </w:lvl>
    <w:lvl w:ilvl="3">
      <w:start w:val="1"/>
      <w:numFmt w:val="decimal"/>
      <w:lvlText w:val="%4."/>
      <w:lvlJc w:val="left"/>
      <w:pPr>
        <w:tabs>
          <w:tab w:val="left" w:pos="2207"/>
        </w:tabs>
        <w:ind w:left="2207" w:hanging="420"/>
      </w:pPr>
    </w:lvl>
    <w:lvl w:ilvl="4">
      <w:start w:val="1"/>
      <w:numFmt w:val="lowerLetter"/>
      <w:lvlText w:val="%5)"/>
      <w:lvlJc w:val="left"/>
      <w:pPr>
        <w:tabs>
          <w:tab w:val="left" w:pos="2627"/>
        </w:tabs>
        <w:ind w:left="2627" w:hanging="420"/>
      </w:pPr>
    </w:lvl>
    <w:lvl w:ilvl="5">
      <w:start w:val="1"/>
      <w:numFmt w:val="lowerRoman"/>
      <w:lvlText w:val="%6."/>
      <w:lvlJc w:val="right"/>
      <w:pPr>
        <w:tabs>
          <w:tab w:val="left" w:pos="3047"/>
        </w:tabs>
        <w:ind w:left="3047" w:hanging="420"/>
      </w:pPr>
    </w:lvl>
    <w:lvl w:ilvl="6">
      <w:start w:val="1"/>
      <w:numFmt w:val="decimal"/>
      <w:lvlText w:val="%7."/>
      <w:lvlJc w:val="left"/>
      <w:pPr>
        <w:tabs>
          <w:tab w:val="left" w:pos="3467"/>
        </w:tabs>
        <w:ind w:left="3467" w:hanging="420"/>
      </w:pPr>
    </w:lvl>
    <w:lvl w:ilvl="7">
      <w:start w:val="1"/>
      <w:numFmt w:val="lowerLetter"/>
      <w:lvlText w:val="%8)"/>
      <w:lvlJc w:val="left"/>
      <w:pPr>
        <w:tabs>
          <w:tab w:val="left" w:pos="3887"/>
        </w:tabs>
        <w:ind w:left="3887" w:hanging="420"/>
      </w:pPr>
    </w:lvl>
    <w:lvl w:ilvl="8">
      <w:start w:val="1"/>
      <w:numFmt w:val="lowerRoman"/>
      <w:lvlText w:val="%9."/>
      <w:lvlJc w:val="right"/>
      <w:pPr>
        <w:tabs>
          <w:tab w:val="left" w:pos="4307"/>
        </w:tabs>
        <w:ind w:left="4307" w:hanging="420"/>
      </w:pPr>
    </w:lvl>
  </w:abstractNum>
  <w:abstractNum w:abstractNumId="2">
    <w:nsid w:val="50615009"/>
    <w:multiLevelType w:val="multilevel"/>
    <w:tmpl w:val="50615009"/>
    <w:lvl w:ilvl="0">
      <w:start w:val="1"/>
      <w:numFmt w:val="japaneseCounting"/>
      <w:lvlText w:val="%1、"/>
      <w:lvlJc w:val="left"/>
      <w:pPr>
        <w:tabs>
          <w:tab w:val="left" w:pos="885"/>
        </w:tabs>
        <w:ind w:left="885" w:hanging="885"/>
      </w:pPr>
      <w:rPr>
        <w:rFonts w:hint="default"/>
      </w:rPr>
    </w:lvl>
    <w:lvl w:ilvl="1">
      <w:start w:val="1"/>
      <w:numFmt w:val="bullet"/>
      <w:lvlText w:val=""/>
      <w:lvlJc w:val="left"/>
      <w:pPr>
        <w:tabs>
          <w:tab w:val="left" w:pos="840"/>
        </w:tabs>
        <w:ind w:left="840" w:hanging="420"/>
      </w:pPr>
      <w:rPr>
        <w:rFonts w:ascii="Wingdings" w:hAnsi="Wingding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C63B3"/>
    <w:rsid w:val="00252B25"/>
    <w:rsid w:val="004F60B0"/>
    <w:rsid w:val="00525844"/>
    <w:rsid w:val="005D50D2"/>
    <w:rsid w:val="0068482D"/>
    <w:rsid w:val="007D1BB9"/>
    <w:rsid w:val="00BA06AC"/>
    <w:rsid w:val="00C1729B"/>
    <w:rsid w:val="00C3480A"/>
    <w:rsid w:val="00D16826"/>
    <w:rsid w:val="00E73211"/>
    <w:rsid w:val="00EF34AA"/>
    <w:rsid w:val="00FC25C7"/>
    <w:rsid w:val="1B775F20"/>
    <w:rsid w:val="49B755B6"/>
    <w:rsid w:val="53D629E8"/>
    <w:rsid w:val="5E280D51"/>
    <w:rsid w:val="5E460AFF"/>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paragraph" w:styleId="Heading1">
    <w:name w:val="heading 1"/>
    <w:basedOn w:val="Normal"/>
    <w:next w:val="Normal0"/>
    <w:qFormat/>
    <w:pPr>
      <w:keepNext/>
      <w:numPr>
        <w:ilvl w:val="0"/>
        <w:numId w:val="1"/>
      </w:numPr>
      <w:spacing w:line="520" w:lineRule="exact"/>
      <w:ind w:left="887" w:hanging="360"/>
      <w:jc w:val="center"/>
      <w:outlineLvl w:val="0"/>
    </w:pPr>
    <w:rPr>
      <w:rFonts w:ascii="黑体" w:eastAsia="黑体" w:hAnsi="BatangChe"/>
      <w:sz w:val="32"/>
      <w:szCs w:val="32"/>
    </w:rPr>
  </w:style>
  <w:style w:type="paragraph" w:styleId="Heading2">
    <w:name w:val="heading 2"/>
    <w:basedOn w:val="Normal"/>
    <w:next w:val="Normal0"/>
    <w:qFormat/>
    <w:pPr>
      <w:keepNext/>
      <w:keepLines/>
      <w:spacing w:before="260" w:after="260" w:line="410" w:lineRule="auto"/>
      <w:jc w:val="left"/>
      <w:outlineLvl w:val="1"/>
    </w:pPr>
    <w:rPr>
      <w:rFonts w:ascii="宋体" w:eastAsia="PMingLiU" w:hAnsi="宋体"/>
      <w:color w:val="663399"/>
      <w:sz w:val="36"/>
      <w:szCs w:val="36"/>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customStyle="1" w:styleId="Normal0">
    <w:name w:val="Normal_0"/>
    <w:qFormat/>
    <w:pPr>
      <w:widowControl w:val="0"/>
      <w:jc w:val="both"/>
    </w:pPr>
    <w:rPr>
      <w:rFonts w:ascii="宋体" w:eastAsia="宋体" w:hAnsi="Times New Roman" w:cstheme="minorBidi"/>
      <w:kern w:val="2"/>
      <w:sz w:val="24"/>
      <w:szCs w:val="24"/>
      <w:lang w:val="en-US" w:eastAsia="zh-CN" w:bidi="ar-SA"/>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image" Target="media/image1.jpeg" /><Relationship Id="rId14" Type="http://schemas.openxmlformats.org/officeDocument/2006/relationships/image" Target="media/image2.emf" /><Relationship Id="rId15" Type="http://schemas.openxmlformats.org/officeDocument/2006/relationships/oleObject" Target="embeddings/oleObject1.bin"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image" Target="media/image3.emf" /><Relationship Id="rId21" Type="http://schemas.openxmlformats.org/officeDocument/2006/relationships/oleObject" Target="embeddings/oleObject2.bin" /><Relationship Id="rId22" Type="http://schemas.openxmlformats.org/officeDocument/2006/relationships/header" Target="header7.xml" /><Relationship Id="rId23" Type="http://schemas.openxmlformats.org/officeDocument/2006/relationships/footer" Target="footer7.xml" /><Relationship Id="rId24" Type="http://schemas.openxmlformats.org/officeDocument/2006/relationships/image" Target="media/image4.emf" /><Relationship Id="rId25" Type="http://schemas.openxmlformats.org/officeDocument/2006/relationships/oleObject" Target="embeddings/oleObject3.bin" /><Relationship Id="rId26" Type="http://schemas.openxmlformats.org/officeDocument/2006/relationships/hyperlink" Target="https://d.book118.com/887016154103006045" TargetMode="External" /><Relationship Id="rId27" Type="http://schemas.openxmlformats.org/officeDocument/2006/relationships/header" Target="header8.xml" /><Relationship Id="rId28" Type="http://schemas.openxmlformats.org/officeDocument/2006/relationships/footer" Target="footer8.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numbering" Target="numbering.xml" /><Relationship Id="rId31"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12</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2024-02-23T15:08:20Z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DF39D2150F8042B2966BE410CCC59341_12</vt:lpwstr>
  </property>
  <property fmtid="{D5CDD505-2E9C-101B-9397-08002B2CF9AE}" pid="3" name="KSOProductBuildVer">
    <vt:lpwstr>2052-12.1.0.16388</vt:lpwstr>
  </property>
</Properties>
</file>