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2024年EVA树脂行业分析报告及未来五到十年行业发展趋势报告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251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_Toc24251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4992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_Toc4992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81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_Toc16814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8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_Toc2784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572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_Toc18572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8037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_Toc18037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454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_Toc24546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267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_Toc29267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706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_Toc5706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236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_Toc29236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38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_Toc14838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559" w:history="1">
        <w:r>
          <w:rPr>
            <w:rFonts w:eastAsia="微软雅黑" w:hint="eastAsia"/>
            <w:snapToGrid/>
            <w:lang w:val="en-US" w:eastAsia="en-US"/>
          </w:rPr>
          <w:t>二、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_Toc30559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333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_Toc19333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22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_Toc2722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478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_Toc14478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297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_Toc21297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9098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产业未来发展前景</w:t>
        </w:r>
        <w:r>
          <w:tab/>
        </w:r>
        <w:r>
          <w:fldChar w:fldCharType="begin"/>
        </w:r>
        <w:r>
          <w:instrText xml:space="preserve"> PAGEREF _Toc9098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983" w:history="1">
        <w:r>
          <w:rPr>
            <w:rFonts w:eastAsia="微软雅黑" w:hint="eastAsia"/>
            <w:snapToGrid/>
            <w:lang w:val="en-US" w:eastAsia="zh-CN"/>
          </w:rPr>
          <w:t>(一)、我国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行业市场规模前景预测</w:t>
        </w:r>
        <w:r>
          <w:tab/>
        </w:r>
        <w:r>
          <w:fldChar w:fldCharType="begin"/>
        </w:r>
        <w:r>
          <w:instrText xml:space="preserve"> PAGEREF _Toc26983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65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行业进入大规模推广应用阶</w:t>
        </w:r>
        <w:r>
          <w:tab/>
        </w:r>
        <w:r>
          <w:fldChar w:fldCharType="begin"/>
        </w:r>
        <w:r>
          <w:instrText xml:space="preserve"> PAGEREF _Toc27650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59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行业的市场增长点</w:t>
        </w:r>
        <w:r>
          <w:tab/>
        </w:r>
        <w:r>
          <w:fldChar w:fldCharType="begin"/>
        </w:r>
        <w:r>
          <w:instrText xml:space="preserve"> PAGEREF _Toc15559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" w:history="1">
        <w:r>
          <w:rPr>
            <w:rFonts w:eastAsia="微软雅黑" w:hint="eastAsia"/>
            <w:snapToGrid/>
            <w:lang w:val="en-US" w:eastAsia="zh-CN"/>
          </w:rPr>
          <w:t>(四)、细分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行业产品将具有最大优势</w:t>
        </w:r>
        <w:r>
          <w:tab/>
        </w:r>
        <w:r>
          <w:fldChar w:fldCharType="begin"/>
        </w:r>
        <w:r>
          <w:instrText xml:space="preserve"> PAGEREF _Toc298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44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行业与互联网等行业融合发展机遇</w:t>
        </w:r>
        <w:r>
          <w:tab/>
        </w:r>
        <w:r>
          <w:fldChar w:fldCharType="begin"/>
        </w:r>
        <w:r>
          <w:instrText xml:space="preserve"> PAGEREF _Toc3744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73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行业人才培养市场广阔，国际合作前景广阔</w:t>
        </w:r>
        <w:r>
          <w:tab/>
        </w:r>
        <w:r>
          <w:fldChar w:fldCharType="begin"/>
        </w:r>
        <w:r>
          <w:instrText xml:space="preserve"> PAGEREF _Toc6733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97" w:history="1">
        <w:r>
          <w:rPr>
            <w:rFonts w:eastAsia="微软雅黑" w:hint="eastAsia"/>
            <w:snapToGrid/>
            <w:lang w:val="en-US" w:eastAsia="zh-CN"/>
          </w:rPr>
          <w:t>(七)、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行业发展需要突破创新瓶颈</w:t>
        </w:r>
        <w:r>
          <w:tab/>
        </w:r>
        <w:r>
          <w:fldChar w:fldCharType="begin"/>
        </w:r>
        <w:r>
          <w:instrText xml:space="preserve"> PAGEREF _Toc20297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005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行业企业战略实施要点</w:t>
        </w:r>
        <w:r>
          <w:tab/>
        </w:r>
        <w:r>
          <w:fldChar w:fldCharType="begin"/>
        </w:r>
        <w:r>
          <w:instrText xml:space="preserve"> PAGEREF _Toc3005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996" w:history="1">
        <w:r>
          <w:rPr>
            <w:rFonts w:eastAsia="微软雅黑" w:hint="eastAsia"/>
            <w:snapToGrid/>
            <w:lang w:val="en-US" w:eastAsia="en-US"/>
          </w:rPr>
          <w:t>(一)、打造自主品牌</w:t>
        </w:r>
        <w:r>
          <w:tab/>
        </w:r>
        <w:r>
          <w:fldChar w:fldCharType="begin"/>
        </w:r>
        <w:r>
          <w:instrText xml:space="preserve"> PAGEREF _Toc22996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638" w:history="1">
        <w:r>
          <w:rPr>
            <w:rFonts w:eastAsia="微软雅黑" w:hint="eastAsia"/>
            <w:snapToGrid/>
            <w:lang w:val="en-US" w:eastAsia="zh-CN"/>
          </w:rPr>
          <w:t>(二)、重塑企业价值链</w:t>
        </w:r>
        <w:r>
          <w:tab/>
        </w:r>
        <w:r>
          <w:fldChar w:fldCharType="begin"/>
        </w:r>
        <w:r>
          <w:instrText xml:space="preserve"> PAGEREF _Toc25638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909" w:history="1">
        <w:r>
          <w:rPr>
            <w:rFonts w:eastAsia="微软雅黑" w:hint="eastAsia"/>
            <w:snapToGrid/>
            <w:lang w:val="en-US" w:eastAsia="zh-CN"/>
          </w:rPr>
          <w:t>1、规范研发设计流程</w:t>
        </w:r>
        <w:r>
          <w:tab/>
        </w:r>
        <w:r>
          <w:fldChar w:fldCharType="begin"/>
        </w:r>
        <w:r>
          <w:instrText xml:space="preserve"> PAGEREF _Toc10909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7527" w:history="1">
        <w:r>
          <w:rPr>
            <w:rFonts w:eastAsia="微软雅黑" w:hint="eastAsia"/>
            <w:snapToGrid/>
            <w:lang w:val="en-US" w:eastAsia="zh-CN"/>
          </w:rPr>
          <w:t>2、优化生产制造</w:t>
        </w:r>
        <w:r>
          <w:tab/>
        </w:r>
        <w:r>
          <w:fldChar w:fldCharType="begin"/>
        </w:r>
        <w:r>
          <w:instrText xml:space="preserve"> PAGEREF _Toc7527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66" w:history="1">
        <w:r>
          <w:rPr>
            <w:rFonts w:eastAsia="微软雅黑" w:hint="eastAsia"/>
            <w:snapToGrid/>
            <w:lang w:val="en-US" w:eastAsia="zh-CN"/>
          </w:rPr>
          <w:t>(三)、重视市场营销</w:t>
        </w:r>
        <w:r>
          <w:tab/>
        </w:r>
        <w:r>
          <w:fldChar w:fldCharType="begin"/>
        </w:r>
        <w:r>
          <w:instrText xml:space="preserve"> PAGEREF _Toc20266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772" w:history="1">
        <w:r>
          <w:rPr>
            <w:rFonts w:eastAsia="微软雅黑" w:hint="eastAsia"/>
            <w:snapToGrid/>
            <w:lang w:val="en-US" w:eastAsia="zh-CN"/>
          </w:rPr>
          <w:t>(四)、整合线上线下平台</w:t>
        </w:r>
        <w:r>
          <w:tab/>
        </w:r>
        <w:r>
          <w:fldChar w:fldCharType="begin"/>
        </w:r>
        <w:r>
          <w:instrText xml:space="preserve"> PAGEREF _Toc17772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66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行业发展趋势</w:t>
        </w:r>
        <w:r>
          <w:tab/>
        </w:r>
        <w:r>
          <w:fldChar w:fldCharType="begin"/>
        </w:r>
        <w:r>
          <w:instrText xml:space="preserve"> PAGEREF _Toc566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266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行业企业转型思考(2024-2029)</w:t>
        </w:r>
        <w:r>
          <w:tab/>
        </w:r>
        <w:r>
          <w:fldChar w:fldCharType="begin"/>
        </w:r>
        <w:r>
          <w:instrText xml:space="preserve"> PAGEREF _Toc26266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77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行业的内生延伸——选择与定位</w:t>
        </w:r>
        <w:r>
          <w:tab/>
        </w:r>
        <w:r>
          <w:fldChar w:fldCharType="begin"/>
        </w:r>
        <w:r>
          <w:instrText xml:space="preserve"> PAGEREF _Toc15577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989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行业跨行业转型延伸</w:t>
        </w:r>
        <w:r>
          <w:tab/>
        </w:r>
        <w:r>
          <w:fldChar w:fldCharType="begin"/>
        </w:r>
        <w:r>
          <w:instrText xml:space="preserve"> PAGEREF _Toc29895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628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行业企业资本计划分析</w:t>
        </w:r>
        <w:r>
          <w:tab/>
        </w:r>
        <w:r>
          <w:fldChar w:fldCharType="begin"/>
        </w:r>
        <w:r>
          <w:instrText xml:space="preserve"> PAGEREF _Toc3628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356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行业的融资问题</w:t>
        </w:r>
        <w:r>
          <w:tab/>
        </w:r>
        <w:r>
          <w:fldChar w:fldCharType="begin"/>
        </w:r>
        <w:r>
          <w:instrText xml:space="preserve"> PAGEREF _Toc27356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727" w:history="1">
        <w:r>
          <w:rPr>
            <w:rFonts w:eastAsia="微软雅黑" w:hint="eastAsia"/>
            <w:snapToGrid/>
            <w:lang w:val="en-US" w:eastAsia="zh-CN"/>
          </w:rPr>
          <w:t>(五)、加强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行业人才引进，优化人才结构</w:t>
        </w:r>
        <w:r>
          <w:tab/>
        </w:r>
        <w:r>
          <w:fldChar w:fldCharType="begin"/>
        </w:r>
        <w:r>
          <w:instrText xml:space="preserve"> PAGEREF _Toc21727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253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_Toc26253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75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_Toc4754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051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_Toc15051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830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行业存在的问题分析</w:t>
        </w:r>
        <w:r>
          <w:tab/>
        </w:r>
        <w:r>
          <w:fldChar w:fldCharType="begin"/>
        </w:r>
        <w:r>
          <w:instrText xml:space="preserve"> PAGEREF _Toc3830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434" w:history="1">
        <w:r>
          <w:rPr>
            <w:rFonts w:eastAsia="微软雅黑" w:hint="eastAsia"/>
            <w:snapToGrid/>
            <w:lang w:val="en-US" w:eastAsia="en-US"/>
          </w:rPr>
          <w:t>(一)、基础工作薄弱</w:t>
        </w:r>
        <w:r>
          <w:tab/>
        </w:r>
        <w:r>
          <w:fldChar w:fldCharType="begin"/>
        </w:r>
        <w:r>
          <w:instrText xml:space="preserve"> PAGEREF _Toc30434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32" w:history="1">
        <w:r>
          <w:rPr>
            <w:rFonts w:eastAsia="微软雅黑" w:hint="eastAsia"/>
            <w:snapToGrid/>
            <w:lang w:val="en-US" w:eastAsia="zh-CN"/>
          </w:rPr>
          <w:t>(二)、地方认识不足,激励作用有限</w:t>
        </w:r>
        <w:r>
          <w:tab/>
        </w:r>
        <w:r>
          <w:fldChar w:fldCharType="begin"/>
        </w:r>
        <w:r>
          <w:instrText xml:space="preserve"> PAGEREF _Toc28932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934" w:history="1">
        <w:r>
          <w:rPr>
            <w:rFonts w:eastAsia="微软雅黑" w:hint="eastAsia"/>
            <w:snapToGrid/>
            <w:lang w:val="en-US" w:eastAsia="zh-CN"/>
          </w:rPr>
          <w:t>(三)、产业结构调整进展缓慢</w:t>
        </w:r>
        <w:r>
          <w:tab/>
        </w:r>
        <w:r>
          <w:fldChar w:fldCharType="begin"/>
        </w:r>
        <w:r>
          <w:instrText xml:space="preserve"> PAGEREF _Toc3934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308" w:history="1">
        <w:r>
          <w:rPr>
            <w:rFonts w:eastAsia="微软雅黑" w:hint="eastAsia"/>
            <w:snapToGrid/>
            <w:lang w:val="en-US" w:eastAsia="zh-CN"/>
          </w:rPr>
          <w:t>(四)、技术相对落后</w:t>
        </w:r>
        <w:r>
          <w:tab/>
        </w:r>
        <w:r>
          <w:fldChar w:fldCharType="begin"/>
        </w:r>
        <w:r>
          <w:instrText xml:space="preserve"> PAGEREF _Toc26308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48" w:history="1">
        <w:r>
          <w:rPr>
            <w:rFonts w:eastAsia="微软雅黑" w:hint="eastAsia"/>
            <w:snapToGrid/>
            <w:lang w:val="en-US" w:eastAsia="zh-CN"/>
          </w:rPr>
          <w:t>(五)、隐私安全问题</w:t>
        </w:r>
        <w:r>
          <w:tab/>
        </w:r>
        <w:r>
          <w:fldChar w:fldCharType="begin"/>
        </w:r>
        <w:r>
          <w:instrText xml:space="preserve"> PAGEREF _Toc32548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847" w:history="1">
        <w:r>
          <w:rPr>
            <w:rFonts w:eastAsia="微软雅黑" w:hint="eastAsia"/>
            <w:snapToGrid/>
            <w:lang w:val="en-US" w:eastAsia="zh-CN"/>
          </w:rPr>
          <w:t>(六)、与用户的互动需不断增强</w:t>
        </w:r>
        <w:r>
          <w:tab/>
        </w:r>
        <w:r>
          <w:fldChar w:fldCharType="begin"/>
        </w:r>
        <w:r>
          <w:instrText xml:space="preserve"> PAGEREF _Toc30847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861" w:history="1">
        <w:r>
          <w:rPr>
            <w:rFonts w:eastAsia="微软雅黑" w:hint="eastAsia"/>
            <w:snapToGrid/>
            <w:lang w:val="en-US" w:eastAsia="zh-CN"/>
          </w:rPr>
          <w:t>(七)、管理效率低</w:t>
        </w:r>
        <w:r>
          <w:tab/>
        </w:r>
        <w:r>
          <w:fldChar w:fldCharType="begin"/>
        </w:r>
        <w:r>
          <w:instrText xml:space="preserve"> PAGEREF _Toc10861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26" w:history="1">
        <w:r>
          <w:rPr>
            <w:rFonts w:eastAsia="微软雅黑" w:hint="eastAsia"/>
            <w:snapToGrid/>
            <w:lang w:val="en-US" w:eastAsia="zh-CN"/>
          </w:rPr>
          <w:t>(八)、盈利点单一</w:t>
        </w:r>
        <w:r>
          <w:tab/>
        </w:r>
        <w:r>
          <w:fldChar w:fldCharType="begin"/>
        </w:r>
        <w:r>
          <w:instrText xml:space="preserve"> PAGEREF _Toc19026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74" w:history="1">
        <w:r>
          <w:rPr>
            <w:rFonts w:eastAsia="微软雅黑" w:hint="eastAsia"/>
            <w:snapToGrid/>
            <w:lang w:val="en-US" w:eastAsia="zh-CN"/>
          </w:rPr>
          <w:t>(九)、过于依赖政府,缺乏主观能动性</w:t>
        </w:r>
        <w:r>
          <w:tab/>
        </w:r>
        <w:r>
          <w:fldChar w:fldCharType="begin"/>
        </w:r>
        <w:r>
          <w:instrText xml:space="preserve"> PAGEREF _Toc23174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485" w:history="1">
        <w:r>
          <w:rPr>
            <w:rFonts w:eastAsia="微软雅黑" w:hint="eastAsia"/>
            <w:snapToGrid/>
            <w:lang w:val="en-US" w:eastAsia="zh-CN"/>
          </w:rPr>
          <w:t>(十)、法律风险</w:t>
        </w:r>
        <w:r>
          <w:tab/>
        </w:r>
        <w:r>
          <w:fldChar w:fldCharType="begin"/>
        </w:r>
        <w:r>
          <w:instrText xml:space="preserve"> PAGEREF _Toc26485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308" w:history="1">
        <w:r>
          <w:rPr>
            <w:rFonts w:eastAsia="微软雅黑" w:hint="eastAsia"/>
            <w:snapToGrid/>
            <w:lang w:val="en-US" w:eastAsia="zh-CN"/>
          </w:rPr>
          <w:t>(十一)、供给不足,产业化程度较低</w:t>
        </w:r>
        <w:r>
          <w:tab/>
        </w:r>
        <w:r>
          <w:fldChar w:fldCharType="begin"/>
        </w:r>
        <w:r>
          <w:instrText xml:space="preserve"> PAGEREF _Toc8308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647" w:history="1">
        <w:r>
          <w:rPr>
            <w:rFonts w:eastAsia="微软雅黑" w:hint="eastAsia"/>
            <w:snapToGrid/>
            <w:lang w:val="en-US" w:eastAsia="zh-CN"/>
          </w:rPr>
          <w:t>(十二)、人才问题</w:t>
        </w:r>
        <w:r>
          <w:tab/>
        </w:r>
        <w:r>
          <w:fldChar w:fldCharType="begin"/>
        </w:r>
        <w:r>
          <w:instrText xml:space="preserve"> PAGEREF _Toc19647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674" w:history="1">
        <w:r>
          <w:rPr>
            <w:rFonts w:eastAsia="微软雅黑" w:hint="eastAsia"/>
            <w:snapToGrid/>
            <w:lang w:val="en-US" w:eastAsia="zh-CN"/>
          </w:rPr>
          <w:t>(十三)、产品质量问题</w:t>
        </w:r>
        <w:r>
          <w:tab/>
        </w:r>
        <w:r>
          <w:fldChar w:fldCharType="begin"/>
        </w:r>
        <w:r>
          <w:instrText xml:space="preserve"> PAGEREF _Toc7674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537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_Toc21537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564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_Toc28564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98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_Toc28982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77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_Toc1877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441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_Toc28441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10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_Toc2010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733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_Toc8733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6541" w:history="1">
        <w:r>
          <w:rPr>
            <w:rFonts w:eastAsia="微软雅黑" w:hint="eastAsia"/>
            <w:snapToGrid/>
            <w:lang w:val="en-US" w:eastAsia="en-US"/>
          </w:rPr>
          <w:t>九、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行业竞争分析</w:t>
        </w:r>
        <w:r>
          <w:tab/>
        </w:r>
        <w:r>
          <w:fldChar w:fldCharType="begin"/>
        </w:r>
        <w:r>
          <w:instrText xml:space="preserve"> PAGEREF _Toc26541 \</w:instrText>
        </w:r>
        <w:r>
          <w:instrText xml:space="preserve">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538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行业国内外对比分析</w:t>
        </w:r>
        <w:r>
          <w:tab/>
        </w:r>
        <w:r>
          <w:fldChar w:fldCharType="begin"/>
        </w:r>
        <w:r>
          <w:instrText xml:space="preserve"> PAGEREF _Toc21538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436" w:history="1">
        <w:r>
          <w:rPr>
            <w:rFonts w:eastAsia="微软雅黑" w:hint="eastAsia"/>
            <w:snapToGrid/>
            <w:lang w:val="en-US" w:eastAsia="zh-CN"/>
          </w:rPr>
          <w:t>(二)、中国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行业品牌竞争格局分析</w:t>
        </w:r>
        <w:r>
          <w:tab/>
        </w:r>
        <w:r>
          <w:fldChar w:fldCharType="begin"/>
        </w:r>
        <w:r>
          <w:instrText xml:space="preserve"> PAGEREF _Toc10436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383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行业竞争强度分析</w:t>
        </w:r>
        <w:r>
          <w:tab/>
        </w:r>
        <w:r>
          <w:fldChar w:fldCharType="begin"/>
        </w:r>
        <w:r>
          <w:instrText xml:space="preserve"> PAGEREF _Toc10383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34" w:history="1">
        <w:r>
          <w:rPr>
            <w:rFonts w:eastAsia="微软雅黑" w:hint="eastAsia"/>
            <w:snapToGrid/>
            <w:lang w:val="en-US" w:eastAsia="zh-CN"/>
          </w:rPr>
          <w:t>(四)、初创公司大独角兽领衔</w:t>
        </w:r>
        <w:r>
          <w:tab/>
        </w:r>
        <w:r>
          <w:fldChar w:fldCharType="begin"/>
        </w:r>
        <w:r>
          <w:instrText xml:space="preserve"> PAGEREF _Toc3334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879" w:history="1">
        <w:r>
          <w:rPr>
            <w:rFonts w:eastAsia="微软雅黑" w:hint="eastAsia"/>
            <w:snapToGrid/>
            <w:lang w:val="en-US" w:eastAsia="zh-CN"/>
          </w:rPr>
          <w:t>(五)、上市公司双雄深耕多年</w:t>
        </w:r>
        <w:r>
          <w:tab/>
        </w:r>
        <w:r>
          <w:fldChar w:fldCharType="begin"/>
        </w:r>
        <w:r>
          <w:instrText xml:space="preserve"> PAGEREF _Toc23879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337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EVA树脂</w:t>
        </w:r>
        <w:r>
          <w:rPr>
            <w:rFonts w:eastAsia="微软雅黑" w:hint="eastAsia"/>
            <w:snapToGrid/>
            <w:lang w:val="en-US" w:eastAsia="zh-CN"/>
          </w:rPr>
          <w:t>行业巨头综合优势明显</w:t>
        </w:r>
        <w:r>
          <w:tab/>
        </w:r>
        <w:r>
          <w:fldChar w:fldCharType="begin"/>
        </w:r>
        <w:r>
          <w:instrText xml:space="preserve"> PAGEREF _Toc14337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4349" w:history="1">
        <w:r>
          <w:rPr>
            <w:rFonts w:eastAsia="微软雅黑" w:hint="eastAsia"/>
            <w:snapToGrid/>
            <w:lang w:val="en-US" w:eastAsia="en-US"/>
          </w:rPr>
          <w:t>十、关于未来5-10年</w:t>
        </w:r>
        <w:r>
          <w:rPr>
            <w:rFonts w:eastAsia="微软雅黑" w:hint="eastAsia"/>
            <w:snapToGrid/>
            <w:lang w:val="en-US" w:eastAsia="en-US"/>
          </w:rPr>
          <w:t>EVA树脂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_Toc14349 \h </w:instrText>
        </w:r>
        <w:r>
          <w:fldChar w:fldCharType="separate"/>
        </w:r>
        <w:r>
          <w:t>32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https://d.book118.com/887052046105006026</w:t>
        </w:r>
      </w:hyperlink>
    </w:p>
    <w:p>
      <w:pPr>
        <w:pStyle w:val="TOC1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887052046105006026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