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2024年色素行业分析报告及未来五到十年行业发展趋势报告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443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_Toc24438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82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_Toc27828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6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_Toc19264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0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_Toc30905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67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_Toc16678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48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_Toc12484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34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_Toc5347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5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_Toc29363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7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_Toc6476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0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_Toc6408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_Toc302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9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_Toc3297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59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_Toc28359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9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28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_Toc26528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39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产业未来发展前景</w:t>
        </w:r>
        <w:r>
          <w:tab/>
        </w:r>
        <w:r>
          <w:fldChar w:fldCharType="begin"/>
        </w:r>
        <w:r>
          <w:instrText xml:space="preserve"> PAGEREF _Toc30395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45" w:history="1">
        <w:r>
          <w:rPr>
            <w:rFonts w:eastAsia="微软雅黑" w:hint="eastAsia"/>
            <w:snapToGrid/>
            <w:lang w:val="en-US" w:eastAsia="zh-CN"/>
          </w:rPr>
          <w:t>(一)、我国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行业市场规模前景预测</w:t>
        </w:r>
        <w:r>
          <w:tab/>
        </w:r>
        <w:r>
          <w:fldChar w:fldCharType="begin"/>
        </w:r>
        <w:r>
          <w:instrText xml:space="preserve"> PAGEREF _Toc28645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行业进入大规模推广应用阶</w:t>
        </w:r>
        <w:r>
          <w:tab/>
        </w:r>
        <w:r>
          <w:fldChar w:fldCharType="begin"/>
        </w:r>
        <w:r>
          <w:instrText xml:space="preserve"> PAGEREF _Toc929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7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行业的市场增长点</w:t>
        </w:r>
        <w:r>
          <w:tab/>
        </w:r>
        <w:r>
          <w:fldChar w:fldCharType="begin"/>
        </w:r>
        <w:r>
          <w:instrText xml:space="preserve"> PAGEREF _Toc12977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90" w:history="1">
        <w:r>
          <w:rPr>
            <w:rFonts w:eastAsia="微软雅黑" w:hint="eastAsia"/>
            <w:snapToGrid/>
            <w:lang w:val="en-US" w:eastAsia="zh-CN"/>
          </w:rPr>
          <w:t>(四)、细分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行业产品将具有最大优势</w:t>
        </w:r>
        <w:r>
          <w:tab/>
        </w:r>
        <w:r>
          <w:fldChar w:fldCharType="begin"/>
        </w:r>
        <w:r>
          <w:instrText xml:space="preserve"> PAGEREF _Toc28390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行业与互联网等行业融合发展机遇</w:t>
        </w:r>
        <w:r>
          <w:tab/>
        </w:r>
        <w:r>
          <w:fldChar w:fldCharType="begin"/>
        </w:r>
        <w:r>
          <w:instrText xml:space="preserve"> PAGEREF _Toc1422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1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行业人才培养市场广阔，国际合作前景广阔</w:t>
        </w:r>
        <w:r>
          <w:tab/>
        </w:r>
        <w:r>
          <w:fldChar w:fldCharType="begin"/>
        </w:r>
        <w:r>
          <w:instrText xml:space="preserve"> PAGEREF _Toc10610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13" w:history="1">
        <w:r>
          <w:rPr>
            <w:rFonts w:eastAsia="微软雅黑" w:hint="eastAsia"/>
            <w:snapToGrid/>
            <w:lang w:val="en-US" w:eastAsia="zh-CN"/>
          </w:rPr>
          <w:t>(七)、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行业发展需要突破创新瓶颈</w:t>
        </w:r>
        <w:r>
          <w:tab/>
        </w:r>
        <w:r>
          <w:fldChar w:fldCharType="begin"/>
        </w:r>
        <w:r>
          <w:instrText xml:space="preserve"> PAGEREF _Toc26913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7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_Toc16175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755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_Toc30755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0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_Toc27809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19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_Toc32519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0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_Toc20070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7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_Toc2567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8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_Toc24986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12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_Toc25712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_Toc1135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7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_Toc24702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4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_Toc26441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6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_Toc13462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2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_Toc15124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1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_Toc25112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_Toc27775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_Toc547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721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_Toc18721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_Toc10516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0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_Toc17508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8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_Toc29486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_Toc3596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3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6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_Toc7765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653" w:history="1">
        <w:r>
          <w:rPr>
            <w:rFonts w:eastAsia="微软雅黑" w:hint="eastAsia"/>
            <w:snapToGrid/>
            <w:lang w:val="en-US" w:eastAsia="en-US"/>
          </w:rPr>
          <w:t>八、关于未来5-10年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_Toc9653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6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_Toc27566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_Toc28706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7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_Toc24474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7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_Toc23276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7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_Toc2873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7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6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_Toc19668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8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_Toc11385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_Toc29133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9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_Toc23294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27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2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_Toc31321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16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35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_Toc30935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07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_Toc5107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色素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_Toc2216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5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_Toc16155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32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色素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_Toc27132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77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_Toc6877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4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_Toc24349 \h </w:instrText>
        </w:r>
        <w:r>
          <w:fldChar w:fldCharType="separate"/>
        </w:r>
        <w:r>
          <w:t>31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https://d.book118.com/887064044110006026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87064044110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