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易切削钢项目规划设计方案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二、易切削钢项目选址可行性分析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(一)、易切削钢项目选址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三、节能方案分析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四、易切削钢行业发展形势分析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(一)、易切削钢行业发展形势分析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5" w:history="1">
        <w:r>
          <w:rPr>
            <w:rFonts w:ascii="仿宋" w:eastAsia="仿宋" w:hAnsi="仿宋" w:cs="仿宋" w:hint="eastAsia"/>
            <w:lang w:eastAsia="zh-CN"/>
          </w:rPr>
          <w:t>六、易切削钢财务管理分析</w:t>
        </w:r>
        <w:r>
          <w:tab/>
        </w:r>
        <w:r>
          <w:fldChar w:fldCharType="begin"/>
        </w:r>
        <w:r>
          <w:instrText xml:space="preserve"> PAGEREF _Toc16795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(一)、易切削钢财务管理制度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(二)、易切削钢经济效益分析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(三)、易切削钢收入及成本核算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(四)、易切削钢成本管理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八、第二十六章人才留存与流失管理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九、营销和销售分析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6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_Toc19126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7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十二、效益分析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十三、项目质量与标准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十四、监测与评估方案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(一)、易切削钢项目监测与评估指标制定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十五、易切削钢项目节能分析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(二)、易切削钢项目预期节能综合评价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(三)、易切削钢项目节能设计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十八、危机管理与应急预案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二十、企业技术创新的外部组织模式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1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17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41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发展规划，未来几年内公司的资产规模、业务规模、人员规模、资金运用规模都将有较大幅度的增长。随着业务和规模的快速发展，公司的管理水平将面临较大的考验，尤其在公司迅速扩大经营规模后，公司的组织结构和管理体系将进一步复杂化，在战略规划、组织设计、资源配置、营销策略、资金管理和内部控制等问题上都将面对新的挑战。另外，公司未来的迅速扩张将对高级管理人才、营销人才、服务人才的引进和培养提出更高要求，公司需进一步提高管理应对能力，才能保持持续发展，实现业务发展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资金筹措和多元化融资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https://d.book118.com/887065014160006044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易切削钢项目规划设计方案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易切削钢项目规划设计方案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易切削钢项目规划设计方案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易切削钢项目规划设计方案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易切削钢项目规划设计方案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435D59"/>
    <w:rsid w:val="4593521B"/>
    <w:rsid w:val="76435D5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06501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2024-02-19T13:23:00Z</dcterms:created>
  <dcterms:modified xsi:type="dcterms:W3CDTF">2024-02-19T13:23:59Z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D69DE5F2B2B943FA91EF7088D6307A70_11</vt:lpwstr>
  </property>
  <property fmtid="{D5CDD505-2E9C-101B-9397-08002B2CF9AE}" pid="3" name="KSOProductBuildVer">
    <vt:lpwstr>2052-12.1.0.16250</vt:lpwstr>
  </property>
</Properties>
</file>