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楷体_GB2312" w:eastAsia="楷体_GB2312" w:hint="eastAsia"/>
          <w:sz w:val="48"/>
          <w:szCs w:val="48"/>
        </w:rPr>
      </w:pPr>
    </w:p>
    <w:p>
      <w:pPr>
        <w:jc w:val="center"/>
        <w:rPr>
          <w:rFonts w:ascii="楷体_GB2312" w:eastAsia="楷体_GB2312"/>
          <w:sz w:val="44"/>
          <w:szCs w:val="44"/>
        </w:rPr>
      </w:pPr>
      <w:r>
        <w:rPr>
          <w:rFonts w:ascii="楷体_GB2312" w:eastAsia="楷体_GB2312" w:hint="eastAsia"/>
          <w:sz w:val="44"/>
          <w:szCs w:val="44"/>
        </w:rPr>
        <w:t>南京信息职业技术学院</w:t>
      </w:r>
    </w:p>
    <w:p>
      <w:pPr>
        <w:jc w:val="center"/>
        <w:rPr>
          <w:rFonts w:ascii="楷体_GB2312" w:eastAsia="楷体_GB2312"/>
          <w:sz w:val="44"/>
          <w:szCs w:val="44"/>
        </w:rPr>
      </w:pPr>
    </w:p>
    <w:p>
      <w:pPr>
        <w:jc w:val="center"/>
        <w:rPr>
          <w:rFonts w:ascii="仿宋_GB2312" w:eastAsia="仿宋_GB2312"/>
          <w:sz w:val="72"/>
          <w:szCs w:val="72"/>
        </w:rPr>
      </w:pPr>
      <w:r>
        <w:rPr>
          <w:rFonts w:ascii="仿宋_GB2312" w:eastAsia="仿宋_GB2312" w:hint="eastAsia"/>
          <w:sz w:val="72"/>
          <w:szCs w:val="72"/>
        </w:rPr>
        <w:t>毕业设计论文</w:t>
      </w:r>
    </w:p>
    <w:p>
      <w:pPr>
        <w:jc w:val="center"/>
        <w:rPr>
          <w:rFonts w:ascii="黑体" w:eastAsia="黑体"/>
          <w:sz w:val="72"/>
          <w:szCs w:val="72"/>
        </w:rPr>
      </w:pPr>
    </w:p>
    <w:p>
      <w:pPr>
        <w:jc w:val="center"/>
        <w:rPr>
          <w:rFonts w:ascii="黑体" w:eastAsia="黑体"/>
          <w:sz w:val="72"/>
          <w:szCs w:val="72"/>
        </w:rPr>
      </w:pPr>
    </w:p>
    <w:p>
      <w:pPr>
        <w:spacing w:before="156" w:beforeLines="50" w:line="840" w:lineRule="exact"/>
        <w:ind w:left="1050" w:right="420" w:leftChars="500" w:rightChars="200"/>
        <w:rPr>
          <w:sz w:val="30"/>
        </w:rPr>
      </w:pPr>
      <w:r>
        <w:rPr>
          <w:rFonts w:hint="eastAsia"/>
          <w:sz w:val="30"/>
        </w:rPr>
        <w:t xml:space="preserve">作者 </w:t>
      </w:r>
      <w:r>
        <w:rPr>
          <w:sz w:val="30"/>
          <w:u w:val="single"/>
        </w:rPr>
        <w:t xml:space="preserve">       </w:t>
      </w:r>
      <w:r>
        <w:rPr>
          <w:rFonts w:hint="eastAsia"/>
          <w:sz w:val="30"/>
          <w:u w:val="single"/>
        </w:rPr>
        <w:t xml:space="preserve"> 丁春宇 </w:t>
      </w:r>
      <w:r>
        <w:rPr>
          <w:sz w:val="30"/>
          <w:u w:val="single"/>
        </w:rPr>
        <w:t xml:space="preserve">       </w:t>
      </w:r>
      <w:r>
        <w:rPr>
          <w:sz w:val="30"/>
        </w:rPr>
        <w:t xml:space="preserve">   </w:t>
      </w:r>
      <w:r>
        <w:rPr>
          <w:rFonts w:hint="eastAsia"/>
          <w:sz w:val="30"/>
        </w:rPr>
        <w:t>学号</w:t>
      </w:r>
      <w:r>
        <w:rPr>
          <w:sz w:val="30"/>
          <w:u w:val="single"/>
        </w:rPr>
        <w:t xml:space="preserve"> </w:t>
      </w:r>
      <w:r>
        <w:rPr>
          <w:rFonts w:hint="eastAsia"/>
          <w:sz w:val="30"/>
          <w:u w:val="single"/>
        </w:rPr>
        <w:t>316KS17</w:t>
      </w:r>
    </w:p>
    <w:p>
      <w:pPr>
        <w:spacing w:line="840" w:lineRule="exact"/>
        <w:ind w:left="1050" w:right="420" w:leftChars="500" w:rightChars="200"/>
        <w:rPr>
          <w:sz w:val="30"/>
        </w:rPr>
      </w:pPr>
      <w:r>
        <w:rPr>
          <w:rFonts w:hint="eastAsia"/>
          <w:sz w:val="30"/>
        </w:rPr>
        <w:t>系部</w:t>
      </w:r>
      <w:r>
        <w:rPr>
          <w:sz w:val="30"/>
        </w:rPr>
        <w:t xml:space="preserve"> </w:t>
      </w:r>
      <w:r>
        <w:rPr>
          <w:sz w:val="30"/>
          <w:u w:val="single"/>
        </w:rPr>
        <w:t xml:space="preserve">              </w:t>
      </w:r>
      <w:r>
        <w:rPr>
          <w:rFonts w:hint="eastAsia"/>
          <w:sz w:val="30"/>
          <w:u w:val="single"/>
        </w:rPr>
        <w:t xml:space="preserve"> 微电子学院                                    </w:t>
      </w:r>
    </w:p>
    <w:p>
      <w:pPr>
        <w:spacing w:line="840" w:lineRule="exact"/>
        <w:ind w:left="1050" w:right="420" w:leftChars="500" w:rightChars="200"/>
        <w:rPr>
          <w:sz w:val="30"/>
        </w:rPr>
      </w:pPr>
      <w:r>
        <w:rPr>
          <w:rFonts w:hint="eastAsia"/>
          <w:sz w:val="30"/>
        </w:rPr>
        <w:t xml:space="preserve">专业 </w:t>
      </w:r>
      <w:r>
        <w:rPr>
          <w:sz w:val="30"/>
          <w:u w:val="single"/>
        </w:rPr>
        <w:t xml:space="preserve">            </w:t>
      </w:r>
      <w:r>
        <w:rPr>
          <w:rFonts w:hint="eastAsia"/>
          <w:sz w:val="30"/>
          <w:u w:val="single"/>
        </w:rPr>
        <w:t xml:space="preserve"> 电子电路设计与工艺                                   </w:t>
      </w:r>
    </w:p>
    <w:p>
      <w:pPr>
        <w:spacing w:line="840" w:lineRule="exact"/>
        <w:ind w:left="1050" w:right="420" w:leftChars="500" w:rightChars="200"/>
        <w:rPr>
          <w:sz w:val="30"/>
          <w:u w:val="single"/>
        </w:rPr>
      </w:pPr>
      <w:r>
        <w:rPr>
          <w:rFonts w:hint="eastAsia"/>
          <w:sz w:val="30"/>
        </w:rPr>
        <w:t xml:space="preserve">题目 </w:t>
      </w:r>
      <w:r>
        <w:rPr>
          <w:sz w:val="30"/>
          <w:u w:val="single"/>
        </w:rPr>
        <w:t xml:space="preserve">   </w:t>
      </w:r>
      <w:r>
        <w:rPr>
          <w:sz w:val="30"/>
          <w:szCs w:val="30"/>
          <w:u w:val="single"/>
        </w:rPr>
        <w:t xml:space="preserve">    </w:t>
      </w:r>
      <w:r>
        <w:rPr>
          <w:rFonts w:hint="eastAsia"/>
          <w:sz w:val="30"/>
          <w:szCs w:val="30"/>
          <w:u w:val="single"/>
        </w:rPr>
        <w:t xml:space="preserve">    LCD玻璃CVD成膜的工艺 </w:t>
      </w:r>
      <w:r>
        <w:rPr>
          <w:rFonts w:ascii="仿宋_GB2312" w:eastAsia="仿宋_GB2312" w:hint="eastAsia"/>
          <w:b/>
          <w:sz w:val="32"/>
          <w:u w:val="single"/>
        </w:rPr>
        <w:t xml:space="preserve">      </w:t>
      </w:r>
    </w:p>
    <w:p>
      <w:pPr>
        <w:spacing w:line="840" w:lineRule="exact"/>
        <w:ind w:left="1619" w:right="420" w:leftChars="771" w:rightChars="200"/>
        <w:rPr>
          <w:sz w:val="30"/>
          <w:u w:val="single"/>
        </w:rPr>
      </w:pPr>
      <w:r>
        <w:rPr>
          <w:rFonts w:hint="eastAsia"/>
          <w:sz w:val="30"/>
          <w:u w:val="single"/>
        </w:rPr>
        <w:t xml:space="preserve">                                          </w:t>
      </w:r>
    </w:p>
    <w:p>
      <w:pPr>
        <w:spacing w:line="840" w:lineRule="exact"/>
        <w:ind w:left="1050" w:right="420" w:leftChars="500" w:rightChars="200"/>
        <w:rPr>
          <w:sz w:val="30"/>
        </w:rPr>
      </w:pPr>
      <w:r>
        <w:rPr>
          <w:rFonts w:hint="eastAsia"/>
          <w:sz w:val="30"/>
        </w:rPr>
        <w:t>指导教师</w:t>
      </w:r>
      <w:r>
        <w:rPr>
          <w:sz w:val="30"/>
          <w:u w:val="single"/>
        </w:rPr>
        <w:t xml:space="preserve">               </w:t>
      </w:r>
      <w:r>
        <w:rPr>
          <w:rFonts w:hint="eastAsia"/>
          <w:sz w:val="30"/>
          <w:u w:val="single"/>
        </w:rPr>
        <w:t xml:space="preserve">朱宪忠                  </w:t>
      </w:r>
    </w:p>
    <w:p>
      <w:pPr>
        <w:spacing w:line="840" w:lineRule="exact"/>
        <w:ind w:left="1050" w:right="420" w:leftChars="500" w:rightChars="200"/>
        <w:rPr>
          <w:sz w:val="30"/>
          <w:u w:val="single"/>
        </w:rPr>
      </w:pPr>
      <w:r>
        <w:rPr>
          <w:rFonts w:hint="eastAsia"/>
          <w:sz w:val="30"/>
        </w:rPr>
        <w:t>评阅教师</w:t>
      </w:r>
      <w:r>
        <w:rPr>
          <w:sz w:val="30"/>
          <w:u w:val="single"/>
        </w:rPr>
        <w:t xml:space="preserve">               </w:t>
      </w:r>
      <w:r>
        <w:rPr>
          <w:rFonts w:hint="eastAsia"/>
          <w:sz w:val="30"/>
          <w:u w:val="single"/>
        </w:rPr>
        <w:t xml:space="preserve">              </w:t>
      </w:r>
    </w:p>
    <w:p>
      <w:pPr>
        <w:ind w:firstLine="1050" w:firstLineChars="350"/>
        <w:rPr>
          <w:sz w:val="30"/>
        </w:rPr>
      </w:pPr>
      <w:r>
        <w:rPr>
          <w:rFonts w:hint="eastAsia"/>
          <w:sz w:val="30"/>
        </w:rPr>
        <w:t>完成时间：</w:t>
      </w:r>
      <w:r>
        <w:rPr>
          <w:sz w:val="30"/>
        </w:rPr>
        <w:t xml:space="preserve">      20</w:t>
      </w:r>
      <w:r>
        <w:rPr>
          <w:rFonts w:hint="eastAsia"/>
          <w:sz w:val="30"/>
        </w:rPr>
        <w:t>19 年</w:t>
      </w:r>
      <w:r>
        <w:rPr>
          <w:sz w:val="30"/>
        </w:rPr>
        <w:t xml:space="preserve"> </w:t>
      </w:r>
      <w:r>
        <w:rPr>
          <w:rFonts w:hint="eastAsia"/>
          <w:sz w:val="30"/>
        </w:rPr>
        <w:t>5月</w:t>
      </w:r>
      <w:r>
        <w:rPr>
          <w:sz w:val="30"/>
        </w:rPr>
        <w:t xml:space="preserve"> </w:t>
      </w:r>
      <w:r>
        <w:rPr>
          <w:rFonts w:hint="eastAsia"/>
          <w:sz w:val="30"/>
        </w:rPr>
        <w:t>1</w:t>
      </w:r>
      <w:r>
        <w:rPr>
          <w:sz w:val="30"/>
        </w:rPr>
        <w:t xml:space="preserve"> </w:t>
      </w:r>
      <w:r>
        <w:rPr>
          <w:rFonts w:hint="eastAsia"/>
          <w:sz w:val="30"/>
        </w:rPr>
        <w:t>日</w:t>
      </w:r>
    </w:p>
    <w:p>
      <w:pPr>
        <w:rPr>
          <w:sz w:val="30"/>
        </w:rPr>
        <w:sectPr>
          <w:footerReference w:type="even" r:id="rId5"/>
          <w:footerReference w:type="default" r:id="rId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cols w:num="1" w:space="720"/>
          <w:docGrid w:type="lines" w:linePitch="312" w:charSpace="0"/>
        </w:sectPr>
      </w:pPr>
    </w:p>
    <w:p>
      <w:pPr>
        <w:rPr>
          <w:sz w:val="30"/>
        </w:rPr>
      </w:pPr>
    </w:p>
    <w:p>
      <w:pPr>
        <w:rPr>
          <w:sz w:val="30"/>
        </w:rPr>
      </w:pPr>
    </w:p>
    <w:p>
      <w:pPr>
        <w:rPr>
          <w:sz w:val="30"/>
        </w:rPr>
      </w:pPr>
    </w:p>
    <w:p>
      <w:pPr>
        <w:jc w:val="center"/>
        <w:rPr>
          <w:rFonts w:ascii="宋体" w:hAnsi="宋体"/>
          <w:b/>
          <w:sz w:val="28"/>
        </w:rPr>
        <w:sectPr>
          <w:footerReference w:type="even" r:id="rId7"/>
          <w:footerReference w:type="default" r:id="rId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2"/>
          <w:cols w:num="1" w:space="720"/>
          <w:titlePg w:val="0"/>
          <w:docGrid w:type="lines" w:linePitch="312" w:charSpace="0"/>
        </w:sectPr>
      </w:pPr>
      <w:r>
        <w:rPr>
          <w:rFonts w:ascii="宋体" w:hint="eastAsia"/>
          <w:b/>
          <w:sz w:val="36"/>
          <w:szCs w:val="36"/>
        </w:rPr>
        <w:t>毕业设计</w:t>
      </w:r>
      <w:r>
        <w:rPr>
          <w:rFonts w:ascii="宋体"/>
          <w:b/>
          <w:sz w:val="36"/>
          <w:szCs w:val="36"/>
        </w:rPr>
        <w:t>(</w:t>
      </w:r>
      <w:r>
        <w:rPr>
          <w:rFonts w:ascii="宋体" w:hint="eastAsia"/>
          <w:b/>
          <w:sz w:val="36"/>
          <w:szCs w:val="36"/>
        </w:rPr>
        <w:t>论文</w:t>
      </w:r>
      <w:r>
        <w:rPr>
          <w:rFonts w:ascii="宋体"/>
          <w:b/>
          <w:sz w:val="36"/>
          <w:szCs w:val="36"/>
        </w:rPr>
        <w:t>)</w:t>
      </w:r>
      <w:r>
        <w:rPr>
          <w:rFonts w:ascii="宋体" w:hint="eastAsia"/>
          <w:b/>
          <w:sz w:val="36"/>
          <w:szCs w:val="36"/>
        </w:rPr>
        <w:t>中文摘要</w:t>
      </w:r>
    </w:p>
    <w:tbl>
      <w:tblPr>
        <w:tblStyle w:val="TableNormal"/>
        <w:tblW w:w="913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33"/>
      </w:tblGrid>
      <w:tr>
        <w:tblPrEx>
          <w:tblW w:w="913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1189"/>
        </w:trPr>
        <w:tc>
          <w:tcPr>
            <w:tcW w:w="9133" w:type="dxa"/>
            <w:tcBorders>
              <w:top w:val="single" w:sz="4" w:space="0" w:color="auto"/>
              <w:left w:val="single" w:sz="4" w:space="0" w:color="auto"/>
              <w:bottom w:val="single" w:sz="4" w:space="0" w:color="auto"/>
              <w:right w:val="single" w:sz="4" w:space="0" w:color="auto"/>
            </w:tcBorders>
          </w:tcPr>
          <w:p>
            <w:pPr>
              <w:spacing w:before="156" w:beforeLines="50" w:after="156" w:afterLines="50" w:line="360" w:lineRule="auto"/>
              <w:rPr>
                <w:rStyle w:val="Strong"/>
                <w:rFonts w:ascii="宋体" w:hAnsi="宋体" w:cs="Arial"/>
                <w:b w:val="0"/>
                <w:sz w:val="28"/>
                <w:szCs w:val="28"/>
              </w:rPr>
            </w:pPr>
            <w:bookmarkStart w:id="0" w:name="OLE_LINK1"/>
            <w:r>
              <w:rPr>
                <w:rFonts w:ascii="宋体" w:hAnsi="宋体"/>
                <w:sz w:val="28"/>
              </w:rPr>
              <w:t>(</w:t>
            </w:r>
            <w:r>
              <w:rPr>
                <w:rFonts w:ascii="宋体" w:hAnsi="宋体" w:hint="eastAsia"/>
                <w:sz w:val="28"/>
              </w:rPr>
              <w:t>题目</w:t>
            </w:r>
            <w:r>
              <w:rPr>
                <w:rFonts w:ascii="宋体" w:hAnsi="宋体"/>
                <w:sz w:val="28"/>
              </w:rPr>
              <w:t>)</w:t>
            </w:r>
            <w:r>
              <w:rPr>
                <w:rFonts w:ascii="宋体" w:hAnsi="宋体" w:hint="eastAsia"/>
                <w:sz w:val="28"/>
              </w:rPr>
              <w:t>：</w:t>
            </w:r>
            <w:r>
              <w:rPr>
                <w:rFonts w:ascii="宋体" w:hAnsi="宋体" w:hint="eastAsia"/>
                <w:sz w:val="28"/>
                <w:u w:val="single"/>
              </w:rPr>
              <w:t>LCD玻璃CVD成膜的工艺</w:t>
            </w:r>
            <w:r>
              <w:rPr>
                <w:rFonts w:ascii="宋体" w:hAnsi="宋体" w:hint="eastAsia"/>
                <w:sz w:val="28"/>
              </w:rPr>
              <w:t xml:space="preserve"> </w:t>
            </w:r>
          </w:p>
          <w:bookmarkEnd w:id="0"/>
          <w:p>
            <w:pPr>
              <w:autoSpaceDE w:val="0"/>
              <w:autoSpaceDN w:val="0"/>
              <w:adjustRightInd w:val="0"/>
              <w:snapToGrid w:val="0"/>
              <w:spacing w:line="360" w:lineRule="auto"/>
              <w:rPr>
                <w:rFonts w:ascii="宋体" w:hAnsi="宋体"/>
                <w:color w:val="000000"/>
                <w:kern w:val="0"/>
                <w:sz w:val="24"/>
              </w:rPr>
            </w:pPr>
            <w:r>
              <w:rPr>
                <w:rFonts w:ascii="黑体" w:eastAsia="黑体" w:hAnsi="宋体" w:hint="eastAsia"/>
                <w:sz w:val="24"/>
              </w:rPr>
              <w:t>摘要</w:t>
            </w:r>
            <w:r>
              <w:rPr>
                <w:rFonts w:ascii="宋体" w:hAnsi="宋体" w:hint="eastAsia"/>
                <w:sz w:val="24"/>
              </w:rPr>
              <w:t>：LCD玻璃在CVD机台上生产制造成膜过程中,,机台设备的状况和制程气体都是成膜中不容忽视产生的，都能对CVD成膜产生异常，所以对机台及制程气体要有规定本论文首先简单介绍何谓是TFT-LCD, 通过简单介绍TFT-LCD（薄膜晶体管液晶显示器），从而对CVD成膜工艺流程中容易产生的地点及异常问题作出解决,再介绍Array端Substrate到成品的过程，再重点介绍CVD AKT-15K 机台每个部分的工作,通过介绍了解CVD AKT-15K机台动作&amp;制程原理,对CVD成膜机台产生异常频率高的问题，如破片/Particle/膜色/对这几个异常问题提出切实可行方案能够达到结合实际要求最终目的减少异常问题的出现。</w:t>
            </w:r>
          </w:p>
          <w:p>
            <w:pPr>
              <w:spacing w:before="156" w:beforeLines="50" w:after="156" w:afterLines="50" w:line="360" w:lineRule="auto"/>
              <w:ind w:right="420" w:rightChars="200"/>
              <w:rPr>
                <w:rFonts w:ascii="宋体"/>
                <w:sz w:val="24"/>
              </w:rPr>
            </w:pPr>
          </w:p>
          <w:p>
            <w:pPr>
              <w:spacing w:before="156" w:beforeLines="50" w:after="156" w:afterLines="50" w:line="360" w:lineRule="auto"/>
              <w:ind w:right="420" w:rightChars="200"/>
              <w:rPr>
                <w:rFonts w:ascii="宋体"/>
                <w:sz w:val="24"/>
              </w:rPr>
            </w:pPr>
          </w:p>
          <w:p>
            <w:pPr>
              <w:autoSpaceDE w:val="0"/>
              <w:autoSpaceDN w:val="0"/>
              <w:adjustRightInd w:val="0"/>
              <w:spacing w:before="156" w:beforeLines="50" w:after="156" w:afterLines="50" w:line="360" w:lineRule="auto"/>
              <w:jc w:val="left"/>
              <w:rPr>
                <w:rFonts w:ascii="宋体" w:cs="宋体"/>
                <w:sz w:val="28"/>
                <w:szCs w:val="28"/>
              </w:rPr>
            </w:pPr>
            <w:r>
              <w:rPr>
                <w:rFonts w:ascii="黑体" w:eastAsia="黑体" w:hAnsi="宋体" w:hint="eastAsia"/>
                <w:sz w:val="24"/>
                <w:u w:val="single"/>
              </w:rPr>
              <w:t>关键词</w:t>
            </w:r>
            <w:r>
              <w:rPr>
                <w:rFonts w:ascii="黑体" w:eastAsia="黑体" w:hAnsi="宋体" w:hint="eastAsia"/>
                <w:sz w:val="24"/>
              </w:rPr>
              <w:t>：成膜  破片  CVD</w:t>
            </w:r>
          </w:p>
          <w:p>
            <w:pPr>
              <w:autoSpaceDE w:val="0"/>
              <w:autoSpaceDN w:val="0"/>
              <w:adjustRightInd w:val="0"/>
              <w:spacing w:before="156" w:beforeLines="50" w:after="156" w:afterLines="50" w:line="360" w:lineRule="auto"/>
              <w:jc w:val="left"/>
              <w:rPr>
                <w:rFonts w:ascii="宋体" w:cs="宋体"/>
                <w:sz w:val="28"/>
                <w:szCs w:val="28"/>
              </w:rPr>
            </w:pPr>
          </w:p>
          <w:p>
            <w:pPr>
              <w:autoSpaceDE w:val="0"/>
              <w:autoSpaceDN w:val="0"/>
              <w:adjustRightInd w:val="0"/>
              <w:spacing w:before="156" w:beforeLines="50" w:after="156" w:afterLines="50" w:line="360" w:lineRule="auto"/>
              <w:jc w:val="left"/>
              <w:rPr>
                <w:rFonts w:ascii="宋体" w:cs="宋体"/>
                <w:sz w:val="28"/>
                <w:szCs w:val="28"/>
              </w:rPr>
            </w:pPr>
          </w:p>
        </w:tc>
      </w:tr>
    </w:tbl>
    <w:p>
      <w:pPr>
        <w:sectPr>
          <w:footerReference w:type="even" r:id="rId9"/>
          <w:footerReference w:type="default" r:id="rId1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3"/>
          <w:cols w:num="1" w:space="720"/>
          <w:titlePg w:val="0"/>
          <w:docGrid w:type="lines" w:linePitch="312" w:charSpace="0"/>
        </w:sectPr>
      </w:pPr>
    </w:p>
    <w:tbl>
      <w:tblPr>
        <w:tblStyle w:val="TableNormal"/>
        <w:tblW w:w="913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133"/>
      </w:tblGrid>
      <w:tr>
        <w:tblPrEx>
          <w:tblW w:w="913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1189"/>
        </w:trPr>
        <w:tc>
          <w:tcPr>
            <w:tcW w:w="9133" w:type="dxa"/>
            <w:tcBorders>
              <w:top w:val="single" w:sz="4" w:space="0" w:color="auto"/>
              <w:left w:val="single" w:sz="4" w:space="0" w:color="auto"/>
              <w:bottom w:val="single" w:sz="4" w:space="0" w:color="auto"/>
              <w:right w:val="single" w:sz="4" w:space="0" w:color="auto"/>
            </w:tcBorders>
          </w:tcPr>
          <w:p>
            <w:pPr>
              <w:autoSpaceDE w:val="0"/>
              <w:autoSpaceDN w:val="0"/>
              <w:adjustRightInd w:val="0"/>
              <w:spacing w:before="156" w:beforeLines="50" w:after="156" w:afterLines="50" w:line="360" w:lineRule="auto"/>
              <w:ind w:firstLine="2340" w:firstLineChars="650"/>
              <w:jc w:val="left"/>
              <w:rPr>
                <w:rFonts w:ascii="宋体"/>
                <w:b/>
                <w:sz w:val="36"/>
                <w:szCs w:val="36"/>
              </w:rPr>
            </w:pPr>
            <w:r>
              <w:rPr>
                <w:rFonts w:ascii="宋体" w:hint="eastAsia"/>
                <w:b/>
                <w:sz w:val="36"/>
                <w:szCs w:val="36"/>
              </w:rPr>
              <w:t>毕业设计</w:t>
            </w:r>
            <w:r>
              <w:rPr>
                <w:rFonts w:ascii="宋体"/>
                <w:b/>
                <w:sz w:val="36"/>
                <w:szCs w:val="36"/>
              </w:rPr>
              <w:t>(</w:t>
            </w:r>
            <w:r>
              <w:rPr>
                <w:rFonts w:ascii="宋体" w:hint="eastAsia"/>
                <w:b/>
                <w:sz w:val="36"/>
                <w:szCs w:val="36"/>
              </w:rPr>
              <w:t>论文</w:t>
            </w:r>
            <w:r>
              <w:rPr>
                <w:rFonts w:ascii="宋体"/>
                <w:b/>
                <w:sz w:val="36"/>
                <w:szCs w:val="36"/>
              </w:rPr>
              <w:t>)</w:t>
            </w:r>
            <w:r>
              <w:rPr>
                <w:rFonts w:ascii="宋体" w:hint="eastAsia"/>
                <w:b/>
                <w:sz w:val="36"/>
                <w:szCs w:val="36"/>
              </w:rPr>
              <w:t>外文摘要</w:t>
            </w:r>
          </w:p>
          <w:p>
            <w:pPr>
              <w:pStyle w:val="NormalWeb"/>
              <w:shd w:val="clear" w:color="auto" w:fill="FFFFFF" w:themeFill="background1"/>
              <w:spacing w:before="0" w:beforeAutospacing="0" w:after="0" w:afterAutospacing="0" w:line="480" w:lineRule="auto"/>
              <w:jc w:val="both"/>
              <w:rPr>
                <w:rFonts w:eastAsia="宋体" w:hint="eastAsia"/>
                <w:color w:val="333333"/>
                <w:szCs w:val="24"/>
              </w:rPr>
            </w:pPr>
            <w:r>
              <w:rPr>
                <w:rFonts w:ascii="宋体" w:eastAsia="宋体" w:hAnsi="宋体" w:cs="宋体" w:hint="eastAsia"/>
                <w:b/>
                <w:bCs/>
                <w:color w:val="333333"/>
                <w:sz w:val="24"/>
                <w:szCs w:val="24"/>
                <w:u w:val="single"/>
                <w:shd w:val="clear" w:color="auto" w:fill="F7F8FA"/>
              </w:rPr>
              <w:t>(Title)</w:t>
            </w:r>
            <w:r>
              <w:rPr>
                <w:rFonts w:ascii="宋体" w:eastAsia="宋体" w:hAnsi="宋体" w:cs="宋体" w:hint="eastAsia"/>
                <w:color w:val="333333"/>
                <w:sz w:val="24"/>
                <w:szCs w:val="24"/>
                <w:shd w:val="clear" w:color="auto" w:fill="F7F8FA"/>
              </w:rPr>
              <w:t xml:space="preserve"> : CVD film forming process of LCD glass</w:t>
            </w:r>
          </w:p>
          <w:p>
            <w:pPr>
              <w:pStyle w:val="NormalWeb"/>
              <w:shd w:val="clear" w:color="auto" w:fill="FFFFFF" w:themeFill="background1"/>
              <w:spacing w:before="0" w:beforeAutospacing="0" w:after="0" w:afterAutospacing="0" w:line="360" w:lineRule="auto"/>
              <w:jc w:val="both"/>
              <w:rPr>
                <w:rFonts w:eastAsia="宋体" w:hint="eastAsia"/>
                <w:color w:val="333333"/>
                <w:szCs w:val="24"/>
              </w:rPr>
            </w:pPr>
            <w:r>
              <w:rPr>
                <w:rFonts w:ascii="宋体" w:eastAsia="宋体" w:hAnsi="宋体" w:cs="宋体" w:hint="eastAsia"/>
                <w:color w:val="333333"/>
                <w:sz w:val="24"/>
                <w:szCs w:val="24"/>
                <w:shd w:val="clear" w:color="auto" w:fill="F7F8FA"/>
              </w:rPr>
              <w:t>Abstract : LCD glass in the CVD machine manufacturing film forming process, machine equipment condition and process gas are not negligible in the film forming process, can produce abnormal CVD film forming, so the machine and process gas to have provisions</w:t>
            </w:r>
          </w:p>
          <w:p>
            <w:pPr>
              <w:pStyle w:val="NormalWeb"/>
              <w:shd w:val="clear" w:color="auto" w:fill="FFFFFF" w:themeFill="background1"/>
              <w:spacing w:before="0" w:beforeAutospacing="0" w:after="0" w:afterAutospacing="0" w:line="360" w:lineRule="auto"/>
              <w:jc w:val="both"/>
              <w:rPr>
                <w:rFonts w:eastAsia="宋体" w:hint="eastAsia"/>
                <w:color w:val="333333"/>
                <w:szCs w:val="24"/>
                <w:shd w:val="clear" w:color="auto" w:fill="F7F8FA"/>
              </w:rPr>
            </w:pPr>
            <w:r>
              <w:rPr>
                <w:rFonts w:ascii="宋体" w:eastAsia="宋体" w:hAnsi="宋体" w:cs="宋体" w:hint="eastAsia"/>
                <w:color w:val="333333"/>
                <w:sz w:val="24"/>
                <w:szCs w:val="24"/>
                <w:shd w:val="clear" w:color="auto" w:fill="F7F8FA"/>
              </w:rPr>
              <w:t>First, this paper introduces what is the TFT - LCD, through the simple introduction of TFT - LCD (thin film transistor liquid crystal display), and CVD film forming process to produce the location and abnormal problems to solve, Array end the process of the Substrate to the finished product are introduced, and emphasis on CVD AKT - 15 k machine each part of the work, through the introduction to understand CVD AKT - 15 k machines &amp; process principle, the CVD film forming machines to produce abnormal the problem of high frequency,For example, Particle/ Particle/ film color/put forward practical solutions to these abnormal problems, which can achieve the ultimate goal of reducing the occurrence of abnormal problems in combination with practical requirements</w:t>
            </w:r>
          </w:p>
          <w:p>
            <w:pPr>
              <w:pStyle w:val="NormalWeb"/>
              <w:shd w:val="clear" w:color="auto" w:fill="FFFFFF" w:themeFill="background1"/>
              <w:spacing w:before="0" w:beforeAutospacing="0" w:after="0" w:afterAutospacing="0" w:line="360" w:lineRule="auto"/>
              <w:jc w:val="both"/>
              <w:rPr>
                <w:rFonts w:eastAsia="宋体" w:hint="eastAsia"/>
                <w:color w:val="333333"/>
                <w:szCs w:val="24"/>
                <w:shd w:val="clear" w:color="auto" w:fill="F7F8FA"/>
              </w:rPr>
            </w:pPr>
          </w:p>
          <w:p>
            <w:pPr>
              <w:pStyle w:val="NormalWeb"/>
              <w:shd w:val="clear" w:color="auto" w:fill="FFFFFF" w:themeFill="background1"/>
              <w:spacing w:before="0" w:beforeAutospacing="0" w:after="0" w:afterAutospacing="0" w:line="360" w:lineRule="auto"/>
              <w:jc w:val="both"/>
              <w:rPr>
                <w:rFonts w:eastAsia="宋体" w:hint="eastAsia"/>
                <w:color w:val="333333"/>
                <w:szCs w:val="24"/>
                <w:shd w:val="clear" w:color="auto" w:fill="F7F8FA"/>
              </w:rPr>
            </w:pPr>
          </w:p>
          <w:p>
            <w:pPr>
              <w:pStyle w:val="NormalWeb"/>
              <w:shd w:val="clear" w:color="auto" w:fill="FFFFFF" w:themeFill="background1"/>
              <w:spacing w:before="0" w:beforeAutospacing="0" w:after="0" w:afterAutospacing="0" w:line="360" w:lineRule="auto"/>
              <w:jc w:val="both"/>
              <w:rPr>
                <w:rFonts w:eastAsia="宋体" w:hint="eastAsia"/>
                <w:color w:val="333333"/>
                <w:szCs w:val="24"/>
                <w:shd w:val="clear" w:color="auto" w:fill="F7F8FA"/>
              </w:rPr>
            </w:pPr>
            <w:r>
              <w:rPr>
                <w:rFonts w:ascii="宋体" w:eastAsia="宋体" w:hAnsi="宋体" w:cs="宋体" w:hint="eastAsia"/>
                <w:i w:val="0"/>
                <w:iCs w:val="0"/>
                <w:color w:val="333333"/>
                <w:sz w:val="24"/>
                <w:szCs w:val="24"/>
                <w:u w:val="single"/>
                <w:shd w:val="clear" w:color="auto" w:fill="F7F8FA"/>
              </w:rPr>
              <w:t>Key words</w:t>
            </w:r>
            <w:r>
              <w:rPr>
                <w:rFonts w:ascii="宋体" w:eastAsia="宋体" w:hAnsi="宋体" w:cs="宋体" w:hint="eastAsia"/>
                <w:color w:val="333333"/>
                <w:sz w:val="24"/>
                <w:szCs w:val="24"/>
                <w:shd w:val="clear" w:color="auto" w:fill="F7F8FA"/>
              </w:rPr>
              <w:t xml:space="preserve">: CVD </w:t>
            </w:r>
            <w:r>
              <w:rPr>
                <w:rFonts w:cs="宋体" w:hint="eastAsia"/>
                <w:color w:val="333333"/>
                <w:sz w:val="24"/>
                <w:szCs w:val="24"/>
                <w:shd w:val="clear" w:color="auto" w:fill="F7F8FA"/>
                <w:lang w:val="en-US" w:eastAsia="zh-CN"/>
              </w:rPr>
              <w:t xml:space="preserve"> </w:t>
            </w:r>
            <w:r>
              <w:rPr>
                <w:rFonts w:ascii="宋体" w:eastAsia="宋体" w:hAnsi="宋体" w:cs="宋体" w:hint="eastAsia"/>
                <w:color w:val="333333"/>
                <w:sz w:val="24"/>
                <w:szCs w:val="24"/>
                <w:shd w:val="clear" w:color="auto" w:fill="F7F8FA"/>
              </w:rPr>
              <w:t>machine</w:t>
            </w:r>
            <w:r>
              <w:rPr>
                <w:rFonts w:cs="宋体" w:hint="eastAsia"/>
                <w:color w:val="333333"/>
                <w:sz w:val="24"/>
                <w:szCs w:val="24"/>
                <w:shd w:val="clear" w:color="auto" w:fill="F7F8FA"/>
                <w:lang w:val="en-US" w:eastAsia="zh-CN"/>
              </w:rPr>
              <w:t xml:space="preserve"> </w:t>
            </w:r>
            <w:r>
              <w:rPr>
                <w:rFonts w:ascii="宋体" w:eastAsia="宋体" w:hAnsi="宋体" w:cs="宋体" w:hint="eastAsia"/>
                <w:color w:val="333333"/>
                <w:sz w:val="24"/>
                <w:szCs w:val="24"/>
                <w:shd w:val="clear" w:color="auto" w:fill="F7F8FA"/>
              </w:rPr>
              <w:t xml:space="preserve"> equipment</w:t>
            </w:r>
          </w:p>
          <w:p>
            <w:pPr>
              <w:pStyle w:val="NormalWeb"/>
              <w:shd w:val="clear" w:color="auto" w:fill="FFFFFF" w:themeFill="background1"/>
              <w:spacing w:before="0" w:beforeAutospacing="0" w:after="0" w:afterAutospacing="0" w:line="360" w:lineRule="auto"/>
              <w:jc w:val="both"/>
              <w:rPr>
                <w:rFonts w:eastAsia="宋体" w:hint="eastAsia"/>
                <w:color w:val="333333"/>
                <w:szCs w:val="24"/>
                <w:shd w:val="clear" w:color="auto" w:fill="F7F8FA"/>
              </w:rPr>
            </w:pPr>
          </w:p>
          <w:p>
            <w:pPr>
              <w:pStyle w:val="NormalWeb"/>
              <w:shd w:val="clear" w:color="auto" w:fill="FFFFFF" w:themeFill="background1"/>
              <w:spacing w:before="0" w:beforeAutospacing="0" w:after="0" w:afterAutospacing="0" w:line="360" w:lineRule="auto"/>
              <w:jc w:val="both"/>
              <w:rPr>
                <w:rFonts w:eastAsia="宋体" w:hint="eastAsia"/>
                <w:color w:val="333333"/>
                <w:szCs w:val="24"/>
                <w:shd w:val="clear" w:color="auto" w:fill="F7F8FA"/>
              </w:rPr>
            </w:pPr>
          </w:p>
          <w:p>
            <w:pPr>
              <w:pStyle w:val="NormalWeb"/>
              <w:shd w:val="clear" w:color="auto" w:fill="FFFFFF" w:themeFill="background1"/>
              <w:spacing w:before="0" w:beforeAutospacing="0" w:after="0" w:afterAutospacing="0" w:line="360" w:lineRule="auto"/>
              <w:jc w:val="both"/>
              <w:rPr>
                <w:rFonts w:eastAsia="宋体" w:hint="eastAsia"/>
                <w:color w:val="333333"/>
                <w:szCs w:val="24"/>
                <w:shd w:val="clear" w:color="auto" w:fill="F7F8FA"/>
              </w:rPr>
            </w:pPr>
          </w:p>
          <w:p>
            <w:pPr>
              <w:pStyle w:val="NormalWeb"/>
              <w:shd w:val="clear" w:color="auto" w:fill="FFFFFF" w:themeFill="background1"/>
              <w:spacing w:before="0" w:beforeAutospacing="0" w:after="0" w:afterAutospacing="0" w:line="360" w:lineRule="auto"/>
              <w:jc w:val="both"/>
              <w:rPr>
                <w:rFonts w:eastAsia="宋体" w:hint="eastAsia"/>
                <w:color w:val="333333"/>
                <w:szCs w:val="24"/>
                <w:shd w:val="clear" w:color="auto" w:fill="F7F8FA"/>
              </w:rPr>
            </w:pPr>
          </w:p>
          <w:p>
            <w:pPr>
              <w:autoSpaceDE w:val="0"/>
              <w:autoSpaceDN w:val="0"/>
              <w:adjustRightInd w:val="0"/>
              <w:spacing w:before="156" w:beforeLines="50" w:after="156" w:afterLines="50" w:line="360" w:lineRule="auto"/>
              <w:jc w:val="left"/>
              <w:rPr>
                <w:rFonts w:ascii="宋体" w:cs="宋体"/>
                <w:sz w:val="28"/>
                <w:szCs w:val="28"/>
              </w:rPr>
            </w:pPr>
          </w:p>
        </w:tc>
      </w:tr>
    </w:tbl>
    <w:p>
      <w:pPr>
        <w:autoSpaceDE w:val="0"/>
        <w:autoSpaceDN w:val="0"/>
        <w:adjustRightInd w:val="0"/>
        <w:spacing w:before="156" w:beforeLines="50" w:after="156" w:afterLines="50" w:line="360" w:lineRule="auto"/>
        <w:jc w:val="left"/>
        <w:rPr>
          <w:rFonts w:ascii="宋体" w:hAnsi="宋体"/>
          <w:sz w:val="24"/>
        </w:rPr>
        <w:sectPr>
          <w:footerReference w:type="even" r:id="rId11"/>
          <w:footerReference w:type="default" r:id="rId1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4"/>
          <w:cols w:num="1" w:space="720"/>
          <w:titlePg w:val="0"/>
          <w:docGrid w:type="lines" w:linePitch="312" w:charSpace="0"/>
        </w:sectPr>
      </w:pPr>
    </w:p>
    <w:p>
      <w:pPr>
        <w:autoSpaceDE w:val="0"/>
        <w:autoSpaceDN w:val="0"/>
        <w:adjustRightInd w:val="0"/>
        <w:spacing w:before="156" w:beforeLines="50" w:after="156" w:afterLines="50" w:line="360" w:lineRule="auto"/>
        <w:jc w:val="left"/>
        <w:rPr>
          <w:rFonts w:ascii="宋体" w:hAnsi="宋体"/>
          <w:sz w:val="24"/>
        </w:rPr>
      </w:pPr>
    </w:p>
    <w:p>
      <w:pPr>
        <w:spacing w:line="360" w:lineRule="exact"/>
        <w:jc w:val="center"/>
        <w:rPr>
          <w:rFonts w:eastAsia="黑体"/>
          <w:b/>
          <w:sz w:val="28"/>
        </w:rPr>
      </w:pPr>
      <w:r>
        <w:rPr>
          <w:rFonts w:eastAsia="黑体" w:hint="eastAsia"/>
          <w:b/>
          <w:sz w:val="28"/>
        </w:rPr>
        <w:t>目录</w:t>
      </w:r>
    </w:p>
    <w:p>
      <w:pPr>
        <w:pStyle w:val="TOC1"/>
        <w:adjustRightInd w:val="0"/>
        <w:snapToGrid w:val="0"/>
        <w:spacing w:before="0" w:beforeLines="0" w:after="0" w:afterLines="0" w:line="360" w:lineRule="atLeast"/>
        <w:rPr>
          <w:rFonts w:ascii="宋体" w:hAnsi="宋体"/>
          <w:sz w:val="24"/>
        </w:rPr>
      </w:pPr>
      <w:r>
        <w:rPr>
          <w:rFonts w:ascii="宋体" w:hAnsi="宋体"/>
          <w:sz w:val="24"/>
        </w:rPr>
        <w:fldChar w:fldCharType="begin"/>
      </w:r>
      <w:r>
        <w:rPr>
          <w:rFonts w:ascii="宋体" w:hAnsi="宋体"/>
          <w:sz w:val="24"/>
        </w:rPr>
        <w:instrText xml:space="preserve"> TOC \o "1-3" \h \z \u </w:instrText>
      </w:r>
      <w:r>
        <w:rPr>
          <w:rFonts w:ascii="宋体" w:hAnsi="宋体"/>
          <w:sz w:val="24"/>
        </w:rPr>
        <w:fldChar w:fldCharType="separate"/>
      </w:r>
      <w:hyperlink w:anchor="_Toc291146580" w:history="1">
        <w:r>
          <w:rPr>
            <w:rStyle w:val="Hyperlink"/>
            <w:rFonts w:ascii="宋体" w:hAnsi="宋体"/>
            <w:sz w:val="24"/>
          </w:rPr>
          <w:t xml:space="preserve">1 </w:t>
        </w:r>
        <w:r>
          <w:rPr>
            <w:rStyle w:val="Hyperlink"/>
            <w:rFonts w:ascii="宋体" w:hAnsi="宋体" w:hint="eastAsia"/>
            <w:sz w:val="24"/>
          </w:rPr>
          <w:t>引言</w:t>
        </w:r>
      </w:hyperlink>
    </w:p>
    <w:p>
      <w:pPr>
        <w:pStyle w:val="TOC2"/>
        <w:adjustRightInd w:val="0"/>
        <w:snapToGrid w:val="0"/>
        <w:spacing w:line="360" w:lineRule="atLeast"/>
        <w:ind w:left="0" w:leftChars="0"/>
        <w:rPr>
          <w:rFonts w:ascii="宋体" w:hAnsi="宋体"/>
          <w:sz w:val="24"/>
        </w:rPr>
      </w:pPr>
      <w:hyperlink w:anchor="_Toc291146581" w:history="1">
        <w:r>
          <w:rPr>
            <w:rStyle w:val="Hyperlink"/>
            <w:rFonts w:ascii="宋体" w:hAnsi="宋体" w:hint="eastAsia"/>
            <w:sz w:val="24"/>
            <w:lang w:val="en-US" w:eastAsia="zh-CN"/>
          </w:rPr>
          <w:t>2</w:t>
        </w:r>
        <w:r>
          <w:rPr>
            <w:rStyle w:val="Hyperlink"/>
            <w:rFonts w:ascii="宋体" w:hAnsi="宋体"/>
            <w:sz w:val="24"/>
          </w:rPr>
          <w:t xml:space="preserve"> </w:t>
        </w:r>
        <w:r>
          <w:rPr>
            <w:rStyle w:val="Hyperlink"/>
            <w:rFonts w:ascii="宋体" w:hAnsi="宋体" w:hint="eastAsia"/>
            <w:sz w:val="24"/>
          </w:rPr>
          <w:t>TFT-LCD解释</w:t>
        </w:r>
      </w:hyperlink>
    </w:p>
    <w:p>
      <w:pPr>
        <w:pStyle w:val="TOC2"/>
        <w:adjustRightInd w:val="0"/>
        <w:snapToGrid w:val="0"/>
        <w:spacing w:line="360" w:lineRule="atLeast"/>
        <w:ind w:left="0" w:leftChars="0"/>
        <w:rPr>
          <w:rFonts w:ascii="宋体" w:hAnsi="宋体"/>
          <w:sz w:val="24"/>
        </w:rPr>
      </w:pPr>
      <w:hyperlink w:anchor="_Toc291146582" w:history="1">
        <w:r>
          <w:rPr>
            <w:rFonts w:hint="eastAsia"/>
            <w:lang w:val="en-US" w:eastAsia="zh-CN"/>
          </w:rPr>
          <w:t>2.1</w:t>
        </w:r>
        <w:r>
          <w:rPr>
            <w:rStyle w:val="Hyperlink"/>
            <w:rFonts w:ascii="宋体" w:hAnsi="宋体"/>
            <w:sz w:val="24"/>
          </w:rPr>
          <w:t xml:space="preserve"> </w:t>
        </w:r>
        <w:r>
          <w:rPr>
            <w:rStyle w:val="Hyperlink"/>
            <w:rFonts w:ascii="宋体" w:hAnsi="宋体" w:hint="eastAsia"/>
            <w:sz w:val="24"/>
          </w:rPr>
          <w:t>TFT-LCD制造工程</w:t>
        </w:r>
      </w:hyperlink>
    </w:p>
    <w:p>
      <w:pPr>
        <w:pStyle w:val="TOC1"/>
        <w:adjustRightInd w:val="0"/>
        <w:snapToGrid w:val="0"/>
        <w:spacing w:before="0" w:beforeLines="0" w:after="0" w:afterLines="0" w:line="360" w:lineRule="atLeast"/>
        <w:rPr>
          <w:rFonts w:ascii="宋体" w:hAnsi="宋体"/>
          <w:sz w:val="24"/>
        </w:rPr>
      </w:pPr>
      <w:hyperlink w:anchor="_Toc291146585" w:history="1">
        <w:r>
          <w:rPr>
            <w:rStyle w:val="Hyperlink"/>
            <w:rFonts w:ascii="宋体" w:hAnsi="宋体" w:cs="楷体_GB2312" w:hint="eastAsia"/>
            <w:sz w:val="24"/>
            <w:lang w:val="en-US" w:eastAsia="zh-CN"/>
          </w:rPr>
          <w:t>3</w:t>
        </w:r>
        <w:r>
          <w:rPr>
            <w:rStyle w:val="Hyperlink"/>
            <w:rFonts w:ascii="宋体" w:hAnsi="宋体" w:cs="楷体_GB2312"/>
            <w:sz w:val="24"/>
          </w:rPr>
          <w:t xml:space="preserve"> </w:t>
        </w:r>
        <w:r>
          <w:rPr>
            <w:rStyle w:val="Hyperlink"/>
            <w:rFonts w:ascii="宋体" w:hAnsi="宋体" w:cs="楷体_GB2312" w:hint="eastAsia"/>
            <w:sz w:val="24"/>
          </w:rPr>
          <w:t>5PE</w:t>
        </w:r>
        <w:r>
          <w:rPr>
            <w:rStyle w:val="Hyperlink"/>
            <w:rFonts w:ascii="宋体" w:hAnsi="宋体" w:cs="楷体_GB2312" w:hint="eastAsia"/>
            <w:sz w:val="24"/>
            <w:lang w:val="en-US" w:eastAsia="zh-CN"/>
          </w:rPr>
          <w:t>P</w:t>
        </w:r>
        <w:r>
          <w:rPr>
            <w:rStyle w:val="Hyperlink"/>
            <w:rFonts w:ascii="宋体" w:hAnsi="宋体" w:cs="楷体_GB2312" w:hint="eastAsia"/>
            <w:sz w:val="24"/>
          </w:rPr>
          <w:t>的工作原理</w:t>
        </w:r>
      </w:hyperlink>
    </w:p>
    <w:p>
      <w:pPr>
        <w:pStyle w:val="TOC2"/>
        <w:adjustRightInd w:val="0"/>
        <w:snapToGrid w:val="0"/>
        <w:spacing w:line="360" w:lineRule="atLeast"/>
        <w:ind w:left="0" w:leftChars="0"/>
        <w:rPr>
          <w:rFonts w:ascii="宋体" w:hAnsi="宋体"/>
          <w:sz w:val="24"/>
        </w:rPr>
      </w:pPr>
      <w:bookmarkStart w:id="1" w:name="OLE_LINK12"/>
      <w:hyperlink w:anchor="_Toc291146586" w:history="1">
        <w:r>
          <w:rPr>
            <w:rFonts w:ascii="宋体" w:hAnsi="宋体" w:hint="eastAsia"/>
            <w:sz w:val="24"/>
            <w:lang w:val="en-US" w:eastAsia="zh-CN"/>
          </w:rPr>
          <w:t xml:space="preserve">3.1 </w:t>
        </w:r>
        <w:r>
          <w:rPr>
            <w:rStyle w:val="Hyperlink"/>
            <w:rFonts w:ascii="宋体" w:hAnsi="宋体" w:hint="eastAsia"/>
            <w:sz w:val="24"/>
          </w:rPr>
          <w:t>Arrray端Substrate到成品的过程简述</w:t>
        </w:r>
      </w:hyperlink>
    </w:p>
    <w:bookmarkEnd w:id="1"/>
    <w:p>
      <w:pPr>
        <w:pStyle w:val="TOC2"/>
        <w:adjustRightInd w:val="0"/>
        <w:snapToGrid w:val="0"/>
        <w:spacing w:line="360" w:lineRule="atLeast"/>
        <w:ind w:left="0" w:leftChars="0"/>
        <w:rPr>
          <w:rFonts w:ascii="宋体" w:hAnsi="宋体"/>
          <w:sz w:val="24"/>
        </w:rPr>
      </w:pPr>
      <w:r>
        <w:rPr>
          <w:rFonts w:ascii="宋体" w:hAnsi="宋体"/>
          <w:sz w:val="24"/>
        </w:rPr>
        <w:fldChar w:fldCharType="begin"/>
      </w:r>
      <w:r>
        <w:rPr>
          <w:rStyle w:val="Hyperlink"/>
          <w:rFonts w:ascii="宋体" w:hAnsi="宋体"/>
          <w:sz w:val="24"/>
        </w:rPr>
        <w:instrText xml:space="preserve"> </w:instrText>
      </w:r>
      <w:r>
        <w:rPr>
          <w:rFonts w:ascii="宋体" w:hAnsi="宋体"/>
          <w:sz w:val="24"/>
        </w:rPr>
        <w:instrText>HYPERLINK \l "_Toc291146587"</w:instrText>
      </w:r>
      <w:r>
        <w:rPr>
          <w:rStyle w:val="Hyperlink"/>
          <w:rFonts w:ascii="宋体" w:hAnsi="宋体"/>
          <w:sz w:val="24"/>
        </w:rPr>
        <w:instrText xml:space="preserve"> </w:instrText>
      </w:r>
      <w:r>
        <w:rPr>
          <w:rFonts w:ascii="宋体" w:hAnsi="宋体"/>
          <w:sz w:val="24"/>
        </w:rPr>
        <w:fldChar w:fldCharType="separate"/>
      </w:r>
      <w:r>
        <w:rPr>
          <w:rStyle w:val="Hyperlink"/>
          <w:rFonts w:ascii="宋体" w:hAnsi="宋体" w:hint="eastAsia"/>
          <w:sz w:val="24"/>
          <w:lang w:val="en-US" w:eastAsia="zh-CN"/>
        </w:rPr>
        <w:t>3.2</w:t>
      </w:r>
      <w:r>
        <w:rPr>
          <w:rStyle w:val="Hyperlink"/>
          <w:rFonts w:ascii="宋体" w:hAnsi="宋体"/>
          <w:sz w:val="24"/>
        </w:rPr>
        <w:t xml:space="preserve"> </w:t>
      </w:r>
      <w:r>
        <w:rPr>
          <w:rStyle w:val="Hyperlink"/>
          <w:rFonts w:ascii="宋体" w:hAnsi="宋体" w:hint="eastAsia"/>
          <w:sz w:val="24"/>
        </w:rPr>
        <w:t>PECVD原理简述</w:t>
      </w:r>
      <w:r>
        <w:rPr>
          <w:rFonts w:ascii="宋体" w:hAnsi="宋体"/>
          <w:sz w:val="24"/>
        </w:rPr>
        <w:fldChar w:fldCharType="end"/>
      </w:r>
    </w:p>
    <w:p>
      <w:pPr>
        <w:pStyle w:val="TOC1"/>
        <w:adjustRightInd w:val="0"/>
        <w:snapToGrid w:val="0"/>
        <w:spacing w:before="0" w:beforeLines="0" w:after="0" w:afterLines="0" w:line="360" w:lineRule="atLeast"/>
        <w:rPr>
          <w:rFonts w:ascii="宋体" w:hAnsi="宋体"/>
          <w:sz w:val="24"/>
        </w:rPr>
      </w:pPr>
      <w:hyperlink w:anchor="_Toc291146589" w:history="1">
        <w:r>
          <w:rPr>
            <w:rStyle w:val="Hyperlink"/>
            <w:rFonts w:ascii="宋体" w:hAnsi="宋体" w:hint="eastAsia"/>
            <w:sz w:val="24"/>
            <w:lang w:val="en-US" w:eastAsia="zh-CN"/>
          </w:rPr>
          <w:t>4</w:t>
        </w:r>
        <w:r>
          <w:rPr>
            <w:rStyle w:val="Hyperlink"/>
            <w:rFonts w:ascii="宋体" w:hAnsi="宋体"/>
            <w:sz w:val="24"/>
          </w:rPr>
          <w:t xml:space="preserve"> </w:t>
        </w:r>
        <w:r>
          <w:rPr>
            <w:rStyle w:val="Hyperlink"/>
            <w:rFonts w:ascii="宋体" w:hAnsi="宋体" w:hint="eastAsia"/>
            <w:sz w:val="24"/>
          </w:rPr>
          <w:t>A</w:t>
        </w:r>
      </w:hyperlink>
      <w:r>
        <w:rPr>
          <w:rFonts w:ascii="宋体" w:hAnsi="宋体" w:hint="eastAsia"/>
          <w:sz w:val="24"/>
        </w:rPr>
        <w:t>KT-15K概述</w:t>
      </w:r>
    </w:p>
    <w:p>
      <w:pPr>
        <w:spacing w:line="360" w:lineRule="atLeast"/>
        <w:rPr>
          <w:rFonts w:ascii="宋体" w:hAnsi="宋体"/>
          <w:sz w:val="24"/>
        </w:rPr>
      </w:pPr>
      <w:r>
        <w:rPr>
          <w:rFonts w:ascii="宋体" w:hAnsi="宋体" w:hint="eastAsia"/>
          <w:sz w:val="24"/>
          <w:lang w:val="en-US" w:eastAsia="zh-CN"/>
        </w:rPr>
        <w:t>4.1</w:t>
      </w:r>
      <w:r>
        <w:rPr>
          <w:rFonts w:ascii="宋体" w:hAnsi="宋体" w:hint="eastAsia"/>
          <w:sz w:val="24"/>
        </w:rPr>
        <w:t xml:space="preserve"> CVD真空机台介绍</w:t>
      </w:r>
    </w:p>
    <w:p>
      <w:pPr>
        <w:spacing w:line="360" w:lineRule="atLeast"/>
        <w:rPr>
          <w:rFonts w:ascii="宋体" w:hAnsi="宋体"/>
          <w:sz w:val="24"/>
        </w:rPr>
      </w:pPr>
      <w:r>
        <w:rPr>
          <w:rFonts w:ascii="宋体" w:hAnsi="宋体" w:hint="eastAsia"/>
          <w:sz w:val="24"/>
          <w:lang w:val="en-US" w:eastAsia="zh-CN"/>
        </w:rPr>
        <w:t>4</w:t>
      </w:r>
      <w:r>
        <w:rPr>
          <w:rFonts w:ascii="宋体" w:hAnsi="宋体" w:hint="eastAsia"/>
          <w:sz w:val="24"/>
        </w:rPr>
        <w:t>.2 CVD镀膜流程介绍</w:t>
      </w:r>
    </w:p>
    <w:p>
      <w:pPr>
        <w:pStyle w:val="TOC1"/>
        <w:adjustRightInd w:val="0"/>
        <w:snapToGrid w:val="0"/>
        <w:spacing w:before="0" w:beforeLines="0" w:after="0" w:afterLines="0" w:line="360" w:lineRule="atLeast"/>
        <w:rPr>
          <w:rFonts w:ascii="宋体" w:hAnsi="宋体"/>
          <w:sz w:val="24"/>
        </w:rPr>
      </w:pPr>
      <w:r>
        <w:rPr>
          <w:rFonts w:ascii="宋体" w:hAnsi="宋体" w:hint="eastAsia"/>
          <w:sz w:val="24"/>
          <w:lang w:val="en-US" w:eastAsia="zh-CN"/>
        </w:rPr>
        <w:t>5</w:t>
      </w:r>
      <w:r>
        <w:rPr>
          <w:rFonts w:ascii="宋体" w:hAnsi="宋体" w:hint="eastAsia"/>
          <w:sz w:val="24"/>
        </w:rPr>
        <w:t>.降低CVD站点破片改善</w:t>
      </w:r>
    </w:p>
    <w:p>
      <w:pPr>
        <w:pStyle w:val="TOC1"/>
        <w:adjustRightInd w:val="0"/>
        <w:snapToGrid w:val="0"/>
        <w:spacing w:before="0" w:beforeLines="0" w:after="0" w:afterLines="0" w:line="360" w:lineRule="atLeast"/>
        <w:rPr>
          <w:rFonts w:ascii="宋体" w:hAnsi="宋体"/>
          <w:sz w:val="24"/>
        </w:rPr>
      </w:pPr>
      <w:hyperlink w:anchor="_Toc291146602" w:history="1">
        <w:r>
          <w:rPr>
            <w:rStyle w:val="Hyperlink"/>
            <w:rFonts w:ascii="宋体" w:hAnsi="宋体" w:cs="宋体" w:hint="eastAsia"/>
            <w:kern w:val="0"/>
            <w:sz w:val="24"/>
          </w:rPr>
          <w:t>结论</w:t>
        </w:r>
      </w:hyperlink>
    </w:p>
    <w:p>
      <w:pPr>
        <w:pStyle w:val="TOC1"/>
        <w:adjustRightInd w:val="0"/>
        <w:snapToGrid w:val="0"/>
        <w:spacing w:before="0" w:beforeLines="0" w:after="0" w:afterLines="0" w:line="360" w:lineRule="atLeast"/>
        <w:rPr>
          <w:rFonts w:ascii="宋体" w:hAnsi="宋体"/>
          <w:sz w:val="24"/>
        </w:rPr>
      </w:pPr>
      <w:hyperlink w:anchor="_Toc291146603" w:history="1">
        <w:r>
          <w:rPr>
            <w:rStyle w:val="Hyperlink"/>
            <w:rFonts w:ascii="宋体" w:hAnsi="宋体" w:cs="宋体" w:hint="eastAsia"/>
            <w:kern w:val="0"/>
            <w:sz w:val="24"/>
          </w:rPr>
          <w:t>致谢</w:t>
        </w:r>
      </w:hyperlink>
    </w:p>
    <w:p>
      <w:pPr>
        <w:pStyle w:val="TOC1"/>
        <w:adjustRightInd w:val="0"/>
        <w:snapToGrid w:val="0"/>
        <w:spacing w:before="0" w:beforeLines="0" w:after="0" w:afterLines="0" w:line="360" w:lineRule="atLeast"/>
        <w:rPr>
          <w:rFonts w:ascii="宋体" w:hAnsi="宋体"/>
          <w:sz w:val="24"/>
        </w:rPr>
      </w:pPr>
      <w:hyperlink w:anchor="_Toc291146604" w:history="1">
        <w:r>
          <w:rPr>
            <w:rStyle w:val="Hyperlink"/>
            <w:rFonts w:ascii="宋体" w:hAnsi="宋体" w:hint="eastAsia"/>
            <w:kern w:val="0"/>
            <w:sz w:val="24"/>
          </w:rPr>
          <w:t>参考文献</w:t>
        </w:r>
      </w:hyperlink>
    </w:p>
    <w:p>
      <w:pPr>
        <w:adjustRightInd w:val="0"/>
        <w:snapToGrid w:val="0"/>
        <w:spacing w:line="360" w:lineRule="atLeast"/>
        <w:rPr>
          <w:rFonts w:eastAsia="黑体"/>
          <w:b/>
          <w:sz w:val="30"/>
        </w:rPr>
      </w:pPr>
      <w:r>
        <w:rPr>
          <w:rFonts w:ascii="宋体" w:hAnsi="宋体"/>
          <w:sz w:val="24"/>
        </w:rPr>
        <w:fldChar w:fldCharType="end"/>
      </w:r>
    </w:p>
    <w:p>
      <w:pPr>
        <w:spacing w:before="156" w:beforeLines="50" w:after="156" w:afterLines="50"/>
        <w:rPr>
          <w:rFonts w:eastAsia="黑体"/>
          <w:b/>
          <w:sz w:val="30"/>
        </w:rPr>
      </w:pPr>
    </w:p>
    <w:p>
      <w:pPr>
        <w:spacing w:before="156" w:beforeLines="50" w:after="156" w:afterLines="50"/>
        <w:rPr>
          <w:rFonts w:eastAsia="黑体"/>
          <w:b/>
          <w:sz w:val="30"/>
        </w:rPr>
      </w:pPr>
    </w:p>
    <w:p>
      <w:pPr>
        <w:spacing w:before="156" w:beforeLines="50" w:after="156" w:afterLines="50"/>
        <w:rPr>
          <w:rFonts w:eastAsia="黑体"/>
          <w:b/>
          <w:sz w:val="30"/>
        </w:rPr>
      </w:pPr>
    </w:p>
    <w:p>
      <w:pPr>
        <w:spacing w:before="156" w:beforeLines="50" w:after="156" w:afterLines="50"/>
        <w:rPr>
          <w:rFonts w:eastAsia="黑体"/>
          <w:b/>
          <w:sz w:val="30"/>
        </w:rPr>
      </w:pPr>
    </w:p>
    <w:p>
      <w:pPr>
        <w:spacing w:before="156" w:beforeLines="50" w:after="156" w:afterLines="50"/>
        <w:rPr>
          <w:rFonts w:eastAsia="黑体"/>
          <w:b/>
          <w:sz w:val="30"/>
        </w:rPr>
      </w:pPr>
    </w:p>
    <w:p>
      <w:pPr>
        <w:spacing w:before="156" w:beforeLines="50" w:after="156" w:afterLines="50"/>
        <w:rPr>
          <w:rFonts w:eastAsia="黑体"/>
          <w:b/>
          <w:sz w:val="30"/>
        </w:rPr>
      </w:pPr>
    </w:p>
    <w:p>
      <w:pPr>
        <w:spacing w:before="156" w:beforeLines="50" w:after="156" w:afterLines="50"/>
        <w:rPr>
          <w:rFonts w:eastAsia="黑体"/>
          <w:b/>
          <w:sz w:val="30"/>
        </w:rPr>
      </w:pPr>
    </w:p>
    <w:p>
      <w:pPr>
        <w:spacing w:before="156" w:beforeLines="50" w:after="156" w:afterLines="50"/>
        <w:rPr>
          <w:rFonts w:eastAsia="黑体"/>
          <w:b/>
          <w:sz w:val="30"/>
        </w:rPr>
        <w:sectPr>
          <w:footerReference w:type="even" r:id="rId13"/>
          <w:footerReference w:type="default" r:id="rId1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5"/>
          <w:cols w:num="1" w:space="720"/>
          <w:titlePg w:val="0"/>
          <w:docGrid w:type="lines" w:linePitch="312" w:charSpace="0"/>
        </w:sectPr>
      </w:pPr>
    </w:p>
    <w:p>
      <w:pPr>
        <w:pStyle w:val="Heading1"/>
        <w:spacing w:before="0" w:after="0"/>
        <w:rPr>
          <w:rFonts w:ascii="黑体" w:eastAsia="黑体" w:hint="eastAsia"/>
          <w:sz w:val="30"/>
          <w:szCs w:val="30"/>
        </w:rPr>
      </w:pPr>
      <w:bookmarkStart w:id="2" w:name="_Toc291146580"/>
    </w:p>
    <w:p>
      <w:pPr>
        <w:rPr>
          <w:rFonts w:hint="eastAsia"/>
        </w:rPr>
      </w:pP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ascii="黑体" w:eastAsia="黑体"/>
          <w:sz w:val="30"/>
          <w:szCs w:val="30"/>
        </w:rPr>
      </w:pPr>
      <w:r>
        <w:rPr>
          <w:rFonts w:ascii="黑体" w:eastAsia="黑体" w:hint="eastAsia"/>
          <w:sz w:val="30"/>
          <w:szCs w:val="30"/>
        </w:rPr>
        <w:t>1 引言</w:t>
      </w:r>
      <w:bookmarkEnd w:id="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sz w:val="24"/>
        </w:rPr>
      </w:pPr>
      <w:r>
        <w:rPr>
          <w:rFonts w:hint="eastAsia"/>
          <w:sz w:val="24"/>
        </w:rPr>
        <w:t>人有五觉：视觉、听觉、触觉、味觉、嗅觉、是古希腊亚里士多德在公元前322年提出的人类的五感。在经过多年后科学证实：人脑中85%是通过眼睛的图像输入接受信息的！ 所以，人们一直在致力于一种技术应用于人眼的技术---显示技术。显示技术有很多，而我要说的是TFT-LCD薄膜晶体管液晶显示器)，如今这技术已经很成熟，简单说，TFT-LCD面板可视为两片玻璃基板中夹着一层液晶，上层的玻璃基板是彩色过滤片,而下层的玻璃则有电晶体镶嵌上。当电流通过电晶体产生电场变化，造成液晶分子偏转改变光线的偏极性，再利用偏光片决定画素明暗状态。此外，上层玻璃因与彩色滤光片贴合，形成每个画素各包含红绿蓝三颜色，这些发出红绿蓝色彩的画素便构成了面板上的影像画面。虽然TFT-LCD工艺流程很完善,但是在LCD玻璃成膜工艺流程各个阶段或多或少的都容易产生异常问题或现象，很有可能对玻璃成膜造成基板性能下降,甚至有可能造成玻璃基板损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sz w:val="24"/>
        </w:rPr>
      </w:pPr>
      <w:r>
        <w:rPr>
          <w:rFonts w:hint="eastAsia"/>
          <w:sz w:val="24"/>
        </w:rPr>
        <w:t>本文就对LCD玻璃CVD成膜的工艺加以描述，其目的是为了LCD玻璃CVD成膜的工艺有简单的了解，以及了解CVD成膜的过程。并针对成膜过程中遇到的一些问题展开论述，分析其原因，并作出相应的解决方法，从而更进一步的了解CVD成膜的工艺。</w:t>
      </w: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sectPr>
          <w:footerReference w:type="even" r:id="rId15"/>
          <w:footerReference w:type="default" r:id="rId1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6"/>
          <w:cols w:num="1" w:space="720"/>
          <w:titlePg w:val="0"/>
          <w:docGrid w:type="lines" w:linePitch="312" w:charSpace="0"/>
        </w:sect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ind w:firstLine="480" w:firstLineChars="200"/>
        <w:rPr>
          <w:sz w:val="24"/>
        </w:rPr>
      </w:pPr>
    </w:p>
    <w:p>
      <w:pPr>
        <w:spacing w:line="360" w:lineRule="auto"/>
        <w:rPr>
          <w:sz w:val="24"/>
        </w:rPr>
      </w:pPr>
    </w:p>
    <w:p>
      <w:pPr>
        <w:pStyle w:val="Heading2"/>
        <w:keepNext/>
        <w:keepLines/>
        <w:pageBreakBefore w:val="0"/>
        <w:widowControl w:val="0"/>
        <w:numPr>
          <w:numId w:val="0"/>
        </w:numPr>
        <w:kinsoku/>
        <w:wordWrap/>
        <w:overflowPunct/>
        <w:topLinePunct w:val="0"/>
        <w:autoSpaceDE/>
        <w:autoSpaceDN/>
        <w:bidi w:val="0"/>
        <w:adjustRightInd/>
        <w:snapToGrid/>
        <w:spacing w:before="156" w:beforeLines="50" w:after="156" w:afterLines="50" w:line="360" w:lineRule="auto"/>
        <w:ind w:leftChars="0"/>
        <w:textAlignment w:val="auto"/>
        <w:rPr>
          <w:rFonts w:ascii="宋体" w:eastAsia="宋体" w:hAnsi="宋体" w:cs="宋体" w:hint="eastAsia"/>
          <w:sz w:val="30"/>
          <w:szCs w:val="30"/>
        </w:rPr>
      </w:pPr>
      <w:r>
        <w:rPr>
          <w:rFonts w:ascii="黑体" w:eastAsia="黑体" w:hAnsi="黑体" w:cs="黑体" w:hint="eastAsia"/>
          <w:sz w:val="30"/>
          <w:szCs w:val="30"/>
          <w:lang w:val="en-US" w:eastAsia="zh-CN"/>
        </w:rPr>
        <w:t xml:space="preserve">2 </w:t>
      </w:r>
      <w:r>
        <w:rPr>
          <w:rFonts w:ascii="黑体" w:eastAsia="黑体" w:hAnsi="黑体" w:cs="黑体" w:hint="eastAsia"/>
          <w:sz w:val="30"/>
          <w:szCs w:val="30"/>
        </w:rPr>
        <w:t>TFT-LCD解释</w:t>
      </w:r>
    </w:p>
    <w:p>
      <w:pPr>
        <w:spacing w:line="360" w:lineRule="auto"/>
        <w:ind w:firstLine="600" w:firstLineChars="250"/>
        <w:rPr>
          <w:rFonts w:hint="eastAsia"/>
          <w:b/>
          <w:sz w:val="28"/>
        </w:rPr>
      </w:pPr>
      <w:r>
        <w:rPr>
          <w:rFonts w:hint="eastAsia"/>
          <w:sz w:val="24"/>
        </w:rPr>
        <w:t>TFT-LCD全文（Thin Film Transistor--Liquid Crystal Display）即薄膜晶体管液晶显示器,也就是我们通常俗称的液晶显示屏</w:t>
      </w:r>
      <w:r>
        <w:rPr>
          <w:rFonts w:hint="eastAsia"/>
          <w:sz w:val="24"/>
          <w:lang w:eastAsia="zh-CN"/>
        </w:rPr>
        <w:t>：</w:t>
      </w:r>
      <w:r>
        <w:rPr>
          <w:rFonts w:hint="eastAsia"/>
          <w:sz w:val="24"/>
        </w:rPr>
        <w:t>TFT-薄膜晶体管---Array阵列厂</w:t>
      </w:r>
      <w:r>
        <w:rPr>
          <w:rFonts w:hint="eastAsia"/>
          <w:sz w:val="24"/>
          <w:lang w:val="en-US" w:eastAsia="zh-CN"/>
        </w:rPr>
        <w:t>和</w:t>
      </w:r>
      <w:r>
        <w:rPr>
          <w:rFonts w:hint="eastAsia"/>
          <w:sz w:val="24"/>
        </w:rPr>
        <w:t>LCD-液晶显示器---Cell（液晶盒厂）</w:t>
      </w:r>
      <w:r>
        <w:rPr>
          <w:rFonts w:hint="eastAsia"/>
          <w:sz w:val="24"/>
          <w:lang w:eastAsia="zh-CN"/>
        </w:rPr>
        <w:t>。</w:t>
      </w:r>
    </w:p>
    <w:p>
      <w:pPr>
        <w:pStyle w:val="Heading2"/>
        <w:keepNext/>
        <w:keepLines/>
        <w:pageBreakBefore w:val="0"/>
        <w:widowControl w:val="0"/>
        <w:kinsoku/>
        <w:wordWrap/>
        <w:overflowPunct/>
        <w:topLinePunct w:val="0"/>
        <w:autoSpaceDE/>
        <w:autoSpaceDN/>
        <w:bidi w:val="0"/>
        <w:adjustRightInd/>
        <w:snapToGrid/>
        <w:spacing w:before="0" w:after="0" w:line="360" w:lineRule="auto"/>
        <w:textAlignment w:val="auto"/>
        <w:rPr>
          <w:rFonts w:ascii="黑体" w:hAnsi="黑体"/>
          <w:sz w:val="28"/>
        </w:rPr>
      </w:pPr>
      <w:bookmarkStart w:id="3" w:name="_Toc291146582"/>
      <w:r>
        <w:rPr>
          <w:rFonts w:ascii="黑体" w:hAnsi="黑体" w:hint="eastAsia"/>
          <w:sz w:val="28"/>
          <w:lang w:val="en-US" w:eastAsia="zh-CN"/>
        </w:rPr>
        <w:t>2.1</w:t>
      </w:r>
      <w:bookmarkEnd w:id="3"/>
      <w:r>
        <w:rPr>
          <w:rFonts w:ascii="黑体" w:hAnsi="黑体" w:hint="eastAsia"/>
          <w:sz w:val="28"/>
          <w:lang w:val="en-US" w:eastAsia="zh-CN"/>
        </w:rPr>
        <w:t xml:space="preserve"> </w:t>
      </w:r>
      <w:r>
        <w:rPr>
          <w:rFonts w:ascii="黑体" w:hAnsi="黑体" w:hint="eastAsia"/>
          <w:sz w:val="28"/>
        </w:rPr>
        <w:t>TFT-LCD制造工程</w:t>
      </w:r>
    </w:p>
    <w:p>
      <w:pPr>
        <w:spacing w:line="360" w:lineRule="auto"/>
        <w:ind w:right="420" w:firstLine="480" w:rightChars="200" w:firstLineChars="200"/>
        <w:rPr>
          <w:rFonts w:ascii="黑体" w:eastAsia="黑体" w:hAnsi="黑体" w:cs="楷体_GB2312"/>
          <w:b/>
          <w:sz w:val="30"/>
          <w:szCs w:val="30"/>
        </w:rPr>
        <w:sectPr>
          <w:footerReference w:type="even" r:id="rId17"/>
          <w:footerReference w:type="default" r:id="rId18"/>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7"/>
          <w:cols w:num="1" w:space="720"/>
          <w:titlePg w:val="0"/>
          <w:docGrid w:type="lines" w:linePitch="312" w:charSpace="0"/>
        </w:sectPr>
      </w:pPr>
      <w:r>
        <w:rPr>
          <w:rFonts w:ascii="宋体" w:hAnsi="宋体" w:hint="eastAsia"/>
          <w:sz w:val="24"/>
        </w:rPr>
        <w:t>TFT-LCD主要由Array→Cell→Module三部分</w:t>
      </w:r>
      <w:r>
        <w:rPr>
          <w:rFonts w:ascii="宋体" w:hAnsi="宋体" w:hint="eastAsia"/>
          <w:sz w:val="24"/>
          <w:lang w:eastAsia="zh-CN"/>
        </w:rPr>
        <w:t>（</w:t>
      </w:r>
      <w:r>
        <w:rPr>
          <w:rFonts w:ascii="宋体" w:hAnsi="宋体" w:hint="eastAsia"/>
          <w:sz w:val="24"/>
        </w:rPr>
        <w:t>如图1</w:t>
      </w:r>
      <w:r>
        <w:rPr>
          <w:rFonts w:ascii="宋体" w:hAnsi="宋体" w:hint="eastAsia"/>
          <w:sz w:val="24"/>
          <w:lang w:eastAsia="zh-CN"/>
        </w:rPr>
        <w:t>）</w:t>
      </w:r>
      <w:r>
        <w:rPr>
          <w:rFonts w:ascii="宋体" w:hAnsi="宋体" w:hint="eastAsia"/>
          <w:sz w:val="24"/>
          <w:lang w:eastAsia="zh-CN"/>
        </w:rPr>
        <w:t>：</w:t>
      </w:r>
    </w:p>
    <w:p>
      <w:pPr>
        <w:pStyle w:val="Heading1"/>
        <w:spacing w:before="0" w:after="0"/>
        <w:rPr>
          <w:rFonts w:ascii="黑体" w:eastAsia="黑体" w:hAnsi="黑体" w:cs="楷体_GB2312"/>
          <w:b w:val="0"/>
          <w:sz w:val="30"/>
          <w:szCs w:val="30"/>
        </w:rPr>
      </w:pPr>
      <w:r>
        <w:rPr>
          <w:rFonts w:ascii="黑体" w:eastAsia="黑体" w:hAnsi="黑体" w:cs="楷体_GB2312" w:hint="eastAsia"/>
          <w:sz w:val="30"/>
          <w:szCs w:val="30"/>
        </w:rPr>
        <w:drawing>
          <wp:inline distT="0" distB="0" distL="0" distR="0">
            <wp:extent cx="5273040" cy="3825240"/>
            <wp:effectExtent l="0" t="0" r="0" b="0"/>
            <wp:docPr id="1" name="图片 294" descr="2018-09-30_151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94" descr="2018-09-30_151327"/>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5273040" cy="3825240"/>
                    </a:xfrm>
                    <a:prstGeom prst="rect">
                      <a:avLst/>
                    </a:prstGeom>
                    <a:noFill/>
                    <a:ln>
                      <a:noFill/>
                    </a:ln>
                  </pic:spPr>
                </pic:pic>
              </a:graphicData>
            </a:graphic>
          </wp:inline>
        </w:drawing>
      </w:r>
      <w:r>
        <w:rPr>
          <w:rFonts w:ascii="黑体" w:eastAsia="黑体" w:hAnsi="黑体" w:cs="楷体_GB2312" w:hint="eastAsia"/>
          <w:b w:val="0"/>
          <w:sz w:val="30"/>
          <w:szCs w:val="30"/>
        </w:rPr>
        <w:t xml:space="preserve"> </w:t>
      </w:r>
      <w:bookmarkStart w:id="4" w:name="_Toc291146586"/>
    </w:p>
    <w:p>
      <w:pPr>
        <w:pStyle w:val="Heading1"/>
        <w:spacing w:before="0" w:after="0"/>
        <w:ind w:firstLine="2640" w:firstLineChars="1100"/>
        <w:jc w:val="left"/>
        <w:rPr>
          <w:rFonts w:ascii="宋体" w:eastAsia="宋体" w:hAnsi="宋体" w:cs="宋体" w:hint="eastAsia"/>
          <w:b w:val="0"/>
          <w:sz w:val="24"/>
          <w:szCs w:val="24"/>
        </w:rPr>
      </w:pPr>
      <w:r>
        <w:rPr>
          <w:rFonts w:ascii="宋体" w:eastAsia="宋体" w:hAnsi="宋体" w:cs="宋体" w:hint="eastAsia"/>
          <w:b w:val="0"/>
          <w:sz w:val="24"/>
          <w:szCs w:val="24"/>
        </w:rPr>
        <w:t>图1</w:t>
      </w:r>
      <w:r>
        <w:rPr>
          <w:rFonts w:ascii="宋体" w:hAnsi="宋体" w:cs="宋体" w:hint="eastAsia"/>
          <w:b w:val="0"/>
          <w:sz w:val="24"/>
          <w:szCs w:val="24"/>
          <w:lang w:val="en-US" w:eastAsia="zh-CN"/>
        </w:rPr>
        <w:t xml:space="preserve"> </w:t>
      </w:r>
      <w:r>
        <w:rPr>
          <w:rFonts w:ascii="宋体" w:eastAsia="宋体" w:hAnsi="宋体" w:cs="宋体" w:hint="eastAsia"/>
          <w:b w:val="0"/>
          <w:sz w:val="24"/>
          <w:szCs w:val="24"/>
        </w:rPr>
        <w:t>TFT-LCD镀膜工艺流程图</w:t>
      </w:r>
    </w:p>
    <w:p>
      <w:pPr>
        <w:pStyle w:val="Heading1"/>
        <w:keepNext/>
        <w:keepLines/>
        <w:pageBreakBefore w:val="0"/>
        <w:widowControl w:val="0"/>
        <w:kinsoku/>
        <w:wordWrap/>
        <w:overflowPunct/>
        <w:topLinePunct w:val="0"/>
        <w:autoSpaceDE/>
        <w:autoSpaceDN/>
        <w:bidi w:val="0"/>
        <w:adjustRightInd/>
        <w:snapToGrid/>
        <w:spacing w:before="156" w:beforeLines="50" w:after="156" w:afterLines="50" w:line="360" w:lineRule="auto"/>
        <w:textAlignment w:val="auto"/>
        <w:rPr>
          <w:rFonts w:ascii="黑体" w:eastAsia="黑体" w:hAnsi="黑体" w:cs="黑体" w:hint="eastAsia"/>
          <w:b w:val="0"/>
          <w:sz w:val="30"/>
          <w:szCs w:val="30"/>
        </w:rPr>
      </w:pPr>
      <w:r>
        <w:rPr>
          <w:rFonts w:ascii="黑体" w:eastAsia="黑体" w:hAnsi="黑体" w:cs="黑体" w:hint="eastAsia"/>
          <w:b/>
          <w:bCs w:val="0"/>
          <w:sz w:val="30"/>
          <w:szCs w:val="30"/>
          <w:lang w:val="en-US" w:eastAsia="zh-CN"/>
        </w:rPr>
        <w:t>3</w:t>
      </w:r>
      <w:r>
        <w:rPr>
          <w:rFonts w:ascii="黑体" w:eastAsia="黑体" w:hAnsi="黑体" w:cs="黑体" w:hint="eastAsia"/>
          <w:b/>
          <w:bCs w:val="0"/>
          <w:sz w:val="30"/>
          <w:szCs w:val="30"/>
        </w:rPr>
        <w:t xml:space="preserve"> 5PE</w:t>
      </w:r>
      <w:r>
        <w:rPr>
          <w:rFonts w:ascii="黑体" w:eastAsia="黑体" w:hAnsi="黑体" w:cs="黑体" w:hint="eastAsia"/>
          <w:b/>
          <w:bCs w:val="0"/>
          <w:sz w:val="30"/>
          <w:szCs w:val="30"/>
          <w:lang w:val="en-US" w:eastAsia="zh-CN"/>
        </w:rPr>
        <w:t>P</w:t>
      </w:r>
      <w:r>
        <w:rPr>
          <w:rFonts w:ascii="黑体" w:eastAsia="黑体" w:hAnsi="黑体" w:cs="黑体" w:hint="eastAsia"/>
          <w:b/>
          <w:bCs w:val="0"/>
          <w:sz w:val="30"/>
          <w:szCs w:val="30"/>
        </w:rPr>
        <w:t>的工作原理</w:t>
      </w:r>
    </w:p>
    <w:bookmarkEnd w:id="4"/>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600" w:firstLineChars="250"/>
        <w:jc w:val="left"/>
        <w:rPr>
          <w:rFonts w:hint="eastAsia"/>
          <w:sz w:val="24"/>
        </w:rPr>
      </w:pPr>
      <w:r>
        <w:rPr>
          <w:rFonts w:hint="eastAsia"/>
          <w:sz w:val="24"/>
        </w:rPr>
        <w:t>TF-CVD（化学气相沉积法）CVD属于薄膜部，是</w:t>
      </w:r>
      <w:bookmarkStart w:id="5" w:name="OLE_LINK2"/>
      <w:r>
        <w:rPr>
          <w:rFonts w:hint="eastAsia"/>
          <w:sz w:val="24"/>
        </w:rPr>
        <w:t>Array</w:t>
      </w:r>
      <w:bookmarkEnd w:id="5"/>
      <w:r>
        <w:rPr>
          <w:rFonts w:hint="eastAsia"/>
          <w:sz w:val="24"/>
        </w:rPr>
        <w:t>厂的一个部门，Array厂有五道制程气体</w:t>
      </w:r>
      <w:r>
        <w:rPr>
          <w:rFonts w:hint="eastAsia"/>
          <w:sz w:val="24"/>
          <w:lang w:eastAsia="zh-CN"/>
        </w:rPr>
        <w:t>：</w:t>
      </w:r>
      <w:r>
        <w:rPr>
          <w:rFonts w:hint="eastAsia"/>
          <w:sz w:val="24"/>
          <w:lang w:val="en-US" w:eastAsia="zh-CN"/>
        </w:rPr>
        <w:t>5PEP概述（如图2）</w:t>
      </w:r>
    </w:p>
    <w:p>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sz w:val="24"/>
        </w:rPr>
      </w:pPr>
      <w:r>
        <w:rPr>
          <w:rFonts w:hint="eastAsia"/>
          <w:sz w:val="24"/>
        </w:rPr>
        <w:t xml:space="preserve"> M1: 镀的是AI+ 2%Nd,再镀Mo</w:t>
      </w:r>
    </w:p>
    <w:p>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sz w:val="24"/>
        </w:rPr>
      </w:pPr>
      <w:r>
        <w:rPr>
          <w:rFonts w:hint="eastAsia"/>
          <w:sz w:val="24"/>
        </w:rPr>
        <w:t xml:space="preserve"> G-I-N:  G: Gate SiNx        (绝缘层)</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sz w:val="24"/>
        </w:rPr>
      </w:pPr>
      <w:r>
        <w:rPr>
          <w:rFonts w:hint="eastAsia"/>
          <w:sz w:val="24"/>
        </w:rPr>
        <w:t xml:space="preserve">            I: a-Si             (通道层)</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sz w:val="24"/>
        </w:rPr>
      </w:pPr>
      <w:r>
        <w:rPr>
          <w:rFonts w:hint="eastAsia"/>
          <w:sz w:val="24"/>
        </w:rPr>
        <w:t xml:space="preserve">            N: N+a-Si          (降低界面电位差)</w:t>
      </w:r>
    </w:p>
    <w:p>
      <w:pPr>
        <w:widowControl/>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sz w:val="24"/>
        </w:rPr>
      </w:pPr>
      <w:r>
        <w:rPr>
          <w:rFonts w:hint="eastAsia"/>
          <w:sz w:val="24"/>
        </w:rPr>
        <w:t>M2: 镀的是Mo，pureAI, 再镀上Mo</w:t>
      </w:r>
    </w:p>
    <w:p>
      <w:pPr>
        <w:widowControl/>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sz w:val="24"/>
        </w:rPr>
        <w:sectPr>
          <w:footerReference w:type="even" r:id="rId20"/>
          <w:footerReference w:type="default" r:id="rId21"/>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8"/>
          <w:cols w:num="1" w:space="720"/>
          <w:titlePg w:val="0"/>
          <w:docGrid w:type="lines" w:linePitch="312" w:charSpace="0"/>
        </w:sectPr>
      </w:pPr>
      <w:r>
        <w:rPr>
          <w:rFonts w:hint="eastAsia"/>
          <w:sz w:val="24"/>
        </w:rPr>
        <w:t>PV:  镀上的是SiNx        (保护层)</w:t>
      </w:r>
    </w:p>
    <w:p>
      <w:pPr>
        <w:widowControl/>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sz w:val="16"/>
          <w:szCs w:val="16"/>
        </w:rPr>
      </w:pPr>
      <w:r>
        <w:rPr>
          <w:rFonts w:hint="eastAsia"/>
          <w:sz w:val="24"/>
        </w:rPr>
        <w:t xml:space="preserve">ITO: InO90%+SnO10%      (画素电极) </w:t>
      </w:r>
      <w:r>
        <w:rPr>
          <w:rFonts w:hint="eastAsia"/>
          <w:sz w:val="16"/>
          <w:szCs w:val="16"/>
        </w:rPr>
        <w:t xml:space="preserve">       </w:t>
      </w:r>
      <w:r>
        <w:rPr>
          <w:rFonts w:hint="eastAsia"/>
          <w:sz w:val="16"/>
          <w:szCs w:val="16"/>
        </w:rPr>
        <w:drawing>
          <wp:inline distT="0" distB="0" distL="0" distR="0">
            <wp:extent cx="5265420" cy="3177540"/>
            <wp:effectExtent l="0" t="0" r="0" b="0"/>
            <wp:docPr id="2" name="图片 296" descr="2018-09-30_134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96" descr="2018-09-30_134440"/>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a:xfrm>
                      <a:off x="0" y="0"/>
                      <a:ext cx="5265420" cy="3177540"/>
                    </a:xfrm>
                    <a:prstGeom prst="rect">
                      <a:avLst/>
                    </a:prstGeom>
                    <a:noFill/>
                    <a:ln>
                      <a:noFill/>
                    </a:ln>
                  </pic:spPr>
                </pic:pic>
              </a:graphicData>
            </a:graphic>
          </wp:inline>
        </w:drawing>
      </w:r>
    </w:p>
    <w:p>
      <w:pPr>
        <w:widowControl/>
        <w:numPr>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20" w:leftChars="0"/>
        <w:jc w:val="center"/>
        <w:rPr>
          <w:rFonts w:ascii="宋体" w:hAnsi="宋体" w:cs="宋体" w:hint="eastAsia"/>
          <w:sz w:val="24"/>
        </w:rPr>
      </w:pPr>
      <w:r>
        <w:rPr>
          <w:rFonts w:ascii="宋体" w:eastAsia="宋体" w:hAnsi="宋体" w:cs="宋体" w:hint="eastAsia"/>
          <w:sz w:val="24"/>
          <w:szCs w:val="24"/>
          <w:lang w:val="en-US" w:eastAsia="zh-CN"/>
        </w:rPr>
        <w:t>图2 5PEP</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120" w:firstLine="480" w:firstLineChars="200"/>
        <w:jc w:val="left"/>
        <w:rPr>
          <w:sz w:val="16"/>
          <w:szCs w:val="16"/>
        </w:rPr>
      </w:pPr>
      <w:r>
        <w:rPr>
          <w:rFonts w:hint="eastAsia"/>
          <w:sz w:val="24"/>
        </w:rPr>
        <w:t>简单介绍一下镀膜</w:t>
      </w:r>
      <w:r>
        <w:rPr>
          <w:rFonts w:hint="eastAsia"/>
          <w:sz w:val="16"/>
          <w:szCs w:val="16"/>
        </w:rPr>
        <w:t>，</w:t>
      </w:r>
      <w:r>
        <w:rPr>
          <w:rFonts w:ascii="宋体" w:hAnsi="宋体" w:cs="宋体" w:hint="eastAsia"/>
          <w:sz w:val="24"/>
        </w:rPr>
        <w:t>底部为Gate CS,它为PVD镀的第一层膜。由金属AI和MO构成，在上面有三层分别为G,I,N,由CVD镀的G为SiNx(绝缘层), I为a-Si（通道层也叫半导体层）,N为N+（欧姆接触层），在上面一层为S极D极，由PVD镀膜，包含Mo,AI,Mo（信号层）三层，AI层相对较厚，将I,N层蚀刻掉一部分从而使S极D极分开，在上面一层为CVD镀的SiNx保护层，是整面覆盖，最上面一层D极上一部分蚀刻掉，从而镀上ITO（透光导电膜）。</w:t>
      </w:r>
    </w:p>
    <w:p>
      <w:pPr>
        <w:widowControl/>
        <w:tabs>
          <w:tab w:val="left" w:pos="367"/>
          <w:tab w:val="left" w:pos="916"/>
          <w:tab w:val="left" w:pos="2748"/>
          <w:tab w:val="left" w:pos="4580"/>
          <w:tab w:val="left" w:pos="6412"/>
          <w:tab w:val="left" w:pos="8244"/>
          <w:tab w:val="left" w:pos="10076"/>
          <w:tab w:val="left" w:pos="11908"/>
          <w:tab w:val="left" w:pos="13740"/>
        </w:tabs>
        <w:spacing w:line="360" w:lineRule="auto"/>
        <w:jc w:val="center"/>
        <w:rPr>
          <w:sz w:val="16"/>
          <w:szCs w:val="16"/>
        </w:rPr>
      </w:pPr>
      <w:r>
        <w:rPr>
          <w:rFonts w:ascii="宋体" w:eastAsia="宋体" w:hAnsi="宋体" w:cs="宋体" w:hint="eastAsia"/>
          <w:sz w:val="24"/>
          <w:szCs w:val="24"/>
        </w:rPr>
        <w:t>5 PEP的功能</w:t>
      </w:r>
      <w:r>
        <w:rPr>
          <w:rFonts w:ascii="宋体" w:eastAsia="宋体" w:hAnsi="宋体" w:cs="宋体" w:hint="eastAsia"/>
          <w:sz w:val="24"/>
          <w:szCs w:val="24"/>
          <w:lang w:val="en-US" w:eastAsia="zh-CN"/>
        </w:rPr>
        <w:t>表</w:t>
      </w:r>
    </w:p>
    <w:tbl>
      <w:tblPr>
        <w:tblStyle w:val="TableGrid0"/>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840"/>
        <w:gridCol w:w="2841"/>
        <w:gridCol w:w="2841"/>
      </w:tblGrid>
      <w:tr>
        <w:tblPrEx>
          <w:tblW w:w="852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2840"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PEP</w:t>
            </w:r>
          </w:p>
        </w:tc>
        <w:tc>
          <w:tcPr>
            <w:tcW w:w="2841"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Name</w:t>
            </w:r>
          </w:p>
        </w:tc>
        <w:tc>
          <w:tcPr>
            <w:tcW w:w="2841"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Function</w:t>
            </w:r>
          </w:p>
        </w:tc>
      </w:tr>
      <w:tr>
        <w:tblPrEx>
          <w:tblW w:w="8522" w:type="dxa"/>
          <w:tblInd w:w="0" w:type="dxa"/>
          <w:tblLayout w:type="fixed"/>
          <w:tblCellMar>
            <w:top w:w="0" w:type="dxa"/>
            <w:left w:w="108" w:type="dxa"/>
            <w:bottom w:w="0" w:type="dxa"/>
            <w:right w:w="108" w:type="dxa"/>
          </w:tblCellMar>
        </w:tblPrEx>
        <w:trPr>
          <w:trHeight w:val="1370"/>
        </w:trPr>
        <w:tc>
          <w:tcPr>
            <w:tcW w:w="2840"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1</w:t>
            </w:r>
          </w:p>
        </w:tc>
        <w:tc>
          <w:tcPr>
            <w:tcW w:w="2841"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M1</w:t>
            </w:r>
          </w:p>
        </w:tc>
        <w:tc>
          <w:tcPr>
            <w:tcW w:w="2841"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Gate line,TFT闸极，通过加电压控制TFT的“开” “关”</w:t>
            </w:r>
          </w:p>
        </w:tc>
      </w:tr>
      <w:tr>
        <w:tblPrEx>
          <w:tblW w:w="8522" w:type="dxa"/>
          <w:tblInd w:w="0" w:type="dxa"/>
          <w:tblLayout w:type="fixed"/>
          <w:tblCellMar>
            <w:top w:w="0" w:type="dxa"/>
            <w:left w:w="108" w:type="dxa"/>
            <w:bottom w:w="0" w:type="dxa"/>
            <w:right w:w="108" w:type="dxa"/>
          </w:tblCellMar>
        </w:tblPrEx>
        <w:tc>
          <w:tcPr>
            <w:tcW w:w="2840"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2</w:t>
            </w:r>
          </w:p>
        </w:tc>
        <w:tc>
          <w:tcPr>
            <w:tcW w:w="2841"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G</w:t>
            </w:r>
          </w:p>
        </w:tc>
        <w:tc>
          <w:tcPr>
            <w:tcW w:w="2841" w:type="dxa"/>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宋体" w:hAnsi="宋体" w:cs="宋体" w:hint="eastAsia"/>
                <w:sz w:val="24"/>
              </w:rPr>
            </w:pPr>
            <w:r>
              <w:rPr>
                <w:rFonts w:ascii="宋体" w:eastAsia="宋体" w:hAnsi="宋体" w:cs="宋体" w:hint="eastAsia"/>
                <w:sz w:val="24"/>
                <w:szCs w:val="24"/>
              </w:rPr>
              <w:t>绝缘层，将M1和I层隔离，避免短路</w:t>
            </w:r>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https://d.book118.com/887101112153006031</w:t>
        </w:r>
      </w:hyperlink>
    </w:p>
    <w:p/>
    <w:sectPr>
      <w:footerReference w:type="even" r:id="rId24"/>
      <w:footerReference w:type="default" r:id="rId25"/>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1</w:t>
    </w:r>
    <w:r>
      <w:fldChar w:fldCharType="end"/>
    </w:r>
  </w:p>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2</w:t>
    </w:r>
    <w:r>
      <w:fldChar w:fldCharType="end"/>
    </w:r>
  </w:p>
  <w:p>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3</w:t>
    </w:r>
    <w:r>
      <w:fldChar w:fldCharType="end"/>
    </w:r>
  </w:p>
  <w:p>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4</w:t>
    </w:r>
    <w:r>
      <w:fldChar w:fldCharType="end"/>
    </w:r>
  </w:p>
  <w:p>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5</w:t>
    </w:r>
    <w:r>
      <w:fldChar w:fldCharType="end"/>
    </w:r>
  </w:p>
  <w:p>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6</w:t>
    </w:r>
    <w:r>
      <w:fldChar w:fldCharType="end"/>
    </w:r>
  </w:p>
  <w:p>
    <w:pPr>
      <w:pStyle w:val="Footer"/>
      <w:ind w:right="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7</w:t>
    </w:r>
    <w:r>
      <w:fldChar w:fldCharType="end"/>
    </w:r>
  </w:p>
  <w:p>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8</w:t>
    </w:r>
    <w:r>
      <w:fldChar w:fldCharType="end"/>
    </w:r>
  </w:p>
  <w:p>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rPr>
        <w:rStyle w:val="PageNumber"/>
      </w:rPr>
      <w:t>9</w:t>
    </w:r>
    <w:r>
      <w:fldChar w:fldCharType="end"/>
    </w:r>
  </w:p>
  <w:p>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FC63A44"/>
    <w:multiLevelType w:val="singleLevel"/>
    <w:tmpl w:val="EFC63A44"/>
    <w:lvl w:ilvl="0">
      <w:start w:val="3"/>
      <w:numFmt w:val="decimal"/>
      <w:suff w:val="space"/>
      <w:lvlText w:val="%1）"/>
      <w:lvlJc w:val="left"/>
      <w:pPr>
        <w:ind w:left="120" w:firstLine="0"/>
      </w:pPr>
    </w:lvl>
  </w:abstractNum>
  <w:abstractNum w:abstractNumId="1">
    <w:nsid w:val="EFCBC138"/>
    <w:multiLevelType w:val="singleLevel"/>
    <w:tmpl w:val="EFCBC138"/>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D7F"/>
    <w:rsid w:val="00001730"/>
    <w:rsid w:val="00026D08"/>
    <w:rsid w:val="0003170B"/>
    <w:rsid w:val="00033446"/>
    <w:rsid w:val="00036591"/>
    <w:rsid w:val="000438B6"/>
    <w:rsid w:val="00047F86"/>
    <w:rsid w:val="000507AF"/>
    <w:rsid w:val="0005742B"/>
    <w:rsid w:val="00070029"/>
    <w:rsid w:val="00087D84"/>
    <w:rsid w:val="000908C4"/>
    <w:rsid w:val="000A78F3"/>
    <w:rsid w:val="000B3F21"/>
    <w:rsid w:val="000C136C"/>
    <w:rsid w:val="000C53B9"/>
    <w:rsid w:val="000E40FF"/>
    <w:rsid w:val="000F7761"/>
    <w:rsid w:val="00102A5F"/>
    <w:rsid w:val="00105A80"/>
    <w:rsid w:val="00110932"/>
    <w:rsid w:val="00116781"/>
    <w:rsid w:val="00137BF8"/>
    <w:rsid w:val="001428C7"/>
    <w:rsid w:val="0016342C"/>
    <w:rsid w:val="0017606F"/>
    <w:rsid w:val="00183C4D"/>
    <w:rsid w:val="00195A5D"/>
    <w:rsid w:val="001A3E48"/>
    <w:rsid w:val="001A40DF"/>
    <w:rsid w:val="001B111E"/>
    <w:rsid w:val="001C0BB2"/>
    <w:rsid w:val="001E2240"/>
    <w:rsid w:val="001E38C6"/>
    <w:rsid w:val="001E67BB"/>
    <w:rsid w:val="001E77BD"/>
    <w:rsid w:val="00204B42"/>
    <w:rsid w:val="0022075F"/>
    <w:rsid w:val="00222A74"/>
    <w:rsid w:val="0022509D"/>
    <w:rsid w:val="00240EFA"/>
    <w:rsid w:val="00253E28"/>
    <w:rsid w:val="00262704"/>
    <w:rsid w:val="002847C8"/>
    <w:rsid w:val="002B1BF6"/>
    <w:rsid w:val="002C19B6"/>
    <w:rsid w:val="002C4A43"/>
    <w:rsid w:val="002E20C3"/>
    <w:rsid w:val="002E57AD"/>
    <w:rsid w:val="002E6678"/>
    <w:rsid w:val="002F02D2"/>
    <w:rsid w:val="002F1CC0"/>
    <w:rsid w:val="002F773B"/>
    <w:rsid w:val="00301171"/>
    <w:rsid w:val="00310628"/>
    <w:rsid w:val="00313EB8"/>
    <w:rsid w:val="0031754E"/>
    <w:rsid w:val="003215A7"/>
    <w:rsid w:val="00325B6A"/>
    <w:rsid w:val="0032634C"/>
    <w:rsid w:val="00352617"/>
    <w:rsid w:val="00354F5E"/>
    <w:rsid w:val="00360C40"/>
    <w:rsid w:val="00390688"/>
    <w:rsid w:val="00397E73"/>
    <w:rsid w:val="003E3461"/>
    <w:rsid w:val="003F2EA3"/>
    <w:rsid w:val="00415FC5"/>
    <w:rsid w:val="00421A39"/>
    <w:rsid w:val="00437A4E"/>
    <w:rsid w:val="00445F58"/>
    <w:rsid w:val="004616ED"/>
    <w:rsid w:val="00467D7F"/>
    <w:rsid w:val="00475C56"/>
    <w:rsid w:val="00476569"/>
    <w:rsid w:val="00490C2B"/>
    <w:rsid w:val="004914E9"/>
    <w:rsid w:val="004B194E"/>
    <w:rsid w:val="004B3DDF"/>
    <w:rsid w:val="004B445C"/>
    <w:rsid w:val="004C2174"/>
    <w:rsid w:val="004D08CE"/>
    <w:rsid w:val="004D3B6C"/>
    <w:rsid w:val="004D7F8C"/>
    <w:rsid w:val="004E29FB"/>
    <w:rsid w:val="00500CB3"/>
    <w:rsid w:val="0050312D"/>
    <w:rsid w:val="00511D27"/>
    <w:rsid w:val="00513E55"/>
    <w:rsid w:val="00514030"/>
    <w:rsid w:val="00515738"/>
    <w:rsid w:val="005202BD"/>
    <w:rsid w:val="00526011"/>
    <w:rsid w:val="005276ED"/>
    <w:rsid w:val="00535669"/>
    <w:rsid w:val="0057721D"/>
    <w:rsid w:val="005857C1"/>
    <w:rsid w:val="00597528"/>
    <w:rsid w:val="005A7033"/>
    <w:rsid w:val="005B57A3"/>
    <w:rsid w:val="005C1A12"/>
    <w:rsid w:val="005E3889"/>
    <w:rsid w:val="005E3944"/>
    <w:rsid w:val="005E721C"/>
    <w:rsid w:val="005F1D19"/>
    <w:rsid w:val="005F24F3"/>
    <w:rsid w:val="006157B0"/>
    <w:rsid w:val="00627F7C"/>
    <w:rsid w:val="00656D6F"/>
    <w:rsid w:val="00671802"/>
    <w:rsid w:val="00674011"/>
    <w:rsid w:val="00677061"/>
    <w:rsid w:val="006D599F"/>
    <w:rsid w:val="00730B52"/>
    <w:rsid w:val="007323E0"/>
    <w:rsid w:val="0074571F"/>
    <w:rsid w:val="00776335"/>
    <w:rsid w:val="00777ABC"/>
    <w:rsid w:val="00784C52"/>
    <w:rsid w:val="00793D70"/>
    <w:rsid w:val="00797AF7"/>
    <w:rsid w:val="007B07EC"/>
    <w:rsid w:val="007C641E"/>
    <w:rsid w:val="007C73E2"/>
    <w:rsid w:val="007D1CCE"/>
    <w:rsid w:val="007E699F"/>
    <w:rsid w:val="008170CD"/>
    <w:rsid w:val="0081795C"/>
    <w:rsid w:val="00826E13"/>
    <w:rsid w:val="00833AC5"/>
    <w:rsid w:val="00865B82"/>
    <w:rsid w:val="008A0691"/>
    <w:rsid w:val="008B3FB0"/>
    <w:rsid w:val="008B5B56"/>
    <w:rsid w:val="008C7146"/>
    <w:rsid w:val="008E1341"/>
    <w:rsid w:val="008E378D"/>
    <w:rsid w:val="00901380"/>
    <w:rsid w:val="009140E3"/>
    <w:rsid w:val="00917B9E"/>
    <w:rsid w:val="009312E0"/>
    <w:rsid w:val="009568EE"/>
    <w:rsid w:val="00961AEF"/>
    <w:rsid w:val="009B4979"/>
    <w:rsid w:val="009C6F24"/>
    <w:rsid w:val="00A1517C"/>
    <w:rsid w:val="00A16329"/>
    <w:rsid w:val="00A22906"/>
    <w:rsid w:val="00A532F4"/>
    <w:rsid w:val="00A54DE2"/>
    <w:rsid w:val="00A6750B"/>
    <w:rsid w:val="00A73E7F"/>
    <w:rsid w:val="00AC28DB"/>
    <w:rsid w:val="00AF586F"/>
    <w:rsid w:val="00B20EB4"/>
    <w:rsid w:val="00B225FD"/>
    <w:rsid w:val="00B2490F"/>
    <w:rsid w:val="00B36942"/>
    <w:rsid w:val="00B448FE"/>
    <w:rsid w:val="00B45496"/>
    <w:rsid w:val="00B56D79"/>
    <w:rsid w:val="00B60FAD"/>
    <w:rsid w:val="00B6163D"/>
    <w:rsid w:val="00B64371"/>
    <w:rsid w:val="00B718CB"/>
    <w:rsid w:val="00B9150A"/>
    <w:rsid w:val="00BB43E2"/>
    <w:rsid w:val="00BD24A1"/>
    <w:rsid w:val="00BD4F58"/>
    <w:rsid w:val="00BE1448"/>
    <w:rsid w:val="00BE3E6D"/>
    <w:rsid w:val="00C05490"/>
    <w:rsid w:val="00C07845"/>
    <w:rsid w:val="00C206C2"/>
    <w:rsid w:val="00C23561"/>
    <w:rsid w:val="00C251A0"/>
    <w:rsid w:val="00C51309"/>
    <w:rsid w:val="00C53D3A"/>
    <w:rsid w:val="00C561EC"/>
    <w:rsid w:val="00C565E6"/>
    <w:rsid w:val="00C94E56"/>
    <w:rsid w:val="00CA0616"/>
    <w:rsid w:val="00CA300C"/>
    <w:rsid w:val="00CA5F3B"/>
    <w:rsid w:val="00CB1DF6"/>
    <w:rsid w:val="00D02C50"/>
    <w:rsid w:val="00D0616F"/>
    <w:rsid w:val="00D61903"/>
    <w:rsid w:val="00D65729"/>
    <w:rsid w:val="00D65736"/>
    <w:rsid w:val="00D767BA"/>
    <w:rsid w:val="00D76F11"/>
    <w:rsid w:val="00D9109C"/>
    <w:rsid w:val="00D93BAE"/>
    <w:rsid w:val="00D947EF"/>
    <w:rsid w:val="00DA254E"/>
    <w:rsid w:val="00DA458B"/>
    <w:rsid w:val="00DB4AFC"/>
    <w:rsid w:val="00DC53A9"/>
    <w:rsid w:val="00DD2086"/>
    <w:rsid w:val="00DF0474"/>
    <w:rsid w:val="00E07C67"/>
    <w:rsid w:val="00E40607"/>
    <w:rsid w:val="00E50EC8"/>
    <w:rsid w:val="00E64C58"/>
    <w:rsid w:val="00E6592F"/>
    <w:rsid w:val="00E67003"/>
    <w:rsid w:val="00E7602C"/>
    <w:rsid w:val="00E833F3"/>
    <w:rsid w:val="00E928A0"/>
    <w:rsid w:val="00EA1BEC"/>
    <w:rsid w:val="00EB431D"/>
    <w:rsid w:val="00EC0C48"/>
    <w:rsid w:val="00ED2111"/>
    <w:rsid w:val="00ED4748"/>
    <w:rsid w:val="00EE0621"/>
    <w:rsid w:val="00F04B99"/>
    <w:rsid w:val="00F11DA5"/>
    <w:rsid w:val="00F24AB7"/>
    <w:rsid w:val="00F304E4"/>
    <w:rsid w:val="00F32875"/>
    <w:rsid w:val="00F5275E"/>
    <w:rsid w:val="00F64209"/>
    <w:rsid w:val="00F75A49"/>
    <w:rsid w:val="00F9125F"/>
    <w:rsid w:val="00F92F44"/>
    <w:rsid w:val="00FB5B2A"/>
    <w:rsid w:val="00FD038F"/>
    <w:rsid w:val="00FD4EE2"/>
    <w:rsid w:val="00FD6504"/>
    <w:rsid w:val="00FE0910"/>
    <w:rsid w:val="00FE3195"/>
    <w:rsid w:val="00FE377E"/>
    <w:rsid w:val="00FE5293"/>
    <w:rsid w:val="01DF3844"/>
    <w:rsid w:val="052C1F60"/>
    <w:rsid w:val="056025FA"/>
    <w:rsid w:val="07BA2284"/>
    <w:rsid w:val="0A47657B"/>
    <w:rsid w:val="0A9F3AE8"/>
    <w:rsid w:val="0AE01996"/>
    <w:rsid w:val="0C5D2FE7"/>
    <w:rsid w:val="0C79683B"/>
    <w:rsid w:val="0D20542B"/>
    <w:rsid w:val="0DE253C2"/>
    <w:rsid w:val="10302BEC"/>
    <w:rsid w:val="11926B14"/>
    <w:rsid w:val="140860C6"/>
    <w:rsid w:val="18FF5E1B"/>
    <w:rsid w:val="1D575175"/>
    <w:rsid w:val="1F4048C5"/>
    <w:rsid w:val="219928C1"/>
    <w:rsid w:val="219D0E63"/>
    <w:rsid w:val="26F850BF"/>
    <w:rsid w:val="27187CF1"/>
    <w:rsid w:val="32813FE5"/>
    <w:rsid w:val="33475490"/>
    <w:rsid w:val="342B2A3D"/>
    <w:rsid w:val="36422E1B"/>
    <w:rsid w:val="38F530BF"/>
    <w:rsid w:val="3CA30B30"/>
    <w:rsid w:val="3CAE599D"/>
    <w:rsid w:val="3DE0439E"/>
    <w:rsid w:val="3FD94047"/>
    <w:rsid w:val="41B5701B"/>
    <w:rsid w:val="41FA59E4"/>
    <w:rsid w:val="424E142C"/>
    <w:rsid w:val="43FF753D"/>
    <w:rsid w:val="44D176CE"/>
    <w:rsid w:val="468158E0"/>
    <w:rsid w:val="47442C7E"/>
    <w:rsid w:val="484227DA"/>
    <w:rsid w:val="48D201B1"/>
    <w:rsid w:val="48FD0A5A"/>
    <w:rsid w:val="491D6F44"/>
    <w:rsid w:val="4A0A78AA"/>
    <w:rsid w:val="4D3D5D9A"/>
    <w:rsid w:val="52515668"/>
    <w:rsid w:val="5C296AE6"/>
    <w:rsid w:val="634651AB"/>
    <w:rsid w:val="69955A07"/>
    <w:rsid w:val="6C3C5FB0"/>
    <w:rsid w:val="6E7D6DE8"/>
    <w:rsid w:val="710A7E2C"/>
    <w:rsid w:val="71D67CEE"/>
    <w:rsid w:val="74CD3605"/>
    <w:rsid w:val="7C175DC7"/>
    <w:rsid w:val="7D1146B9"/>
    <w:rsid w:val="7F1410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a"/>
    <w:rPr>
      <w:sz w:val="18"/>
      <w:szCs w:val="18"/>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pPr>
      <w:tabs>
        <w:tab w:val="right" w:leader="dot" w:pos="8296"/>
      </w:tabs>
      <w:spacing w:before="156" w:beforeLines="50" w:after="156" w:afterLines="50" w:line="360" w:lineRule="auto"/>
    </w:pPr>
  </w:style>
  <w:style w:type="paragraph" w:styleId="TOC2">
    <w:name w:val="toc 2"/>
    <w:basedOn w:val="Normal"/>
    <w:next w:val="Normal"/>
    <w:semiHidden/>
    <w:pPr>
      <w:tabs>
        <w:tab w:val="right" w:leader="dot" w:pos="8296"/>
      </w:tabs>
      <w:spacing w:line="360" w:lineRule="exact"/>
      <w:ind w:left="420" w:leftChars="200"/>
    </w:pPr>
  </w:style>
  <w:style w:type="paragraph" w:styleId="HTMLPreformatted">
    <w:name w:val="HTML Preformatted"/>
    <w:basedOn w:val="Norma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pPr>
      <w:widowControl/>
      <w:spacing w:before="100" w:beforeAutospacing="1" w:after="100" w:afterAutospacing="1"/>
      <w:jc w:val="left"/>
    </w:pPr>
    <w:rPr>
      <w:rFonts w:ascii="宋体" w:hAnsi="宋体" w:cs="宋体"/>
      <w:kern w:val="0"/>
      <w:sz w:val="24"/>
    </w:rPr>
  </w:style>
  <w:style w:type="character" w:styleId="Strong">
    <w:name w:val="Strong"/>
    <w:qFormat/>
    <w:rPr>
      <w:b/>
      <w:bCs/>
    </w:rPr>
  </w:style>
  <w:style w:type="character" w:styleId="PageNumber">
    <w:name w:val="page number"/>
    <w:basedOn w:val="DefaultParagraphFont"/>
  </w:style>
  <w:style w:type="character" w:styleId="Hyperlink">
    <w:name w:val="Hyperlink"/>
    <w:rPr>
      <w:color w:val="0000FF"/>
      <w:u w:val="single"/>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批注框文本 字符"/>
    <w:basedOn w:val="DefaultParagraphFont"/>
    <w:link w:val="BalloonText"/>
    <w:rPr>
      <w:kern w:val="2"/>
      <w:sz w:val="18"/>
      <w:szCs w:val="18"/>
    </w:rPr>
  </w:style>
  <w:style w:type="table" w:customStyle="1" w:styleId="TableGrid0">
    <w:name w:val="Table Grid_0"/>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image" Target="media/image1.png"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image" Target="media/image2.png" /><Relationship Id="rId23" Type="http://schemas.openxmlformats.org/officeDocument/2006/relationships/hyperlink" Target="https://d.book118.com/887101112153006031" TargetMode="Externa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1780</Words>
  <Characters>10147</Characters>
  <Application>Microsoft Office Word</Application>
  <DocSecurity>0</DocSecurity>
  <Lines>84</Lines>
  <Paragraphs>23</Paragraphs>
  <ScaleCrop>false</ScaleCrop>
  <Company>ncit3</Company>
  <LinksUpToDate>false</LinksUpToDate>
  <CharactersWithSpaces>11904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阶4丁春宇13921434426</cp:lastModifiedBy>
  <cp:revision>3</cp:revision>
  <dcterms:created xsi:type="dcterms:W3CDTF">2019-05-07T12:45:00Z</dcterms:created>
  <dcterms:modified xsi:type="dcterms:W3CDTF">2019-05-10T14:33:07Z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2052-10.1.0.7510</vt:lpwstr>
  </property>
  <property fmtid="{D5CDD505-2E9C-101B-9397-08002B2CF9AE}" pid="3" name="KSORubyTemplateID">
    <vt:lpwstr>6</vt:lpwstr>
  </property>
  <property fmtid="{D5CDD505-2E9C-101B-9397-08002B2CF9AE}" pid="4" name="MTWinEqns">
    <vt:bool>true</vt:bool>
  </property>
</Properties>
</file>