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rPr>
          <w:rFonts w:hint="eastAsia"/>
        </w:rPr>
      </w:pPr>
      <w:bookmarkStart w:id="0" w:name="_Toc150527643"/>
      <w:bookmarkStart w:id="1" w:name="_GoBack"/>
      <w:bookmarkEnd w:id="1"/>
    </w:p>
    <w:p>
      <w:pPr>
        <w:pStyle w:val="TOC1"/>
        <w:rPr>
          <w:rFonts w:hint="eastAsia"/>
        </w:rPr>
      </w:pPr>
    </w:p>
    <w:bookmarkEnd w:id="0"/>
    <w:p>
      <w:pPr>
        <w:pStyle w:val="Normal0"/>
        <w:jc w:val="center"/>
        <w:rPr>
          <w:rFonts w:ascii="华文琥珀" w:eastAsia="华文琥珀" w:hint="eastAsia"/>
          <w:b/>
          <w:sz w:val="48"/>
          <w:szCs w:val="48"/>
        </w:rPr>
      </w:pPr>
      <w:bookmarkStart w:id="2" w:name="_Toc150527655"/>
      <w:bookmarkStart w:id="3" w:name="_Toc151727102"/>
      <w:r>
        <w:rPr>
          <w:rFonts w:ascii="华文琥珀" w:eastAsia="华文琥珀" w:hint="eastAsia"/>
          <w:b/>
          <w:sz w:val="48"/>
          <w:szCs w:val="48"/>
        </w:rPr>
        <w:t>广东新益双农业开发有限公司</w:t>
      </w:r>
    </w:p>
    <w:p>
      <w:pPr>
        <w:pStyle w:val="Normal0"/>
        <w:jc w:val="center"/>
        <w:rPr>
          <w:rFonts w:ascii="华文琥珀" w:eastAsia="华文琥珀" w:hint="eastAsia"/>
          <w:b/>
          <w:sz w:val="48"/>
          <w:szCs w:val="48"/>
        </w:rPr>
      </w:pPr>
    </w:p>
    <w:p>
      <w:pPr>
        <w:pStyle w:val="Normal0"/>
        <w:jc w:val="center"/>
        <w:rPr>
          <w:rFonts w:ascii="华文琥珀" w:eastAsia="华文琥珀" w:hint="eastAsia"/>
          <w:b/>
          <w:sz w:val="48"/>
          <w:szCs w:val="48"/>
        </w:rPr>
      </w:pPr>
      <w:r>
        <w:rPr>
          <w:rFonts w:ascii="华文琥珀" w:eastAsia="华文琥珀" w:hint="eastAsia"/>
          <w:b/>
          <w:sz w:val="48"/>
          <w:szCs w:val="48"/>
        </w:rPr>
        <w:t>有机蔬菜基地</w:t>
      </w:r>
    </w:p>
    <w:p>
      <w:pPr>
        <w:pStyle w:val="Normal0"/>
        <w:rPr>
          <w:rFonts w:ascii="隶书" w:eastAsia="隶书" w:hint="eastAsia"/>
          <w:b/>
          <w:sz w:val="72"/>
          <w:szCs w:val="72"/>
        </w:rPr>
      </w:pPr>
    </w:p>
    <w:p>
      <w:pPr>
        <w:pStyle w:val="Normal0"/>
        <w:rPr>
          <w:rFonts w:ascii="隶书" w:eastAsia="隶书" w:hint="eastAsia"/>
          <w:b/>
          <w:sz w:val="72"/>
          <w:szCs w:val="72"/>
        </w:rPr>
      </w:pPr>
    </w:p>
    <w:p>
      <w:pPr>
        <w:pStyle w:val="Normal0"/>
        <w:jc w:val="center"/>
        <w:rPr>
          <w:rFonts w:ascii="隶书" w:eastAsia="隶书" w:hint="eastAsia"/>
          <w:b/>
          <w:sz w:val="72"/>
          <w:szCs w:val="72"/>
        </w:rPr>
      </w:pPr>
      <w:r>
        <w:rPr>
          <w:rFonts w:ascii="隶书" w:eastAsia="隶书" w:hint="eastAsia"/>
          <w:b/>
          <w:sz w:val="72"/>
          <w:szCs w:val="72"/>
        </w:rPr>
        <w:t>生</w:t>
      </w:r>
    </w:p>
    <w:p>
      <w:pPr>
        <w:pStyle w:val="Normal0"/>
        <w:jc w:val="center"/>
        <w:rPr>
          <w:rFonts w:ascii="隶书" w:eastAsia="隶书" w:hint="eastAsia"/>
          <w:b/>
          <w:sz w:val="72"/>
          <w:szCs w:val="72"/>
        </w:rPr>
      </w:pPr>
      <w:r>
        <w:rPr>
          <w:rFonts w:ascii="隶书" w:eastAsia="隶书" w:hint="eastAsia"/>
          <w:b/>
          <w:sz w:val="72"/>
          <w:szCs w:val="72"/>
        </w:rPr>
        <w:t>产</w:t>
      </w:r>
    </w:p>
    <w:p>
      <w:pPr>
        <w:pStyle w:val="Normal0"/>
        <w:jc w:val="center"/>
        <w:rPr>
          <w:rFonts w:ascii="隶书" w:eastAsia="隶书" w:hint="eastAsia"/>
          <w:b/>
          <w:sz w:val="72"/>
          <w:szCs w:val="72"/>
        </w:rPr>
      </w:pPr>
      <w:r>
        <w:rPr>
          <w:rFonts w:ascii="隶书" w:eastAsia="隶书" w:hint="eastAsia"/>
          <w:b/>
          <w:sz w:val="72"/>
          <w:szCs w:val="72"/>
        </w:rPr>
        <w:t>管</w:t>
      </w:r>
    </w:p>
    <w:p>
      <w:pPr>
        <w:pStyle w:val="Normal0"/>
        <w:jc w:val="center"/>
        <w:rPr>
          <w:rFonts w:ascii="隶书" w:eastAsia="隶书" w:hint="eastAsia"/>
          <w:b/>
          <w:sz w:val="72"/>
          <w:szCs w:val="72"/>
        </w:rPr>
      </w:pPr>
      <w:r>
        <w:rPr>
          <w:rFonts w:ascii="隶书" w:eastAsia="隶书" w:hint="eastAsia"/>
          <w:b/>
          <w:sz w:val="72"/>
          <w:szCs w:val="72"/>
        </w:rPr>
        <w:t>理</w:t>
      </w:r>
    </w:p>
    <w:p>
      <w:pPr>
        <w:pStyle w:val="Normal0"/>
        <w:jc w:val="center"/>
        <w:rPr>
          <w:rFonts w:ascii="隶书" w:eastAsia="隶书" w:hint="eastAsia"/>
          <w:b/>
          <w:sz w:val="72"/>
          <w:szCs w:val="72"/>
        </w:rPr>
      </w:pPr>
      <w:r>
        <w:rPr>
          <w:rFonts w:ascii="隶书" w:eastAsia="隶书" w:hint="eastAsia"/>
          <w:b/>
          <w:sz w:val="72"/>
          <w:szCs w:val="72"/>
        </w:rPr>
        <w:t>手</w:t>
      </w:r>
    </w:p>
    <w:p>
      <w:pPr>
        <w:pStyle w:val="Normal0"/>
        <w:jc w:val="center"/>
        <w:rPr>
          <w:rFonts w:ascii="隶书" w:eastAsia="隶书" w:hint="eastAsia"/>
          <w:b/>
          <w:sz w:val="72"/>
          <w:szCs w:val="72"/>
        </w:rPr>
      </w:pPr>
      <w:r>
        <w:rPr>
          <w:rFonts w:ascii="隶书" w:eastAsia="隶书" w:hint="eastAsia"/>
          <w:b/>
          <w:sz w:val="72"/>
          <w:szCs w:val="72"/>
        </w:rPr>
        <w:t>册</w:t>
      </w:r>
    </w:p>
    <w:p>
      <w:pPr>
        <w:pStyle w:val="TOC1"/>
        <w:rPr>
          <w:rFonts w:hint="eastAsia"/>
        </w:rPr>
      </w:pPr>
    </w:p>
    <w:p>
      <w:pPr>
        <w:pStyle w:val="TOC1"/>
        <w:rPr>
          <w:rFonts w:hint="eastAsia"/>
        </w:rPr>
      </w:pPr>
      <w:r>
        <w:rPr>
          <w:rFonts w:hint="eastAsia"/>
        </w:rPr>
        <w:t>（草稿）</w:t>
      </w:r>
    </w:p>
    <w:p>
      <w:pPr>
        <w:pStyle w:val="TOC1"/>
        <w:rPr>
          <w:rFonts w:hint="eastAsia"/>
        </w:rPr>
      </w:pPr>
    </w:p>
    <w:p>
      <w:pPr>
        <w:pStyle w:val="TOC1"/>
        <w:rPr>
          <w:rFonts w:hint="eastAsia"/>
        </w:rPr>
        <w:sectPr>
          <w:headerReference w:type="default" r:id="rId5"/>
          <w:footerReference w:type="default" r:id="rId6"/>
          <w:pgSz w:w="11906" w:h="16838"/>
          <w:pgMar w:top="1440" w:right="1797" w:bottom="1440" w:left="1797" w:header="851" w:footer="992" w:gutter="0"/>
          <w:cols w:num="1" w:space="720"/>
          <w:docGrid w:type="linesAndChars" w:linePitch="312" w:charSpace="0"/>
        </w:sectPr>
      </w:pPr>
      <w:r>
        <w:rPr>
          <w:rFonts w:hint="eastAsia"/>
        </w:rPr>
        <w:t>二零一四年二月十五日</w:t>
      </w:r>
    </w:p>
    <w:p>
      <w:pPr>
        <w:pStyle w:val="Normal0"/>
        <w:rPr>
          <w:rFonts w:hint="eastAsia"/>
        </w:rPr>
      </w:pPr>
    </w:p>
    <w:p>
      <w:pPr>
        <w:pStyle w:val="TOC1"/>
        <w:rPr>
          <w:rFonts w:hint="eastAsia"/>
        </w:rPr>
      </w:pPr>
    </w:p>
    <w:p>
      <w:pPr>
        <w:pStyle w:val="Normal0"/>
        <w:rPr>
          <w:rFonts w:hint="eastAsia"/>
        </w:rPr>
      </w:pPr>
    </w:p>
    <w:p>
      <w:pPr>
        <w:pStyle w:val="TOC1"/>
        <w:rPr>
          <w:rFonts w:hint="eastAsia"/>
          <w:b/>
          <w:bCs/>
          <w:sz w:val="30"/>
          <w:szCs w:val="30"/>
        </w:rPr>
      </w:pPr>
      <w:r>
        <w:rPr>
          <w:rFonts w:hint="eastAsia"/>
          <w:b/>
          <w:bCs/>
          <w:sz w:val="30"/>
          <w:szCs w:val="30"/>
        </w:rPr>
        <w:t>目　　录</w:t>
      </w:r>
    </w:p>
    <w:p>
      <w:pPr>
        <w:pStyle w:val="TOC1"/>
        <w:jc w:val="both"/>
        <w:rPr>
          <w:rFonts w:ascii="Times New Roman" w:eastAsia="宋体"/>
          <w:b/>
          <w:bCs/>
          <w:sz w:val="24"/>
          <w:szCs w:val="24"/>
        </w:rPr>
      </w:pPr>
      <w:r>
        <w:rPr>
          <w:sz w:val="21"/>
          <w:szCs w:val="21"/>
        </w:rPr>
        <w:fldChar w:fldCharType="begin"/>
      </w:r>
      <w:r>
        <w:rPr>
          <w:sz w:val="21"/>
          <w:szCs w:val="21"/>
        </w:rPr>
        <w:instrText xml:space="preserve"> TOC \o "1-3" \n \p " " \h \z \u </w:instrText>
      </w:r>
      <w:r>
        <w:rPr>
          <w:sz w:val="21"/>
          <w:szCs w:val="21"/>
        </w:rPr>
        <w:fldChar w:fldCharType="separate"/>
      </w:r>
      <w:hyperlink w:anchor="_Toc151727091" w:history="1">
        <w:r>
          <w:rPr>
            <w:rStyle w:val="Hyperlink"/>
            <w:rFonts w:hint="eastAsia"/>
            <w:b/>
            <w:bCs/>
            <w:color w:val="auto"/>
            <w:sz w:val="24"/>
            <w:szCs w:val="24"/>
          </w:rPr>
          <w:t>第一章、有机蔬菜种植的目标</w:t>
        </w:r>
      </w:hyperlink>
    </w:p>
    <w:p>
      <w:pPr>
        <w:pStyle w:val="TOC1"/>
        <w:jc w:val="both"/>
        <w:rPr>
          <w:rFonts w:ascii="Times New Roman" w:eastAsia="宋体"/>
          <w:b/>
          <w:bCs/>
          <w:sz w:val="24"/>
          <w:szCs w:val="24"/>
        </w:rPr>
      </w:pPr>
      <w:hyperlink w:anchor="_Toc151727092" w:history="1">
        <w:r>
          <w:rPr>
            <w:rStyle w:val="Hyperlink"/>
            <w:rFonts w:hint="eastAsia"/>
            <w:b/>
            <w:bCs/>
            <w:color w:val="auto"/>
            <w:sz w:val="24"/>
            <w:szCs w:val="24"/>
          </w:rPr>
          <w:t>第二章、发展</w:t>
        </w:r>
        <w:r>
          <w:rPr>
            <w:rStyle w:val="Hyperlink"/>
            <w:rFonts w:hint="eastAsia"/>
            <w:b/>
            <w:bCs/>
            <w:color w:val="auto"/>
            <w:sz w:val="24"/>
            <w:szCs w:val="24"/>
            <w:lang w:eastAsia="zh-CN"/>
          </w:rPr>
          <w:t>相关相关计划</w:t>
        </w:r>
      </w:hyperlink>
    </w:p>
    <w:p>
      <w:pPr>
        <w:pStyle w:val="TOC1"/>
        <w:jc w:val="both"/>
        <w:rPr>
          <w:rFonts w:ascii="Times New Roman" w:eastAsia="宋体"/>
          <w:b/>
          <w:sz w:val="21"/>
          <w:szCs w:val="21"/>
        </w:rPr>
      </w:pPr>
      <w:hyperlink w:anchor="_Toc151727093" w:history="1">
        <w:r>
          <w:rPr>
            <w:rFonts w:hint="eastAsia"/>
            <w:b/>
            <w:bCs/>
            <w:sz w:val="24"/>
            <w:szCs w:val="24"/>
          </w:rPr>
          <w:t>第三章、有机蔬菜基地的建设环境要求</w:t>
        </w:r>
      </w:hyperlink>
    </w:p>
    <w:p>
      <w:pPr>
        <w:pStyle w:val="TOC2"/>
        <w:tabs>
          <w:tab w:val="right" w:leader="dot" w:pos="8302"/>
        </w:tabs>
        <w:rPr>
          <w:szCs w:val="21"/>
        </w:rPr>
      </w:pPr>
      <w:hyperlink w:anchor="_Toc151727094" w:history="1">
        <w:r>
          <w:rPr>
            <w:rStyle w:val="Hyperlink"/>
            <w:rFonts w:ascii="黑体" w:hint="eastAsia"/>
            <w:color w:val="auto"/>
            <w:kern w:val="44"/>
            <w:szCs w:val="21"/>
          </w:rPr>
          <w:t>一、基地环境</w:t>
        </w:r>
      </w:hyperlink>
    </w:p>
    <w:p>
      <w:pPr>
        <w:pStyle w:val="TOC2"/>
        <w:tabs>
          <w:tab w:val="right" w:leader="dot" w:pos="8302"/>
        </w:tabs>
        <w:rPr>
          <w:szCs w:val="21"/>
        </w:rPr>
      </w:pPr>
      <w:hyperlink w:anchor="_Toc151727095" w:history="1">
        <w:r>
          <w:rPr>
            <w:rStyle w:val="Hyperlink"/>
            <w:rFonts w:ascii="黑体" w:hint="eastAsia"/>
            <w:color w:val="auto"/>
            <w:kern w:val="44"/>
            <w:szCs w:val="21"/>
          </w:rPr>
          <w:t>二、对环境的监测</w:t>
        </w:r>
      </w:hyperlink>
    </w:p>
    <w:p>
      <w:pPr>
        <w:pStyle w:val="TOC2"/>
        <w:tabs>
          <w:tab w:val="right" w:leader="dot" w:pos="8302"/>
        </w:tabs>
        <w:rPr>
          <w:szCs w:val="21"/>
        </w:rPr>
      </w:pPr>
      <w:hyperlink w:anchor="_Toc151727096" w:history="1">
        <w:r>
          <w:rPr>
            <w:rStyle w:val="Hyperlink"/>
            <w:rFonts w:ascii="黑体" w:hint="eastAsia"/>
            <w:color w:val="auto"/>
            <w:kern w:val="44"/>
            <w:szCs w:val="21"/>
          </w:rPr>
          <w:t>三、污染源的杜绝</w:t>
        </w:r>
      </w:hyperlink>
    </w:p>
    <w:p>
      <w:pPr>
        <w:pStyle w:val="TOC1"/>
        <w:jc w:val="both"/>
        <w:rPr>
          <w:rFonts w:ascii="Times New Roman" w:eastAsia="宋体"/>
          <w:b/>
          <w:sz w:val="21"/>
          <w:szCs w:val="21"/>
        </w:rPr>
      </w:pPr>
      <w:hyperlink w:anchor="_Toc151727097" w:history="1">
        <w:r>
          <w:rPr>
            <w:rFonts w:hint="eastAsia"/>
            <w:b/>
            <w:bCs/>
            <w:sz w:val="24"/>
            <w:szCs w:val="24"/>
          </w:rPr>
          <w:t>第四章、有机蔬菜加工中心区域的环境要求</w:t>
        </w:r>
      </w:hyperlink>
    </w:p>
    <w:p>
      <w:pPr>
        <w:pStyle w:val="TOC2"/>
        <w:tabs>
          <w:tab w:val="right" w:leader="dot" w:pos="8302"/>
        </w:tabs>
        <w:rPr>
          <w:szCs w:val="21"/>
        </w:rPr>
      </w:pPr>
      <w:hyperlink w:anchor="_Toc151727098" w:history="1">
        <w:r>
          <w:rPr>
            <w:rStyle w:val="Hyperlink"/>
            <w:rFonts w:ascii="黑体" w:hint="eastAsia"/>
            <w:color w:val="auto"/>
            <w:kern w:val="44"/>
            <w:szCs w:val="21"/>
          </w:rPr>
          <w:t>一、加工中心周围环境要求</w:t>
        </w:r>
      </w:hyperlink>
    </w:p>
    <w:p>
      <w:pPr>
        <w:pStyle w:val="TOC2"/>
        <w:tabs>
          <w:tab w:val="right" w:leader="dot" w:pos="8302"/>
        </w:tabs>
        <w:rPr>
          <w:szCs w:val="21"/>
        </w:rPr>
      </w:pPr>
      <w:hyperlink w:anchor="_Toc151727099" w:history="1">
        <w:r>
          <w:rPr>
            <w:rStyle w:val="Hyperlink"/>
            <w:rFonts w:ascii="黑体" w:hint="eastAsia"/>
            <w:color w:val="auto"/>
            <w:kern w:val="44"/>
            <w:szCs w:val="21"/>
          </w:rPr>
          <w:t>二、生产区的要求</w:t>
        </w:r>
      </w:hyperlink>
    </w:p>
    <w:p>
      <w:pPr>
        <w:pStyle w:val="TOC1"/>
        <w:jc w:val="both"/>
        <w:rPr>
          <w:rFonts w:ascii="Times New Roman" w:eastAsia="宋体"/>
          <w:b/>
          <w:sz w:val="21"/>
          <w:szCs w:val="21"/>
        </w:rPr>
      </w:pPr>
      <w:hyperlink w:anchor="_Toc151727100" w:history="1">
        <w:r>
          <w:rPr>
            <w:rFonts w:hint="eastAsia"/>
            <w:b/>
            <w:bCs/>
            <w:sz w:val="24"/>
            <w:szCs w:val="24"/>
          </w:rPr>
          <w:t>第五章、有机蔬菜农业投入品的选择、施用和</w:t>
        </w:r>
        <w:r>
          <w:rPr>
            <w:rFonts w:hint="eastAsia"/>
            <w:b/>
            <w:bCs/>
            <w:sz w:val="24"/>
            <w:szCs w:val="24"/>
            <w:lang w:eastAsia="zh-CN"/>
          </w:rPr>
          <w:t>管理管控管控</w:t>
        </w:r>
        <w:r>
          <w:rPr>
            <w:rFonts w:hint="eastAsia"/>
            <w:b/>
            <w:bCs/>
            <w:sz w:val="24"/>
            <w:szCs w:val="24"/>
          </w:rPr>
          <w:t>标准</w:t>
        </w:r>
      </w:hyperlink>
    </w:p>
    <w:p>
      <w:pPr>
        <w:pStyle w:val="TOC2"/>
        <w:tabs>
          <w:tab w:val="right" w:leader="dot" w:pos="8302"/>
        </w:tabs>
        <w:rPr>
          <w:szCs w:val="21"/>
        </w:rPr>
      </w:pPr>
      <w:hyperlink w:anchor="_Toc151727101" w:history="1">
        <w:r>
          <w:rPr>
            <w:rStyle w:val="Hyperlink"/>
            <w:rFonts w:ascii="黑体" w:hint="eastAsia"/>
            <w:color w:val="auto"/>
            <w:kern w:val="44"/>
            <w:szCs w:val="21"/>
          </w:rPr>
          <w:t>一、种子的选择标准</w:t>
        </w:r>
      </w:hyperlink>
    </w:p>
    <w:p>
      <w:pPr>
        <w:pStyle w:val="TOC2"/>
        <w:tabs>
          <w:tab w:val="right" w:leader="dot" w:pos="8302"/>
        </w:tabs>
        <w:rPr>
          <w:szCs w:val="21"/>
        </w:rPr>
      </w:pPr>
      <w:hyperlink w:anchor="_Toc151727102" w:history="1">
        <w:r>
          <w:rPr>
            <w:rStyle w:val="Hyperlink"/>
            <w:rFonts w:ascii="黑体" w:hint="eastAsia"/>
            <w:color w:val="auto"/>
            <w:kern w:val="44"/>
            <w:szCs w:val="21"/>
          </w:rPr>
          <w:t>二、农药的选择和使用标准</w:t>
        </w:r>
      </w:hyperlink>
    </w:p>
    <w:p>
      <w:pPr>
        <w:pStyle w:val="TOC2"/>
        <w:tabs>
          <w:tab w:val="right" w:leader="dot" w:pos="8302"/>
        </w:tabs>
        <w:rPr>
          <w:szCs w:val="21"/>
        </w:rPr>
      </w:pPr>
      <w:hyperlink w:anchor="_Toc151727103" w:history="1">
        <w:r>
          <w:rPr>
            <w:rStyle w:val="Hyperlink"/>
            <w:rFonts w:ascii="黑体" w:hint="eastAsia"/>
            <w:color w:val="auto"/>
            <w:kern w:val="44"/>
            <w:szCs w:val="21"/>
          </w:rPr>
          <w:t>三、肥料的选择和施用标准</w:t>
        </w:r>
      </w:hyperlink>
    </w:p>
    <w:p>
      <w:pPr>
        <w:pStyle w:val="TOC2"/>
        <w:tabs>
          <w:tab w:val="right" w:leader="dot" w:pos="8302"/>
        </w:tabs>
        <w:rPr>
          <w:szCs w:val="21"/>
        </w:rPr>
      </w:pPr>
      <w:hyperlink w:anchor="_Toc151727104" w:history="1">
        <w:r>
          <w:rPr>
            <w:rStyle w:val="Hyperlink"/>
            <w:rFonts w:ascii="黑体" w:hint="eastAsia"/>
            <w:color w:val="auto"/>
            <w:kern w:val="44"/>
            <w:szCs w:val="21"/>
          </w:rPr>
          <w:t>四、农业投入品的</w:t>
        </w:r>
        <w:r>
          <w:rPr>
            <w:rStyle w:val="Hyperlink"/>
            <w:rFonts w:ascii="黑体" w:hint="eastAsia"/>
            <w:color w:val="auto"/>
            <w:kern w:val="44"/>
            <w:szCs w:val="21"/>
            <w:lang w:eastAsia="zh-CN"/>
          </w:rPr>
          <w:t>管理管控管控</w:t>
        </w:r>
        <w:r>
          <w:rPr>
            <w:rStyle w:val="Hyperlink"/>
            <w:rFonts w:ascii="黑体" w:hint="eastAsia"/>
            <w:color w:val="auto"/>
            <w:kern w:val="44"/>
            <w:szCs w:val="21"/>
          </w:rPr>
          <w:t>标准</w:t>
        </w:r>
      </w:hyperlink>
    </w:p>
    <w:p>
      <w:pPr>
        <w:pStyle w:val="TOC1"/>
        <w:jc w:val="both"/>
        <w:rPr>
          <w:rFonts w:ascii="Times New Roman" w:eastAsia="宋体"/>
          <w:b/>
          <w:sz w:val="21"/>
          <w:szCs w:val="21"/>
        </w:rPr>
      </w:pPr>
      <w:hyperlink w:anchor="_Toc151727105" w:history="1">
        <w:r>
          <w:rPr>
            <w:rFonts w:hint="eastAsia"/>
            <w:b/>
            <w:bCs/>
            <w:sz w:val="24"/>
            <w:szCs w:val="24"/>
          </w:rPr>
          <w:t>第六章、有机蔬菜生产栽培技术概论</w:t>
        </w:r>
      </w:hyperlink>
    </w:p>
    <w:p>
      <w:pPr>
        <w:pStyle w:val="TOC2"/>
        <w:tabs>
          <w:tab w:val="right" w:leader="dot" w:pos="8302"/>
        </w:tabs>
        <w:rPr>
          <w:szCs w:val="21"/>
        </w:rPr>
      </w:pPr>
      <w:hyperlink w:anchor="_Toc151727106" w:history="1">
        <w:r>
          <w:rPr>
            <w:rStyle w:val="Hyperlink"/>
            <w:rFonts w:ascii="黑体" w:hint="eastAsia"/>
            <w:color w:val="auto"/>
            <w:kern w:val="44"/>
            <w:szCs w:val="21"/>
          </w:rPr>
          <w:t>一、有机蔬菜的种子处理、催芽</w:t>
        </w:r>
      </w:hyperlink>
    </w:p>
    <w:p>
      <w:pPr>
        <w:pStyle w:val="TOC2"/>
        <w:tabs>
          <w:tab w:val="right" w:leader="dot" w:pos="8302"/>
        </w:tabs>
        <w:rPr>
          <w:szCs w:val="21"/>
        </w:rPr>
      </w:pPr>
      <w:hyperlink w:anchor="_Toc151727107" w:history="1">
        <w:r>
          <w:rPr>
            <w:rStyle w:val="Hyperlink"/>
            <w:rFonts w:ascii="黑体" w:hint="eastAsia"/>
            <w:color w:val="auto"/>
            <w:kern w:val="44"/>
            <w:szCs w:val="21"/>
          </w:rPr>
          <w:t>二、有机蔬菜的定植</w:t>
        </w:r>
      </w:hyperlink>
    </w:p>
    <w:p>
      <w:pPr>
        <w:pStyle w:val="TOC2"/>
        <w:tabs>
          <w:tab w:val="right" w:leader="dot" w:pos="8302"/>
        </w:tabs>
        <w:rPr>
          <w:szCs w:val="21"/>
        </w:rPr>
      </w:pPr>
      <w:hyperlink w:anchor="_Toc151727108" w:history="1">
        <w:r>
          <w:rPr>
            <w:rStyle w:val="Hyperlink"/>
            <w:rFonts w:ascii="黑体" w:hint="eastAsia"/>
            <w:color w:val="auto"/>
            <w:kern w:val="44"/>
            <w:szCs w:val="21"/>
          </w:rPr>
          <w:t>三、有机蔬菜病虫害防治技术规程</w:t>
        </w:r>
      </w:hyperlink>
    </w:p>
    <w:p>
      <w:pPr>
        <w:pStyle w:val="TOC2"/>
        <w:tabs>
          <w:tab w:val="right" w:leader="dot" w:pos="8302"/>
        </w:tabs>
        <w:rPr>
          <w:szCs w:val="21"/>
        </w:rPr>
      </w:pPr>
      <w:hyperlink w:anchor="_Toc151727109" w:history="1">
        <w:r>
          <w:rPr>
            <w:rStyle w:val="Hyperlink"/>
            <w:rFonts w:ascii="黑体" w:hint="eastAsia"/>
            <w:color w:val="auto"/>
            <w:kern w:val="44"/>
            <w:szCs w:val="21"/>
          </w:rPr>
          <w:t>四、有机蔬菜生产过程中发生异常问题时的处理方法</w:t>
        </w:r>
      </w:hyperlink>
    </w:p>
    <w:p>
      <w:pPr>
        <w:pStyle w:val="TOC1"/>
        <w:jc w:val="both"/>
        <w:rPr>
          <w:rFonts w:ascii="Times New Roman" w:eastAsia="宋体"/>
          <w:b/>
          <w:sz w:val="21"/>
          <w:szCs w:val="21"/>
        </w:rPr>
      </w:pPr>
      <w:hyperlink w:anchor="_Toc151727110" w:history="1">
        <w:r>
          <w:rPr>
            <w:rFonts w:hint="eastAsia"/>
            <w:b/>
            <w:bCs/>
            <w:sz w:val="24"/>
            <w:szCs w:val="24"/>
          </w:rPr>
          <w:t>第七章、有机蔬菜生产栽培各论</w:t>
        </w:r>
      </w:hyperlink>
    </w:p>
    <w:p>
      <w:pPr>
        <w:pStyle w:val="TOC2"/>
        <w:tabs>
          <w:tab w:val="right" w:leader="dot" w:pos="8302"/>
        </w:tabs>
        <w:rPr>
          <w:szCs w:val="21"/>
        </w:rPr>
      </w:pPr>
      <w:hyperlink w:anchor="_Toc151727111" w:history="1">
        <w:r>
          <w:rPr>
            <w:rStyle w:val="Hyperlink"/>
            <w:rFonts w:ascii="黑体" w:hint="eastAsia"/>
            <w:color w:val="auto"/>
            <w:kern w:val="44"/>
            <w:szCs w:val="21"/>
          </w:rPr>
          <w:t>一、有机黄瓜生产操作规程</w:t>
        </w:r>
      </w:hyperlink>
    </w:p>
    <w:p>
      <w:pPr>
        <w:pStyle w:val="TOC2"/>
        <w:tabs>
          <w:tab w:val="right" w:leader="dot" w:pos="8302"/>
        </w:tabs>
        <w:rPr>
          <w:szCs w:val="21"/>
        </w:rPr>
      </w:pPr>
      <w:hyperlink w:anchor="_Toc151727112" w:history="1">
        <w:r>
          <w:rPr>
            <w:rStyle w:val="Hyperlink"/>
            <w:rFonts w:ascii="黑体" w:hint="eastAsia"/>
            <w:color w:val="auto"/>
            <w:kern w:val="44"/>
            <w:szCs w:val="21"/>
          </w:rPr>
          <w:t>二、迷你黄瓜的栽培</w:t>
        </w:r>
        <w:r>
          <w:rPr>
            <w:rStyle w:val="Hyperlink"/>
            <w:rFonts w:ascii="黑体" w:hint="eastAsia"/>
            <w:color w:val="auto"/>
            <w:kern w:val="44"/>
            <w:szCs w:val="21"/>
            <w:lang w:eastAsia="zh-CN"/>
          </w:rPr>
          <w:t>管理管控管控</w:t>
        </w:r>
      </w:hyperlink>
    </w:p>
    <w:p>
      <w:pPr>
        <w:pStyle w:val="TOC2"/>
        <w:tabs>
          <w:tab w:val="right" w:leader="dot" w:pos="8302"/>
        </w:tabs>
        <w:rPr>
          <w:szCs w:val="21"/>
        </w:rPr>
      </w:pPr>
      <w:hyperlink w:anchor="_Toc151727113" w:history="1">
        <w:r>
          <w:rPr>
            <w:rStyle w:val="Hyperlink"/>
            <w:rFonts w:ascii="黑体" w:hint="eastAsia"/>
            <w:color w:val="auto"/>
            <w:kern w:val="44"/>
            <w:szCs w:val="21"/>
          </w:rPr>
          <w:t>三、有机番茄生产操作规程</w:t>
        </w:r>
      </w:hyperlink>
    </w:p>
    <w:p>
      <w:pPr>
        <w:pStyle w:val="TOC2"/>
        <w:tabs>
          <w:tab w:val="right" w:leader="dot" w:pos="8302"/>
        </w:tabs>
        <w:rPr>
          <w:szCs w:val="21"/>
        </w:rPr>
      </w:pPr>
      <w:hyperlink w:anchor="_Toc151727114" w:history="1">
        <w:r>
          <w:rPr>
            <w:rStyle w:val="Hyperlink"/>
            <w:rFonts w:ascii="黑体" w:hint="eastAsia"/>
            <w:color w:val="auto"/>
            <w:kern w:val="44"/>
            <w:szCs w:val="21"/>
          </w:rPr>
          <w:t>四、有机辣椒生产操作规程</w:t>
        </w:r>
      </w:hyperlink>
    </w:p>
    <w:p>
      <w:pPr>
        <w:pStyle w:val="TOC2"/>
        <w:tabs>
          <w:tab w:val="right" w:leader="dot" w:pos="8302"/>
        </w:tabs>
        <w:rPr>
          <w:szCs w:val="21"/>
        </w:rPr>
      </w:pPr>
      <w:hyperlink w:anchor="_Toc151727115" w:history="1">
        <w:r>
          <w:rPr>
            <w:rStyle w:val="Hyperlink"/>
            <w:rFonts w:ascii="黑体" w:hint="eastAsia"/>
            <w:color w:val="auto"/>
            <w:kern w:val="44"/>
            <w:szCs w:val="21"/>
          </w:rPr>
          <w:t>五、有机茄子生产操作规程</w:t>
        </w:r>
      </w:hyperlink>
    </w:p>
    <w:p>
      <w:pPr>
        <w:pStyle w:val="TOC2"/>
        <w:tabs>
          <w:tab w:val="right" w:leader="dot" w:pos="8302"/>
        </w:tabs>
        <w:rPr>
          <w:szCs w:val="21"/>
        </w:rPr>
      </w:pPr>
      <w:hyperlink w:anchor="_Toc151727116" w:history="1">
        <w:r>
          <w:rPr>
            <w:rStyle w:val="Hyperlink"/>
            <w:rFonts w:ascii="黑体" w:hint="eastAsia"/>
            <w:color w:val="auto"/>
            <w:kern w:val="44"/>
            <w:szCs w:val="21"/>
          </w:rPr>
          <w:t>六、有机人参果生产操作规程</w:t>
        </w:r>
      </w:hyperlink>
    </w:p>
    <w:p>
      <w:pPr>
        <w:pStyle w:val="TOC2"/>
        <w:tabs>
          <w:tab w:val="right" w:leader="dot" w:pos="8302"/>
        </w:tabs>
        <w:rPr>
          <w:szCs w:val="21"/>
        </w:rPr>
      </w:pPr>
      <w:hyperlink w:anchor="_Toc151727117" w:history="1">
        <w:r>
          <w:rPr>
            <w:rStyle w:val="Hyperlink"/>
            <w:rFonts w:ascii="黑体" w:hint="eastAsia"/>
            <w:color w:val="auto"/>
            <w:kern w:val="44"/>
            <w:szCs w:val="21"/>
          </w:rPr>
          <w:t>七、有机甘蓝生产操作规程</w:t>
        </w:r>
      </w:hyperlink>
    </w:p>
    <w:p>
      <w:pPr>
        <w:pStyle w:val="TOC2"/>
        <w:tabs>
          <w:tab w:val="right" w:leader="dot" w:pos="8302"/>
        </w:tabs>
        <w:rPr>
          <w:szCs w:val="21"/>
        </w:rPr>
      </w:pPr>
      <w:hyperlink w:anchor="_Toc151727118" w:history="1">
        <w:r>
          <w:rPr>
            <w:rStyle w:val="Hyperlink"/>
            <w:rFonts w:ascii="黑体" w:hint="eastAsia"/>
            <w:color w:val="auto"/>
            <w:kern w:val="44"/>
            <w:szCs w:val="21"/>
          </w:rPr>
          <w:t>八、有机冬瓜生产操作规程</w:t>
        </w:r>
      </w:hyperlink>
    </w:p>
    <w:p>
      <w:pPr>
        <w:pStyle w:val="TOC2"/>
        <w:tabs>
          <w:tab w:val="right" w:leader="dot" w:pos="8302"/>
        </w:tabs>
        <w:rPr>
          <w:szCs w:val="21"/>
        </w:rPr>
      </w:pPr>
      <w:hyperlink w:anchor="_Toc151727119" w:history="1">
        <w:r>
          <w:rPr>
            <w:rStyle w:val="Hyperlink"/>
            <w:rFonts w:ascii="黑体" w:hint="eastAsia"/>
            <w:color w:val="auto"/>
            <w:kern w:val="44"/>
            <w:szCs w:val="21"/>
          </w:rPr>
          <w:t>九、有机豆类生产操作规程</w:t>
        </w:r>
      </w:hyperlink>
    </w:p>
    <w:p>
      <w:pPr>
        <w:pStyle w:val="TOC2"/>
        <w:tabs>
          <w:tab w:val="right" w:leader="dot" w:pos="8302"/>
        </w:tabs>
        <w:rPr>
          <w:szCs w:val="21"/>
        </w:rPr>
      </w:pPr>
      <w:hyperlink w:anchor="_Toc151727120" w:history="1">
        <w:r>
          <w:rPr>
            <w:rStyle w:val="Hyperlink"/>
            <w:rFonts w:ascii="黑体" w:hint="eastAsia"/>
            <w:color w:val="auto"/>
            <w:kern w:val="44"/>
            <w:szCs w:val="21"/>
          </w:rPr>
          <w:t>十、有机大葱生产操作规程</w:t>
        </w:r>
      </w:hyperlink>
    </w:p>
    <w:p>
      <w:pPr>
        <w:pStyle w:val="TOC2"/>
        <w:tabs>
          <w:tab w:val="right" w:leader="dot" w:pos="8302"/>
        </w:tabs>
        <w:rPr>
          <w:szCs w:val="21"/>
        </w:rPr>
      </w:pPr>
      <w:hyperlink w:anchor="_Toc151727121" w:history="1">
        <w:r>
          <w:rPr>
            <w:rStyle w:val="Hyperlink"/>
            <w:rFonts w:ascii="黑体" w:hint="eastAsia"/>
            <w:color w:val="auto"/>
            <w:kern w:val="44"/>
            <w:szCs w:val="21"/>
          </w:rPr>
          <w:t>十一、有机抱子甘蓝栽培</w:t>
        </w:r>
        <w:r>
          <w:rPr>
            <w:rStyle w:val="Hyperlink"/>
            <w:rFonts w:ascii="黑体" w:hint="eastAsia"/>
            <w:color w:val="auto"/>
            <w:kern w:val="44"/>
            <w:szCs w:val="21"/>
            <w:lang w:eastAsia="zh-CN"/>
          </w:rPr>
          <w:t>管理管控管控</w:t>
        </w:r>
      </w:hyperlink>
    </w:p>
    <w:p>
      <w:pPr>
        <w:pStyle w:val="TOC2"/>
        <w:tabs>
          <w:tab w:val="right" w:leader="dot" w:pos="8302"/>
        </w:tabs>
        <w:rPr>
          <w:szCs w:val="21"/>
        </w:rPr>
      </w:pPr>
      <w:hyperlink w:anchor="_Toc151727122" w:history="1">
        <w:r>
          <w:rPr>
            <w:rStyle w:val="Hyperlink"/>
            <w:rFonts w:ascii="黑体" w:hint="eastAsia"/>
            <w:color w:val="auto"/>
            <w:kern w:val="44"/>
            <w:szCs w:val="21"/>
          </w:rPr>
          <w:t>十二、有机芹菜栽培技术规程</w:t>
        </w:r>
      </w:hyperlink>
    </w:p>
    <w:p>
      <w:pPr>
        <w:pStyle w:val="TOC2"/>
        <w:tabs>
          <w:tab w:val="right" w:leader="dot" w:pos="8302"/>
        </w:tabs>
        <w:rPr>
          <w:szCs w:val="21"/>
        </w:rPr>
      </w:pPr>
      <w:hyperlink w:anchor="_Toc151727123" w:history="1">
        <w:r>
          <w:rPr>
            <w:rStyle w:val="Hyperlink"/>
            <w:rFonts w:ascii="黑体" w:hint="eastAsia"/>
            <w:color w:val="auto"/>
            <w:kern w:val="44"/>
            <w:szCs w:val="21"/>
          </w:rPr>
          <w:t>十三、有机芜菁栽培技术</w:t>
        </w:r>
      </w:hyperlink>
    </w:p>
    <w:p>
      <w:pPr>
        <w:pStyle w:val="TOC2"/>
        <w:tabs>
          <w:tab w:val="right" w:leader="dot" w:pos="8302"/>
        </w:tabs>
        <w:rPr>
          <w:szCs w:val="21"/>
        </w:rPr>
      </w:pPr>
      <w:hyperlink w:anchor="_Toc151727124" w:history="1">
        <w:r>
          <w:rPr>
            <w:rStyle w:val="Hyperlink"/>
            <w:rFonts w:ascii="黑体" w:hint="eastAsia"/>
            <w:color w:val="auto"/>
            <w:kern w:val="44"/>
            <w:szCs w:val="21"/>
          </w:rPr>
          <w:t>十四、有机胡萝卜栽培技术</w:t>
        </w:r>
      </w:hyperlink>
    </w:p>
    <w:p>
      <w:pPr>
        <w:pStyle w:val="TOC1"/>
        <w:jc w:val="both"/>
        <w:rPr>
          <w:rFonts w:ascii="Times New Roman" w:eastAsia="宋体"/>
          <w:b/>
          <w:sz w:val="21"/>
          <w:szCs w:val="21"/>
        </w:rPr>
      </w:pPr>
      <w:hyperlink w:anchor="_Toc151727125" w:history="1">
        <w:r>
          <w:rPr>
            <w:rFonts w:hint="eastAsia"/>
            <w:b/>
            <w:bCs/>
            <w:sz w:val="24"/>
            <w:szCs w:val="24"/>
          </w:rPr>
          <w:t>第八章、有机蔬菜种植过程中田间档案记录与</w:t>
        </w:r>
        <w:r>
          <w:rPr>
            <w:rFonts w:hint="eastAsia"/>
            <w:b/>
            <w:bCs/>
            <w:sz w:val="24"/>
            <w:szCs w:val="24"/>
            <w:lang w:eastAsia="zh-CN"/>
          </w:rPr>
          <w:t>管理管控管控</w:t>
        </w:r>
      </w:hyperlink>
    </w:p>
    <w:p>
      <w:pPr>
        <w:pStyle w:val="TOC2"/>
        <w:tabs>
          <w:tab w:val="right" w:leader="dot" w:pos="8302"/>
        </w:tabs>
        <w:rPr>
          <w:rStyle w:val="Hyperlink"/>
          <w:rFonts w:ascii="黑体" w:eastAsia="宋体" w:hint="eastAsia"/>
          <w:color w:val="auto"/>
          <w:kern w:val="44"/>
          <w:szCs w:val="21"/>
          <w:lang w:eastAsia="zh-CN"/>
        </w:rPr>
      </w:pPr>
      <w:r>
        <w:rPr>
          <w:rStyle w:val="Hyperlink"/>
          <w:rFonts w:ascii="黑体" w:hint="eastAsia"/>
          <w:color w:val="auto"/>
          <w:kern w:val="44"/>
          <w:szCs w:val="21"/>
        </w:rPr>
        <w:t>一、田间档案的记录</w:t>
      </w:r>
      <w:r>
        <w:rPr>
          <w:rStyle w:val="Hyperlink"/>
          <w:rFonts w:ascii="黑体" w:hint="eastAsia"/>
          <w:color w:val="auto"/>
          <w:kern w:val="44"/>
          <w:szCs w:val="21"/>
          <w:lang w:eastAsia="zh-CN"/>
        </w:rPr>
        <w:t>合适的合适的内容</w:t>
      </w:r>
    </w:p>
    <w:p>
      <w:pPr>
        <w:pStyle w:val="TOC2"/>
        <w:tabs>
          <w:tab w:val="right" w:leader="dot" w:pos="8302"/>
        </w:tabs>
        <w:rPr>
          <w:rStyle w:val="Hyperlink"/>
          <w:rFonts w:ascii="黑体" w:hint="eastAsia"/>
          <w:color w:val="auto"/>
          <w:kern w:val="44"/>
          <w:szCs w:val="21"/>
        </w:rPr>
      </w:pPr>
      <w:r>
        <w:rPr>
          <w:rStyle w:val="Hyperlink"/>
          <w:rFonts w:ascii="黑体" w:hint="eastAsia"/>
          <w:color w:val="auto"/>
          <w:kern w:val="44"/>
          <w:szCs w:val="21"/>
        </w:rPr>
        <w:t>二、田间档案记录的要求</w:t>
      </w:r>
    </w:p>
    <w:p>
      <w:pPr>
        <w:pStyle w:val="TOC2"/>
        <w:tabs>
          <w:tab w:val="right" w:leader="dot" w:pos="8302"/>
        </w:tabs>
        <w:rPr>
          <w:rStyle w:val="Hyperlink"/>
          <w:rFonts w:ascii="黑体" w:hint="eastAsia"/>
          <w:color w:val="auto"/>
          <w:kern w:val="44"/>
          <w:szCs w:val="21"/>
        </w:rPr>
        <w:sectPr>
          <w:headerReference w:type="default" r:id="rId7"/>
          <w:footerReference w:type="default" r:id="rId8"/>
          <w:type w:val="nextPage"/>
          <w:pgSz w:w="11906" w:h="16838"/>
          <w:pgMar w:top="1440" w:right="1797" w:bottom="1440" w:left="1797" w:header="851" w:footer="992" w:gutter="0"/>
          <w:pgNumType w:start="2"/>
          <w:cols w:num="1" w:space="720"/>
          <w:titlePg w:val="0"/>
          <w:docGrid w:type="linesAndChars" w:linePitch="312" w:charSpace="0"/>
        </w:sectPr>
      </w:pPr>
      <w:r>
        <w:rPr>
          <w:rStyle w:val="Hyperlink"/>
          <w:rFonts w:ascii="黑体" w:hint="eastAsia"/>
          <w:color w:val="auto"/>
          <w:kern w:val="44"/>
          <w:szCs w:val="21"/>
        </w:rPr>
        <w:t>三、田间档案</w:t>
      </w:r>
      <w:r>
        <w:rPr>
          <w:rStyle w:val="Hyperlink"/>
          <w:rFonts w:ascii="黑体" w:hint="eastAsia"/>
          <w:color w:val="auto"/>
          <w:kern w:val="44"/>
          <w:szCs w:val="21"/>
          <w:lang w:eastAsia="zh-CN"/>
        </w:rPr>
        <w:t>管理管控管控</w:t>
      </w:r>
      <w:r>
        <w:rPr>
          <w:rStyle w:val="Hyperlink"/>
          <w:rFonts w:ascii="黑体" w:hint="eastAsia"/>
          <w:color w:val="auto"/>
          <w:kern w:val="44"/>
          <w:szCs w:val="21"/>
        </w:rPr>
        <w:t>的分级机制</w:t>
      </w:r>
    </w:p>
    <w:p>
      <w:pPr>
        <w:pStyle w:val="TOC1"/>
        <w:jc w:val="both"/>
        <w:rPr>
          <w:rFonts w:ascii="Times New Roman" w:eastAsia="宋体"/>
          <w:b/>
          <w:sz w:val="21"/>
          <w:szCs w:val="21"/>
        </w:rPr>
      </w:pPr>
      <w:hyperlink w:anchor="_Toc151727127" w:history="1">
        <w:r>
          <w:rPr>
            <w:rFonts w:hint="eastAsia"/>
            <w:b/>
            <w:bCs/>
            <w:sz w:val="24"/>
            <w:szCs w:val="24"/>
          </w:rPr>
          <w:t>第九章、有机蔬菜的采收标准及操作规程</w:t>
        </w:r>
      </w:hyperlink>
    </w:p>
    <w:p>
      <w:pPr>
        <w:pStyle w:val="TOC2"/>
        <w:tabs>
          <w:tab w:val="right" w:leader="dot" w:pos="8302"/>
        </w:tabs>
        <w:rPr>
          <w:szCs w:val="21"/>
        </w:rPr>
      </w:pPr>
      <w:hyperlink w:anchor="_Toc151727128" w:history="1">
        <w:r>
          <w:rPr>
            <w:rStyle w:val="Hyperlink"/>
            <w:rFonts w:ascii="黑体" w:hint="eastAsia"/>
            <w:color w:val="auto"/>
            <w:kern w:val="44"/>
            <w:szCs w:val="21"/>
          </w:rPr>
          <w:t>一、有机蔬菜的采收标准</w:t>
        </w:r>
      </w:hyperlink>
    </w:p>
    <w:p>
      <w:pPr>
        <w:pStyle w:val="TOC2"/>
        <w:tabs>
          <w:tab w:val="right" w:leader="dot" w:pos="8302"/>
        </w:tabs>
        <w:rPr>
          <w:szCs w:val="21"/>
        </w:rPr>
      </w:pPr>
      <w:hyperlink w:anchor="_Toc151727129" w:history="1">
        <w:r>
          <w:rPr>
            <w:rStyle w:val="Hyperlink"/>
            <w:rFonts w:ascii="黑体" w:hint="eastAsia"/>
            <w:color w:val="auto"/>
            <w:kern w:val="44"/>
            <w:szCs w:val="21"/>
          </w:rPr>
          <w:t>二、采收方法及技术</w:t>
        </w:r>
      </w:hyperlink>
    </w:p>
    <w:p>
      <w:pPr>
        <w:pStyle w:val="TOC2"/>
        <w:tabs>
          <w:tab w:val="right" w:leader="dot" w:pos="8302"/>
        </w:tabs>
        <w:rPr>
          <w:b/>
          <w:szCs w:val="21"/>
        </w:rPr>
      </w:pPr>
      <w:hyperlink w:anchor="_Toc151727130" w:history="1">
        <w:r>
          <w:rPr>
            <w:rStyle w:val="Hyperlink"/>
            <w:rFonts w:ascii="黑体" w:hint="eastAsia"/>
            <w:color w:val="auto"/>
            <w:kern w:val="44"/>
            <w:szCs w:val="21"/>
          </w:rPr>
          <w:t>三、有机蔬菜采收后的处理方法</w:t>
        </w:r>
      </w:hyperlink>
    </w:p>
    <w:p>
      <w:pPr>
        <w:pStyle w:val="TOC1"/>
        <w:jc w:val="both"/>
        <w:rPr>
          <w:rFonts w:ascii="Times New Roman" w:eastAsia="宋体"/>
          <w:b/>
          <w:sz w:val="21"/>
          <w:szCs w:val="21"/>
        </w:rPr>
      </w:pPr>
      <w:hyperlink w:anchor="_Toc151727132" w:history="1">
        <w:r>
          <w:rPr>
            <w:rFonts w:hint="eastAsia"/>
            <w:b/>
            <w:bCs/>
            <w:sz w:val="24"/>
            <w:szCs w:val="24"/>
          </w:rPr>
          <w:t>第十章、蔬菜采收后处理技术</w:t>
        </w:r>
      </w:hyperlink>
    </w:p>
    <w:p>
      <w:pPr>
        <w:pStyle w:val="TOC2"/>
        <w:tabs>
          <w:tab w:val="right" w:leader="dot" w:pos="8302"/>
        </w:tabs>
        <w:rPr>
          <w:szCs w:val="21"/>
        </w:rPr>
      </w:pPr>
      <w:hyperlink w:anchor="_Toc151727133" w:history="1">
        <w:r>
          <w:rPr>
            <w:rStyle w:val="Hyperlink"/>
            <w:rFonts w:ascii="黑体" w:hint="eastAsia"/>
            <w:color w:val="auto"/>
            <w:kern w:val="44"/>
            <w:szCs w:val="21"/>
          </w:rPr>
          <w:t>一、有机蔬菜的整理和清洗</w:t>
        </w:r>
      </w:hyperlink>
    </w:p>
    <w:p>
      <w:pPr>
        <w:pStyle w:val="TOC2"/>
        <w:tabs>
          <w:tab w:val="right" w:leader="dot" w:pos="8302"/>
        </w:tabs>
      </w:pPr>
      <w:r>
        <w:rPr>
          <w:rStyle w:val="Hyperlink"/>
          <w:rFonts w:ascii="黑体" w:hint="eastAsia"/>
          <w:color w:val="auto"/>
          <w:kern w:val="44"/>
          <w:szCs w:val="21"/>
        </w:rPr>
        <w:t>二、有机蔬菜的分级及标准</w:t>
      </w:r>
    </w:p>
    <w:p>
      <w:pPr>
        <w:pStyle w:val="TOC2"/>
        <w:tabs>
          <w:tab w:val="right" w:leader="dot" w:pos="8302"/>
        </w:tabs>
        <w:rPr>
          <w:szCs w:val="21"/>
        </w:rPr>
      </w:pPr>
      <w:hyperlink w:anchor="_Toc151727134" w:history="1">
        <w:r>
          <w:rPr>
            <w:rStyle w:val="Hyperlink"/>
            <w:rFonts w:ascii="黑体" w:hint="eastAsia"/>
            <w:color w:val="auto"/>
            <w:kern w:val="44"/>
            <w:szCs w:val="21"/>
          </w:rPr>
          <w:t>三、有机蔬菜产品的包装</w:t>
        </w:r>
      </w:hyperlink>
    </w:p>
    <w:p>
      <w:pPr>
        <w:pStyle w:val="TOC2"/>
        <w:tabs>
          <w:tab w:val="right" w:leader="dot" w:pos="8302"/>
        </w:tabs>
        <w:rPr>
          <w:szCs w:val="21"/>
        </w:rPr>
      </w:pPr>
      <w:hyperlink w:anchor="_Toc151727135" w:history="1">
        <w:r>
          <w:rPr>
            <w:rStyle w:val="Hyperlink"/>
            <w:rFonts w:ascii="黑体" w:hint="eastAsia"/>
            <w:color w:val="auto"/>
            <w:kern w:val="44"/>
            <w:szCs w:val="21"/>
          </w:rPr>
          <w:t>四、有机蔬菜的预冷</w:t>
        </w:r>
      </w:hyperlink>
    </w:p>
    <w:p>
      <w:pPr>
        <w:pStyle w:val="TOC1"/>
        <w:jc w:val="both"/>
        <w:rPr>
          <w:rFonts w:ascii="Times New Roman" w:eastAsia="宋体"/>
          <w:b/>
          <w:sz w:val="21"/>
          <w:szCs w:val="21"/>
        </w:rPr>
      </w:pPr>
      <w:hyperlink w:anchor="_Toc151727136" w:history="1">
        <w:r>
          <w:rPr>
            <w:rFonts w:hint="eastAsia"/>
            <w:b/>
            <w:bCs/>
            <w:sz w:val="24"/>
            <w:szCs w:val="24"/>
          </w:rPr>
          <w:t>第十一章、蔬菜的贮存技术规范及操作规程</w:t>
        </w:r>
      </w:hyperlink>
    </w:p>
    <w:p>
      <w:pPr>
        <w:pStyle w:val="TOC2"/>
        <w:tabs>
          <w:tab w:val="right" w:leader="dot" w:pos="8302"/>
        </w:tabs>
        <w:rPr>
          <w:szCs w:val="21"/>
        </w:rPr>
      </w:pPr>
      <w:hyperlink w:anchor="_Toc151727137" w:history="1">
        <w:r>
          <w:rPr>
            <w:rStyle w:val="Hyperlink"/>
            <w:rFonts w:ascii="黑体" w:hint="eastAsia"/>
            <w:color w:val="auto"/>
            <w:kern w:val="44"/>
            <w:szCs w:val="21"/>
          </w:rPr>
          <w:t>一、有机蔬菜贮藏技术规范</w:t>
        </w:r>
      </w:hyperlink>
    </w:p>
    <w:p>
      <w:pPr>
        <w:pStyle w:val="TOC2"/>
        <w:tabs>
          <w:tab w:val="right" w:leader="dot" w:pos="8302"/>
        </w:tabs>
      </w:pPr>
      <w:r>
        <w:rPr>
          <w:rStyle w:val="Hyperlink"/>
          <w:rFonts w:ascii="黑体" w:hint="eastAsia"/>
          <w:color w:val="auto"/>
          <w:kern w:val="44"/>
          <w:szCs w:val="21"/>
        </w:rPr>
        <w:t>二、有机蔬菜贮藏技术操作规程</w:t>
      </w:r>
    </w:p>
    <w:p>
      <w:pPr>
        <w:pStyle w:val="TOC1"/>
        <w:jc w:val="both"/>
        <w:rPr>
          <w:rFonts w:ascii="Times New Roman" w:eastAsia="宋体"/>
          <w:b/>
          <w:sz w:val="21"/>
          <w:szCs w:val="21"/>
        </w:rPr>
      </w:pPr>
      <w:hyperlink w:anchor="_Toc151727138" w:history="1">
        <w:r>
          <w:rPr>
            <w:rFonts w:hint="eastAsia"/>
            <w:b/>
            <w:bCs/>
            <w:sz w:val="24"/>
            <w:szCs w:val="24"/>
          </w:rPr>
          <w:t>第十二章、有机蔬菜基地生产</w:t>
        </w:r>
        <w:r>
          <w:rPr>
            <w:rFonts w:hint="eastAsia"/>
            <w:b/>
            <w:bCs/>
            <w:sz w:val="24"/>
            <w:szCs w:val="24"/>
            <w:lang w:eastAsia="zh-CN"/>
          </w:rPr>
          <w:t>管理管控管控</w:t>
        </w:r>
        <w:r>
          <w:rPr>
            <w:rFonts w:hint="eastAsia"/>
            <w:b/>
            <w:bCs/>
            <w:sz w:val="24"/>
            <w:szCs w:val="24"/>
          </w:rPr>
          <w:t>制度</w:t>
        </w:r>
      </w:hyperlink>
    </w:p>
    <w:p>
      <w:pPr>
        <w:pStyle w:val="TOC2"/>
        <w:tabs>
          <w:tab w:val="right" w:leader="dot" w:pos="8302"/>
        </w:tabs>
        <w:rPr>
          <w:szCs w:val="21"/>
        </w:rPr>
      </w:pPr>
      <w:hyperlink w:anchor="_Toc151727140" w:history="1">
        <w:r>
          <w:rPr>
            <w:rStyle w:val="Hyperlink"/>
            <w:rFonts w:ascii="黑体" w:hint="eastAsia"/>
            <w:color w:val="auto"/>
            <w:kern w:val="44"/>
            <w:szCs w:val="21"/>
          </w:rPr>
          <w:t>一、新益双有机蔬菜基地农业投入品采购制度</w:t>
        </w:r>
      </w:hyperlink>
    </w:p>
    <w:p>
      <w:pPr>
        <w:pStyle w:val="TOC2"/>
        <w:tabs>
          <w:tab w:val="right" w:leader="dot" w:pos="8302"/>
        </w:tabs>
        <w:rPr>
          <w:szCs w:val="21"/>
        </w:rPr>
      </w:pPr>
      <w:hyperlink w:anchor="_Toc151727141" w:history="1">
        <w:r>
          <w:rPr>
            <w:rStyle w:val="Hyperlink"/>
            <w:rFonts w:ascii="黑体" w:hint="eastAsia"/>
            <w:color w:val="auto"/>
            <w:kern w:val="44"/>
            <w:szCs w:val="21"/>
          </w:rPr>
          <w:t>二、新益双有机蔬菜基地农业投入品仓库</w:t>
        </w:r>
        <w:r>
          <w:rPr>
            <w:rStyle w:val="Hyperlink"/>
            <w:rFonts w:ascii="黑体" w:hint="eastAsia"/>
            <w:color w:val="auto"/>
            <w:kern w:val="44"/>
            <w:szCs w:val="21"/>
            <w:lang w:eastAsia="zh-CN"/>
          </w:rPr>
          <w:t>管理管控管控</w:t>
        </w:r>
        <w:r>
          <w:rPr>
            <w:rStyle w:val="Hyperlink"/>
            <w:rFonts w:ascii="黑体" w:hint="eastAsia"/>
            <w:color w:val="auto"/>
            <w:kern w:val="44"/>
            <w:szCs w:val="21"/>
          </w:rPr>
          <w:t>制度</w:t>
        </w:r>
      </w:hyperlink>
    </w:p>
    <w:p>
      <w:pPr>
        <w:pStyle w:val="TOC2"/>
        <w:tabs>
          <w:tab w:val="right" w:leader="dot" w:pos="8302"/>
        </w:tabs>
        <w:rPr>
          <w:szCs w:val="21"/>
        </w:rPr>
      </w:pPr>
      <w:hyperlink w:anchor="_Toc151727142" w:history="1">
        <w:r>
          <w:rPr>
            <w:rStyle w:val="Hyperlink"/>
            <w:rFonts w:ascii="黑体" w:hint="eastAsia"/>
            <w:color w:val="auto"/>
            <w:kern w:val="44"/>
            <w:szCs w:val="21"/>
          </w:rPr>
          <w:t>三、新益双有机蔬菜基地田间档案</w:t>
        </w:r>
        <w:r>
          <w:rPr>
            <w:rStyle w:val="Hyperlink"/>
            <w:rFonts w:ascii="黑体" w:hint="eastAsia"/>
            <w:color w:val="auto"/>
            <w:kern w:val="44"/>
            <w:szCs w:val="21"/>
            <w:lang w:eastAsia="zh-CN"/>
          </w:rPr>
          <w:t>管理管控管控</w:t>
        </w:r>
        <w:r>
          <w:rPr>
            <w:rStyle w:val="Hyperlink"/>
            <w:rFonts w:ascii="黑体" w:hint="eastAsia"/>
            <w:color w:val="auto"/>
            <w:kern w:val="44"/>
            <w:szCs w:val="21"/>
          </w:rPr>
          <w:t>制度</w:t>
        </w:r>
      </w:hyperlink>
    </w:p>
    <w:p>
      <w:pPr>
        <w:pStyle w:val="TOC2"/>
        <w:tabs>
          <w:tab w:val="right" w:leader="dot" w:pos="8302"/>
        </w:tabs>
        <w:rPr>
          <w:szCs w:val="21"/>
        </w:rPr>
      </w:pPr>
      <w:hyperlink w:anchor="_Toc151727143" w:history="1">
        <w:r>
          <w:rPr>
            <w:rStyle w:val="Hyperlink"/>
            <w:rFonts w:ascii="黑体" w:hint="eastAsia"/>
            <w:color w:val="auto"/>
            <w:kern w:val="44"/>
            <w:szCs w:val="21"/>
          </w:rPr>
          <w:t>四、新益双有机蔬菜基地农药使用</w:t>
        </w:r>
        <w:r>
          <w:rPr>
            <w:rStyle w:val="Hyperlink"/>
            <w:rFonts w:ascii="黑体" w:hint="eastAsia"/>
            <w:color w:val="auto"/>
            <w:kern w:val="44"/>
            <w:szCs w:val="21"/>
            <w:lang w:eastAsia="zh-CN"/>
          </w:rPr>
          <w:t>管理管控管控</w:t>
        </w:r>
        <w:r>
          <w:rPr>
            <w:rStyle w:val="Hyperlink"/>
            <w:rFonts w:ascii="黑体" w:hint="eastAsia"/>
            <w:color w:val="auto"/>
            <w:kern w:val="44"/>
            <w:szCs w:val="21"/>
          </w:rPr>
          <w:t>制度</w:t>
        </w:r>
      </w:hyperlink>
    </w:p>
    <w:p>
      <w:pPr>
        <w:pStyle w:val="TOC2"/>
        <w:tabs>
          <w:tab w:val="right" w:leader="dot" w:pos="8302"/>
        </w:tabs>
        <w:rPr>
          <w:szCs w:val="21"/>
        </w:rPr>
      </w:pPr>
      <w:hyperlink w:anchor="_Toc151727144" w:history="1">
        <w:r>
          <w:rPr>
            <w:rStyle w:val="Hyperlink"/>
            <w:rFonts w:ascii="黑体" w:hint="eastAsia"/>
            <w:color w:val="auto"/>
            <w:kern w:val="44"/>
            <w:szCs w:val="21"/>
          </w:rPr>
          <w:t>五、新益双有机蔬菜基地的环境监察保护制度</w:t>
        </w:r>
      </w:hyperlink>
    </w:p>
    <w:p>
      <w:pPr>
        <w:pStyle w:val="TOC2"/>
        <w:tabs>
          <w:tab w:val="right" w:leader="dot" w:pos="8302"/>
        </w:tabs>
        <w:rPr>
          <w:szCs w:val="21"/>
        </w:rPr>
      </w:pPr>
      <w:hyperlink w:anchor="_Toc151727145" w:history="1">
        <w:r>
          <w:rPr>
            <w:rStyle w:val="Hyperlink"/>
            <w:rFonts w:ascii="黑体" w:hint="eastAsia"/>
            <w:color w:val="auto"/>
            <w:kern w:val="44"/>
            <w:szCs w:val="21"/>
          </w:rPr>
          <w:t>六、新益双有机蔬菜基地产品的标志、包装、贮存制度</w:t>
        </w:r>
      </w:hyperlink>
    </w:p>
    <w:p>
      <w:pPr>
        <w:pStyle w:val="TOC1"/>
        <w:jc w:val="both"/>
        <w:rPr>
          <w:rFonts w:ascii="Times New Roman" w:eastAsia="宋体"/>
          <w:b/>
          <w:sz w:val="21"/>
          <w:szCs w:val="21"/>
        </w:rPr>
      </w:pPr>
      <w:hyperlink w:anchor="_Toc151727146" w:history="1">
        <w:r>
          <w:rPr>
            <w:rFonts w:hint="eastAsia"/>
            <w:b/>
            <w:bCs/>
            <w:sz w:val="24"/>
            <w:szCs w:val="24"/>
          </w:rPr>
          <w:t>第十三章、人员的配置及各岗位人员的工作职责</w:t>
        </w:r>
      </w:hyperlink>
    </w:p>
    <w:p>
      <w:pPr>
        <w:pStyle w:val="TOC2"/>
        <w:tabs>
          <w:tab w:val="right" w:leader="dot" w:pos="8302"/>
        </w:tabs>
        <w:rPr>
          <w:rStyle w:val="Hyperlink"/>
          <w:rFonts w:ascii="黑体" w:hint="eastAsia"/>
          <w:color w:val="auto"/>
          <w:kern w:val="44"/>
          <w:szCs w:val="21"/>
        </w:rPr>
      </w:pPr>
      <w:r>
        <w:rPr>
          <w:rStyle w:val="Hyperlink"/>
          <w:rFonts w:ascii="黑体" w:hint="eastAsia"/>
          <w:color w:val="auto"/>
          <w:kern w:val="44"/>
          <w:szCs w:val="21"/>
        </w:rPr>
        <w:t>一、人员设置</w:t>
      </w:r>
    </w:p>
    <w:p>
      <w:pPr>
        <w:pStyle w:val="TOC2"/>
        <w:tabs>
          <w:tab w:val="right" w:leader="dot" w:pos="8302"/>
        </w:tabs>
        <w:rPr>
          <w:rStyle w:val="Hyperlink"/>
          <w:rFonts w:ascii="黑体" w:hint="eastAsia"/>
          <w:color w:val="auto"/>
          <w:kern w:val="44"/>
          <w:szCs w:val="21"/>
        </w:rPr>
      </w:pPr>
      <w:r>
        <w:rPr>
          <w:rStyle w:val="Hyperlink"/>
          <w:rFonts w:ascii="黑体" w:hint="eastAsia"/>
          <w:color w:val="auto"/>
          <w:kern w:val="44"/>
          <w:szCs w:val="21"/>
        </w:rPr>
        <w:t>二、岗位职责</w:t>
      </w:r>
    </w:p>
    <w:p>
      <w:pPr>
        <w:pStyle w:val="TOC2"/>
        <w:tabs>
          <w:tab w:val="right" w:leader="dot" w:pos="8302"/>
        </w:tabs>
        <w:rPr>
          <w:szCs w:val="21"/>
        </w:rPr>
      </w:pPr>
    </w:p>
    <w:p>
      <w:pPr>
        <w:pStyle w:val="Normal0"/>
        <w:rPr>
          <w:rFonts w:hint="eastAsia"/>
          <w:szCs w:val="21"/>
        </w:rPr>
      </w:pPr>
      <w:r>
        <w:rPr>
          <w:rFonts w:ascii="黑体" w:eastAsia="黑体"/>
          <w:szCs w:val="21"/>
        </w:rPr>
        <w:fldChar w:fldCharType="end"/>
      </w: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sectPr>
          <w:headerReference w:type="default" r:id="rId9"/>
          <w:footerReference w:type="default" r:id="rId10"/>
          <w:type w:val="nextPage"/>
          <w:pgSz w:w="11906" w:h="16838"/>
          <w:pgMar w:top="1440" w:right="1797" w:bottom="1440" w:left="1797" w:header="851" w:footer="992" w:gutter="0"/>
          <w:pgNumType w:start="3"/>
          <w:cols w:num="1" w:space="720"/>
          <w:titlePg w:val="0"/>
          <w:docGrid w:type="linesAndChars" w:linePitch="312" w:charSpace="0"/>
        </w:sectPr>
      </w:pPr>
    </w:p>
    <w:p>
      <w:pPr>
        <w:pStyle w:val="Heading1"/>
        <w:spacing w:before="156" w:beforeLines="50" w:after="156" w:afterLines="50" w:line="420" w:lineRule="atLeast"/>
        <w:rPr>
          <w:rFonts w:ascii="楷体_GB2312" w:eastAsia="楷体_GB2312" w:hint="eastAsia"/>
          <w:sz w:val="32"/>
          <w:szCs w:val="32"/>
        </w:rPr>
      </w:pPr>
      <w:bookmarkStart w:id="4" w:name="_Toc151727091"/>
    </w:p>
    <w:p>
      <w:pPr>
        <w:pStyle w:val="Heading1"/>
        <w:spacing w:before="156" w:beforeLines="50" w:after="156" w:afterLines="50" w:line="420" w:lineRule="atLeast"/>
        <w:jc w:val="center"/>
        <w:rPr>
          <w:rFonts w:ascii="楷体_GB2312" w:eastAsia="楷体_GB2312" w:hint="eastAsia"/>
          <w:sz w:val="32"/>
          <w:szCs w:val="32"/>
        </w:rPr>
      </w:pPr>
      <w:r>
        <w:rPr>
          <w:rFonts w:ascii="楷体_GB2312" w:eastAsia="楷体_GB2312" w:hint="eastAsia"/>
          <w:sz w:val="32"/>
          <w:szCs w:val="32"/>
        </w:rPr>
        <w:t>第一章　有机蔬菜种植的目标</w:t>
      </w:r>
      <w:bookmarkEnd w:id="4"/>
      <w:r>
        <w:rPr>
          <w:rFonts w:ascii="楷体_GB2312" w:eastAsia="楷体_GB2312" w:hint="eastAsia"/>
          <w:sz w:val="32"/>
          <w:szCs w:val="32"/>
        </w:rPr>
        <w:t xml:space="preserve"> </w:t>
      </w:r>
    </w:p>
    <w:p>
      <w:pPr>
        <w:pStyle w:val="Normal0"/>
        <w:spacing w:line="360" w:lineRule="auto"/>
        <w:ind w:firstLine="420" w:firstLineChars="200"/>
        <w:rPr>
          <w:rFonts w:ascii="宋体" w:hAnsi="宋体" w:cs="宋体" w:hint="eastAsia"/>
          <w:kern w:val="0"/>
          <w:szCs w:val="21"/>
        </w:rPr>
      </w:pPr>
      <w:bookmarkStart w:id="5" w:name="_Toc150527644"/>
      <w:bookmarkStart w:id="6" w:name="_Toc151727092"/>
      <w:r>
        <w:rPr>
          <w:rFonts w:ascii="宋体" w:hAnsi="宋体" w:cs="宋体" w:hint="eastAsia"/>
          <w:kern w:val="0"/>
          <w:szCs w:val="21"/>
        </w:rPr>
        <w:t xml:space="preserve">  </w:t>
      </w:r>
      <w:r>
        <w:rPr>
          <w:rFonts w:ascii="楷体_GB2312" w:eastAsia="楷体_GB2312" w:hAnsi="宋体" w:cs="宋体" w:hint="eastAsia"/>
          <w:kern w:val="0"/>
          <w:sz w:val="28"/>
          <w:szCs w:val="28"/>
        </w:rPr>
        <w:t>打造新益双循环经济品牌，将新益双种植业推向有机的高度，满足中、高收入阶层人群对新益双蔬菜的消费需求，使新益双蔬菜成为老百姓心目中安全、优质食品的标杆。</w:t>
      </w:r>
    </w:p>
    <w:p>
      <w:pPr>
        <w:pStyle w:val="Heading1"/>
        <w:spacing w:before="156" w:beforeLines="50" w:after="156" w:afterLines="50" w:line="420" w:lineRule="atLeast"/>
        <w:jc w:val="center"/>
        <w:rPr>
          <w:rFonts w:ascii="楷体_GB2312" w:eastAsia="楷体_GB2312" w:hint="eastAsia"/>
          <w:sz w:val="32"/>
          <w:szCs w:val="32"/>
          <w:lang w:eastAsia="zh-CN"/>
        </w:rPr>
      </w:pPr>
      <w:r>
        <w:rPr>
          <w:rFonts w:ascii="楷体_GB2312" w:eastAsia="楷体_GB2312" w:hint="eastAsia"/>
          <w:sz w:val="32"/>
          <w:szCs w:val="32"/>
        </w:rPr>
        <w:t>第二章　发展</w:t>
      </w:r>
      <w:bookmarkEnd w:id="5"/>
      <w:bookmarkEnd w:id="6"/>
      <w:r>
        <w:rPr>
          <w:rFonts w:ascii="楷体_GB2312" w:eastAsia="楷体_GB2312" w:hint="eastAsia"/>
          <w:sz w:val="32"/>
          <w:szCs w:val="32"/>
          <w:lang w:eastAsia="zh-CN"/>
        </w:rPr>
        <w:t>相关相关计划</w:t>
      </w:r>
    </w:p>
    <w:p>
      <w:pPr>
        <w:pStyle w:val="Normal0"/>
        <w:widowControl/>
        <w:spacing w:line="420" w:lineRule="atLeast"/>
        <w:ind w:firstLine="560" w:firstLineChars="200"/>
        <w:jc w:val="left"/>
        <w:rPr>
          <w:rFonts w:ascii="楷体_GB2312" w:eastAsia="楷体_GB2312" w:hAnsi="宋体" w:cs="宋体" w:hint="eastAsia"/>
          <w:kern w:val="0"/>
          <w:sz w:val="28"/>
          <w:szCs w:val="28"/>
        </w:rPr>
      </w:pPr>
      <w:bookmarkStart w:id="7" w:name="_Toc150527645"/>
      <w:bookmarkStart w:id="8" w:name="_Toc151727093"/>
      <w:r>
        <w:rPr>
          <w:rFonts w:ascii="楷体_GB2312" w:eastAsia="楷体_GB2312" w:hAnsi="宋体" w:cs="宋体" w:hint="eastAsia"/>
          <w:kern w:val="0"/>
          <w:sz w:val="28"/>
          <w:szCs w:val="28"/>
        </w:rPr>
        <w:t>2014年：将原有的蔬菜基地扩建成    亩的基地，在选择新基地之前进行土地、水源和空气测定，使基地具备生产有机蔬菜的环境条件，成为露天有机蔬菜生产标准园，进行标准化</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。起到新益双有机种植基地的示范作用。同时完成有机转换的申报手续，为以后的发展打下基础。形成省内蔬菜销售网络。建成1栋蔬菜育苗大棚。建成一个沼气池。</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2015年：在原有的    亩基地的基础上，通过与农户组成合作社的形式和基地的扩大租赁，把蔬菜基地扩建成     亩露天作业区，实现露天作业区规模化生产。并建成5栋蔬菜大棚，实行南方温室大棚的标准化</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，保证寒冷季节和连续降雨季节的蔬菜供应。同时完善省内销售网络，开拓出口销售渠道。</w:t>
      </w:r>
    </w:p>
    <w:p>
      <w:pPr>
        <w:pStyle w:val="Normal0"/>
        <w:widowControl/>
        <w:spacing w:line="420" w:lineRule="atLeast"/>
        <w:ind w:firstLine="560" w:firstLineChars="200"/>
        <w:jc w:val="left"/>
        <w:rPr>
          <w:rFonts w:ascii="楷体_GB2312" w:eastAsia="楷体_GB2312" w:hAnsi="宋体" w:cs="宋体" w:hint="eastAsia"/>
          <w:kern w:val="0"/>
          <w:sz w:val="28"/>
          <w:szCs w:val="28"/>
        </w:rPr>
        <w:sectPr>
          <w:headerReference w:type="default" r:id="rId11"/>
          <w:footerReference w:type="default" r:id="rId12"/>
          <w:type w:val="nextPage"/>
          <w:pgSz w:w="11906" w:h="16838"/>
          <w:pgMar w:top="1440" w:right="1797" w:bottom="1440" w:left="1797" w:header="851" w:footer="992" w:gutter="0"/>
          <w:pgNumType w:start="4"/>
          <w:cols w:num="1" w:space="720"/>
          <w:titlePg w:val="0"/>
          <w:docGrid w:type="linesAndChars" w:linePitch="312" w:charSpace="0"/>
        </w:sectPr>
      </w:pPr>
      <w:r>
        <w:rPr>
          <w:rFonts w:ascii="楷体_GB2312" w:eastAsia="楷体_GB2312" w:hAnsi="宋体" w:cs="宋体" w:hint="eastAsia"/>
          <w:kern w:val="0"/>
          <w:sz w:val="28"/>
          <w:szCs w:val="28"/>
        </w:rPr>
        <w:t>2016年：在省内外开拓一至二个新基地。形成公司的品牌效应，形成完善的基地复制的</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模式、</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制度、技术规程、人才储备。为公司的连锁经营、品牌经营和上市打好基础。</w:t>
      </w:r>
    </w:p>
    <w:p>
      <w:pPr>
        <w:pStyle w:val="Heading1"/>
        <w:spacing w:before="156" w:beforeLines="50" w:after="156" w:afterLines="50" w:line="420" w:lineRule="atLeast"/>
        <w:jc w:val="center"/>
        <w:rPr>
          <w:rFonts w:ascii="楷体_GB2312" w:eastAsia="楷体_GB2312" w:hint="eastAsia"/>
          <w:sz w:val="32"/>
          <w:szCs w:val="32"/>
        </w:rPr>
      </w:pPr>
      <w:r>
        <w:rPr>
          <w:rFonts w:ascii="楷体_GB2312" w:eastAsia="楷体_GB2312" w:hint="eastAsia"/>
          <w:sz w:val="32"/>
          <w:szCs w:val="32"/>
        </w:rPr>
        <w:t>第三章　有机蔬菜基地的建设环境要求</w:t>
      </w:r>
      <w:bookmarkEnd w:id="7"/>
      <w:bookmarkEnd w:id="8"/>
    </w:p>
    <w:p>
      <w:pPr>
        <w:pStyle w:val="Normal0"/>
        <w:spacing w:line="420" w:lineRule="atLeast"/>
        <w:rPr>
          <w:rFonts w:ascii="楷体_GB2312" w:eastAsia="楷体_GB2312" w:hAnsi="宋体" w:hint="eastAsia"/>
          <w:b/>
          <w:sz w:val="28"/>
          <w:szCs w:val="28"/>
        </w:rPr>
      </w:pPr>
      <w:bookmarkStart w:id="9" w:name="_Toc151727094"/>
      <w:bookmarkStart w:id="10" w:name="_Toc150527646"/>
      <w:r>
        <w:rPr>
          <w:rFonts w:ascii="楷体_GB2312" w:eastAsia="楷体_GB2312" w:hAnsi="宋体" w:hint="eastAsia"/>
          <w:b/>
          <w:sz w:val="28"/>
          <w:szCs w:val="28"/>
        </w:rPr>
        <w:t>一、基地环境</w:t>
      </w:r>
      <w:bookmarkEnd w:id="9"/>
      <w:bookmarkEnd w:id="10"/>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产地必须选择在周围无污染源，水源充足，水质良好，进、排水方便，日照充足，交通方便的生态环境良好的区域。空气、灌溉水、土壤等环境质量必须通过严格的检测，符合国家规定的标准。</w:t>
      </w:r>
    </w:p>
    <w:p>
      <w:pPr>
        <w:pStyle w:val="Normal0"/>
        <w:spacing w:line="420" w:lineRule="atLeast"/>
        <w:rPr>
          <w:rFonts w:ascii="楷体_GB2312" w:eastAsia="楷体_GB2312" w:hAnsi="宋体" w:hint="eastAsia"/>
          <w:b/>
          <w:sz w:val="28"/>
          <w:szCs w:val="28"/>
        </w:rPr>
      </w:pPr>
      <w:bookmarkStart w:id="11" w:name="_Toc150527647"/>
      <w:bookmarkStart w:id="12" w:name="_Toc151727095"/>
      <w:r>
        <w:rPr>
          <w:rFonts w:ascii="楷体_GB2312" w:eastAsia="楷体_GB2312" w:hAnsi="宋体" w:hint="eastAsia"/>
          <w:b/>
          <w:sz w:val="28"/>
          <w:szCs w:val="28"/>
        </w:rPr>
        <w:t>二、对环境的监</w:t>
      </w:r>
      <w:bookmarkEnd w:id="11"/>
      <w:r>
        <w:rPr>
          <w:rFonts w:ascii="楷体_GB2312" w:eastAsia="楷体_GB2312" w:hAnsi="宋体" w:hint="eastAsia"/>
          <w:b/>
          <w:sz w:val="28"/>
          <w:szCs w:val="28"/>
        </w:rPr>
        <w:t>测</w:t>
      </w:r>
      <w:bookmarkEnd w:id="12"/>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对周围及基地内部的空气、灌溉水、土壤等环境质量进行有力的监控，定期进行检测，一般为6个月做一次，12个月中必须有一次全套的检测，以确保环境的有效监控。如果周围的产业结构发生变化，有可能对蔬菜生产环境产生不利影响，及时进行水、土、气质量指标检测。</w:t>
      </w:r>
    </w:p>
    <w:p>
      <w:pPr>
        <w:pStyle w:val="Normal0"/>
        <w:spacing w:line="420" w:lineRule="atLeast"/>
        <w:rPr>
          <w:rFonts w:ascii="楷体_GB2312" w:eastAsia="楷体_GB2312" w:hAnsi="宋体" w:hint="eastAsia"/>
          <w:b/>
          <w:sz w:val="28"/>
          <w:szCs w:val="28"/>
        </w:rPr>
      </w:pPr>
      <w:bookmarkStart w:id="13" w:name="_Toc150527648"/>
      <w:bookmarkStart w:id="14" w:name="_Toc151727096"/>
      <w:r>
        <w:rPr>
          <w:rFonts w:ascii="楷体_GB2312" w:eastAsia="楷体_GB2312" w:hAnsi="宋体" w:hint="eastAsia"/>
          <w:b/>
          <w:sz w:val="28"/>
          <w:szCs w:val="28"/>
        </w:rPr>
        <w:t>三、</w:t>
      </w:r>
      <w:bookmarkEnd w:id="13"/>
      <w:bookmarkStart w:id="15" w:name="_Toc150527649"/>
      <w:r>
        <w:rPr>
          <w:rFonts w:ascii="楷体_GB2312" w:eastAsia="楷体_GB2312" w:hAnsi="宋体" w:hint="eastAsia"/>
          <w:b/>
          <w:sz w:val="28"/>
          <w:szCs w:val="28"/>
        </w:rPr>
        <w:t>污染源的杜绝</w:t>
      </w:r>
      <w:bookmarkEnd w:id="14"/>
      <w:bookmarkEnd w:id="15"/>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产地应杜绝污染源的产生，不得开设有污染的生产</w:t>
      </w:r>
      <w:r>
        <w:rPr>
          <w:rFonts w:ascii="楷体_GB2312" w:eastAsia="楷体_GB2312" w:hAnsi="宋体" w:cs="宋体" w:hint="eastAsia"/>
          <w:kern w:val="0"/>
          <w:sz w:val="28"/>
          <w:szCs w:val="28"/>
          <w:lang w:eastAsia="zh-CN"/>
        </w:rPr>
        <w:t>相关相关项目</w:t>
      </w:r>
      <w:r>
        <w:rPr>
          <w:rFonts w:ascii="楷体_GB2312" w:eastAsia="楷体_GB2312" w:hAnsi="宋体" w:cs="宋体" w:hint="eastAsia"/>
          <w:kern w:val="0"/>
          <w:sz w:val="28"/>
          <w:szCs w:val="28"/>
        </w:rPr>
        <w:t>，控制生活污水，禁止使用对环境有严重影响的化学制剂等。禁止向生产基地排放重金属、硝酸盐、油类、酸液、碱液、剧毒废液、放射性废水和未经处理的含病原体的污水，或者倾倒、填埋有害的废弃物和生活垃圾</w:t>
      </w:r>
      <w:bookmarkStart w:id="16" w:name="_Toc150527650"/>
      <w:bookmarkStart w:id="17" w:name="_Toc151727097"/>
      <w:r>
        <w:rPr>
          <w:rFonts w:ascii="楷体_GB2312" w:eastAsia="楷体_GB2312" w:hAnsi="宋体" w:cs="宋体" w:hint="eastAsia"/>
          <w:kern w:val="0"/>
          <w:sz w:val="28"/>
          <w:szCs w:val="28"/>
        </w:rPr>
        <w:t>。</w:t>
      </w:r>
    </w:p>
    <w:p>
      <w:pPr>
        <w:pStyle w:val="Heading1"/>
        <w:spacing w:before="156" w:beforeLines="50" w:after="156" w:afterLines="50" w:line="420" w:lineRule="atLeast"/>
        <w:jc w:val="center"/>
        <w:rPr>
          <w:rFonts w:ascii="楷体_GB2312" w:eastAsia="楷体_GB2312" w:hint="eastAsia"/>
          <w:sz w:val="32"/>
          <w:szCs w:val="32"/>
        </w:rPr>
      </w:pPr>
      <w:r>
        <w:rPr>
          <w:rFonts w:ascii="楷体_GB2312" w:eastAsia="楷体_GB2312" w:hint="eastAsia"/>
          <w:sz w:val="32"/>
          <w:szCs w:val="32"/>
        </w:rPr>
        <w:t>第四章、有机蔬菜加工中心区域的环境要求</w:t>
      </w:r>
      <w:bookmarkEnd w:id="16"/>
      <w:bookmarkEnd w:id="17"/>
    </w:p>
    <w:p>
      <w:pPr>
        <w:pStyle w:val="Normal0"/>
        <w:spacing w:line="420" w:lineRule="atLeast"/>
        <w:rPr>
          <w:rFonts w:ascii="楷体_GB2312" w:eastAsia="楷体_GB2312" w:hAnsi="宋体" w:hint="eastAsia"/>
          <w:b/>
          <w:sz w:val="28"/>
          <w:szCs w:val="28"/>
        </w:rPr>
      </w:pPr>
      <w:bookmarkStart w:id="18" w:name="_Toc150527651"/>
      <w:bookmarkStart w:id="19" w:name="_Toc151727098"/>
      <w:r>
        <w:rPr>
          <w:rFonts w:ascii="楷体_GB2312" w:eastAsia="楷体_GB2312" w:hAnsi="宋体" w:hint="eastAsia"/>
          <w:b/>
          <w:sz w:val="28"/>
          <w:szCs w:val="28"/>
        </w:rPr>
        <w:t>一、加工中心周围环境要求</w:t>
      </w:r>
      <w:bookmarkEnd w:id="18"/>
      <w:bookmarkEnd w:id="19"/>
    </w:p>
    <w:p>
      <w:pPr>
        <w:pStyle w:val="Normal0"/>
        <w:widowControl/>
        <w:spacing w:line="420" w:lineRule="atLeast"/>
        <w:ind w:firstLine="560" w:firstLineChars="200"/>
        <w:jc w:val="left"/>
        <w:rPr>
          <w:rFonts w:ascii="楷体_GB2312" w:eastAsia="楷体_GB2312" w:hAnsi="宋体" w:cs="宋体" w:hint="eastAsia"/>
          <w:kern w:val="0"/>
          <w:sz w:val="28"/>
          <w:szCs w:val="28"/>
        </w:rPr>
        <w:sectPr>
          <w:headerReference w:type="default" r:id="rId13"/>
          <w:footerReference w:type="default" r:id="rId14"/>
          <w:type w:val="nextPage"/>
          <w:pgSz w:w="11906" w:h="16838"/>
          <w:pgMar w:top="1440" w:right="1797" w:bottom="1440" w:left="1797" w:header="851" w:footer="992" w:gutter="0"/>
          <w:pgNumType w:start="5"/>
          <w:cols w:num="1" w:space="720"/>
          <w:titlePg w:val="0"/>
          <w:docGrid w:type="linesAndChars" w:linePitch="312" w:charSpace="0"/>
        </w:sectPr>
      </w:pPr>
      <w:r>
        <w:rPr>
          <w:rFonts w:ascii="楷体_GB2312" w:eastAsia="楷体_GB2312" w:hAnsi="宋体" w:cs="宋体" w:hint="eastAsia"/>
          <w:kern w:val="0"/>
          <w:sz w:val="28"/>
          <w:szCs w:val="28"/>
        </w:rPr>
        <w:t>整个加工中心周围无有害或毒性气体产生，以及危害卫生的场地与设施。</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加工中心排水系统通畅，无积水，无废物堆积。污水及污物处理设施与加工区等生产储存区域相隔有一定的距离，并位于主风向的下风区。加工中心铺设水泥路面，保持清洁、平整不积水，在加工中心周围应有良好的绿化。</w:t>
      </w:r>
    </w:p>
    <w:p>
      <w:pPr>
        <w:pStyle w:val="Normal0"/>
        <w:spacing w:line="420" w:lineRule="atLeast"/>
        <w:rPr>
          <w:rFonts w:ascii="楷体_GB2312" w:eastAsia="楷体_GB2312" w:hAnsi="宋体" w:hint="eastAsia"/>
          <w:b/>
          <w:sz w:val="28"/>
          <w:szCs w:val="28"/>
        </w:rPr>
      </w:pPr>
      <w:bookmarkStart w:id="20" w:name="_Toc151727099"/>
      <w:bookmarkStart w:id="21" w:name="_Toc150527652"/>
      <w:r>
        <w:rPr>
          <w:rFonts w:ascii="楷体_GB2312" w:eastAsia="楷体_GB2312" w:hAnsi="宋体" w:hint="eastAsia"/>
          <w:b/>
          <w:sz w:val="28"/>
          <w:szCs w:val="28"/>
        </w:rPr>
        <w:t>二、生产区的要求</w:t>
      </w:r>
      <w:bookmarkEnd w:id="20"/>
      <w:bookmarkEnd w:id="21"/>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生产区应配备消毒器械等，同时建立生产区消毒制度及设备和车辆清洗制度，并严格执行。</w:t>
      </w:r>
    </w:p>
    <w:p>
      <w:pPr>
        <w:pStyle w:val="Heading1"/>
        <w:spacing w:before="156" w:beforeLines="50" w:after="156" w:afterLines="50" w:line="420" w:lineRule="atLeast"/>
        <w:jc w:val="center"/>
        <w:rPr>
          <w:rFonts w:ascii="楷体_GB2312" w:eastAsia="楷体_GB2312" w:hint="eastAsia"/>
          <w:sz w:val="32"/>
          <w:szCs w:val="32"/>
        </w:rPr>
      </w:pPr>
      <w:bookmarkStart w:id="22" w:name="_Toc151727100"/>
      <w:bookmarkStart w:id="23" w:name="_Toc150527653"/>
      <w:r>
        <w:rPr>
          <w:rFonts w:ascii="楷体_GB2312" w:eastAsia="楷体_GB2312" w:hint="eastAsia"/>
          <w:sz w:val="32"/>
          <w:szCs w:val="32"/>
        </w:rPr>
        <w:t>第五章、有机蔬菜农业投入品的选择、施用和</w:t>
      </w:r>
      <w:r>
        <w:rPr>
          <w:rFonts w:ascii="楷体_GB2312" w:eastAsia="楷体_GB2312" w:hint="eastAsia"/>
          <w:sz w:val="32"/>
          <w:szCs w:val="32"/>
          <w:lang w:eastAsia="zh-CN"/>
        </w:rPr>
        <w:t>管理管控管控</w:t>
      </w:r>
      <w:r>
        <w:rPr>
          <w:rFonts w:ascii="楷体_GB2312" w:eastAsia="楷体_GB2312" w:hint="eastAsia"/>
          <w:sz w:val="32"/>
          <w:szCs w:val="32"/>
        </w:rPr>
        <w:t>标准</w:t>
      </w:r>
      <w:bookmarkEnd w:id="22"/>
      <w:bookmarkEnd w:id="23"/>
    </w:p>
    <w:p>
      <w:pPr>
        <w:pStyle w:val="Normal0"/>
        <w:spacing w:line="420" w:lineRule="atLeast"/>
        <w:rPr>
          <w:rFonts w:ascii="楷体_GB2312" w:eastAsia="楷体_GB2312" w:hAnsi="宋体" w:hint="eastAsia"/>
          <w:b/>
          <w:sz w:val="28"/>
          <w:szCs w:val="28"/>
        </w:rPr>
      </w:pPr>
      <w:bookmarkStart w:id="24" w:name="_Toc151727101"/>
      <w:bookmarkStart w:id="25" w:name="_Toc150527654"/>
      <w:r>
        <w:rPr>
          <w:rFonts w:ascii="楷体_GB2312" w:eastAsia="楷体_GB2312" w:hAnsi="宋体" w:hint="eastAsia"/>
          <w:b/>
          <w:sz w:val="28"/>
          <w:szCs w:val="28"/>
        </w:rPr>
        <w:t>一、种子的选择标准</w:t>
      </w:r>
      <w:bookmarkEnd w:id="24"/>
      <w:bookmarkEnd w:id="25"/>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种子应向具有种子经营权的单位购买。所选购的种子必须符合GB16715.2～GB16715.5或DB31/211标准的要求。选择优质、抗病、丰产且适合基地气候条件的蔬菜品种。</w:t>
      </w:r>
    </w:p>
    <w:p>
      <w:pPr>
        <w:pStyle w:val="Heading2"/>
        <w:spacing w:before="156" w:beforeLines="50" w:after="156" w:afterLines="50" w:line="420" w:lineRule="exact"/>
        <w:rPr>
          <w:rFonts w:ascii="楷体_GB2312" w:eastAsia="楷体_GB2312" w:hAnsi="Times New Roman" w:hint="eastAsia"/>
          <w:kern w:val="44"/>
          <w:sz w:val="28"/>
          <w:szCs w:val="28"/>
        </w:rPr>
      </w:pPr>
      <w:r>
        <w:rPr>
          <w:rFonts w:ascii="楷体_GB2312" w:eastAsia="楷体_GB2312" w:hAnsi="Times New Roman" w:hint="eastAsia"/>
          <w:kern w:val="44"/>
          <w:sz w:val="28"/>
          <w:szCs w:val="28"/>
        </w:rPr>
        <w:t>二、农药的选择和使用标准</w:t>
      </w:r>
      <w:bookmarkEnd w:id="2"/>
      <w:bookmarkEnd w:id="3"/>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有机蔬菜基地使用的生物农药及生长调节剂等必需向具有检验登记证、生产许可证和质量标准 “三证”的公司购买。不向无营业执照、无农资生产或经营许可证的企业购买未经登记注册的产品。严格按照《农药合理使用准则》的要求，科学合理选择使用农药。</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适当利用基地沼液作为蔬菜植株的生物调节剂，但必须符合相关标准，标准见肥料的选择和使用标准。</w:t>
      </w:r>
    </w:p>
    <w:p>
      <w:pPr>
        <w:pStyle w:val="Normal0"/>
        <w:widowControl/>
        <w:spacing w:line="420" w:lineRule="atLeast"/>
        <w:ind w:firstLine="560" w:firstLineChars="200"/>
        <w:jc w:val="left"/>
        <w:rPr>
          <w:rFonts w:ascii="楷体_GB2312" w:eastAsia="楷体_GB2312" w:hAnsi="宋体" w:cs="宋体" w:hint="eastAsia"/>
          <w:kern w:val="0"/>
          <w:sz w:val="28"/>
          <w:szCs w:val="28"/>
        </w:rPr>
        <w:sectPr>
          <w:headerReference w:type="default" r:id="rId15"/>
          <w:footerReference w:type="default" r:id="rId16"/>
          <w:type w:val="nextPage"/>
          <w:pgSz w:w="11906" w:h="16838"/>
          <w:pgMar w:top="1440" w:right="1797" w:bottom="1440" w:left="1797" w:header="851" w:footer="992" w:gutter="0"/>
          <w:pgNumType w:start="6"/>
          <w:cols w:num="1" w:space="720"/>
          <w:titlePg w:val="0"/>
          <w:docGrid w:type="linesAndChars" w:linePitch="312" w:charSpace="0"/>
        </w:sectPr>
      </w:pPr>
      <w:r>
        <w:rPr>
          <w:rFonts w:ascii="楷体_GB2312" w:eastAsia="楷体_GB2312" w:hAnsi="宋体" w:cs="宋体" w:hint="eastAsia"/>
          <w:kern w:val="0"/>
          <w:sz w:val="28"/>
          <w:szCs w:val="28"/>
        </w:rPr>
        <w:t>公司有机蔬菜基地允许使用的农药种类如下：</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　生物源农药</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1.1 微生物源农药</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1.1.1 农用抗生素</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防治真菌病害：灭瘟素，春雷霉素，多抗霉素（多氧霉素），井岗霉素，农抗120，中生菌素等。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防治螨类：浏阳霉素，华光霉素。</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1.1.2 活体微生物农药</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真菌剂：蜡蚧轮枝菌等。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细菌剂：苏云金杆菌，蜡质芽孢杆菌等。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拮抗菌剂。</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昆虫病原线虫。</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微孢子。</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病毒：核多角体病毒。</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 动物源农药</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昆虫信息素（或昆虫外激素）：如性信息素。</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1.3 植物源农药</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杀虫剂：除虫菊素、鱼藤酮、烟碱、植物油等。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杀菌剂：大蒜素。</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拒避剂：印楝素、苦楝、川楝素。</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增效剂：芝麻素。</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 矿物源农药</w:t>
      </w:r>
    </w:p>
    <w:p>
      <w:pPr>
        <w:pStyle w:val="Normal0"/>
        <w:widowControl/>
        <w:spacing w:line="420" w:lineRule="atLeast"/>
        <w:rPr>
          <w:rFonts w:ascii="楷体_GB2312" w:eastAsia="楷体_GB2312" w:hAnsi="宋体" w:cs="宋体" w:hint="eastAsia"/>
          <w:kern w:val="0"/>
          <w:sz w:val="28"/>
          <w:szCs w:val="28"/>
        </w:rPr>
        <w:sectPr>
          <w:headerReference w:type="default" r:id="rId17"/>
          <w:footerReference w:type="default" r:id="rId18"/>
          <w:type w:val="nextPage"/>
          <w:pgSz w:w="11906" w:h="16838"/>
          <w:pgMar w:top="1440" w:right="1797" w:bottom="1440" w:left="1797" w:header="851" w:footer="992" w:gutter="0"/>
          <w:pgNumType w:start="7"/>
          <w:cols w:num="1" w:space="720"/>
          <w:titlePg w:val="0"/>
          <w:docGrid w:type="linesAndChars" w:linePitch="312" w:charSpace="0"/>
        </w:sectPr>
      </w:pPr>
      <w:r>
        <w:rPr>
          <w:rFonts w:ascii="楷体_GB2312" w:eastAsia="楷体_GB2312" w:hAnsi="宋体" w:cs="宋体" w:hint="eastAsia"/>
          <w:kern w:val="0"/>
          <w:sz w:val="28"/>
          <w:szCs w:val="28"/>
        </w:rPr>
        <w:t>2.1 无机杀螨杀菌剂</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硫制剂：硫悬浮剂，可湿性硫，石硫合剂等。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铜制剂：硫酸铜，王铜，氢氧化铜，波尔多液等。</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2.2 矿物油乳剂</w:t>
      </w:r>
    </w:p>
    <w:p>
      <w:pPr>
        <w:pStyle w:val="Normal0"/>
        <w:widowControl/>
        <w:spacing w:line="420" w:lineRule="atLeas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 有机蔬菜基地农药使用准则：</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优先采用农业措施，通过选用抗病抗虫品种，非化学药剂种子处理，培育壮苗，加强栽培</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，中耕除草，秋季深翻晒土，清洁田园，轮作倒茬、间作套种等一系列措施起到防治病虫草害的作用。</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还应尽量利用灯光、色彩或性诱杀害虫，机械捕捉害虫，机械和人工除草等措施防治病虫草害。特殊情况下，必须使用农药时，应遵守以下准则：</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在AA级绿色食品生产资料农药类不能满足植保工作需要的情况下，允许使用以下农药及方法：</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3.1 中等毒性以下植物杀虫剂、杀菌剂、拒避剂和增效剂。如除虫菊素、鱼藤根、烟草水、大蒜素、苦楝、川楝、印楝、芝麻素等。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3.2释放寄生性捕食性天敌动物，昆虫、捕食螨、蜘蛛及昆虫病原线虫等。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3.3在害虫捕捉器中使用昆虫信息素及植物源引诱剂。</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3.4使用矿物油和植物油制剂。</w:t>
      </w:r>
    </w:p>
    <w:p>
      <w:pPr>
        <w:pStyle w:val="Normal0"/>
        <w:widowControl/>
        <w:spacing w:line="420" w:lineRule="atLeast"/>
        <w:ind w:firstLine="560" w:firstLineChars="200"/>
        <w:rPr>
          <w:rFonts w:ascii="楷体_GB2312" w:eastAsia="楷体_GB2312" w:hAnsi="宋体" w:cs="宋体" w:hint="eastAsia"/>
          <w:kern w:val="0"/>
          <w:sz w:val="28"/>
          <w:szCs w:val="28"/>
        </w:rPr>
        <w:sectPr>
          <w:headerReference w:type="default" r:id="rId19"/>
          <w:footerReference w:type="default" r:id="rId20"/>
          <w:type w:val="nextPage"/>
          <w:pgSz w:w="11906" w:h="16838"/>
          <w:pgMar w:top="1440" w:right="1797" w:bottom="1440" w:left="1797" w:header="851" w:footer="992" w:gutter="0"/>
          <w:pgNumType w:start="8"/>
          <w:cols w:num="1" w:space="720"/>
          <w:titlePg w:val="0"/>
          <w:docGrid w:type="linesAndChars" w:linePitch="312" w:charSpace="0"/>
        </w:sectPr>
      </w:pPr>
      <w:r>
        <w:rPr>
          <w:rFonts w:ascii="楷体_GB2312" w:eastAsia="楷体_GB2312" w:hAnsi="宋体" w:cs="宋体" w:hint="eastAsia"/>
          <w:kern w:val="0"/>
          <w:sz w:val="28"/>
          <w:szCs w:val="28"/>
        </w:rPr>
        <w:t>3.5使用矿物源农药中的硫制剂、铜制剂。</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3.6经专门机构核准，允许有限度地使用活体微生物农药，如真菌制剂、细菌制剂、病毒制剂、放线菌、拮抗菌剂、昆虫病原线虫、原虫等。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3.7经专门机构核准，允许有限度地使用农用抗生素，如春雷霉素、多抗霉素（多氧霉素）、井岗霉素、农抗120、中生菌素等，浏阳霉素等。</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3.8禁止使用有机合成的化学杀虫剂、杀螨剂、杀菌剂、杀线虫剂、除草剂和植物生长调节剂。</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3.9 禁止使用生物源、矿物源农药中混配有机合成农药的各种制剂。</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3.10严禁使用基因工程品种及制剂。</w:t>
      </w:r>
    </w:p>
    <w:p>
      <w:pPr>
        <w:pStyle w:val="Heading2"/>
        <w:spacing w:before="156" w:beforeLines="50" w:after="156" w:afterLines="50" w:line="420" w:lineRule="exact"/>
        <w:rPr>
          <w:rFonts w:ascii="楷体_GB2312" w:eastAsia="楷体_GB2312" w:hAnsi="Times New Roman" w:hint="eastAsia"/>
          <w:kern w:val="44"/>
          <w:sz w:val="28"/>
          <w:szCs w:val="28"/>
        </w:rPr>
      </w:pPr>
      <w:bookmarkStart w:id="26" w:name="_Toc150527656"/>
      <w:bookmarkStart w:id="27" w:name="_Toc151727103"/>
      <w:r>
        <w:rPr>
          <w:rFonts w:ascii="楷体_GB2312" w:eastAsia="楷体_GB2312" w:hAnsi="Times New Roman" w:hint="eastAsia"/>
          <w:kern w:val="44"/>
          <w:sz w:val="28"/>
          <w:szCs w:val="28"/>
        </w:rPr>
        <w:t>三、肥料的选择和使用标准</w:t>
      </w:r>
      <w:bookmarkEnd w:id="26"/>
      <w:bookmarkEnd w:id="27"/>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肥料应向具有检验登记证、生产许可证和质量标准“三证”的公司进行购买。不向无营业执照、无农资生产或经营许可证的企业购买未经登记注册的产品。</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严禁使用有机蔬菜基地明令禁止的化学肥料。</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有机蔬菜生产所需要的沼渣和沼液等有机肥必须经过无害化处理，进行检验合格后方可使用。用沼渣、沼液作为蔬菜大棚及露天作业区内的生产用肥，不但可杀菌、灭毒、灭病、灭虫，更为主要的是可增加土壤的有机质、提高地力。</w:t>
      </w:r>
    </w:p>
    <w:p>
      <w:pPr>
        <w:pStyle w:val="Normal0"/>
        <w:widowControl/>
        <w:spacing w:line="420" w:lineRule="atLeast"/>
        <w:ind w:firstLine="560" w:firstLineChars="200"/>
        <w:jc w:val="left"/>
        <w:rPr>
          <w:rFonts w:ascii="楷体_GB2312" w:eastAsia="楷体_GB2312" w:hAnsi="宋体" w:cs="宋体" w:hint="eastAsia"/>
          <w:kern w:val="0"/>
          <w:sz w:val="28"/>
          <w:szCs w:val="28"/>
        </w:rPr>
        <w:sectPr>
          <w:headerReference w:type="default" r:id="rId21"/>
          <w:footerReference w:type="default" r:id="rId22"/>
          <w:type w:val="nextPage"/>
          <w:pgSz w:w="11906" w:h="16838"/>
          <w:pgMar w:top="1440" w:right="1797" w:bottom="1440" w:left="1797" w:header="851" w:footer="992" w:gutter="0"/>
          <w:pgNumType w:start="9"/>
          <w:cols w:num="1" w:space="720"/>
          <w:titlePg w:val="0"/>
          <w:docGrid w:type="linesAndChars" w:linePitch="312" w:charSpace="0"/>
        </w:sectPr>
      </w:pPr>
      <w:r>
        <w:rPr>
          <w:rFonts w:ascii="楷体_GB2312" w:eastAsia="楷体_GB2312" w:hAnsi="宋体" w:cs="宋体" w:hint="eastAsia"/>
          <w:kern w:val="0"/>
          <w:sz w:val="28"/>
          <w:szCs w:val="28"/>
        </w:rPr>
        <w:t>复合微生物肥料是一种新型肥料，能综合提高有机蔬菜的产量和质量，可按有关规定选择使用。</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28" w:name="_Toc150527657"/>
      <w:bookmarkStart w:id="29" w:name="_Toc151727104"/>
      <w:r>
        <w:rPr>
          <w:rFonts w:ascii="楷体_GB2312" w:eastAsia="楷体_GB2312" w:hAnsi="Times New Roman" w:hint="eastAsia"/>
          <w:kern w:val="44"/>
          <w:sz w:val="28"/>
          <w:szCs w:val="28"/>
        </w:rPr>
        <w:t>四、农资的</w:t>
      </w:r>
      <w:r>
        <w:rPr>
          <w:rFonts w:ascii="楷体_GB2312" w:eastAsia="楷体_GB2312" w:hAnsi="Times New Roman" w:hint="eastAsia"/>
          <w:kern w:val="44"/>
          <w:sz w:val="28"/>
          <w:szCs w:val="28"/>
          <w:lang w:eastAsia="zh-CN"/>
        </w:rPr>
        <w:t>管理管控管控</w:t>
      </w:r>
      <w:r>
        <w:rPr>
          <w:rFonts w:ascii="楷体_GB2312" w:eastAsia="楷体_GB2312" w:hAnsi="Times New Roman" w:hint="eastAsia"/>
          <w:kern w:val="44"/>
          <w:sz w:val="28"/>
          <w:szCs w:val="28"/>
        </w:rPr>
        <w:t>标准</w:t>
      </w:r>
      <w:bookmarkEnd w:id="28"/>
      <w:bookmarkEnd w:id="29"/>
    </w:p>
    <w:p>
      <w:pPr>
        <w:pStyle w:val="Normal0"/>
        <w:widowControl/>
        <w:spacing w:line="420" w:lineRule="atLeast"/>
        <w:ind w:firstLine="549" w:firstLineChars="196"/>
        <w:jc w:val="left"/>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1、农资的存储</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种子、肥料和农药必须设有专门的干燥、通风的仓库储放，防止种子、肥料和农药霉烂、变质、受潮、结块。并有专人</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和看护，做好防火、防盗、防水等工作。</w:t>
      </w:r>
    </w:p>
    <w:p>
      <w:pPr>
        <w:pStyle w:val="Normal0"/>
        <w:widowControl/>
        <w:spacing w:line="420" w:lineRule="atLeast"/>
        <w:ind w:firstLine="549" w:firstLineChars="196"/>
        <w:jc w:val="left"/>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2、农资的登记</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入库的农资必须登记，清楚写明品种、数量、规格等。种子、农药和肥料进出仓库必须严格登记，清楚标明领用人，领用品种、数量和领用日期及使用用途。建立严格的农资仓库</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制度。</w:t>
      </w:r>
    </w:p>
    <w:p>
      <w:pPr>
        <w:pStyle w:val="Normal0"/>
        <w:widowControl/>
        <w:spacing w:line="420" w:lineRule="atLeast"/>
        <w:ind w:firstLine="549" w:firstLineChars="196"/>
        <w:jc w:val="left"/>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3、农资及其包装物的回收</w:t>
      </w:r>
    </w:p>
    <w:p>
      <w:pPr>
        <w:pStyle w:val="Normal0"/>
        <w:widowControl/>
        <w:spacing w:line="420" w:lineRule="atLeast"/>
        <w:ind w:firstLine="560" w:firstLineChars="200"/>
        <w:jc w:val="left"/>
        <w:rPr>
          <w:rFonts w:ascii="楷体_GB2312" w:eastAsia="楷体_GB2312" w:hAnsi="宋体" w:cs="宋体" w:hint="eastAsia"/>
          <w:kern w:val="0"/>
          <w:szCs w:val="21"/>
        </w:rPr>
      </w:pPr>
      <w:r>
        <w:rPr>
          <w:rFonts w:ascii="楷体_GB2312" w:eastAsia="楷体_GB2312" w:hAnsi="宋体" w:cs="宋体" w:hint="eastAsia"/>
          <w:kern w:val="0"/>
          <w:sz w:val="28"/>
          <w:szCs w:val="28"/>
        </w:rPr>
        <w:t>肥料、农药使用后的剩余，必须及时退回仓库，并办理手续，以防止散失农药，防止肥料给环境带来危害。使用后的肥料和农药包装袋、瓶、箱子应集中回收，统一处理，以防止造成环境的二次污染。</w:t>
      </w:r>
    </w:p>
    <w:p>
      <w:pPr>
        <w:pStyle w:val="Heading1"/>
        <w:spacing w:before="156" w:beforeLines="50" w:after="156" w:afterLines="50" w:line="420" w:lineRule="atLeast"/>
        <w:jc w:val="center"/>
        <w:rPr>
          <w:rFonts w:ascii="楷体_GB2312" w:eastAsia="楷体_GB2312" w:hint="eastAsia"/>
          <w:sz w:val="32"/>
          <w:szCs w:val="32"/>
        </w:rPr>
      </w:pPr>
      <w:bookmarkStart w:id="30" w:name="_Toc151727105"/>
      <w:bookmarkStart w:id="31" w:name="_Toc150527658"/>
      <w:r>
        <w:rPr>
          <w:rFonts w:ascii="楷体_GB2312" w:eastAsia="楷体_GB2312" w:hint="eastAsia"/>
          <w:sz w:val="32"/>
          <w:szCs w:val="32"/>
        </w:rPr>
        <w:t>第六章  有机蔬菜生产栽培技术</w:t>
      </w:r>
      <w:bookmarkEnd w:id="30"/>
      <w:bookmarkEnd w:id="31"/>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32" w:name="_Toc151727106"/>
      <w:bookmarkStart w:id="33" w:name="_Toc150527659"/>
      <w:r>
        <w:rPr>
          <w:rFonts w:ascii="楷体_GB2312" w:eastAsia="楷体_GB2312" w:hAnsi="Times New Roman" w:hint="eastAsia"/>
          <w:kern w:val="44"/>
          <w:sz w:val="28"/>
          <w:szCs w:val="28"/>
        </w:rPr>
        <w:t>一、有机蔬菜的种子处理、催芽</w:t>
      </w:r>
      <w:bookmarkEnd w:id="32"/>
      <w:bookmarkEnd w:id="33"/>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1、所用蔬菜种子和种苗的选择</w:t>
      </w:r>
    </w:p>
    <w:p>
      <w:pPr>
        <w:pStyle w:val="Normal0"/>
        <w:spacing w:line="420" w:lineRule="atLeast"/>
        <w:ind w:firstLine="560" w:firstLineChars="200"/>
        <w:rPr>
          <w:rFonts w:ascii="楷体_GB2312" w:eastAsia="楷体_GB2312" w:hAnsi="宋体" w:cs="Tahoma" w:hint="eastAsia"/>
          <w:sz w:val="28"/>
          <w:szCs w:val="28"/>
        </w:rPr>
      </w:pPr>
      <w:r>
        <w:rPr>
          <w:rFonts w:ascii="楷体_GB2312" w:eastAsia="楷体_GB2312" w:hAnsi="宋体" w:cs="Tahoma" w:hint="eastAsia"/>
          <w:sz w:val="28"/>
          <w:szCs w:val="28"/>
        </w:rPr>
        <w:t>所用的蔬菜种子均选择正规科研院所及农业</w:t>
      </w:r>
      <w:r>
        <w:rPr>
          <w:rFonts w:ascii="楷体_GB2312" w:eastAsia="楷体_GB2312" w:hAnsi="宋体" w:cs="Tahoma" w:hint="eastAsia"/>
          <w:sz w:val="28"/>
          <w:szCs w:val="28"/>
          <w:lang w:eastAsia="zh-CN"/>
        </w:rPr>
        <w:t>管理管控管控</w:t>
      </w:r>
      <w:r>
        <w:rPr>
          <w:rFonts w:ascii="楷体_GB2312" w:eastAsia="楷体_GB2312" w:hAnsi="宋体" w:cs="Tahoma" w:hint="eastAsia"/>
          <w:sz w:val="28"/>
          <w:szCs w:val="28"/>
        </w:rPr>
        <w:t>部门认可的种子公司销售的品质优良的有机蔬菜品种或反映良好的普通的蔬菜品种。</w:t>
      </w:r>
    </w:p>
    <w:p>
      <w:pPr>
        <w:pStyle w:val="Normal0"/>
        <w:spacing w:line="420" w:lineRule="atLeast"/>
        <w:ind w:firstLine="560" w:firstLineChars="200"/>
        <w:rPr>
          <w:rFonts w:ascii="楷体_GB2312" w:eastAsia="楷体_GB2312" w:hAnsi="宋体" w:cs="Tahoma" w:hint="eastAsia"/>
          <w:sz w:val="28"/>
          <w:szCs w:val="28"/>
        </w:rPr>
      </w:pPr>
      <w:r>
        <w:rPr>
          <w:rFonts w:ascii="楷体_GB2312" w:eastAsia="楷体_GB2312" w:hAnsi="宋体" w:cs="Tahoma" w:hint="eastAsia"/>
          <w:sz w:val="28"/>
          <w:szCs w:val="28"/>
        </w:rPr>
        <w:t>所用的全部蔬菜种苗均为自行培育的优良蔬菜种苗，达到壮苗的标准。</w:t>
      </w:r>
    </w:p>
    <w:p>
      <w:pPr>
        <w:pStyle w:val="Normal0"/>
        <w:spacing w:line="420" w:lineRule="atLeast"/>
        <w:ind w:firstLine="549" w:firstLineChars="196"/>
        <w:rPr>
          <w:rFonts w:ascii="楷体_GB2312" w:eastAsia="楷体_GB2312" w:hAnsi="宋体" w:cs="Tahoma" w:hint="eastAsia"/>
          <w:b/>
          <w:sz w:val="28"/>
          <w:szCs w:val="28"/>
        </w:rPr>
        <w:sectPr>
          <w:headerReference w:type="default" r:id="rId23"/>
          <w:footerReference w:type="default" r:id="rId24"/>
          <w:type w:val="nextPage"/>
          <w:pgSz w:w="11906" w:h="16838"/>
          <w:pgMar w:top="1440" w:right="1797" w:bottom="1440" w:left="1797" w:header="851" w:footer="992" w:gutter="0"/>
          <w:pgNumType w:start="10"/>
          <w:cols w:num="1" w:space="720"/>
          <w:titlePg w:val="0"/>
          <w:docGrid w:type="linesAndChars" w:linePitch="312" w:charSpace="0"/>
        </w:sectPr>
      </w:pPr>
      <w:r>
        <w:rPr>
          <w:rFonts w:ascii="楷体_GB2312" w:eastAsia="楷体_GB2312" w:hAnsi="宋体" w:cs="Tahoma" w:hint="eastAsia"/>
          <w:b/>
          <w:sz w:val="28"/>
          <w:szCs w:val="28"/>
        </w:rPr>
        <w:t>2、蔬菜种子播种前的处理方法</w:t>
      </w:r>
    </w:p>
    <w:p>
      <w:pPr>
        <w:pStyle w:val="Normal0"/>
        <w:spacing w:line="420" w:lineRule="atLeast"/>
        <w:ind w:firstLine="549" w:firstLineChars="196"/>
        <w:rPr>
          <w:rFonts w:ascii="楷体_GB2312" w:eastAsia="楷体_GB2312" w:hAnsi="宋体" w:cs="Tahoma" w:hint="eastAsia"/>
          <w:b/>
          <w:sz w:val="28"/>
          <w:szCs w:val="28"/>
        </w:rPr>
      </w:pPr>
      <w:r>
        <w:rPr>
          <w:rFonts w:ascii="楷体_GB2312" w:eastAsia="楷体_GB2312" w:hAnsi="宋体" w:cs="Tahoma" w:hint="eastAsia"/>
          <w:b/>
          <w:sz w:val="28"/>
          <w:szCs w:val="28"/>
        </w:rPr>
        <w:t>2.1　温水浸种</w:t>
      </w:r>
    </w:p>
    <w:p>
      <w:pPr>
        <w:pStyle w:val="Normal0"/>
        <w:spacing w:line="420" w:lineRule="atLeast"/>
        <w:ind w:firstLine="560" w:firstLineChars="200"/>
        <w:rPr>
          <w:rFonts w:ascii="楷体_GB2312" w:eastAsia="楷体_GB2312" w:hAnsi="宋体" w:cs="Tahoma" w:hint="eastAsia"/>
          <w:sz w:val="28"/>
          <w:szCs w:val="28"/>
        </w:rPr>
      </w:pPr>
      <w:r>
        <w:rPr>
          <w:rFonts w:ascii="楷体_GB2312" w:eastAsia="楷体_GB2312" w:hAnsi="宋体" w:cs="Tahoma" w:hint="eastAsia"/>
          <w:sz w:val="28"/>
          <w:szCs w:val="28"/>
        </w:rPr>
        <w:t>用50～55℃（2份开水，l份凉水）的温水浸泡7～8分钟，并不断搅拌，然后再加入凉水。喜温菜籽降至25～30℃，喜凉菜籽降至20～25℃。浸泡时间因种子不同而异，黄瓜、南瓜、甜瓜浸泡3～4小时；茄果类、丝瓜、冬瓜浸泡8～10小时；西瓜、胡萝卜、菠菜浸泡24小时；萝卜、白菜浸泡1～3小时；甘蓝、菜花、豆类浸泡l～2小时。温水浸种应注意：浸泡用的容器要干净。用水量应适中，以水刚刚淹没种子为宜。浸泡4～5小时要换水一次。浸泡过程中要清除飘浮在水面上的秕籽。</w:t>
      </w:r>
    </w:p>
    <w:p>
      <w:pPr>
        <w:pStyle w:val="Normal0"/>
        <w:spacing w:line="420" w:lineRule="atLeast"/>
        <w:ind w:firstLine="549" w:firstLineChars="196"/>
        <w:rPr>
          <w:rFonts w:ascii="楷体_GB2312" w:eastAsia="楷体_GB2312" w:hAnsi="宋体" w:cs="Tahoma" w:hint="eastAsia"/>
          <w:sz w:val="28"/>
          <w:szCs w:val="28"/>
        </w:rPr>
      </w:pPr>
      <w:r>
        <w:rPr>
          <w:rFonts w:ascii="楷体_GB2312" w:eastAsia="楷体_GB2312" w:hAnsi="宋体" w:cs="Tahoma" w:hint="eastAsia"/>
          <w:b/>
          <w:sz w:val="28"/>
          <w:szCs w:val="28"/>
        </w:rPr>
        <w:t>2.2　沼液浸种</w:t>
      </w:r>
      <w:r>
        <w:rPr>
          <w:rFonts w:ascii="楷体_GB2312" w:eastAsia="楷体_GB2312" w:hAnsi="宋体" w:cs="Tahoma" w:hint="eastAsia"/>
          <w:sz w:val="28"/>
          <w:szCs w:val="28"/>
        </w:rPr>
        <w:t xml:space="preserve"> </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2.2.1　用于浸种的沼液应具备的条件</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①正常运转使用两个月以上，并且正在产气（以能点亮沼气灯为准）的沼气池出料间内的沼液。废弃不用的沼气池的沼液不能用来浸种。 </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②出料间中流进了生水、有毒污水（如农药等），或倒进了生人粪尿、牲畜粪便及其它废弃物的沼液不能用。出料间表面起白色膜状的沼液不宜于浸种。 </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③发酵充分的沼液为无恶臭气味、深褐色明亮的液体，PH值在7.2～7.6之间，比重在1.044～1.077之间。 </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 xml:space="preserve">2.2.2　浸种前的准备 </w:t>
      </w:r>
    </w:p>
    <w:p>
      <w:pPr>
        <w:pStyle w:val="Normal0"/>
        <w:spacing w:line="420" w:lineRule="atLeast"/>
        <w:rPr>
          <w:rFonts w:ascii="楷体_GB2312" w:eastAsia="楷体_GB2312" w:hAnsi="宋体" w:hint="eastAsia"/>
          <w:sz w:val="28"/>
          <w:szCs w:val="28"/>
        </w:rPr>
        <w:sectPr>
          <w:headerReference w:type="default" r:id="rId25"/>
          <w:footerReference w:type="default" r:id="rId26"/>
          <w:type w:val="nextPage"/>
          <w:pgSz w:w="11906" w:h="16838"/>
          <w:pgMar w:top="1440" w:right="1797" w:bottom="1440" w:left="1797" w:header="851" w:footer="992" w:gutter="0"/>
          <w:pgNumType w:start="11"/>
          <w:cols w:num="1" w:space="720"/>
          <w:titlePg w:val="0"/>
          <w:docGrid w:type="linesAndChars" w:linePitch="312" w:charSpace="0"/>
        </w:sectPr>
      </w:pPr>
      <w:r>
        <w:rPr>
          <w:rFonts w:ascii="楷体_GB2312" w:eastAsia="楷体_GB2312" w:hAnsi="宋体" w:hint="eastAsia"/>
          <w:sz w:val="28"/>
          <w:szCs w:val="28"/>
        </w:rPr>
        <w:t xml:space="preserve">  </w:t>
      </w:r>
      <w:r>
        <w:rPr>
          <w:rFonts w:ascii="楷体_GB2312" w:eastAsia="楷体_GB2312" w:hAnsi="宋体" w:hint="eastAsia"/>
          <w:sz w:val="28"/>
          <w:szCs w:val="28"/>
        </w:rPr>
        <w:t xml:space="preserve"> </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①晒种。晒种能增强种子皮的透性和增进酶的活性，提高种子的发芽率和存活能力，播种后可提早出苗，还可提高种子的吸水能力，并杀灭部分病菌，保证种子质量。晒种时间，一般1～2天，每天约晒6小时，选择晴天的中午前后几个小时的阳光。为使种子接受阳光均匀，应将种子在晒席上薄薄摊开，每日翻动3～4次。</w:t>
      </w:r>
      <w:r>
        <w:rPr>
          <w:rFonts w:ascii="楷体_GB2312" w:eastAsia="楷体_GB2312" w:hAnsi="宋体" w:hint="eastAsia"/>
          <w:sz w:val="28"/>
          <w:szCs w:val="28"/>
        </w:rPr>
        <w:t xml:space="preserve"> </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②清理浮渣。将沼气池出料间内的浮渣和杂物清理干净。 </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③揭盖透气。加有盖板的出料间应清渣前1～2天揭开透气，并搅动料液几次，让硫化氢气体逸散，以便于浸种。 </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④浸种工具。常用透水性较好，结实的塑料纺织袋。 </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2.3　浸种的技术要点</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2.3.1　种子包装</w:t>
      </w:r>
    </w:p>
    <w:p>
      <w:pPr>
        <w:pStyle w:val="Normal0"/>
        <w:spacing w:line="420" w:lineRule="atLeast"/>
        <w:ind w:firstLine="580" w:firstLineChars="207"/>
        <w:rPr>
          <w:rFonts w:ascii="楷体_GB2312" w:eastAsia="楷体_GB2312" w:hAnsi="宋体" w:hint="eastAsia"/>
          <w:sz w:val="28"/>
          <w:szCs w:val="28"/>
        </w:rPr>
      </w:pPr>
      <w:r>
        <w:rPr>
          <w:rFonts w:ascii="楷体_GB2312" w:eastAsia="楷体_GB2312" w:hAnsi="宋体" w:hint="eastAsia"/>
          <w:sz w:val="28"/>
          <w:szCs w:val="28"/>
        </w:rPr>
        <w:t>将种子装入袋内，一般每袋15～20kg，并要留出一定空间（因种子吸水后会膨胀）。空间大小视种子的种类而定，有壳种子留1/3空间，无壳种子应留1/2或2/3空间，然后扎紧袋口。</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2.3.2　浸种位置</w:t>
      </w:r>
    </w:p>
    <w:p>
      <w:pPr>
        <w:pStyle w:val="Normal0"/>
        <w:spacing w:line="420" w:lineRule="atLeast"/>
        <w:ind w:firstLine="435"/>
        <w:rPr>
          <w:rFonts w:ascii="楷体_GB2312" w:eastAsia="楷体_GB2312" w:hAnsi="宋体" w:hint="eastAsia"/>
          <w:sz w:val="28"/>
          <w:szCs w:val="28"/>
        </w:rPr>
      </w:pPr>
      <w:r>
        <w:rPr>
          <w:rFonts w:ascii="楷体_GB2312" w:eastAsia="楷体_GB2312" w:hAnsi="宋体" w:hint="eastAsia"/>
          <w:sz w:val="28"/>
          <w:szCs w:val="28"/>
        </w:rPr>
        <w:t>将装有种子的袋子用绳子吊入正常产气的沼气池出料间中部料液中。</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2.3.3　浸种时间</w:t>
      </w:r>
    </w:p>
    <w:p>
      <w:pPr>
        <w:pStyle w:val="Normal0"/>
        <w:spacing w:line="420" w:lineRule="atLeast"/>
        <w:ind w:firstLine="435"/>
        <w:rPr>
          <w:rFonts w:ascii="楷体_GB2312" w:eastAsia="楷体_GB2312" w:hAnsi="宋体" w:hint="eastAsia"/>
          <w:sz w:val="28"/>
          <w:szCs w:val="28"/>
        </w:rPr>
      </w:pPr>
      <w:r>
        <w:rPr>
          <w:rFonts w:ascii="楷体_GB2312" w:eastAsia="楷体_GB2312" w:hAnsi="宋体" w:hint="eastAsia"/>
          <w:sz w:val="28"/>
          <w:szCs w:val="28"/>
        </w:rPr>
        <w:t xml:space="preserve">有壳种子浸种24～72小时，无壳种子浸种12～24小时。沼液温度低时，浸种时间稍长；反之，则时间相应缩短。春末夏初，沼气池出料间内沼液温度为15℃左右时，浸种时间可稍长；夏末秋初，出料间内沼液温度为18℃左右时，浸种时间可适当缩短。以种子吸饱水为度，最低吸水量以23%为宜。 </w:t>
      </w:r>
    </w:p>
    <w:p>
      <w:pPr>
        <w:pStyle w:val="Normal0"/>
        <w:spacing w:line="420" w:lineRule="atLeast"/>
        <w:ind w:firstLine="560" w:firstLineChars="200"/>
        <w:rPr>
          <w:rFonts w:ascii="楷体_GB2312" w:eastAsia="楷体_GB2312" w:hAnsi="宋体" w:hint="eastAsia"/>
          <w:sz w:val="28"/>
          <w:szCs w:val="28"/>
        </w:rPr>
        <w:sectPr>
          <w:headerReference w:type="default" r:id="rId27"/>
          <w:footerReference w:type="default" r:id="rId28"/>
          <w:type w:val="nextPage"/>
          <w:pgSz w:w="11906" w:h="16838"/>
          <w:pgMar w:top="1440" w:right="1797" w:bottom="1440" w:left="1797" w:header="851" w:footer="992" w:gutter="0"/>
          <w:pgNumType w:start="12"/>
          <w:cols w:num="1" w:space="720"/>
          <w:titlePg w:val="0"/>
          <w:docGrid w:type="linesAndChars" w:linePitch="312" w:charSpace="0"/>
        </w:sectPr>
      </w:pPr>
      <w:r>
        <w:rPr>
          <w:rFonts w:ascii="楷体_GB2312" w:eastAsia="楷体_GB2312" w:hAnsi="宋体" w:hint="eastAsia"/>
          <w:sz w:val="28"/>
          <w:szCs w:val="28"/>
        </w:rPr>
        <w:t>2.3.4　浸种后处理</w:t>
      </w:r>
    </w:p>
    <w:p>
      <w:pPr>
        <w:pStyle w:val="Normal0"/>
        <w:spacing w:line="420" w:lineRule="atLeast"/>
        <w:ind w:firstLine="435"/>
        <w:rPr>
          <w:rFonts w:ascii="楷体_GB2312" w:eastAsia="楷体_GB2312" w:hAnsi="宋体" w:hint="eastAsia"/>
          <w:sz w:val="28"/>
          <w:szCs w:val="28"/>
        </w:rPr>
      </w:pPr>
      <w:r>
        <w:rPr>
          <w:rFonts w:ascii="楷体_GB2312" w:eastAsia="楷体_GB2312" w:hAnsi="宋体" w:hint="eastAsia"/>
          <w:sz w:val="28"/>
          <w:szCs w:val="28"/>
        </w:rPr>
        <w:t>提出种子袋，漏干沼液，把种子取出洗净，然后播种。需要催芽的，按常规方法催芽后播种。</w:t>
      </w:r>
    </w:p>
    <w:p>
      <w:pPr>
        <w:pStyle w:val="Normal0"/>
        <w:spacing w:line="420" w:lineRule="atLeast"/>
        <w:ind w:firstLine="549" w:firstLineChars="196"/>
        <w:rPr>
          <w:rFonts w:ascii="楷体_GB2312" w:eastAsia="楷体_GB2312" w:hAnsi="宋体" w:cs="Tahoma" w:hint="eastAsia"/>
          <w:b/>
          <w:sz w:val="28"/>
          <w:szCs w:val="28"/>
        </w:rPr>
      </w:pPr>
      <w:r>
        <w:rPr>
          <w:rFonts w:ascii="楷体_GB2312" w:eastAsia="楷体_GB2312" w:hAnsi="宋体" w:cs="Tahoma" w:hint="eastAsia"/>
          <w:b/>
          <w:sz w:val="28"/>
          <w:szCs w:val="28"/>
        </w:rPr>
        <w:t>2.4　蔬菜种子的催芽</w:t>
      </w:r>
    </w:p>
    <w:p>
      <w:pPr>
        <w:pStyle w:val="Normal0"/>
        <w:spacing w:line="420" w:lineRule="atLeast"/>
        <w:ind w:firstLine="560" w:firstLineChars="200"/>
        <w:rPr>
          <w:rFonts w:ascii="楷体_GB2312" w:eastAsia="楷体_GB2312" w:hAnsi="宋体" w:cs="Tahoma" w:hint="eastAsia"/>
          <w:sz w:val="28"/>
          <w:szCs w:val="28"/>
        </w:rPr>
      </w:pPr>
      <w:r>
        <w:rPr>
          <w:rFonts w:ascii="楷体_GB2312" w:eastAsia="楷体_GB2312" w:hAnsi="宋体" w:cs="Tahoma" w:hint="eastAsia"/>
          <w:sz w:val="28"/>
          <w:szCs w:val="28"/>
        </w:rPr>
        <w:t>用布或毛巾将经温汤浸过的种子包起来，放入渗水容器中盖上湿毛巾，放在适温下催芽。喜温菜为25～30</w:t>
      </w:r>
      <w:r>
        <w:rPr>
          <w:rFonts w:ascii="楷体_GB2312" w:eastAsia="楷体_GB2312" w:hAnsi="宋体" w:hint="eastAsia"/>
          <w:sz w:val="28"/>
          <w:szCs w:val="28"/>
        </w:rPr>
        <w:t>℃</w:t>
      </w:r>
      <w:r>
        <w:rPr>
          <w:rFonts w:ascii="楷体_GB2312" w:eastAsia="楷体_GB2312" w:hAnsi="宋体" w:cs="Tahoma" w:hint="eastAsia"/>
          <w:sz w:val="28"/>
          <w:szCs w:val="28"/>
        </w:rPr>
        <w:t>，喜凉菜为20～25</w:t>
      </w:r>
      <w:r>
        <w:rPr>
          <w:rFonts w:ascii="楷体_GB2312" w:eastAsia="楷体_GB2312" w:hAnsi="宋体" w:hint="eastAsia"/>
          <w:sz w:val="28"/>
          <w:szCs w:val="28"/>
        </w:rPr>
        <w:t>℃</w:t>
      </w:r>
      <w:r>
        <w:rPr>
          <w:rFonts w:ascii="楷体_GB2312" w:eastAsia="楷体_GB2312" w:hAnsi="宋体" w:cs="Tahoma" w:hint="eastAsia"/>
          <w:sz w:val="28"/>
          <w:szCs w:val="28"/>
        </w:rPr>
        <w:t>。催芽时间：白菜类12小时；番茄2～3天；茄子3～6天；青椒2～3天；西瓜3～6天；甜瓜和丝瓜17小时。</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cs="Tahoma" w:hint="eastAsia"/>
          <w:sz w:val="28"/>
          <w:szCs w:val="28"/>
        </w:rPr>
        <w:t>催芽后，出芽率达到95％以上，马上进行播种。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3、蔬菜的播种及苗期</w:t>
      </w:r>
      <w:r>
        <w:rPr>
          <w:rFonts w:ascii="楷体_GB2312" w:eastAsia="楷体_GB2312" w:hAnsi="宋体" w:hint="eastAsia"/>
          <w:b/>
          <w:sz w:val="28"/>
          <w:szCs w:val="28"/>
          <w:lang w:eastAsia="zh-CN"/>
        </w:rPr>
        <w:t>管理管控管控</w:t>
      </w:r>
    </w:p>
    <w:p>
      <w:pPr>
        <w:pStyle w:val="Normal0"/>
        <w:widowControl/>
        <w:spacing w:line="420" w:lineRule="atLeast"/>
        <w:ind w:firstLine="549" w:firstLineChars="196"/>
        <w:jc w:val="left"/>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3.1　基质的准备</w:t>
      </w:r>
    </w:p>
    <w:p>
      <w:pPr>
        <w:pStyle w:val="Normal0"/>
        <w:widowControl/>
        <w:spacing w:line="420" w:lineRule="atLeast"/>
        <w:ind w:firstLine="560" w:firstLineChars="200"/>
        <w:jc w:val="left"/>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基质用量：每m</w:t>
      </w:r>
      <w:r>
        <w:rPr>
          <w:rFonts w:ascii="楷体_GB2312" w:eastAsia="楷体_GB2312" w:hAnsi="宋体" w:cs="宋体" w:hint="eastAsia"/>
          <w:kern w:val="0"/>
          <w:sz w:val="28"/>
          <w:szCs w:val="28"/>
          <w:vertAlign w:val="superscript"/>
        </w:rPr>
        <w:t>3</w:t>
      </w:r>
      <w:r>
        <w:rPr>
          <w:rFonts w:ascii="楷体_GB2312" w:eastAsia="楷体_GB2312" w:hAnsi="宋体" w:cs="宋体" w:hint="eastAsia"/>
          <w:kern w:val="0"/>
          <w:sz w:val="28"/>
          <w:szCs w:val="28"/>
        </w:rPr>
        <w:t>育苗基质，分装72孔穴盘200盘；分装128孔穴盘260盘。</w:t>
      </w:r>
    </w:p>
    <w:p>
      <w:pPr>
        <w:pStyle w:val="Normal0"/>
        <w:widowControl/>
        <w:spacing w:line="360" w:lineRule="auto"/>
        <w:ind w:firstLine="560" w:firstLineChars="200"/>
        <w:jc w:val="left"/>
        <w:rPr>
          <w:rFonts w:ascii="楷体_GB2312" w:eastAsia="楷体_GB2312" w:hAnsi="宋体" w:cs="宋体" w:hint="eastAsia"/>
          <w:kern w:val="0"/>
          <w:szCs w:val="21"/>
        </w:rPr>
      </w:pPr>
      <w:r>
        <w:rPr>
          <w:rFonts w:ascii="楷体_GB2312" w:eastAsia="楷体_GB2312" w:hAnsi="宋体" w:cs="宋体" w:hint="eastAsia"/>
          <w:kern w:val="0"/>
          <w:sz w:val="28"/>
          <w:szCs w:val="28"/>
        </w:rPr>
        <w:t>有机蔬菜育苗基质的物理性状指标如下：　</w:t>
      </w:r>
    </w:p>
    <w:tbl>
      <w:tblPr>
        <w:tblStyle w:val="TableNormal"/>
        <w:tblW w:w="0" w:type="auto"/>
        <w:jc w:val="center"/>
        <w:tblBorders>
          <w:top w:val="single" w:sz="12" w:space="0" w:color="auto"/>
          <w:left w:val="none" w:sz="0" w:space="0" w:color="auto"/>
          <w:bottom w:val="single" w:sz="12" w:space="0" w:color="auto"/>
          <w:right w:val="none" w:sz="0" w:space="0" w:color="auto"/>
          <w:insideH w:val="single" w:sz="6" w:space="0" w:color="auto"/>
          <w:insideV w:val="none" w:sz="0" w:space="0" w:color="auto"/>
        </w:tblBorders>
        <w:tblLayout w:type="fixed"/>
        <w:tblCellMar>
          <w:top w:w="0" w:type="dxa"/>
          <w:left w:w="108" w:type="dxa"/>
          <w:bottom w:w="0" w:type="dxa"/>
          <w:right w:w="108" w:type="dxa"/>
        </w:tblCellMar>
      </w:tblPr>
      <w:tblGrid>
        <w:gridCol w:w="1770"/>
        <w:gridCol w:w="1770"/>
        <w:gridCol w:w="1770"/>
        <w:gridCol w:w="1770"/>
      </w:tblGrid>
      <w:tr>
        <w:tblPrEx>
          <w:tblW w:w="0" w:type="auto"/>
          <w:jc w:val="center"/>
          <w:tblBorders>
            <w:top w:val="single" w:sz="12" w:space="0" w:color="auto"/>
            <w:left w:val="none" w:sz="0" w:space="0" w:color="auto"/>
            <w:bottom w:val="single" w:sz="12" w:space="0" w:color="auto"/>
            <w:right w:val="none" w:sz="0" w:space="0" w:color="auto"/>
            <w:insideH w:val="single" w:sz="6" w:space="0" w:color="auto"/>
            <w:insideV w:val="none" w:sz="0" w:space="0" w:color="auto"/>
          </w:tblBorders>
          <w:tblLayout w:type="fixed"/>
          <w:tblCellMar>
            <w:top w:w="0" w:type="dxa"/>
            <w:left w:w="108" w:type="dxa"/>
            <w:bottom w:w="0" w:type="dxa"/>
            <w:right w:w="108" w:type="dxa"/>
          </w:tblCellMar>
        </w:tblPrEx>
        <w:trPr>
          <w:trHeight w:val="339"/>
          <w:jc w:val="center"/>
        </w:trPr>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容重(g/cm</w:t>
            </w:r>
            <w:r>
              <w:rPr>
                <w:rFonts w:ascii="楷体_GB2312" w:eastAsia="楷体_GB2312" w:hAnsi="宋体" w:cs="宋体" w:hint="eastAsia"/>
                <w:kern w:val="0"/>
                <w:sz w:val="28"/>
                <w:szCs w:val="28"/>
                <w:vertAlign w:val="superscript"/>
              </w:rPr>
              <w:t>3</w:t>
            </w:r>
            <w:r>
              <w:rPr>
                <w:rFonts w:ascii="楷体_GB2312" w:eastAsia="楷体_GB2312" w:hAnsi="宋体" w:cs="宋体" w:hint="eastAsia"/>
                <w:kern w:val="0"/>
                <w:sz w:val="28"/>
                <w:szCs w:val="28"/>
              </w:rPr>
              <w:t>)</w:t>
            </w:r>
          </w:p>
        </w:tc>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总孔隙(%)</w:t>
            </w:r>
          </w:p>
        </w:tc>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大孔隙(%)</w:t>
            </w:r>
          </w:p>
        </w:tc>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小孔隙(%)</w:t>
            </w:r>
          </w:p>
        </w:tc>
      </w:tr>
      <w:tr>
        <w:tblPrEx>
          <w:tblW w:w="0" w:type="auto"/>
          <w:jc w:val="center"/>
          <w:tblLayout w:type="fixed"/>
          <w:tblCellMar>
            <w:top w:w="0" w:type="dxa"/>
            <w:left w:w="108" w:type="dxa"/>
            <w:bottom w:w="0" w:type="dxa"/>
            <w:right w:w="108" w:type="dxa"/>
          </w:tblCellMar>
        </w:tblPrEx>
        <w:trPr>
          <w:trHeight w:val="218"/>
          <w:jc w:val="center"/>
        </w:trPr>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0.35</w:t>
            </w:r>
          </w:p>
        </w:tc>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66.5</w:t>
            </w:r>
          </w:p>
        </w:tc>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19.9</w:t>
            </w:r>
          </w:p>
        </w:tc>
        <w:tc>
          <w:tcPr>
            <w:tcW w:w="1770" w:type="dxa"/>
            <w:vAlign w:val="center"/>
          </w:tcPr>
          <w:p>
            <w:pPr>
              <w:pStyle w:val="Normal0"/>
              <w:widowControl/>
              <w:spacing w:line="360" w:lineRule="auto"/>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46.9</w:t>
            </w:r>
          </w:p>
        </w:tc>
      </w:tr>
    </w:tbl>
    <w:p>
      <w:pPr>
        <w:pStyle w:val="Normal0"/>
        <w:tabs>
          <w:tab w:val="left" w:pos="945"/>
        </w:tabs>
        <w:spacing w:line="420" w:lineRule="atLeast"/>
        <w:ind w:firstLine="549" w:firstLineChars="196"/>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3.2　基质装盘</w:t>
      </w:r>
    </w:p>
    <w:p>
      <w:pPr>
        <w:pStyle w:val="Normal0"/>
        <w:tabs>
          <w:tab w:val="left" w:pos="945"/>
        </w:tabs>
        <w:spacing w:line="420" w:lineRule="atLeast"/>
        <w:ind w:firstLine="549" w:firstLineChars="196"/>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基质的配比如下</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3.2.1　基质预湿</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调节基质含水量至35%～40%，即用手紧握基质，可成形但不形成水滴。</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3.2.2　装盘</w:t>
      </w:r>
    </w:p>
    <w:p>
      <w:pPr>
        <w:pStyle w:val="Normal0"/>
        <w:tabs>
          <w:tab w:val="left" w:pos="945"/>
        </w:tabs>
        <w:spacing w:line="420" w:lineRule="atLeast"/>
        <w:ind w:firstLine="560" w:firstLineChars="200"/>
        <w:rPr>
          <w:rFonts w:ascii="楷体_GB2312" w:eastAsia="楷体_GB2312" w:hAnsi="宋体" w:cs="宋体" w:hint="eastAsia"/>
          <w:kern w:val="0"/>
          <w:sz w:val="28"/>
          <w:szCs w:val="28"/>
        </w:rPr>
        <w:sectPr>
          <w:headerReference w:type="default" r:id="rId29"/>
          <w:footerReference w:type="default" r:id="rId30"/>
          <w:type w:val="nextPage"/>
          <w:pgSz w:w="11906" w:h="16838"/>
          <w:pgMar w:top="1440" w:right="1797" w:bottom="1440" w:left="1797" w:header="851" w:footer="992" w:gutter="0"/>
          <w:pgNumType w:start="13"/>
          <w:cols w:num="1" w:space="720"/>
          <w:titlePg w:val="0"/>
          <w:docGrid w:type="linesAndChars" w:linePitch="312" w:charSpace="0"/>
        </w:sectPr>
      </w:pP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将湿好的基质装入穴盘中，穴面用刮板从穴盘的一方刮向另一方，使每个孔穴都装满基质，装盘后各个格室应能清晰可见。</w:t>
      </w:r>
    </w:p>
    <w:p>
      <w:pPr>
        <w:pStyle w:val="Normal0"/>
        <w:tabs>
          <w:tab w:val="left" w:pos="945"/>
        </w:tabs>
        <w:spacing w:line="420" w:lineRule="atLeast"/>
        <w:ind w:firstLine="549" w:firstLineChars="196"/>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3.3播种</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3.3.1　压穴</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将装满基质的穴盘3～4个叠在一块进行压穴，穴深约0.5cm。</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3.3.2　播种</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每穴播种1～2粒种子，播种深度0.5cm～1cm。多播种3盘左右备用苗，用作补缺。</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3.3.3盖种、浇水</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播种后，再覆盖一层基质，多余基质用刮板刮去，使基质与穴盘格室相平。种子盖好后喷透水，以穴盘底孔刚渗出水滴为宜。</w:t>
      </w:r>
    </w:p>
    <w:p>
      <w:pPr>
        <w:pStyle w:val="Normal0"/>
        <w:tabs>
          <w:tab w:val="left" w:pos="945"/>
        </w:tabs>
        <w:spacing w:line="420" w:lineRule="atLeast"/>
        <w:ind w:firstLine="549" w:firstLineChars="196"/>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3.4苗期</w:t>
      </w:r>
      <w:r>
        <w:rPr>
          <w:rFonts w:ascii="楷体_GB2312" w:eastAsia="楷体_GB2312" w:hAnsi="宋体" w:cs="宋体" w:hint="eastAsia"/>
          <w:b/>
          <w:kern w:val="0"/>
          <w:sz w:val="28"/>
          <w:szCs w:val="28"/>
          <w:lang w:eastAsia="zh-CN"/>
        </w:rPr>
        <w:t>管理管控管控</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3.4.1　水分的</w:t>
      </w:r>
      <w:r>
        <w:rPr>
          <w:rFonts w:ascii="楷体_GB2312" w:eastAsia="楷体_GB2312" w:hAnsi="宋体" w:cs="宋体" w:hint="eastAsia"/>
          <w:kern w:val="0"/>
          <w:sz w:val="28"/>
          <w:szCs w:val="28"/>
          <w:lang w:eastAsia="zh-CN"/>
        </w:rPr>
        <w:t>管理管控管控</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秧苗生长期，始终保持基质湿润，不需控水。喷水量和喷水次数视育苗季节和秧苗大小而定，在穴面基质未发白时即应补充水分，每次要喷匀喷透。在起苗移栽前一天浇一次透水。</w:t>
      </w:r>
      <w:r>
        <w:rPr>
          <w:rFonts w:ascii="楷体_GB2312" w:eastAsia="楷体_GB2312" w:hAnsi="宋体" w:cs="宋体" w:hint="eastAsia"/>
          <w:kern w:val="0"/>
          <w:sz w:val="28"/>
          <w:szCs w:val="28"/>
        </w:rPr>
        <w:br/>
      </w:r>
      <w:r>
        <w:rPr>
          <w:rFonts w:ascii="楷体_GB2312" w:eastAsia="楷体_GB2312" w:hAnsi="宋体" w:cs="宋体" w:hint="eastAsia"/>
          <w:kern w:val="0"/>
          <w:sz w:val="28"/>
          <w:szCs w:val="28"/>
        </w:rPr>
        <w:t xml:space="preserve">    3.4.2　温度的</w:t>
      </w:r>
      <w:r>
        <w:rPr>
          <w:rFonts w:ascii="楷体_GB2312" w:eastAsia="楷体_GB2312" w:hAnsi="宋体" w:cs="宋体" w:hint="eastAsia"/>
          <w:kern w:val="0"/>
          <w:sz w:val="28"/>
          <w:szCs w:val="28"/>
          <w:lang w:eastAsia="zh-CN"/>
        </w:rPr>
        <w:t>管理管控管控</w:t>
      </w:r>
    </w:p>
    <w:p>
      <w:pPr>
        <w:pStyle w:val="Normal0"/>
        <w:tabs>
          <w:tab w:val="left" w:pos="945"/>
        </w:tabs>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不同蔬菜幼苗期温度</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见下表。棚室温度</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，夏秋育苗去掉蔬菜大棚围裙膜，保留棚顶膜，夏天晴天上午十时至下午三时，棚顶盖遮阳网降温。冬春育苗采用“二膜一帘”，安装暖气管道加温。</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3.4.3　壮苗的标准</w:t>
      </w:r>
    </w:p>
    <w:p>
      <w:pPr>
        <w:pStyle w:val="Normal0"/>
        <w:spacing w:line="420" w:lineRule="atLeast"/>
        <w:ind w:firstLine="560" w:firstLineChars="200"/>
        <w:rPr>
          <w:rFonts w:ascii="楷体_GB2312" w:eastAsia="楷体_GB2312" w:hAnsi="宋体" w:cs="宋体" w:hint="eastAsia"/>
          <w:kern w:val="0"/>
          <w:sz w:val="28"/>
          <w:szCs w:val="28"/>
        </w:rPr>
        <w:sectPr>
          <w:headerReference w:type="default" r:id="rId31"/>
          <w:footerReference w:type="default" r:id="rId32"/>
          <w:type w:val="nextPage"/>
          <w:pgSz w:w="11906" w:h="16838"/>
          <w:pgMar w:top="1440" w:right="1797" w:bottom="1440" w:left="1797" w:header="851" w:footer="992" w:gutter="0"/>
          <w:pgNumType w:start="14"/>
          <w:cols w:num="1" w:space="720"/>
          <w:titlePg w:val="0"/>
          <w:docGrid w:type="linesAndChars" w:linePitch="312" w:charSpace="0"/>
        </w:sectPr>
      </w:pPr>
      <w:r>
        <w:rPr>
          <w:rFonts w:ascii="楷体_GB2312" w:eastAsia="楷体_GB2312" w:hAnsi="宋体" w:cs="宋体" w:hint="eastAsia"/>
          <w:kern w:val="0"/>
          <w:sz w:val="28"/>
          <w:szCs w:val="28"/>
        </w:rPr>
        <w:t>①壮苗的感官标准</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茎杆粗壮、子叶完整、叶色亮绿、生长旺盛，根系将基质紧紧缠绕、形成完整根坨，无黄叶，无病虫害。</w:t>
      </w:r>
    </w:p>
    <w:p>
      <w:pPr>
        <w:pStyle w:val="Normal0"/>
        <w:widowControl/>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②幼苗期的温度</w:t>
      </w:r>
      <w:r>
        <w:rPr>
          <w:rFonts w:ascii="楷体_GB2312" w:eastAsia="楷体_GB2312" w:hAnsi="宋体" w:cs="宋体" w:hint="eastAsia"/>
          <w:kern w:val="0"/>
          <w:sz w:val="28"/>
          <w:szCs w:val="28"/>
          <w:lang w:eastAsia="zh-CN"/>
        </w:rPr>
        <w:t>管理管控管控</w:t>
      </w:r>
      <w:r>
        <w:rPr>
          <w:rFonts w:ascii="楷体_GB2312" w:eastAsia="楷体_GB2312" w:hAnsi="宋体" w:cs="宋体" w:hint="eastAsia"/>
          <w:kern w:val="0"/>
          <w:sz w:val="28"/>
          <w:szCs w:val="28"/>
        </w:rPr>
        <w:t xml:space="preserve">指标如下： </w:t>
      </w:r>
    </w:p>
    <w:p>
      <w:pPr>
        <w:pStyle w:val="Normal0"/>
        <w:widowControl/>
        <w:spacing w:line="420" w:lineRule="atLeast"/>
        <w:jc w:val="center"/>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幼苗期温度</w:t>
      </w:r>
      <w:r>
        <w:rPr>
          <w:rFonts w:ascii="楷体_GB2312" w:eastAsia="楷体_GB2312" w:hAnsi="宋体" w:cs="宋体" w:hint="eastAsia"/>
          <w:b/>
          <w:kern w:val="0"/>
          <w:sz w:val="28"/>
          <w:szCs w:val="28"/>
          <w:lang w:eastAsia="zh-CN"/>
        </w:rPr>
        <w:t>管理管控管控</w:t>
      </w:r>
      <w:r>
        <w:rPr>
          <w:rFonts w:ascii="楷体_GB2312" w:eastAsia="楷体_GB2312" w:hAnsi="宋体" w:cs="宋体" w:hint="eastAsia"/>
          <w:b/>
          <w:kern w:val="0"/>
          <w:sz w:val="28"/>
          <w:szCs w:val="28"/>
        </w:rPr>
        <w:t>标准</w:t>
      </w:r>
    </w:p>
    <w:tbl>
      <w:tblPr>
        <w:tblStyle w:val="TableNormal"/>
        <w:tblW w:w="0" w:type="auto"/>
        <w:tblInd w:w="0" w:type="dxa"/>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678"/>
        <w:gridCol w:w="2988"/>
        <w:gridCol w:w="2862"/>
      </w:tblGrid>
      <w:tr>
        <w:tblPrEx>
          <w:tblW w:w="0" w:type="auto"/>
          <w:tblInd w:w="0" w:type="dxa"/>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Ex>
        <w:tc>
          <w:tcPr>
            <w:tcW w:w="2678" w:type="dxa"/>
            <w:tcBorders>
              <w:top w:val="single" w:sz="12" w:space="0" w:color="auto"/>
              <w:bottom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蔬菜种类</w:t>
            </w:r>
          </w:p>
        </w:tc>
        <w:tc>
          <w:tcPr>
            <w:tcW w:w="2988" w:type="dxa"/>
            <w:tcBorders>
              <w:top w:val="single" w:sz="12" w:space="0" w:color="auto"/>
              <w:bottom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白天（℃）</w:t>
            </w:r>
          </w:p>
        </w:tc>
        <w:tc>
          <w:tcPr>
            <w:tcW w:w="2862" w:type="dxa"/>
            <w:tcBorders>
              <w:top w:val="single" w:sz="12" w:space="0" w:color="auto"/>
              <w:bottom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夜晚(℃)</w:t>
            </w:r>
          </w:p>
        </w:tc>
      </w:tr>
      <w:tr>
        <w:tblPrEx>
          <w:tblW w:w="0" w:type="auto"/>
          <w:tblInd w:w="0" w:type="dxa"/>
          <w:tblLayout w:type="fixed"/>
          <w:tblCellMar>
            <w:top w:w="0" w:type="dxa"/>
            <w:left w:w="108" w:type="dxa"/>
            <w:bottom w:w="0" w:type="dxa"/>
            <w:right w:w="108" w:type="dxa"/>
          </w:tblCellMar>
        </w:tblPrEx>
        <w:tc>
          <w:tcPr>
            <w:tcW w:w="2678" w:type="dxa"/>
            <w:tcBorders>
              <w:top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茄子</w:t>
            </w:r>
          </w:p>
        </w:tc>
        <w:tc>
          <w:tcPr>
            <w:tcW w:w="2988" w:type="dxa"/>
            <w:tcBorders>
              <w:top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25～28</w:t>
            </w:r>
          </w:p>
        </w:tc>
        <w:tc>
          <w:tcPr>
            <w:tcW w:w="2862" w:type="dxa"/>
            <w:tcBorders>
              <w:top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18～21</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辣(甜)椒</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25～28</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18～21</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番茄</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20～23</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15～18</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黄瓜</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25～28</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15～16</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甘蓝</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18～22</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12～16</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抱子甘蓝</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18～22</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12～16</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大白菜</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18～22</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12～16</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西甜瓜</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25～28</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17～20</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西葫芦</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20～23</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15～18</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西瓜</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25～30</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18～21</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生菜</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15～22</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12～16</w:t>
            </w:r>
          </w:p>
        </w:tc>
      </w:tr>
      <w:tr>
        <w:tblPrEx>
          <w:tblW w:w="0" w:type="auto"/>
          <w:tblInd w:w="0" w:type="dxa"/>
          <w:tblLayout w:type="fixed"/>
          <w:tblCellMar>
            <w:top w:w="0" w:type="dxa"/>
            <w:left w:w="108" w:type="dxa"/>
            <w:bottom w:w="0" w:type="dxa"/>
            <w:right w:w="108" w:type="dxa"/>
          </w:tblCellMar>
        </w:tblPrEx>
        <w:tc>
          <w:tcPr>
            <w:tcW w:w="267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芹菜</w:t>
            </w:r>
          </w:p>
        </w:tc>
        <w:tc>
          <w:tcPr>
            <w:tcW w:w="298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18～24</w:t>
            </w:r>
          </w:p>
        </w:tc>
        <w:tc>
          <w:tcPr>
            <w:tcW w:w="286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15～18</w:t>
            </w:r>
          </w:p>
        </w:tc>
      </w:tr>
    </w:tbl>
    <w:p>
      <w:pPr>
        <w:pStyle w:val="Normal0"/>
        <w:widowControl/>
        <w:spacing w:line="420" w:lineRule="atLeast"/>
        <w:ind w:firstLine="560" w:firstLineChars="200"/>
        <w:rPr>
          <w:rFonts w:ascii="楷体_GB2312" w:eastAsia="楷体_GB2312" w:hAnsi="宋体" w:cs="宋体" w:hint="eastAsia"/>
          <w:kern w:val="0"/>
          <w:sz w:val="28"/>
          <w:szCs w:val="28"/>
        </w:rPr>
      </w:pPr>
    </w:p>
    <w:p>
      <w:pPr>
        <w:pStyle w:val="Normal0"/>
        <w:widowControl/>
        <w:spacing w:line="420" w:lineRule="atLeast"/>
        <w:ind w:firstLine="560" w:firstLineChars="200"/>
        <w:rPr>
          <w:rFonts w:ascii="楷体_GB2312" w:eastAsia="楷体_GB2312" w:hAnsi="宋体" w:cs="宋体" w:hint="eastAsia"/>
          <w:kern w:val="0"/>
          <w:sz w:val="28"/>
          <w:szCs w:val="28"/>
        </w:rPr>
      </w:pPr>
    </w:p>
    <w:p>
      <w:pPr>
        <w:pStyle w:val="Normal0"/>
        <w:widowControl/>
        <w:spacing w:line="420" w:lineRule="atLeast"/>
        <w:ind w:firstLine="560" w:firstLineChars="200"/>
        <w:rPr>
          <w:rFonts w:ascii="楷体_GB2312" w:eastAsia="楷体_GB2312" w:hAnsi="宋体" w:cs="宋体" w:hint="eastAsia"/>
          <w:kern w:val="0"/>
          <w:sz w:val="28"/>
          <w:szCs w:val="28"/>
        </w:rPr>
      </w:pPr>
    </w:p>
    <w:p>
      <w:pPr>
        <w:pStyle w:val="Normal0"/>
        <w:widowControl/>
        <w:spacing w:line="420" w:lineRule="atLeast"/>
        <w:ind w:firstLine="560" w:firstLineChars="200"/>
        <w:rPr>
          <w:rFonts w:ascii="楷体_GB2312" w:eastAsia="楷体_GB2312" w:hAnsi="宋体" w:cs="宋体" w:hint="eastAsia"/>
          <w:kern w:val="0"/>
          <w:sz w:val="28"/>
          <w:szCs w:val="28"/>
        </w:rPr>
      </w:pPr>
    </w:p>
    <w:p>
      <w:pPr>
        <w:pStyle w:val="Normal0"/>
        <w:widowControl/>
        <w:spacing w:line="420" w:lineRule="atLeast"/>
        <w:ind w:firstLine="560" w:firstLineChars="200"/>
        <w:rPr>
          <w:rFonts w:ascii="楷体_GB2312" w:eastAsia="楷体_GB2312" w:hAnsi="宋体" w:cs="宋体" w:hint="eastAsia"/>
          <w:kern w:val="0"/>
          <w:sz w:val="28"/>
          <w:szCs w:val="28"/>
        </w:rPr>
        <w:sectPr>
          <w:headerReference w:type="default" r:id="rId33"/>
          <w:footerReference w:type="default" r:id="rId34"/>
          <w:type w:val="nextPage"/>
          <w:pgSz w:w="11906" w:h="16838"/>
          <w:pgMar w:top="1440" w:right="1797" w:bottom="1440" w:left="1797" w:header="851" w:footer="992" w:gutter="0"/>
          <w:pgNumType w:start="15"/>
          <w:cols w:num="1" w:space="720"/>
          <w:titlePg w:val="0"/>
          <w:docGrid w:type="linesAndChars" w:linePitch="312" w:charSpace="0"/>
        </w:sectPr>
      </w:pPr>
    </w:p>
    <w:p>
      <w:pPr>
        <w:pStyle w:val="Normal0"/>
        <w:widowControl/>
        <w:spacing w:line="420" w:lineRule="atLeast"/>
        <w:ind w:firstLine="560" w:firstLineChars="200"/>
        <w:rPr>
          <w:rFonts w:ascii="楷体_GB2312" w:eastAsia="楷体_GB2312" w:hAnsi="宋体" w:cs="宋体" w:hint="eastAsia"/>
          <w:b/>
          <w:kern w:val="0"/>
          <w:sz w:val="28"/>
          <w:szCs w:val="28"/>
        </w:rPr>
      </w:pPr>
      <w:r>
        <w:rPr>
          <w:rFonts w:ascii="楷体_GB2312" w:eastAsia="楷体_GB2312" w:hAnsi="宋体" w:cs="宋体" w:hint="eastAsia"/>
          <w:kern w:val="0"/>
          <w:sz w:val="28"/>
          <w:szCs w:val="28"/>
        </w:rPr>
        <w:t>③成苗的标准及苗龄如表所示：</w:t>
      </w:r>
    </w:p>
    <w:p>
      <w:pPr>
        <w:pStyle w:val="Normal0"/>
        <w:widowControl/>
        <w:spacing w:line="420" w:lineRule="atLeast"/>
        <w:jc w:val="center"/>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成苗的标准及苗龄</w:t>
      </w:r>
    </w:p>
    <w:tbl>
      <w:tblPr>
        <w:tblStyle w:val="TableNormal"/>
        <w:tblW w:w="0" w:type="auto"/>
        <w:jc w:val="cente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514"/>
        <w:gridCol w:w="2068"/>
        <w:gridCol w:w="2009"/>
        <w:gridCol w:w="2763"/>
      </w:tblGrid>
      <w:tr>
        <w:tblPrEx>
          <w:tblW w:w="0" w:type="auto"/>
          <w:jc w:val="cente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340"/>
          <w:jc w:val="center"/>
        </w:trPr>
        <w:tc>
          <w:tcPr>
            <w:tcW w:w="1514" w:type="dxa"/>
            <w:tcBorders>
              <w:top w:val="single" w:sz="12" w:space="0" w:color="auto"/>
              <w:bottom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蔬菜种类</w:t>
            </w:r>
          </w:p>
        </w:tc>
        <w:tc>
          <w:tcPr>
            <w:tcW w:w="2068" w:type="dxa"/>
            <w:tcBorders>
              <w:top w:val="single" w:sz="12" w:space="0" w:color="auto"/>
              <w:bottom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穴盘类型（孔）</w:t>
            </w:r>
          </w:p>
        </w:tc>
        <w:tc>
          <w:tcPr>
            <w:tcW w:w="2009" w:type="dxa"/>
            <w:tcBorders>
              <w:top w:val="single" w:sz="12" w:space="0" w:color="auto"/>
              <w:bottom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苗龄（天）</w:t>
            </w:r>
          </w:p>
        </w:tc>
        <w:tc>
          <w:tcPr>
            <w:tcW w:w="2763" w:type="dxa"/>
            <w:tcBorders>
              <w:top w:val="single" w:sz="12" w:space="0" w:color="auto"/>
              <w:bottom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成苗标准（叶片数）</w:t>
            </w:r>
          </w:p>
        </w:tc>
      </w:tr>
      <w:tr>
        <w:tblPrEx>
          <w:tblW w:w="0" w:type="auto"/>
          <w:jc w:val="center"/>
          <w:tblLayout w:type="fixed"/>
          <w:tblCellMar>
            <w:top w:w="0" w:type="dxa"/>
            <w:left w:w="108" w:type="dxa"/>
            <w:bottom w:w="0" w:type="dxa"/>
            <w:right w:w="108" w:type="dxa"/>
          </w:tblCellMar>
        </w:tblPrEx>
        <w:trPr>
          <w:trHeight w:val="340"/>
          <w:jc w:val="center"/>
        </w:trPr>
        <w:tc>
          <w:tcPr>
            <w:tcW w:w="1514" w:type="dxa"/>
            <w:tcBorders>
              <w:top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春黄瓜</w:t>
            </w:r>
          </w:p>
        </w:tc>
        <w:tc>
          <w:tcPr>
            <w:tcW w:w="2068" w:type="dxa"/>
            <w:tcBorders>
              <w:top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tcBorders>
              <w:top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20～25</w:t>
            </w:r>
          </w:p>
        </w:tc>
        <w:tc>
          <w:tcPr>
            <w:tcW w:w="2763" w:type="dxa"/>
            <w:tcBorders>
              <w:top w:val="single" w:sz="6" w:space="0" w:color="auto"/>
            </w:tcBorders>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2～3</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伏秋黄瓜</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12～15</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2～3</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甜瓜</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30～35</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3～4</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春辣椒</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60～70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8～9</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夏辣椒</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25～30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6～7</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春茄子</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50</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60～70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6～7</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秋茄子</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25～30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4～5</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春番茄</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35～40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4～5</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夏秋番茄</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72</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20～25</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4～5</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花菜</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128</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25～30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5～6</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结球甘蓝</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128</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25～30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5～6</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抱子甘蓝</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128</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25～30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5～6</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大白菜</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128</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15～20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3～4</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西芹菜</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128</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50～55</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5～6</w:t>
            </w:r>
          </w:p>
        </w:tc>
      </w:tr>
      <w:tr>
        <w:tblPrEx>
          <w:tblW w:w="0" w:type="auto"/>
          <w:jc w:val="center"/>
          <w:tblLayout w:type="fixed"/>
          <w:tblCellMar>
            <w:top w:w="0" w:type="dxa"/>
            <w:left w:w="108" w:type="dxa"/>
            <w:bottom w:w="0" w:type="dxa"/>
            <w:right w:w="108" w:type="dxa"/>
          </w:tblCellMar>
        </w:tblPrEx>
        <w:trPr>
          <w:trHeight w:val="340"/>
          <w:jc w:val="center"/>
        </w:trPr>
        <w:tc>
          <w:tcPr>
            <w:tcW w:w="1514"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生菜</w:t>
            </w:r>
          </w:p>
        </w:tc>
        <w:tc>
          <w:tcPr>
            <w:tcW w:w="2068"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128</w:t>
            </w:r>
          </w:p>
        </w:tc>
        <w:tc>
          <w:tcPr>
            <w:tcW w:w="2009"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35～40</w:t>
            </w:r>
          </w:p>
        </w:tc>
        <w:tc>
          <w:tcPr>
            <w:tcW w:w="2763"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4～5</w:t>
            </w:r>
          </w:p>
        </w:tc>
      </w:tr>
    </w:tbl>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34" w:name="_Toc150527660"/>
      <w:bookmarkStart w:id="35" w:name="_Toc151727107"/>
      <w:r>
        <w:rPr>
          <w:rFonts w:ascii="楷体_GB2312" w:eastAsia="楷体_GB2312" w:hAnsi="Times New Roman" w:hint="eastAsia"/>
          <w:kern w:val="44"/>
          <w:sz w:val="28"/>
          <w:szCs w:val="28"/>
        </w:rPr>
        <w:t>二、有机蔬菜的定植</w:t>
      </w:r>
      <w:bookmarkEnd w:id="34"/>
      <w:bookmarkEnd w:id="35"/>
    </w:p>
    <w:p>
      <w:pPr>
        <w:pStyle w:val="Normal0"/>
        <w:tabs>
          <w:tab w:val="left" w:pos="945"/>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1、土壤栽培地块的准备</w:t>
      </w:r>
    </w:p>
    <w:p>
      <w:pPr>
        <w:pStyle w:val="Normal0"/>
        <w:tabs>
          <w:tab w:val="left" w:pos="945"/>
        </w:tabs>
        <w:spacing w:line="420" w:lineRule="atLeast"/>
        <w:ind w:firstLine="560" w:firstLineChars="200"/>
        <w:rPr>
          <w:rFonts w:ascii="楷体_GB2312" w:eastAsia="楷体_GB2312" w:hAnsi="宋体" w:hint="eastAsia"/>
          <w:sz w:val="28"/>
          <w:szCs w:val="28"/>
        </w:rPr>
        <w:sectPr>
          <w:headerReference w:type="default" r:id="rId35"/>
          <w:footerReference w:type="default" r:id="rId36"/>
          <w:type w:val="nextPage"/>
          <w:pgSz w:w="11906" w:h="16838"/>
          <w:pgMar w:top="1440" w:right="1797" w:bottom="1440" w:left="1797" w:header="851" w:footer="992" w:gutter="0"/>
          <w:pgNumType w:start="16"/>
          <w:cols w:num="1" w:space="720"/>
          <w:titlePg w:val="0"/>
          <w:docGrid w:type="linesAndChars" w:linePitch="312" w:charSpace="0"/>
        </w:sectPr>
      </w:pPr>
      <w:r>
        <w:rPr>
          <w:rFonts w:ascii="楷体_GB2312" w:eastAsia="楷体_GB2312" w:hAnsi="宋体" w:hint="eastAsia"/>
          <w:sz w:val="28"/>
          <w:szCs w:val="28"/>
        </w:rPr>
        <w:t>施基肥：采用移栽秧苗的蔬菜，基肥以穴施方法进行。秧苗移栽时，每667m</w:t>
      </w:r>
      <w:r>
        <w:rPr>
          <w:rFonts w:ascii="楷体_GB2312" w:eastAsia="楷体_GB2312" w:hAnsi="宋体" w:hint="eastAsia"/>
          <w:sz w:val="28"/>
          <w:szCs w:val="28"/>
          <w:vertAlign w:val="superscript"/>
        </w:rPr>
        <w:t>2</w:t>
      </w:r>
    </w:p>
    <w:p>
      <w:pPr>
        <w:pStyle w:val="Normal0"/>
        <w:tabs>
          <w:tab w:val="left" w:pos="945"/>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用亿兆大丰收生态肥200kg或腐熟沼渣2000kg施入定植穴内，与开穴挖出的园土混合进行定植。对采用点播或大面积种植的蔬菜，基肥一般采用条施条播方法进行。</w:t>
      </w:r>
    </w:p>
    <w:p>
      <w:pPr>
        <w:pStyle w:val="Normal0"/>
        <w:tabs>
          <w:tab w:val="left" w:pos="945"/>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对于瓜菜类，例如南瓜、冬瓜、黄瓜、西红柿等，一般采用大穴大肥方法，每667平方米用亿兆大丰收生态肥300kg或用沼渣3000kg、过磷酸钙35kg、草木灰100kg和适量生活垃圾混合后施入穴内，盖上一层厚约5～10cm的园土，定植后立即浇透水分，及时盖上稻草或麦秆。也可在移栽前条施。</w:t>
      </w:r>
    </w:p>
    <w:p>
      <w:pPr>
        <w:pStyle w:val="Normal0"/>
        <w:tabs>
          <w:tab w:val="left" w:pos="945"/>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用亿兆大丰收生态肥或沼渣做基肥时，也可每亩用亿兆大丰收生态肥150～300kg或沼渣1500～3000kg，在土地翻耕时撒施，深翻30cm后作畦，畦宽1～1.2m，畦高15～20cm。也可根据蔬菜植株的不同进行作畦。</w:t>
      </w:r>
    </w:p>
    <w:tbl>
      <w:tblPr>
        <w:tblStyle w:val="TableNormal"/>
        <w:tblW w:w="0" w:type="auto"/>
        <w:jc w:val="cente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682"/>
        <w:gridCol w:w="1411"/>
        <w:gridCol w:w="1359"/>
        <w:gridCol w:w="1359"/>
        <w:gridCol w:w="1035"/>
        <w:gridCol w:w="1682"/>
      </w:tblGrid>
      <w:tr>
        <w:tblPrEx>
          <w:tblW w:w="0" w:type="auto"/>
          <w:jc w:val="cente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315"/>
          <w:jc w:val="center"/>
        </w:trPr>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蔬菜种类</w:t>
            </w:r>
          </w:p>
        </w:tc>
        <w:tc>
          <w:tcPr>
            <w:tcW w:w="1411"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畦底宽(cm)</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畦顶宽(cm)</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畦沟宽(cm)</w:t>
            </w:r>
          </w:p>
        </w:tc>
        <w:tc>
          <w:tcPr>
            <w:tcW w:w="1035"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畦高(cm)</w:t>
            </w:r>
          </w:p>
        </w:tc>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步道沟宽(cm)</w:t>
            </w:r>
          </w:p>
        </w:tc>
      </w:tr>
      <w:tr>
        <w:tblPrEx>
          <w:tblW w:w="0" w:type="auto"/>
          <w:jc w:val="center"/>
          <w:tblLayout w:type="fixed"/>
          <w:tblCellMar>
            <w:top w:w="0" w:type="dxa"/>
            <w:left w:w="108" w:type="dxa"/>
            <w:bottom w:w="0" w:type="dxa"/>
            <w:right w:w="108" w:type="dxa"/>
          </w:tblCellMar>
        </w:tblPrEx>
        <w:trPr>
          <w:trHeight w:val="315"/>
          <w:jc w:val="center"/>
        </w:trPr>
        <w:tc>
          <w:tcPr>
            <w:tcW w:w="168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茄子</w:t>
            </w:r>
          </w:p>
        </w:tc>
        <w:tc>
          <w:tcPr>
            <w:tcW w:w="1411"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 xml:space="preserve">130 </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85</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15cm</w:t>
            </w:r>
          </w:p>
        </w:tc>
        <w:tc>
          <w:tcPr>
            <w:tcW w:w="1035"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20</w:t>
            </w:r>
          </w:p>
        </w:tc>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50</w:t>
            </w:r>
          </w:p>
        </w:tc>
      </w:tr>
      <w:tr>
        <w:tblPrEx>
          <w:tblW w:w="0" w:type="auto"/>
          <w:jc w:val="center"/>
          <w:tblLayout w:type="fixed"/>
          <w:tblCellMar>
            <w:top w:w="0" w:type="dxa"/>
            <w:left w:w="108" w:type="dxa"/>
            <w:bottom w:w="0" w:type="dxa"/>
            <w:right w:w="108" w:type="dxa"/>
          </w:tblCellMar>
        </w:tblPrEx>
        <w:trPr>
          <w:trHeight w:val="315"/>
          <w:jc w:val="center"/>
        </w:trPr>
        <w:tc>
          <w:tcPr>
            <w:tcW w:w="168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辣(甜)椒</w:t>
            </w:r>
          </w:p>
        </w:tc>
        <w:tc>
          <w:tcPr>
            <w:tcW w:w="1411"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100</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80</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15cm</w:t>
            </w:r>
          </w:p>
        </w:tc>
        <w:tc>
          <w:tcPr>
            <w:tcW w:w="1035"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10</w:t>
            </w:r>
          </w:p>
        </w:tc>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45</w:t>
            </w:r>
          </w:p>
        </w:tc>
      </w:tr>
      <w:tr>
        <w:tblPrEx>
          <w:tblW w:w="0" w:type="auto"/>
          <w:jc w:val="center"/>
          <w:tblLayout w:type="fixed"/>
          <w:tblCellMar>
            <w:top w:w="0" w:type="dxa"/>
            <w:left w:w="108" w:type="dxa"/>
            <w:bottom w:w="0" w:type="dxa"/>
            <w:right w:w="108" w:type="dxa"/>
          </w:tblCellMar>
        </w:tblPrEx>
        <w:trPr>
          <w:trHeight w:val="315"/>
          <w:jc w:val="center"/>
        </w:trPr>
        <w:tc>
          <w:tcPr>
            <w:tcW w:w="168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番茄</w:t>
            </w:r>
          </w:p>
        </w:tc>
        <w:tc>
          <w:tcPr>
            <w:tcW w:w="1411"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100</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80</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15</w:t>
            </w:r>
          </w:p>
        </w:tc>
        <w:tc>
          <w:tcPr>
            <w:tcW w:w="1035"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12</w:t>
            </w:r>
          </w:p>
        </w:tc>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45</w:t>
            </w:r>
          </w:p>
        </w:tc>
      </w:tr>
      <w:tr>
        <w:tblPrEx>
          <w:tblW w:w="0" w:type="auto"/>
          <w:jc w:val="center"/>
          <w:tblLayout w:type="fixed"/>
          <w:tblCellMar>
            <w:top w:w="0" w:type="dxa"/>
            <w:left w:w="108" w:type="dxa"/>
            <w:bottom w:w="0" w:type="dxa"/>
            <w:right w:w="108" w:type="dxa"/>
          </w:tblCellMar>
        </w:tblPrEx>
        <w:trPr>
          <w:trHeight w:val="315"/>
          <w:jc w:val="center"/>
        </w:trPr>
        <w:tc>
          <w:tcPr>
            <w:tcW w:w="168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黄瓜</w:t>
            </w:r>
          </w:p>
        </w:tc>
        <w:tc>
          <w:tcPr>
            <w:tcW w:w="1411"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110</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65</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15</w:t>
            </w:r>
          </w:p>
        </w:tc>
        <w:tc>
          <w:tcPr>
            <w:tcW w:w="1035"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10</w:t>
            </w:r>
          </w:p>
        </w:tc>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45</w:t>
            </w:r>
          </w:p>
        </w:tc>
      </w:tr>
      <w:tr>
        <w:tblPrEx>
          <w:tblW w:w="0" w:type="auto"/>
          <w:jc w:val="center"/>
          <w:tblLayout w:type="fixed"/>
          <w:tblCellMar>
            <w:top w:w="0" w:type="dxa"/>
            <w:left w:w="108" w:type="dxa"/>
            <w:bottom w:w="0" w:type="dxa"/>
            <w:right w:w="108" w:type="dxa"/>
          </w:tblCellMar>
        </w:tblPrEx>
        <w:trPr>
          <w:trHeight w:val="315"/>
          <w:jc w:val="center"/>
        </w:trPr>
        <w:tc>
          <w:tcPr>
            <w:tcW w:w="168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抱子甘蓝</w:t>
            </w:r>
          </w:p>
        </w:tc>
        <w:tc>
          <w:tcPr>
            <w:tcW w:w="1411"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120</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85</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15</w:t>
            </w:r>
          </w:p>
        </w:tc>
        <w:tc>
          <w:tcPr>
            <w:tcW w:w="1035"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18</w:t>
            </w:r>
          </w:p>
        </w:tc>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45</w:t>
            </w:r>
          </w:p>
        </w:tc>
      </w:tr>
      <w:tr>
        <w:tblPrEx>
          <w:tblW w:w="0" w:type="auto"/>
          <w:jc w:val="center"/>
          <w:tblLayout w:type="fixed"/>
          <w:tblCellMar>
            <w:top w:w="0" w:type="dxa"/>
            <w:left w:w="108" w:type="dxa"/>
            <w:bottom w:w="0" w:type="dxa"/>
            <w:right w:w="108" w:type="dxa"/>
          </w:tblCellMar>
        </w:tblPrEx>
        <w:trPr>
          <w:trHeight w:val="315"/>
          <w:jc w:val="center"/>
        </w:trPr>
        <w:tc>
          <w:tcPr>
            <w:tcW w:w="1682" w:type="dxa"/>
            <w:vAlign w:val="center"/>
          </w:tcPr>
          <w:p>
            <w:pPr>
              <w:pStyle w:val="Normal0"/>
              <w:widowControl/>
              <w:spacing w:line="420" w:lineRule="atLeast"/>
              <w:jc w:val="center"/>
              <w:rPr>
                <w:rFonts w:ascii="楷体_GB2312" w:eastAsia="楷体_GB2312" w:hAnsi="宋体" w:cs="宋体" w:hint="eastAsia"/>
                <w:kern w:val="0"/>
                <w:sz w:val="28"/>
                <w:szCs w:val="28"/>
              </w:rPr>
            </w:pPr>
            <w:r>
              <w:rPr>
                <w:rFonts w:ascii="楷体_GB2312" w:eastAsia="楷体_GB2312" w:hAnsi="宋体" w:cs="宋体" w:hint="eastAsia"/>
                <w:kern w:val="0"/>
                <w:sz w:val="28"/>
                <w:szCs w:val="28"/>
              </w:rPr>
              <w:t>西甜瓜</w:t>
            </w:r>
          </w:p>
        </w:tc>
        <w:tc>
          <w:tcPr>
            <w:tcW w:w="1411"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100</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85</w:t>
            </w:r>
          </w:p>
        </w:tc>
        <w:tc>
          <w:tcPr>
            <w:tcW w:w="1359"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15</w:t>
            </w:r>
          </w:p>
        </w:tc>
        <w:tc>
          <w:tcPr>
            <w:tcW w:w="1035"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10</w:t>
            </w:r>
          </w:p>
        </w:tc>
        <w:tc>
          <w:tcPr>
            <w:tcW w:w="1682" w:type="dxa"/>
            <w:vAlign w:val="center"/>
          </w:tcPr>
          <w:p>
            <w:pPr>
              <w:pStyle w:val="Normal0"/>
              <w:tabs>
                <w:tab w:val="left" w:pos="945"/>
              </w:tabs>
              <w:spacing w:line="420" w:lineRule="atLeast"/>
              <w:jc w:val="center"/>
              <w:rPr>
                <w:rFonts w:ascii="楷体_GB2312" w:eastAsia="楷体_GB2312" w:hAnsi="宋体" w:hint="eastAsia"/>
                <w:sz w:val="28"/>
                <w:szCs w:val="28"/>
              </w:rPr>
            </w:pPr>
            <w:r>
              <w:rPr>
                <w:rFonts w:ascii="楷体_GB2312" w:eastAsia="楷体_GB2312" w:hAnsi="宋体" w:hint="eastAsia"/>
                <w:sz w:val="28"/>
                <w:szCs w:val="28"/>
              </w:rPr>
              <w:t>45</w:t>
            </w:r>
          </w:p>
        </w:tc>
      </w:tr>
    </w:tbl>
    <w:p>
      <w:pPr>
        <w:pStyle w:val="Normal0"/>
        <w:tabs>
          <w:tab w:val="left" w:pos="945"/>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2、基质栽培地块的准备</w:t>
      </w:r>
    </w:p>
    <w:p>
      <w:pPr>
        <w:pStyle w:val="Normal0"/>
        <w:spacing w:line="420" w:lineRule="atLeast"/>
        <w:ind w:firstLine="549" w:firstLineChars="196"/>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2.1　栽培槽的设置</w:t>
      </w:r>
    </w:p>
    <w:p>
      <w:pPr>
        <w:pStyle w:val="Normal0"/>
        <w:spacing w:line="420" w:lineRule="atLeast"/>
        <w:ind w:firstLine="560" w:firstLineChars="200"/>
        <w:rPr>
          <w:rFonts w:ascii="楷体_GB2312" w:eastAsia="楷体_GB2312" w:hAnsi="宋体" w:cs="宋体" w:hint="eastAsia"/>
          <w:kern w:val="0"/>
          <w:sz w:val="28"/>
          <w:szCs w:val="28"/>
        </w:rPr>
        <w:sectPr>
          <w:headerReference w:type="default" r:id="rId37"/>
          <w:footerReference w:type="default" r:id="rId38"/>
          <w:type w:val="nextPage"/>
          <w:pgSz w:w="11906" w:h="16838"/>
          <w:pgMar w:top="1440" w:right="1797" w:bottom="1440" w:left="1797" w:header="851" w:footer="992" w:gutter="0"/>
          <w:pgNumType w:start="17"/>
          <w:cols w:num="1" w:space="720"/>
          <w:titlePg w:val="0"/>
          <w:docGrid w:type="linesAndChars" w:linePitch="312" w:charSpace="0"/>
        </w:sectPr>
      </w:pPr>
    </w:p>
    <w:p>
      <w:pPr>
        <w:pStyle w:val="Normal0"/>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采用砖砌垒栽培槽，较实用，便于大面积推广。槽南北向走向，北高南低，高差在3cm左右，槽内净宽50cm，槽四边是砖宽12cm，槽高三层砖20cm左右，走道宽90cm；槽底部中间略低3cm左右；在槽的南部下层留一个小孔，便于积水流出。在槽底部和槽内四周铺设一层厚不低于0.1mm的聚乙烯农用膜，塑料四边固定在槽的四边，槽的长度在内跨7m温室内槽的长度为5.5m。</w:t>
      </w:r>
    </w:p>
    <w:p>
      <w:pPr>
        <w:pStyle w:val="Normal0"/>
        <w:spacing w:line="420" w:lineRule="atLeast"/>
        <w:ind w:firstLine="549" w:firstLineChars="196"/>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2.2　滴灌系统的安装</w:t>
      </w:r>
    </w:p>
    <w:p>
      <w:pPr>
        <w:pStyle w:val="Normal0"/>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槽内基质数量较少，蓄水数量受到限制，所以供水一定要均匀及时，最好采用滴灌设备。国产的设备，每亩300～400元，进口合资的设备一般1500元左右，效果较好，节水、省工、省事。在每个槽表面中间位置铺设一道滴灌软管，南端和滴灌主管连接，在首部安装过滤器和施肥器。水源可以用自来水，配备压力灌、水压泵、小水井泵等，但要注意滴灌头所需压力要与水源压力配套。</w:t>
      </w:r>
    </w:p>
    <w:p>
      <w:pPr>
        <w:pStyle w:val="Normal0"/>
        <w:spacing w:line="420" w:lineRule="atLeast"/>
        <w:ind w:firstLine="549" w:firstLineChars="196"/>
        <w:rPr>
          <w:rFonts w:ascii="楷体_GB2312" w:eastAsia="楷体_GB2312" w:hAnsi="宋体" w:cs="宋体" w:hint="eastAsia"/>
          <w:b/>
          <w:kern w:val="0"/>
          <w:sz w:val="28"/>
          <w:szCs w:val="28"/>
        </w:rPr>
      </w:pPr>
      <w:r>
        <w:rPr>
          <w:rFonts w:ascii="楷体_GB2312" w:eastAsia="楷体_GB2312" w:hAnsi="宋体" w:cs="宋体" w:hint="eastAsia"/>
          <w:b/>
          <w:kern w:val="0"/>
          <w:sz w:val="28"/>
          <w:szCs w:val="28"/>
        </w:rPr>
        <w:t>2.3基质的配制</w:t>
      </w:r>
    </w:p>
    <w:p>
      <w:pPr>
        <w:pStyle w:val="Normal0"/>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有机无土栽培基质的配比物质采用炉渣，草碳和沼渣混合的形式，其具体的配比关系如下：</w:t>
      </w:r>
    </w:p>
    <w:p>
      <w:pPr>
        <w:pStyle w:val="Normal0"/>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炉渣：草炭：沼渣＝1：1：1。</w:t>
      </w:r>
    </w:p>
    <w:p>
      <w:pPr>
        <w:pStyle w:val="Normal0"/>
        <w:spacing w:line="420" w:lineRule="atLeast"/>
        <w:ind w:firstLine="560" w:firstLineChars="200"/>
        <w:rPr>
          <w:rFonts w:ascii="楷体_GB2312" w:eastAsia="楷体_GB2312" w:hAnsi="宋体" w:cs="宋体" w:hint="eastAsia"/>
          <w:kern w:val="0"/>
          <w:sz w:val="28"/>
          <w:szCs w:val="28"/>
        </w:rPr>
      </w:pPr>
      <w:r>
        <w:rPr>
          <w:rFonts w:ascii="楷体_GB2312" w:eastAsia="楷体_GB2312" w:hAnsi="宋体" w:cs="宋体" w:hint="eastAsia"/>
          <w:kern w:val="0"/>
          <w:sz w:val="28"/>
          <w:szCs w:val="28"/>
        </w:rPr>
        <w:t>同时，每立方米基质加0.5kg</w:t>
      </w:r>
      <w:r>
        <w:rPr>
          <w:rFonts w:ascii="楷体_GB2312" w:eastAsia="楷体_GB2312" w:hAnsi="宋体" w:hint="eastAsia"/>
          <w:sz w:val="28"/>
          <w:szCs w:val="28"/>
        </w:rPr>
        <w:t>亿兆大丰收生态肥</w:t>
      </w:r>
      <w:r>
        <w:rPr>
          <w:rFonts w:ascii="楷体_GB2312" w:eastAsia="楷体_GB2312" w:hAnsi="宋体" w:cs="宋体" w:hint="eastAsia"/>
          <w:kern w:val="0"/>
          <w:sz w:val="28"/>
          <w:szCs w:val="28"/>
        </w:rPr>
        <w:t>，掺拌均匀后装槽。</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3、有机蔬菜定植的技术要点</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3.1 移苗前灌水</w:t>
      </w:r>
    </w:p>
    <w:p>
      <w:pPr>
        <w:pStyle w:val="Normal0"/>
        <w:spacing w:line="420" w:lineRule="atLeast"/>
        <w:ind w:firstLine="560" w:firstLineChars="200"/>
        <w:rPr>
          <w:rFonts w:ascii="楷体_GB2312" w:eastAsia="楷体_GB2312" w:hAnsi="宋体" w:hint="eastAsia"/>
          <w:sz w:val="28"/>
          <w:szCs w:val="28"/>
        </w:rPr>
        <w:sectPr>
          <w:headerReference w:type="default" r:id="rId39"/>
          <w:footerReference w:type="default" r:id="rId40"/>
          <w:type w:val="nextPage"/>
          <w:pgSz w:w="11906" w:h="16838"/>
          <w:pgMar w:top="1440" w:right="1797" w:bottom="1440" w:left="1797" w:header="851" w:footer="992" w:gutter="0"/>
          <w:pgNumType w:start="18"/>
          <w:cols w:num="1" w:space="720"/>
          <w:titlePg w:val="0"/>
          <w:docGrid w:type="linesAndChars" w:linePitch="312" w:charSpace="0"/>
        </w:sectPr>
      </w:pPr>
      <w:r>
        <w:rPr>
          <w:rFonts w:ascii="楷体_GB2312" w:eastAsia="楷体_GB2312" w:hAnsi="宋体" w:hint="eastAsia"/>
          <w:sz w:val="28"/>
          <w:szCs w:val="28"/>
        </w:rPr>
        <w:t>在移栽或定植蔬菜的前一天，将育苗的苗盘浇透底水，以下孔可以渗出水为准，以利于蔬菜幼苗根块的提出。</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3.2　定植时间的选择</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定植土壤或基质过干应选晴天下午或阴天定植。若土壤过干，宜上午在穴内淋足底水。</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36" w:name="_Toc150527661"/>
      <w:bookmarkStart w:id="37" w:name="_Toc151727108"/>
      <w:r>
        <w:rPr>
          <w:rFonts w:ascii="楷体_GB2312" w:eastAsia="楷体_GB2312" w:hAnsi="Times New Roman" w:hint="eastAsia"/>
          <w:kern w:val="44"/>
          <w:sz w:val="28"/>
          <w:szCs w:val="28"/>
        </w:rPr>
        <w:t>三、有机蔬菜病害防治技术规程</w:t>
      </w:r>
      <w:bookmarkEnd w:id="36"/>
      <w:bookmarkEnd w:id="37"/>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采取以农艺措施为主，生物、物理防治技术为辅，并利用一些植物性农药和有机蔬菜中允许使用的矿物源农药进行综合防治，所采取的防治措施如下：</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　农业防治</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1.1　选用抗(耐)病虫的优良品种</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抗霜霉病、白粉病、枯萎病、疫病的黄瓜品种有津杂2号、津杂4号、中农5号、中农7号、中农1101、龙杂黄3号、鲁黄瓜4号、夏青4号等；</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抗烟草花叶病毒和叶霉病的番茄品种有中蔬7号、中蔬8号、中蔬9号、苏保1号、佳粉15、申粉3号等；</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抗烟草花叶病毒和耐黄瓜花叶病毒的甜椒品种有中椒4号、中椒6号、苏椒4号、甜杂3号、农乐、吉椒2号等。生产者可因地制宜选择抗病品种。</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对不同的蔬菜品种进行合理搭配或不断更新。</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1.2　苗床地的选择</w:t>
      </w:r>
    </w:p>
    <w:p>
      <w:pPr>
        <w:pStyle w:val="Normal0"/>
        <w:tabs>
          <w:tab w:val="left" w:pos="900"/>
        </w:tabs>
        <w:spacing w:line="420" w:lineRule="atLeast"/>
        <w:ind w:firstLine="560" w:firstLineChars="200"/>
        <w:rPr>
          <w:rFonts w:ascii="楷体_GB2312" w:eastAsia="楷体_GB2312" w:hAnsi="宋体" w:hint="eastAsia"/>
          <w:sz w:val="28"/>
          <w:szCs w:val="28"/>
        </w:rPr>
        <w:sectPr>
          <w:headerReference w:type="default" r:id="rId41"/>
          <w:footerReference w:type="default" r:id="rId42"/>
          <w:type w:val="nextPage"/>
          <w:pgSz w:w="11906" w:h="16838"/>
          <w:pgMar w:top="1440" w:right="1797" w:bottom="1440" w:left="1797" w:header="851" w:footer="992" w:gutter="0"/>
          <w:pgNumType w:start="19"/>
          <w:cols w:num="1" w:space="720"/>
          <w:titlePg w:val="0"/>
          <w:docGrid w:type="linesAndChars" w:linePitch="312" w:charSpace="0"/>
        </w:sectPr>
      </w:pPr>
      <w:r>
        <w:rPr>
          <w:rFonts w:ascii="楷体_GB2312" w:eastAsia="楷体_GB2312" w:hAnsi="宋体" w:hint="eastAsia"/>
          <w:sz w:val="28"/>
          <w:szCs w:val="28"/>
        </w:rPr>
        <w:t>苗床地应选择地势高、排水通畅、土质疏松肥沃的无病地块或铁网高床。冬春季育苗苗床最好避风向阳，夏秋季和南菜北运基地育苗苗床最好选择易通风散热的地块。</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1.3　加强苗床</w:t>
      </w:r>
      <w:r>
        <w:rPr>
          <w:rFonts w:ascii="楷体_GB2312" w:eastAsia="楷体_GB2312" w:hAnsi="宋体" w:hint="eastAsia"/>
          <w:b/>
          <w:sz w:val="28"/>
          <w:szCs w:val="28"/>
          <w:lang w:eastAsia="zh-CN"/>
        </w:rPr>
        <w:t>管理管控管控</w:t>
      </w:r>
    </w:p>
    <w:p>
      <w:pPr>
        <w:pStyle w:val="Normal0"/>
        <w:snapToGrid w:val="0"/>
        <w:spacing w:line="420" w:lineRule="atLeast"/>
        <w:ind w:right="228" w:firstLine="560" w:firstLineChars="200"/>
        <w:rPr>
          <w:rFonts w:ascii="楷体_GB2312" w:eastAsia="楷体_GB2312" w:hAnsi="宋体" w:hint="eastAsia"/>
          <w:sz w:val="28"/>
          <w:szCs w:val="28"/>
        </w:rPr>
      </w:pPr>
      <w:r>
        <w:rPr>
          <w:rFonts w:ascii="楷体_GB2312" w:eastAsia="楷体_GB2312" w:hAnsi="宋体" w:hint="eastAsia"/>
          <w:sz w:val="28"/>
          <w:szCs w:val="28"/>
        </w:rPr>
        <w:t>①冬春季使用营养钵和穴盘进行育苗，采取防冻保温措施，适时揭除覆盖物，只要苗床温度许可，就应及时揭去覆盖物，增加光照，以提高幼苗抗病能力。</w:t>
      </w:r>
    </w:p>
    <w:p>
      <w:pPr>
        <w:pStyle w:val="Normal0"/>
        <w:snapToGrid w:val="0"/>
        <w:spacing w:line="420" w:lineRule="atLeast"/>
        <w:ind w:right="228" w:firstLine="560" w:firstLineChars="200"/>
        <w:rPr>
          <w:rFonts w:ascii="楷体_GB2312" w:eastAsia="楷体_GB2312" w:hAnsi="宋体" w:hint="eastAsia"/>
          <w:sz w:val="28"/>
          <w:szCs w:val="28"/>
        </w:rPr>
      </w:pPr>
      <w:r>
        <w:rPr>
          <w:rFonts w:ascii="楷体_GB2312" w:eastAsia="楷体_GB2312" w:hAnsi="宋体" w:hint="eastAsia"/>
          <w:sz w:val="28"/>
          <w:szCs w:val="28"/>
        </w:rPr>
        <w:t>②夏秋季使用防虫网结合遮阳网进行避雨育苗，减少育苗过程中遭受不良天气的影响，实行科学</w:t>
      </w:r>
      <w:r>
        <w:rPr>
          <w:rFonts w:ascii="楷体_GB2312" w:eastAsia="楷体_GB2312" w:hAnsi="宋体" w:hint="eastAsia"/>
          <w:sz w:val="28"/>
          <w:szCs w:val="28"/>
          <w:lang w:eastAsia="zh-CN"/>
        </w:rPr>
        <w:t>管理管控管控</w:t>
      </w:r>
      <w:r>
        <w:rPr>
          <w:rFonts w:ascii="楷体_GB2312" w:eastAsia="楷体_GB2312" w:hAnsi="宋体" w:hint="eastAsia"/>
          <w:sz w:val="28"/>
          <w:szCs w:val="28"/>
        </w:rPr>
        <w:t>。</w:t>
      </w:r>
    </w:p>
    <w:p>
      <w:pPr>
        <w:pStyle w:val="Normal0"/>
        <w:snapToGrid w:val="0"/>
        <w:spacing w:line="420" w:lineRule="atLeast"/>
        <w:ind w:right="228" w:firstLine="560" w:firstLineChars="200"/>
        <w:rPr>
          <w:rFonts w:ascii="楷体_GB2312" w:eastAsia="楷体_GB2312" w:hAnsi="宋体" w:hint="eastAsia"/>
          <w:sz w:val="28"/>
          <w:szCs w:val="28"/>
        </w:rPr>
      </w:pPr>
      <w:r>
        <w:rPr>
          <w:rFonts w:ascii="楷体_GB2312" w:eastAsia="楷体_GB2312" w:hAnsi="宋体" w:hint="eastAsia"/>
          <w:sz w:val="28"/>
          <w:szCs w:val="28"/>
        </w:rPr>
        <w:t>③严格控制好苗床水分。无论是冬春季还是夏秋季育苗，苗床土壤湿度和空气湿度是苗期病害发生轻重的关键因子，特别是冬春季育苗，苗床浇水的时间是晴天上午10：00～12：00，浇水后中午应放风降湿。</w:t>
      </w:r>
    </w:p>
    <w:p>
      <w:pPr>
        <w:pStyle w:val="Normal0"/>
        <w:snapToGrid w:val="0"/>
        <w:spacing w:line="420" w:lineRule="atLeast"/>
        <w:ind w:right="228" w:firstLine="560" w:firstLineChars="200"/>
        <w:rPr>
          <w:rFonts w:ascii="楷体_GB2312" w:eastAsia="楷体_GB2312" w:hAnsi="宋体" w:hint="eastAsia"/>
          <w:sz w:val="28"/>
          <w:szCs w:val="28"/>
        </w:rPr>
      </w:pPr>
      <w:r>
        <w:rPr>
          <w:rFonts w:ascii="楷体_GB2312" w:eastAsia="楷体_GB2312" w:hAnsi="宋体" w:hint="eastAsia"/>
          <w:sz w:val="28"/>
          <w:szCs w:val="28"/>
        </w:rPr>
        <w:t>④降低土壤湿度、提高土温是减轻冬春季蔬菜幼苗沤根的重要措施。</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⑤加强苗床检查，发现病毒病、灰霉病、菌核病、立枯病零星病株应及时去除，达到控制苗期病害蔓延的效果。</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1.4　轮作</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蔬菜作物的种类很多，有根菜、叶菜、果菜等，合理地把它们组合种植，不仅可以利用土壤肥力，改良土壤，而且直接影响在土壤中的寄生生物的活动。土壤连作，一方面由于消耗地力，影响蔬菜的生长发育，降低本身的抗病能力。另一方面连续种植一种蔬菜，寄生生物逐年在土壤中大量繁殖和累积，形成病土。使病虫害周而复始地恶性循环感染为害，如黄瓜枯萎病、豇豆根腐病、番茄病毒病、晚疫病、辣椒立枯病等。这些病害均与连作有关。</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因此，基地要根据所种植的品种和面积制定轮作</w:t>
      </w:r>
      <w:r>
        <w:rPr>
          <w:rFonts w:ascii="楷体_GB2312" w:eastAsia="楷体_GB2312" w:hAnsi="宋体" w:hint="eastAsia"/>
          <w:sz w:val="28"/>
          <w:szCs w:val="28"/>
          <w:lang w:eastAsia="zh-CN"/>
        </w:rPr>
        <w:t>相关相关计划</w:t>
      </w:r>
      <w:r>
        <w:rPr>
          <w:rFonts w:ascii="楷体_GB2312" w:eastAsia="楷体_GB2312" w:hAnsi="宋体" w:hint="eastAsia"/>
          <w:sz w:val="28"/>
          <w:szCs w:val="28"/>
        </w:rPr>
        <w:t>。</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1.5　人工增强品种抗性的方法</w:t>
      </w:r>
    </w:p>
    <w:p>
      <w:pPr>
        <w:pStyle w:val="Normal0"/>
        <w:tabs>
          <w:tab w:val="left" w:pos="900"/>
        </w:tabs>
        <w:spacing w:line="420" w:lineRule="atLeast"/>
        <w:ind w:firstLine="560" w:firstLineChars="200"/>
        <w:rPr>
          <w:rFonts w:ascii="楷体_GB2312" w:eastAsia="楷体_GB2312" w:hAnsi="宋体" w:hint="eastAsia"/>
          <w:sz w:val="28"/>
          <w:szCs w:val="28"/>
        </w:rPr>
        <w:sectPr>
          <w:headerReference w:type="default" r:id="rId43"/>
          <w:footerReference w:type="default" r:id="rId44"/>
          <w:type w:val="nextPage"/>
          <w:pgSz w:w="11906" w:h="16838"/>
          <w:pgMar w:top="1440" w:right="1797" w:bottom="1440" w:left="1797" w:header="851" w:footer="992" w:gutter="0"/>
          <w:pgNumType w:start="20"/>
          <w:cols w:num="1" w:space="720"/>
          <w:titlePg w:val="0"/>
          <w:docGrid w:type="linesAndChars" w:linePitch="312" w:charSpace="0"/>
        </w:sectPr>
      </w:pP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嫁接：黄瓜枯萎病是黄瓜的重要病害，利用嫁接技术，可以起到防病增产的作用。主要是通过嫁接时切口诱导黄瓜苗产生植株系，可以抗多种病害。</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1.6　调整栽培措施</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实行保护地节水栽培，膜下软管滴灌，加强通风，调温控湿，最大限度地降低棚内空气湿度，缩短作物茎叶表面结露时间，控制病源生物的侵入和病害的蔓延。</w:t>
      </w:r>
    </w:p>
    <w:p>
      <w:pPr>
        <w:pStyle w:val="Normal0"/>
        <w:tabs>
          <w:tab w:val="left" w:pos="900"/>
        </w:tabs>
        <w:spacing w:line="420" w:lineRule="atLeast"/>
        <w:ind w:firstLine="549" w:firstLineChars="196"/>
        <w:rPr>
          <w:rFonts w:ascii="楷体_GB2312" w:eastAsia="楷体_GB2312" w:hAnsi="宋体" w:hint="eastAsia"/>
          <w:sz w:val="28"/>
          <w:szCs w:val="28"/>
        </w:rPr>
      </w:pPr>
      <w:r>
        <w:rPr>
          <w:rFonts w:ascii="楷体_GB2312" w:eastAsia="楷体_GB2312" w:hAnsi="宋体" w:hint="eastAsia"/>
          <w:b/>
          <w:sz w:val="28"/>
          <w:szCs w:val="28"/>
        </w:rPr>
        <w:t>1.7　设施蔬菜“两网一膜”安全生产技术</w:t>
      </w:r>
      <w:r>
        <w:rPr>
          <w:rFonts w:ascii="楷体_GB2312" w:eastAsia="楷体_GB2312" w:hAnsi="宋体" w:hint="eastAsia"/>
          <w:sz w:val="28"/>
          <w:szCs w:val="28"/>
        </w:rPr>
        <w:br/>
      </w:r>
      <w:r>
        <w:rPr>
          <w:rFonts w:ascii="宋体" w:eastAsia="楷体_GB2312" w:hAnsi="宋体" w:hint="eastAsia"/>
          <w:sz w:val="28"/>
          <w:szCs w:val="28"/>
        </w:rPr>
        <w:t>  </w:t>
      </w:r>
      <w:r>
        <w:rPr>
          <w:rFonts w:ascii="楷体_GB2312" w:eastAsia="楷体_GB2312" w:hAnsi="宋体" w:hint="eastAsia"/>
          <w:sz w:val="28"/>
          <w:szCs w:val="28"/>
        </w:rPr>
        <w:t>设施蔬菜“两网一膜”技术是采用遮阳网、防虫网和塑料薄膜的有效利用。</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一是在日光温室内加盖地膜，可使地温增高2</w:t>
      </w:r>
      <w:r>
        <w:rPr>
          <w:rFonts w:ascii="楷体_GB2312" w:eastAsia="楷体_GB2312" w:hAnsi="宋体" w:cs="宋体" w:hint="eastAsia"/>
          <w:sz w:val="28"/>
          <w:szCs w:val="28"/>
        </w:rPr>
        <w:t>℃</w:t>
      </w:r>
      <w:r>
        <w:rPr>
          <w:rFonts w:ascii="楷体_GB2312" w:eastAsia="楷体_GB2312" w:hAnsi="宋体" w:hint="eastAsia"/>
          <w:sz w:val="28"/>
          <w:szCs w:val="28"/>
        </w:rPr>
        <w:t>～3</w:t>
      </w:r>
      <w:r>
        <w:rPr>
          <w:rFonts w:ascii="楷体_GB2312" w:eastAsia="楷体_GB2312" w:hAnsi="宋体" w:cs="宋体" w:hint="eastAsia"/>
          <w:sz w:val="28"/>
          <w:szCs w:val="28"/>
        </w:rPr>
        <w:t>℃</w:t>
      </w:r>
      <w:r>
        <w:rPr>
          <w:rFonts w:ascii="楷体_GB2312" w:eastAsia="楷体_GB2312" w:hAnsi="宋体" w:hint="eastAsia"/>
          <w:sz w:val="28"/>
          <w:szCs w:val="28"/>
        </w:rPr>
        <w:t>；设置小拱棚可使小拱棚内温度保持在10</w:t>
      </w:r>
      <w:r>
        <w:rPr>
          <w:rFonts w:ascii="楷体_GB2312" w:eastAsia="楷体_GB2312" w:hAnsi="宋体" w:cs="宋体" w:hint="eastAsia"/>
          <w:sz w:val="28"/>
          <w:szCs w:val="28"/>
        </w:rPr>
        <w:t>℃</w:t>
      </w:r>
      <w:r>
        <w:rPr>
          <w:rFonts w:ascii="楷体_GB2312" w:eastAsia="楷体_GB2312" w:hAnsi="宋体" w:hint="eastAsia"/>
          <w:sz w:val="28"/>
          <w:szCs w:val="28"/>
        </w:rPr>
        <w:t>以上，一膜可起到良好的保温、增温效果，能保证喜温果菜在寒冷季节的正常生长。二是设置防虫网、遮阳网。随着气温升高，在放风口处覆盖防虫网，减少害虫传播，从而降低化学农药的使用，各地可根据当地主要虫害种类选择不同目数的防虫网。夏季覆盖遮阳网可有效调节棚室内温度，创造蔬菜适宜生长的环境。</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1.8　深耕晒白，改善土壤环境条件</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深翻松土可以改变土壤生态条件，抑制病虫害发生和繁殖，通过深耕，可将土壤中的病菌和虫害翻至地表，把遗留在地面上的病残体，越冬的病原物的休眠体，翻入土中，加速病残体分解和腐烂。</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1.9　清洁田园，清除病虫源</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  物理防治</w:t>
      </w:r>
    </w:p>
    <w:p>
      <w:pPr>
        <w:pStyle w:val="Normal0"/>
        <w:tabs>
          <w:tab w:val="left" w:pos="900"/>
        </w:tabs>
        <w:spacing w:line="420" w:lineRule="atLeast"/>
        <w:ind w:firstLine="549" w:firstLineChars="196"/>
        <w:rPr>
          <w:rFonts w:ascii="楷体_GB2312" w:eastAsia="楷体_GB2312" w:hAnsi="宋体" w:hint="eastAsia"/>
          <w:sz w:val="28"/>
          <w:szCs w:val="28"/>
        </w:rPr>
        <w:sectPr>
          <w:headerReference w:type="default" r:id="rId45"/>
          <w:footerReference w:type="default" r:id="rId46"/>
          <w:type w:val="nextPage"/>
          <w:pgSz w:w="11906" w:h="16838"/>
          <w:pgMar w:top="1440" w:right="1797" w:bottom="1440" w:left="1797" w:header="851" w:footer="992" w:gutter="0"/>
          <w:pgNumType w:start="21"/>
          <w:cols w:num="1" w:space="720"/>
          <w:titlePg w:val="0"/>
          <w:docGrid w:type="linesAndChars" w:linePitch="312" w:charSpace="0"/>
        </w:sectPr>
      </w:pPr>
      <w:r>
        <w:rPr>
          <w:rFonts w:ascii="楷体_GB2312" w:eastAsia="楷体_GB2312" w:hAnsi="宋体" w:hint="eastAsia"/>
          <w:b/>
          <w:sz w:val="28"/>
          <w:szCs w:val="28"/>
        </w:rPr>
        <w:t>2.1　土壤的热力消毒</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在高温季节进行土壤消毒：在夏季高温期间在蔬菜大棚及露天作业区两茬作物间隙，进行灌水，加入石灰氮，然后在畦面上覆盖塑料薄膜。利用太阳能～石灰氮消毒技术对土壤和基质进行高温消毒。</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2.2　利用颜色趋性</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日光温室中悬挂黄板或蓝板，涂上机油，诱杀对黄色和蓝色有趋性的害虫。</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2.3　实施防虫网全程覆盖为主体的防虫技术措施</w:t>
      </w:r>
    </w:p>
    <w:p>
      <w:pPr>
        <w:pStyle w:val="Normal0"/>
        <w:tabs>
          <w:tab w:val="left" w:pos="900"/>
        </w:tabs>
        <w:spacing w:line="420" w:lineRule="atLeast"/>
        <w:ind w:firstLine="549" w:firstLineChars="196"/>
        <w:rPr>
          <w:rFonts w:ascii="楷体_GB2312" w:eastAsia="楷体_GB2312" w:hAnsi="宋体" w:hint="eastAsia"/>
          <w:sz w:val="28"/>
          <w:szCs w:val="28"/>
        </w:rPr>
      </w:pPr>
      <w:r>
        <w:rPr>
          <w:rFonts w:ascii="楷体_GB2312" w:eastAsia="楷体_GB2312" w:hAnsi="宋体" w:hint="eastAsia"/>
          <w:sz w:val="28"/>
          <w:szCs w:val="28"/>
        </w:rPr>
        <w:t>使用225目白色防虫网。在春秋多种蔬菜害虫旺发阶段对日光温室进行全程覆盖。</w:t>
      </w:r>
    </w:p>
    <w:p>
      <w:pPr>
        <w:pStyle w:val="Normal0"/>
        <w:tabs>
          <w:tab w:val="left" w:pos="900"/>
        </w:tabs>
        <w:spacing w:line="420" w:lineRule="atLeast"/>
        <w:ind w:firstLine="549" w:firstLineChars="196"/>
        <w:rPr>
          <w:rFonts w:ascii="楷体_GB2312" w:eastAsia="楷体_GB2312" w:hAnsi="宋体" w:cs="宋体" w:hint="eastAsia"/>
          <w:b/>
          <w:sz w:val="28"/>
          <w:szCs w:val="28"/>
        </w:rPr>
      </w:pPr>
      <w:r>
        <w:rPr>
          <w:rFonts w:ascii="楷体_GB2312" w:eastAsia="楷体_GB2312" w:hAnsi="宋体" w:hint="eastAsia"/>
          <w:b/>
          <w:sz w:val="28"/>
          <w:szCs w:val="28"/>
        </w:rPr>
        <w:t>3  生物防治</w:t>
      </w:r>
      <w:r>
        <w:rPr>
          <w:rFonts w:ascii="楷体_GB2312" w:eastAsia="楷体_GB2312" w:hAnsi="宋体" w:cs="宋体" w:hint="eastAsia"/>
          <w:b/>
          <w:sz w:val="28"/>
          <w:szCs w:val="28"/>
        </w:rPr>
        <w:t></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3.1  农抗120的使用</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生物农药农抗120可以防治多种蔬菜霜霉病、炭疽病、黑斑病、角斑病等；井冈霉素防治猝倒病、白绢病等。</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3.2　利用弱毒性病毒喷洒植株</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在生长期利用83增抗剂、N14、S52、病毒A等弱毒疫苗喷洒植株可提高番茄、辣椒等蔬菜对病毒病的抵抗力。</w:t>
      </w:r>
    </w:p>
    <w:p>
      <w:pPr>
        <w:pStyle w:val="Normal0"/>
        <w:tabs>
          <w:tab w:val="left" w:pos="900"/>
        </w:tabs>
        <w:spacing w:line="420" w:lineRule="atLeast"/>
        <w:ind w:firstLine="549" w:firstLineChars="196"/>
        <w:rPr>
          <w:rFonts w:ascii="楷体_GB2312" w:eastAsia="楷体_GB2312" w:hAnsi="宋体" w:hint="eastAsia"/>
          <w:sz w:val="28"/>
          <w:szCs w:val="28"/>
        </w:rPr>
      </w:pPr>
      <w:r>
        <w:rPr>
          <w:rFonts w:ascii="楷体_GB2312" w:eastAsia="楷体_GB2312" w:hAnsi="宋体" w:hint="eastAsia"/>
          <w:b/>
          <w:sz w:val="28"/>
          <w:szCs w:val="28"/>
        </w:rPr>
        <w:t>3.3　颗粒体病毒的应用</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农药苏云金杆菌、白僵菌以及颗粒体病毒等可用于防治菜青虫、小菜蛾。</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3.4　丽蚜小蜂的悬挂</w:t>
      </w:r>
    </w:p>
    <w:p>
      <w:pPr>
        <w:pStyle w:val="Normal0"/>
        <w:tabs>
          <w:tab w:val="left" w:pos="900"/>
        </w:tabs>
        <w:spacing w:line="420" w:lineRule="atLeast"/>
        <w:ind w:firstLine="560" w:firstLineChars="200"/>
        <w:rPr>
          <w:rFonts w:ascii="楷体_GB2312" w:eastAsia="楷体_GB2312" w:hAnsi="宋体" w:hint="eastAsia"/>
          <w:sz w:val="28"/>
          <w:szCs w:val="28"/>
        </w:rPr>
        <w:sectPr>
          <w:headerReference w:type="default" r:id="rId47"/>
          <w:footerReference w:type="default" r:id="rId48"/>
          <w:type w:val="nextPage"/>
          <w:pgSz w:w="11906" w:h="16838"/>
          <w:pgMar w:top="1440" w:right="1797" w:bottom="1440" w:left="1797" w:header="851" w:footer="992" w:gutter="0"/>
          <w:pgNumType w:start="22"/>
          <w:cols w:num="1" w:space="720"/>
          <w:titlePg w:val="0"/>
          <w:docGrid w:type="linesAndChars" w:linePitch="312" w:charSpace="0"/>
        </w:sectPr>
      </w:pPr>
      <w:r>
        <w:rPr>
          <w:rFonts w:ascii="楷体_GB2312" w:eastAsia="楷体_GB2312" w:hAnsi="宋体" w:hint="eastAsia"/>
          <w:sz w:val="28"/>
          <w:szCs w:val="28"/>
        </w:rPr>
        <w:t>在日光温室内悬挂寄生蜂丽蚜小蜂的卵卡或释放丽蚜小蜂，能减轻白粉虱的危害。</w:t>
      </w:r>
    </w:p>
    <w:p>
      <w:pPr>
        <w:pStyle w:val="Normal0"/>
        <w:tabs>
          <w:tab w:val="left" w:pos="900"/>
        </w:tabs>
        <w:spacing w:line="420" w:lineRule="atLeast"/>
        <w:ind w:firstLine="549" w:firstLineChars="196"/>
        <w:rPr>
          <w:rFonts w:ascii="楷体_GB2312" w:eastAsia="楷体_GB2312" w:hAnsi="宋体" w:hint="eastAsia"/>
          <w:sz w:val="28"/>
          <w:szCs w:val="28"/>
        </w:rPr>
      </w:pPr>
      <w:r>
        <w:rPr>
          <w:rFonts w:ascii="楷体_GB2312" w:eastAsia="楷体_GB2312" w:hAnsi="宋体" w:hint="eastAsia"/>
          <w:b/>
          <w:sz w:val="28"/>
          <w:szCs w:val="28"/>
        </w:rPr>
        <w:t>3.5　赤眼蜂防治棉铃虫、菜青虫</w:t>
      </w:r>
    </w:p>
    <w:p>
      <w:pPr>
        <w:pStyle w:val="Normal0"/>
        <w:tabs>
          <w:tab w:val="left" w:pos="900"/>
        </w:tabs>
        <w:spacing w:line="420" w:lineRule="atLeast"/>
        <w:ind w:firstLine="549" w:firstLineChars="196"/>
        <w:rPr>
          <w:rFonts w:ascii="楷体_GB2312" w:eastAsia="楷体_GB2312" w:hAnsi="宋体" w:hint="eastAsia"/>
          <w:sz w:val="28"/>
          <w:szCs w:val="28"/>
        </w:rPr>
      </w:pPr>
      <w:r>
        <w:rPr>
          <w:rFonts w:ascii="楷体_GB2312" w:eastAsia="楷体_GB2312" w:hAnsi="宋体" w:hint="eastAsia"/>
          <w:b/>
          <w:sz w:val="28"/>
          <w:szCs w:val="28"/>
        </w:rPr>
        <w:t>3.6　植物源农药：百草一号、苦参碱、烟碱的使用</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　有机蔬菜生产的杂草防治技术</w:t>
      </w:r>
    </w:p>
    <w:p>
      <w:pPr>
        <w:pStyle w:val="Normal0"/>
        <w:tabs>
          <w:tab w:val="left" w:pos="900"/>
        </w:tabs>
        <w:spacing w:line="420" w:lineRule="atLeast"/>
        <w:ind w:firstLine="549" w:firstLineChars="196"/>
        <w:rPr>
          <w:rFonts w:ascii="楷体_GB2312" w:eastAsia="楷体_GB2312" w:hAnsi="宋体" w:hint="eastAsia"/>
          <w:sz w:val="28"/>
          <w:szCs w:val="28"/>
        </w:rPr>
      </w:pPr>
      <w:r>
        <w:rPr>
          <w:rFonts w:ascii="楷体_GB2312" w:eastAsia="楷体_GB2312" w:hAnsi="宋体" w:hint="eastAsia"/>
          <w:b/>
          <w:sz w:val="28"/>
          <w:szCs w:val="28"/>
        </w:rPr>
        <w:t>4.1　通过夏季闷棚进行土壤消毒得到防治杂草的效果</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4.2　对土壤和基质实行全膜覆盖，控制杂草的生长</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4.3　喷施酸度4～10%的食用酿造醋消除杂草</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38" w:name="_Toc150527662"/>
      <w:bookmarkStart w:id="39" w:name="_Toc151727109"/>
      <w:r>
        <w:rPr>
          <w:rFonts w:ascii="楷体_GB2312" w:eastAsia="楷体_GB2312" w:hAnsi="Times New Roman" w:hint="eastAsia"/>
          <w:kern w:val="44"/>
          <w:sz w:val="28"/>
          <w:szCs w:val="28"/>
        </w:rPr>
        <w:t>四、有机蔬菜生产过程中发生异常问题时的处理方法</w:t>
      </w:r>
      <w:bookmarkEnd w:id="38"/>
      <w:bookmarkEnd w:id="39"/>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　恶劣天气发生过程中的</w:t>
      </w:r>
      <w:r>
        <w:rPr>
          <w:rFonts w:ascii="楷体_GB2312" w:eastAsia="楷体_GB2312" w:hAnsi="宋体" w:hint="eastAsia"/>
          <w:b/>
          <w:sz w:val="28"/>
          <w:szCs w:val="28"/>
          <w:lang w:eastAsia="zh-CN"/>
        </w:rPr>
        <w:t>管理管控管控</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1.1　连续阴天的揭盖保温</w:t>
      </w:r>
    </w:p>
    <w:p>
      <w:pPr>
        <w:pStyle w:val="Normal0"/>
        <w:tabs>
          <w:tab w:val="left" w:pos="900"/>
        </w:tabs>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连续阴天时，要调整揭盖草苫时间，争取宝贵的散射光。比晴天早揭晚盖各一个小时。</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1.2　连续阴天的温度</w:t>
      </w:r>
      <w:r>
        <w:rPr>
          <w:rFonts w:ascii="楷体_GB2312" w:eastAsia="楷体_GB2312" w:hAnsi="宋体" w:hint="eastAsia"/>
          <w:b/>
          <w:sz w:val="28"/>
          <w:szCs w:val="28"/>
          <w:lang w:eastAsia="zh-CN"/>
        </w:rPr>
        <w:t>管理管控管控</w:t>
      </w:r>
    </w:p>
    <w:p>
      <w:pPr>
        <w:pStyle w:val="Normal0"/>
        <w:tabs>
          <w:tab w:val="left" w:pos="900"/>
        </w:tabs>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在连续阴天的情况下，蔬菜作物的光合作用很弱，合成的光合产物很少，为减少呼吸消耗，必须降低夜间温度。夜间一般比晴天要低2～3摄氏度。</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1.3　中午放风换气</w:t>
      </w:r>
    </w:p>
    <w:p>
      <w:pPr>
        <w:pStyle w:val="Normal0"/>
        <w:tabs>
          <w:tab w:val="left" w:pos="900"/>
        </w:tabs>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在连续阴天的情况下，呼吸消耗大于光合作用，温室内会积累大量的二氧化碳等有害气体，因此在连续阴天三天以上，中午要放顶风1～2个小时。</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1.4　阴天时的防病措施</w:t>
      </w:r>
    </w:p>
    <w:p>
      <w:pPr>
        <w:pStyle w:val="Normal0"/>
        <w:tabs>
          <w:tab w:val="left" w:pos="900"/>
        </w:tabs>
        <w:spacing w:line="420" w:lineRule="atLeast"/>
        <w:ind w:firstLine="549" w:firstLineChars="196"/>
        <w:rPr>
          <w:rFonts w:ascii="楷体_GB2312" w:eastAsia="楷体_GB2312" w:hAnsi="宋体" w:hint="eastAsia"/>
          <w:sz w:val="28"/>
          <w:szCs w:val="28"/>
        </w:rPr>
        <w:sectPr>
          <w:headerReference w:type="default" r:id="rId49"/>
          <w:footerReference w:type="default" r:id="rId50"/>
          <w:type w:val="nextPage"/>
          <w:pgSz w:w="11906" w:h="16838"/>
          <w:pgMar w:top="1440" w:right="1797" w:bottom="1440" w:left="1797" w:header="851" w:footer="992" w:gutter="0"/>
          <w:pgNumType w:start="23"/>
          <w:cols w:num="1" w:space="720"/>
          <w:titlePg w:val="0"/>
          <w:docGrid w:type="linesAndChars" w:linePitch="312" w:charSpace="0"/>
        </w:sectPr>
      </w:pPr>
      <w:r>
        <w:rPr>
          <w:rFonts w:ascii="楷体_GB2312" w:eastAsia="楷体_GB2312" w:hAnsi="宋体" w:hint="eastAsia"/>
          <w:sz w:val="28"/>
          <w:szCs w:val="28"/>
        </w:rPr>
        <w:t>阴雨天气蔬菜大棚及露天作业区内湿度大，不宜喷药，可选用烟熏剂防病，降低湿度。</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1.5　覆盖物的固定</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大风天气白天把透明覆盖物固定好，避免被风吹跑，夜间盖严压好，必要时把毛苫、草苫等压好。覆盖物一旦被风刮掉，秧苗极易受冻。中后期遇南风天气时虽气温较高，但要避免冷风从通风口直接吹入畦内，以免损伤秧苗。</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1.6　低温天气的灌水</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低温天气苗床要控制浇水，做到营养土不发白不浇，要浇就浇透，尽量中午用同温水浇。</w:t>
      </w:r>
    </w:p>
    <w:p>
      <w:pPr>
        <w:pStyle w:val="Normal0"/>
        <w:tabs>
          <w:tab w:val="left" w:pos="90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　在恶劣天气过后，晴天时</w:t>
      </w:r>
      <w:r>
        <w:rPr>
          <w:rFonts w:ascii="楷体_GB2312" w:eastAsia="楷体_GB2312" w:hAnsi="宋体" w:hint="eastAsia"/>
          <w:b/>
          <w:sz w:val="28"/>
          <w:szCs w:val="28"/>
          <w:lang w:eastAsia="zh-CN"/>
        </w:rPr>
        <w:t>管理管控管控</w:t>
      </w:r>
    </w:p>
    <w:p>
      <w:pPr>
        <w:pStyle w:val="Normal0"/>
        <w:tabs>
          <w:tab w:val="left" w:pos="900"/>
        </w:tabs>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在持续阴天多日，天气转晴后，必须注意观察，发现萎蔫，立即放下草苫，恢复后再揭开，经过几次反复，不再萎蔫后再全部揭开草苫。第二天还要注意观察，如有萎蔫还应进行回苫。一般三天以后才能真正放心。</w:t>
      </w:r>
    </w:p>
    <w:p>
      <w:pPr>
        <w:pStyle w:val="Heading1"/>
        <w:spacing w:before="156" w:beforeLines="50" w:after="156" w:afterLines="50" w:line="420" w:lineRule="atLeast"/>
        <w:jc w:val="center"/>
        <w:rPr>
          <w:rFonts w:ascii="楷体_GB2312" w:eastAsia="楷体_GB2312" w:hint="eastAsia"/>
          <w:sz w:val="32"/>
          <w:szCs w:val="32"/>
          <w:lang w:eastAsia="zh-CN"/>
        </w:rPr>
      </w:pPr>
      <w:bookmarkStart w:id="40" w:name="_Toc151727110"/>
      <w:bookmarkStart w:id="41" w:name="_Toc150527663"/>
      <w:r>
        <w:rPr>
          <w:rFonts w:ascii="楷体_GB2312" w:eastAsia="楷体_GB2312" w:hint="eastAsia"/>
          <w:sz w:val="32"/>
          <w:szCs w:val="32"/>
        </w:rPr>
        <w:t>第七章、部分有机蔬菜生产栽培</w:t>
      </w:r>
      <w:bookmarkEnd w:id="40"/>
      <w:bookmarkEnd w:id="41"/>
      <w:r>
        <w:rPr>
          <w:rFonts w:ascii="楷体_GB2312" w:eastAsia="楷体_GB2312" w:hint="eastAsia"/>
          <w:sz w:val="32"/>
          <w:szCs w:val="32"/>
          <w:lang w:eastAsia="zh-CN"/>
        </w:rPr>
        <w:t>管理管控管控</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42" w:name="_Toc150527664"/>
      <w:bookmarkStart w:id="43" w:name="_Toc151727111"/>
      <w:r>
        <w:rPr>
          <w:rFonts w:ascii="楷体_GB2312" w:eastAsia="楷体_GB2312" w:hAnsi="Times New Roman" w:hint="eastAsia"/>
          <w:kern w:val="44"/>
          <w:sz w:val="28"/>
          <w:szCs w:val="28"/>
        </w:rPr>
        <w:t>一、有机黄瓜生产操作规程</w:t>
      </w:r>
      <w:bookmarkEnd w:id="42"/>
      <w:bookmarkEnd w:id="43"/>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　品种与砧木选择</w:t>
      </w:r>
    </w:p>
    <w:p>
      <w:pPr>
        <w:pStyle w:val="Normal0"/>
        <w:spacing w:line="420" w:lineRule="atLeast"/>
        <w:ind w:firstLine="420" w:firstLineChars="150"/>
        <w:rPr>
          <w:rFonts w:ascii="楷体_GB2312" w:eastAsia="楷体_GB2312" w:hAnsi="宋体" w:hint="eastAsia"/>
          <w:sz w:val="28"/>
          <w:szCs w:val="28"/>
        </w:rPr>
      </w:pPr>
      <w:r>
        <w:rPr>
          <w:rFonts w:ascii="楷体_GB2312" w:eastAsia="楷体_GB2312" w:hAnsi="宋体" w:hint="eastAsia"/>
          <w:sz w:val="28"/>
          <w:szCs w:val="28"/>
        </w:rPr>
        <w:t>选择适应性广、抗病、抗逆性强、瓜条整齐的品种，主要有津育五号、津优30、津优1号、长春密刺、中农13、农大秋棚。嫁接砧木选择与黄瓜亲和力强，耐低温，能够保持黄瓜风味的云南黑籽南瓜。</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　育苗</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2.1　种子选择</w:t>
      </w:r>
    </w:p>
    <w:p>
      <w:pPr>
        <w:pStyle w:val="Normal0"/>
        <w:spacing w:line="420" w:lineRule="atLeast"/>
        <w:ind w:firstLine="420"/>
        <w:rPr>
          <w:rFonts w:ascii="楷体_GB2312" w:eastAsia="楷体_GB2312" w:hAnsi="宋体" w:hint="eastAsia"/>
          <w:sz w:val="28"/>
          <w:szCs w:val="28"/>
        </w:rPr>
        <w:sectPr>
          <w:headerReference w:type="default" r:id="rId51"/>
          <w:footerReference w:type="default" r:id="rId52"/>
          <w:type w:val="nextPage"/>
          <w:pgSz w:w="11906" w:h="16838"/>
          <w:pgMar w:top="1440" w:right="1797" w:bottom="1440" w:left="1797" w:header="851" w:footer="992" w:gutter="0"/>
          <w:pgNumType w:start="24"/>
          <w:cols w:num="1" w:space="720"/>
          <w:titlePg w:val="0"/>
          <w:docGrid w:type="linesAndChars" w:linePitch="312" w:charSpace="0"/>
        </w:sectPr>
      </w:pP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根据种植季节和方式，选择有机种子，只有在得不到经认证的有机种子的情况下，使用未禁用物质处理的常规种子。杜绝使用转基因作物品种。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2.2　温水烫种</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配制55℃、0.1%的高锰酸钾溶液，浸种15分钟，然后用清水洗净种子。放入30℃的温水中浸泡4～6小时。</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2.3　催芽</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烫种后将洗净的种子，晾去表面水分，用干净的湿布包好，在25～30℃的条件下经24～36小时出芽。</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2.4　播种</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营养土按草炭：蛭石3：1的比例配制，每方营养土中加鸡粪沼渣10kg，将催好芽的种子点入装满营养土的穴盘（50孔）、或营养钵8*8中，每穴一粒，上覆1.0cm厚营养土，浇透水，放入苗床。</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2.5　苗期</w:t>
      </w:r>
      <w:r>
        <w:rPr>
          <w:rFonts w:ascii="楷体_GB2312" w:eastAsia="楷体_GB2312" w:hAnsi="宋体" w:hint="eastAsia"/>
          <w:b/>
          <w:sz w:val="28"/>
          <w:szCs w:val="28"/>
          <w:lang w:eastAsia="zh-CN"/>
        </w:rPr>
        <w:t>管理管控管控</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出苗前保持温度白天25～30℃，夜间17～20℃，出苗后降低3～5℃。根据湿度及时浇水。防病用1000倍50%加瑞农（春雷霉素）溶液喷雾，防虫可用5%天然除虫菊酯1000～1500倍液喷雾。二叶一心时可用双和天然植物生长调节剂500倍喷施叶面。定植前降温练苗。一般苗龄30～35天。</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2.6　嫁接育苗</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采用顶芽斜插法或靠接法嫁接育苗，预防枯萎病，并增强根系的抗寒能力，以云南黑籽南瓜为砧木。</w:t>
      </w:r>
    </w:p>
    <w:p>
      <w:pPr>
        <w:pStyle w:val="Normal0"/>
        <w:spacing w:line="420" w:lineRule="atLeast"/>
        <w:ind w:firstLine="549" w:firstLineChars="196"/>
        <w:rPr>
          <w:rFonts w:ascii="楷体_GB2312" w:eastAsia="楷体_GB2312" w:hAnsi="宋体" w:hint="eastAsia"/>
          <w:b/>
          <w:sz w:val="28"/>
          <w:szCs w:val="28"/>
        </w:rPr>
        <w:sectPr>
          <w:headerReference w:type="default" r:id="rId53"/>
          <w:footerReference w:type="default" r:id="rId54"/>
          <w:type w:val="nextPage"/>
          <w:pgSz w:w="11906" w:h="16838"/>
          <w:pgMar w:top="1440" w:right="1797" w:bottom="1440" w:left="1797" w:header="851" w:footer="992" w:gutter="0"/>
          <w:pgNumType w:start="25"/>
          <w:cols w:num="1" w:space="720"/>
          <w:titlePg w:val="0"/>
          <w:docGrid w:type="linesAndChars" w:linePitch="312" w:charSpace="0"/>
        </w:sectPr>
      </w:pPr>
      <w:r>
        <w:rPr>
          <w:rFonts w:ascii="楷体_GB2312" w:eastAsia="楷体_GB2312" w:hAnsi="宋体" w:hint="eastAsia"/>
          <w:b/>
          <w:sz w:val="28"/>
          <w:szCs w:val="28"/>
        </w:rPr>
        <w:t>3　定植与密度</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根据品种特性和栽培条件确定适宜的密度，温室大行距70cm、小行距60cm、株距30～35cm，亩定植3000株。定植时浇足定植水，密闭温室提高地温，白天温度25～30℃，夜间18～20℃，缓苗后，昼夜温度降低5℃，加大通风。</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　田间</w:t>
      </w:r>
      <w:r>
        <w:rPr>
          <w:rFonts w:ascii="楷体_GB2312" w:eastAsia="楷体_GB2312" w:hAnsi="宋体" w:hint="eastAsia"/>
          <w:b/>
          <w:sz w:val="28"/>
          <w:szCs w:val="28"/>
          <w:lang w:eastAsia="zh-CN"/>
        </w:rPr>
        <w:t>管理管控管控</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4.1　采收前</w:t>
      </w:r>
      <w:r>
        <w:rPr>
          <w:rFonts w:ascii="楷体_GB2312" w:eastAsia="楷体_GB2312" w:hAnsi="宋体" w:hint="eastAsia"/>
          <w:b/>
          <w:sz w:val="28"/>
          <w:szCs w:val="28"/>
          <w:lang w:eastAsia="zh-CN"/>
        </w:rPr>
        <w:t>管理管控管控</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初花期，每亩穴施亿兆大丰收生态肥40kg或鸡粪100kg，并浇小水。然后松土促根控秧。白天温度22～27℃，夜间13～18℃。株高10～15cm时吊绳、盘头、打须、打杈。</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4.2　收获期</w:t>
      </w:r>
      <w:r>
        <w:rPr>
          <w:rFonts w:ascii="楷体_GB2312" w:eastAsia="楷体_GB2312" w:hAnsi="宋体" w:hint="eastAsia"/>
          <w:b/>
          <w:sz w:val="28"/>
          <w:szCs w:val="28"/>
          <w:lang w:eastAsia="zh-CN"/>
        </w:rPr>
        <w:t>管理管控管控</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温度白天25～30℃，夜间15～20℃，加强通风换气。根瓜收获后，冬季每隔5～7天浇清水一次，夏季每隔3～4天浇清水一次。如果是有机生态型无土栽培每隔1～2天浇水一次。每隔10～15天，每亩用亿兆大丰收生态肥20kg或100kg鸡粪加200kg水浸泡二天后的过滤液滴灌一次。或每亩穴亿兆大丰收生态肥20kg或施鸡粪100kg，硫酸钾3～5kg。叶面喷符合《含氨基酸叶面肥料》和《含微量元素叶面肥料》技术要求的叶面肥。</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　病害</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a.及时清洁棚室,翻地,高温闷棚杀菌消毒。</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b.采用高温45～50℃闭棚2小时的方法,防治霜霉病、白粉病、炭疽病等。</w:t>
      </w:r>
    </w:p>
    <w:p>
      <w:pPr>
        <w:pStyle w:val="Normal0"/>
        <w:spacing w:line="420" w:lineRule="atLeast"/>
        <w:ind w:firstLine="560" w:firstLineChars="200"/>
        <w:rPr>
          <w:rFonts w:ascii="楷体_GB2312" w:eastAsia="楷体_GB2312" w:hAnsi="宋体" w:hint="eastAsia"/>
          <w:sz w:val="28"/>
          <w:szCs w:val="28"/>
        </w:rPr>
        <w:sectPr>
          <w:headerReference w:type="default" r:id="rId55"/>
          <w:footerReference w:type="default" r:id="rId56"/>
          <w:type w:val="nextPage"/>
          <w:pgSz w:w="11906" w:h="16838"/>
          <w:pgMar w:top="1440" w:right="1797" w:bottom="1440" w:left="1797" w:header="851" w:footer="992" w:gutter="0"/>
          <w:pgNumType w:start="26"/>
          <w:cols w:num="1" w:space="720"/>
          <w:titlePg w:val="0"/>
          <w:docGrid w:type="linesAndChars" w:linePitch="312" w:charSpace="0"/>
        </w:sectPr>
      </w:pPr>
      <w:r>
        <w:rPr>
          <w:rFonts w:ascii="楷体_GB2312" w:eastAsia="楷体_GB2312" w:hAnsi="宋体" w:hint="eastAsia"/>
          <w:sz w:val="28"/>
          <w:szCs w:val="28"/>
        </w:rPr>
        <w:t>C.也可用50%春雷氧氯铜（加瑞农）可湿性粉剂800倍喷雾。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d.细菌性角斑病用72%农用硫酸链霉3000～4000倍喷雾或DT杀菌剂700倍液喷雾。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e.枯萎病用2%农抗120水剂150～200倍喷雾。</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ｆ.灰霉病用10%多抗霉素500～700倍喷雾。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b/>
          <w:sz w:val="28"/>
          <w:szCs w:val="28"/>
        </w:rPr>
        <w:t>6　虫害</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6.1采用频振式杀虫灯、黄板、蓝板诱杀。</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6.2安装防虫网。</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6.3用5%天然除虫菊酯1000～1500倍或0.6%清源宝(苦内酯水剂)800～1000倍防治蚜虫、红蜘蛛、茶黄螨、白粉虱等害虫。</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b/>
          <w:sz w:val="28"/>
          <w:szCs w:val="28"/>
        </w:rPr>
        <w:t>7　草害</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采用作物轮作、人工拨草、锄草方法清除草害。禁止使用任何化学除草剂。</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lang w:eastAsia="zh-CN"/>
        </w:rPr>
      </w:pPr>
      <w:bookmarkStart w:id="44" w:name="_Toc151727112"/>
      <w:bookmarkStart w:id="45" w:name="_Toc150527665"/>
      <w:r>
        <w:rPr>
          <w:rFonts w:ascii="楷体_GB2312" w:eastAsia="楷体_GB2312" w:hAnsi="Times New Roman" w:hint="eastAsia"/>
          <w:kern w:val="44"/>
          <w:sz w:val="28"/>
          <w:szCs w:val="28"/>
        </w:rPr>
        <w:t>二、迷你黄瓜的栽培</w:t>
      </w:r>
      <w:bookmarkEnd w:id="44"/>
      <w:bookmarkEnd w:id="45"/>
      <w:r>
        <w:rPr>
          <w:rFonts w:ascii="楷体_GB2312" w:eastAsia="楷体_GB2312" w:hAnsi="Times New Roman" w:hint="eastAsia"/>
          <w:kern w:val="44"/>
          <w:sz w:val="28"/>
          <w:szCs w:val="28"/>
          <w:lang w:eastAsia="zh-CN"/>
        </w:rPr>
        <w:t>管理管控管控</w:t>
      </w:r>
    </w:p>
    <w:p>
      <w:pPr>
        <w:pStyle w:val="Normal0"/>
        <w:spacing w:line="420" w:lineRule="atLeast"/>
        <w:ind w:firstLine="549" w:firstLineChars="196"/>
        <w:rPr>
          <w:rFonts w:ascii="楷体_GB2312" w:eastAsia="楷体_GB2312" w:hint="eastAsia"/>
          <w:b/>
          <w:sz w:val="28"/>
          <w:szCs w:val="28"/>
        </w:rPr>
      </w:pPr>
      <w:r>
        <w:rPr>
          <w:rFonts w:ascii="楷体_GB2312" w:eastAsia="楷体_GB2312" w:hint="eastAsia"/>
          <w:b/>
          <w:sz w:val="28"/>
          <w:szCs w:val="28"/>
        </w:rPr>
        <w:t>1　品种选择</w:t>
      </w:r>
    </w:p>
    <w:p>
      <w:pPr>
        <w:pStyle w:val="Normal0"/>
        <w:spacing w:line="420" w:lineRule="atLeast"/>
        <w:ind w:firstLine="549" w:firstLineChars="196"/>
        <w:rPr>
          <w:rFonts w:ascii="楷体_GB2312" w:eastAsia="楷体_GB2312" w:hint="eastAsia"/>
          <w:b/>
          <w:sz w:val="28"/>
          <w:szCs w:val="28"/>
        </w:rPr>
      </w:pPr>
      <w:r>
        <w:rPr>
          <w:rFonts w:ascii="楷体_GB2312" w:eastAsia="楷体_GB2312" w:hint="eastAsia"/>
          <w:b/>
          <w:sz w:val="28"/>
          <w:szCs w:val="28"/>
        </w:rPr>
        <w:t>2　培育壮苗</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2.1　种子选择</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根据种植季节和方式，选择有机种子，只有在得不到经认证的有机种子的情况下，使用未禁用物质处理的常规种子。杜绝使用转基因作物品种。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2.2　温水烫种</w:t>
      </w:r>
    </w:p>
    <w:p>
      <w:pPr>
        <w:pStyle w:val="Normal0"/>
        <w:spacing w:line="420" w:lineRule="atLeast"/>
        <w:ind w:firstLine="420"/>
        <w:rPr>
          <w:rFonts w:ascii="楷体_GB2312" w:eastAsia="楷体_GB2312" w:hAnsi="宋体" w:hint="eastAsia"/>
          <w:sz w:val="28"/>
          <w:szCs w:val="28"/>
        </w:rPr>
        <w:sectPr>
          <w:headerReference w:type="default" r:id="rId57"/>
          <w:footerReference w:type="default" r:id="rId58"/>
          <w:type w:val="nextPage"/>
          <w:pgSz w:w="11906" w:h="16838"/>
          <w:pgMar w:top="1440" w:right="1797" w:bottom="1440" w:left="1797" w:header="851" w:footer="992" w:gutter="0"/>
          <w:pgNumType w:start="27"/>
          <w:cols w:num="1" w:space="720"/>
          <w:titlePg w:val="0"/>
          <w:docGrid w:type="linesAndChars" w:linePitch="312" w:charSpace="0"/>
        </w:sectPr>
      </w:pPr>
      <w:r>
        <w:rPr>
          <w:rFonts w:ascii="楷体_GB2312" w:eastAsia="楷体_GB2312" w:hAnsi="宋体" w:hint="eastAsia"/>
          <w:sz w:val="28"/>
          <w:szCs w:val="28"/>
        </w:rPr>
        <w:t>配制55℃、0.1%的高锰酸钾溶液，浸种15分钟，然后用清水洗净种子。放入30℃的温水中浸泡4～6小时。</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2.3　催芽</w:t>
      </w:r>
    </w:p>
    <w:p>
      <w:pPr>
        <w:pStyle w:val="Normal0"/>
        <w:spacing w:line="420" w:lineRule="atLeast"/>
        <w:ind w:firstLine="560" w:firstLineChars="200"/>
        <w:rPr>
          <w:rStyle w:val="blank"/>
          <w:rFonts w:ascii="楷体_GB2312" w:eastAsia="楷体_GB2312" w:hAnsi="宋体" w:cs="Tahoma" w:hint="eastAsia"/>
          <w:sz w:val="28"/>
          <w:szCs w:val="28"/>
        </w:rPr>
      </w:pPr>
      <w:r>
        <w:rPr>
          <w:rFonts w:ascii="楷体_GB2312" w:eastAsia="楷体_GB2312" w:hAnsi="宋体" w:hint="eastAsia"/>
          <w:sz w:val="28"/>
          <w:szCs w:val="28"/>
        </w:rPr>
        <w:t>烫种后将洗净的种子，晾去表面水分，用干净的湿布包好，在25～30℃的条件下经24～36小时出芽。</w:t>
      </w:r>
    </w:p>
    <w:p>
      <w:pPr>
        <w:pStyle w:val="Normal0"/>
        <w:spacing w:line="420" w:lineRule="atLeast"/>
        <w:ind w:firstLine="549" w:firstLineChars="196"/>
        <w:rPr>
          <w:rStyle w:val="blank"/>
          <w:rFonts w:ascii="楷体_GB2312" w:eastAsia="楷体_GB2312" w:hAnsi="宋体" w:cs="Tahoma" w:hint="eastAsia"/>
          <w:b/>
          <w:sz w:val="28"/>
          <w:szCs w:val="28"/>
        </w:rPr>
      </w:pPr>
      <w:r>
        <w:rPr>
          <w:rStyle w:val="blank"/>
          <w:rFonts w:ascii="楷体_GB2312" w:eastAsia="楷体_GB2312" w:hAnsi="宋体" w:cs="Tahoma" w:hint="eastAsia"/>
          <w:b/>
          <w:sz w:val="28"/>
          <w:szCs w:val="28"/>
        </w:rPr>
        <w:t>2.4　播种</w:t>
      </w:r>
    </w:p>
    <w:p>
      <w:pPr>
        <w:pStyle w:val="Normal0"/>
        <w:spacing w:line="420" w:lineRule="atLeast"/>
        <w:ind w:firstLine="560" w:firstLineChars="200"/>
        <w:rPr>
          <w:rStyle w:val="blank"/>
          <w:rFonts w:ascii="楷体_GB2312" w:eastAsia="楷体_GB2312" w:hAnsi="宋体" w:cs="Tahoma" w:hint="eastAsia"/>
          <w:sz w:val="28"/>
          <w:szCs w:val="28"/>
        </w:rPr>
      </w:pPr>
      <w:r>
        <w:rPr>
          <w:rStyle w:val="blank"/>
          <w:rFonts w:ascii="楷体_GB2312" w:eastAsia="楷体_GB2312" w:hAnsi="宋体" w:cs="Tahoma" w:hint="eastAsia"/>
          <w:sz w:val="28"/>
          <w:szCs w:val="28"/>
        </w:rPr>
        <w:t>育苗时一般采用穴盘进行精量点播，生产上常采用黑籽南瓜进行嫁接育苗。</w:t>
      </w:r>
    </w:p>
    <w:p>
      <w:pPr>
        <w:pStyle w:val="Normal0"/>
        <w:spacing w:line="420" w:lineRule="atLeast"/>
        <w:ind w:firstLine="549" w:firstLineChars="196"/>
        <w:rPr>
          <w:rStyle w:val="blank"/>
          <w:rFonts w:ascii="楷体_GB2312" w:eastAsia="楷体_GB2312" w:hAnsi="宋体" w:cs="Tahoma" w:hint="eastAsia"/>
          <w:b/>
          <w:sz w:val="28"/>
          <w:szCs w:val="28"/>
        </w:rPr>
      </w:pPr>
      <w:r>
        <w:rPr>
          <w:rStyle w:val="blank"/>
          <w:rFonts w:ascii="楷体_GB2312" w:eastAsia="楷体_GB2312" w:hAnsi="宋体" w:cs="Tahoma" w:hint="eastAsia"/>
          <w:b/>
          <w:sz w:val="28"/>
          <w:szCs w:val="28"/>
        </w:rPr>
        <w:t>2.5　苗期</w:t>
      </w:r>
      <w:r>
        <w:rPr>
          <w:rStyle w:val="blank"/>
          <w:rFonts w:ascii="楷体_GB2312" w:eastAsia="楷体_GB2312" w:hAnsi="宋体" w:cs="Tahoma" w:hint="eastAsia"/>
          <w:b/>
          <w:sz w:val="28"/>
          <w:szCs w:val="28"/>
          <w:lang w:eastAsia="zh-CN"/>
        </w:rPr>
        <w:t>管理管控管控</w:t>
      </w:r>
    </w:p>
    <w:p>
      <w:pPr>
        <w:pStyle w:val="Normal0"/>
        <w:spacing w:line="420" w:lineRule="atLeast"/>
        <w:ind w:firstLine="560" w:firstLineChars="200"/>
        <w:rPr>
          <w:rStyle w:val="blank"/>
          <w:rFonts w:ascii="楷体_GB2312" w:eastAsia="楷体_GB2312" w:hAnsi="宋体" w:cs="Tahoma" w:hint="eastAsia"/>
          <w:sz w:val="28"/>
          <w:szCs w:val="28"/>
        </w:rPr>
      </w:pPr>
      <w:r>
        <w:rPr>
          <w:rStyle w:val="blank"/>
          <w:rFonts w:ascii="楷体_GB2312" w:eastAsia="楷体_GB2312" w:hAnsi="宋体" w:cs="Tahoma" w:hint="eastAsia"/>
          <w:sz w:val="28"/>
          <w:szCs w:val="28"/>
        </w:rPr>
        <w:t>幼苗嫁接好后立即置于苗床，支上小拱棚，用塑料薄膜盖严，以后做好温、水和光照</w:t>
      </w:r>
      <w:r>
        <w:rPr>
          <w:rStyle w:val="blank"/>
          <w:rFonts w:ascii="楷体_GB2312" w:eastAsia="楷体_GB2312" w:hAnsi="宋体" w:cs="Tahoma" w:hint="eastAsia"/>
          <w:sz w:val="28"/>
          <w:szCs w:val="28"/>
          <w:lang w:eastAsia="zh-CN"/>
        </w:rPr>
        <w:t>管理管控管控</w:t>
      </w:r>
      <w:r>
        <w:rPr>
          <w:rStyle w:val="blank"/>
          <w:rFonts w:ascii="楷体_GB2312" w:eastAsia="楷体_GB2312" w:hAnsi="宋体" w:cs="Tahoma" w:hint="eastAsia"/>
          <w:sz w:val="28"/>
          <w:szCs w:val="28"/>
        </w:rPr>
        <w:t>工作，培育壮苗，适时定植。</w:t>
      </w:r>
    </w:p>
    <w:p>
      <w:pPr>
        <w:pStyle w:val="Normal0"/>
        <w:spacing w:line="420" w:lineRule="atLeast"/>
        <w:ind w:firstLine="549" w:firstLineChars="196"/>
        <w:rPr>
          <w:rStyle w:val="blank"/>
          <w:rFonts w:ascii="楷体_GB2312" w:eastAsia="楷体_GB2312" w:hAnsi="宋体" w:cs="Tahoma" w:hint="eastAsia"/>
          <w:b/>
          <w:sz w:val="28"/>
          <w:szCs w:val="28"/>
        </w:rPr>
      </w:pPr>
      <w:r>
        <w:rPr>
          <w:rStyle w:val="blank"/>
          <w:rFonts w:ascii="楷体_GB2312" w:eastAsia="楷体_GB2312" w:hAnsi="宋体" w:cs="Tahoma" w:hint="eastAsia"/>
          <w:b/>
          <w:sz w:val="28"/>
          <w:szCs w:val="28"/>
        </w:rPr>
        <w:t>3　整地、施肥、定植</w:t>
      </w:r>
    </w:p>
    <w:p>
      <w:pPr>
        <w:pStyle w:val="Normal0"/>
        <w:spacing w:line="420" w:lineRule="atLeast"/>
        <w:ind w:firstLine="560" w:firstLineChars="200"/>
        <w:rPr>
          <w:rStyle w:val="blank"/>
          <w:rFonts w:ascii="楷体_GB2312" w:eastAsia="楷体_GB2312" w:hAnsi="宋体" w:cs="Tahoma" w:hint="eastAsia"/>
          <w:sz w:val="28"/>
          <w:szCs w:val="28"/>
        </w:rPr>
      </w:pPr>
      <w:r>
        <w:rPr>
          <w:rStyle w:val="blank"/>
          <w:rFonts w:ascii="楷体_GB2312" w:eastAsia="楷体_GB2312" w:hAnsi="宋体" w:cs="Tahoma" w:hint="eastAsia"/>
          <w:sz w:val="28"/>
          <w:szCs w:val="28"/>
        </w:rPr>
        <w:t>迷你黄瓜结瓜量大，需要充足的养分供给，定植前每亩使用</w:t>
      </w:r>
      <w:r>
        <w:rPr>
          <w:rFonts w:ascii="楷体_GB2312" w:eastAsia="楷体_GB2312" w:hAnsi="宋体" w:hint="eastAsia"/>
          <w:sz w:val="28"/>
          <w:szCs w:val="28"/>
        </w:rPr>
        <w:t>亿兆大丰收生态肥300kg或</w:t>
      </w:r>
      <w:r>
        <w:rPr>
          <w:rStyle w:val="blank"/>
          <w:rFonts w:ascii="楷体_GB2312" w:eastAsia="楷体_GB2312" w:hAnsi="宋体" w:cs="Tahoma" w:hint="eastAsia"/>
          <w:sz w:val="28"/>
          <w:szCs w:val="28"/>
        </w:rPr>
        <w:t xml:space="preserve">腐熟有机肥5吨，深翻混匀，耙平起畦，做20～30cm高的畦，铺上地膜。当10cm地温稳定在15℃以上时即可定植。每亩栽2000～2500株，一般选择在晴天上午进行定植。 </w:t>
      </w:r>
      <w:r>
        <w:rPr>
          <w:rFonts w:ascii="楷体_GB2312" w:eastAsia="楷体_GB2312" w:hAnsi="宋体" w:cs="Tahoma" w:hint="eastAsia"/>
          <w:sz w:val="28"/>
          <w:szCs w:val="28"/>
        </w:rPr>
        <w:br/>
      </w:r>
      <w:r>
        <w:rPr>
          <w:rFonts w:ascii="楷体_GB2312" w:eastAsia="楷体_GB2312" w:hAnsi="宋体" w:cs="Tahoma" w:hint="eastAsia"/>
          <w:sz w:val="28"/>
          <w:szCs w:val="28"/>
        </w:rPr>
        <w:t xml:space="preserve">    </w:t>
      </w:r>
      <w:r>
        <w:rPr>
          <w:rStyle w:val="blank"/>
          <w:rFonts w:ascii="楷体_GB2312" w:eastAsia="楷体_GB2312" w:hAnsi="宋体" w:cs="Tahoma" w:hint="eastAsia"/>
          <w:b/>
          <w:sz w:val="28"/>
          <w:szCs w:val="28"/>
        </w:rPr>
        <w:t>4　田间</w:t>
      </w:r>
      <w:r>
        <w:rPr>
          <w:rStyle w:val="blank"/>
          <w:rFonts w:ascii="楷体_GB2312" w:eastAsia="楷体_GB2312" w:hAnsi="宋体" w:cs="Tahoma" w:hint="eastAsia"/>
          <w:b/>
          <w:sz w:val="28"/>
          <w:szCs w:val="28"/>
          <w:lang w:eastAsia="zh-CN"/>
        </w:rPr>
        <w:t>管理管控管控</w:t>
      </w:r>
    </w:p>
    <w:p>
      <w:pPr>
        <w:pStyle w:val="Normal0"/>
        <w:spacing w:line="420" w:lineRule="atLeast"/>
        <w:ind w:firstLine="549" w:firstLineChars="196"/>
        <w:rPr>
          <w:rStyle w:val="blank"/>
          <w:rFonts w:ascii="楷体_GB2312" w:eastAsia="楷体_GB2312" w:hAnsi="宋体" w:cs="Tahoma" w:hint="eastAsia"/>
          <w:b/>
          <w:sz w:val="28"/>
          <w:szCs w:val="28"/>
        </w:rPr>
      </w:pPr>
      <w:r>
        <w:rPr>
          <w:rStyle w:val="blank"/>
          <w:rFonts w:ascii="楷体_GB2312" w:eastAsia="楷体_GB2312" w:hAnsi="宋体" w:cs="Tahoma" w:hint="eastAsia"/>
          <w:b/>
          <w:sz w:val="28"/>
          <w:szCs w:val="28"/>
        </w:rPr>
        <w:t>4.1　温度</w:t>
      </w:r>
      <w:r>
        <w:rPr>
          <w:rStyle w:val="blank"/>
          <w:rFonts w:ascii="楷体_GB2312" w:eastAsia="楷体_GB2312" w:hAnsi="宋体" w:cs="Tahoma" w:hint="eastAsia"/>
          <w:b/>
          <w:sz w:val="28"/>
          <w:szCs w:val="28"/>
          <w:lang w:eastAsia="zh-CN"/>
        </w:rPr>
        <w:t>管理管控管控</w:t>
      </w:r>
    </w:p>
    <w:p>
      <w:pPr>
        <w:pStyle w:val="Normal0"/>
        <w:spacing w:line="420" w:lineRule="atLeast"/>
        <w:ind w:firstLine="560" w:firstLineChars="200"/>
        <w:rPr>
          <w:rStyle w:val="blank"/>
          <w:rFonts w:ascii="楷体_GB2312" w:eastAsia="楷体_GB2312" w:hAnsi="宋体" w:cs="Tahoma" w:hint="eastAsia"/>
          <w:sz w:val="28"/>
          <w:szCs w:val="28"/>
        </w:rPr>
      </w:pPr>
      <w:r>
        <w:rPr>
          <w:rStyle w:val="blank"/>
          <w:rFonts w:ascii="楷体_GB2312" w:eastAsia="楷体_GB2312" w:hAnsi="宋体" w:cs="Tahoma" w:hint="eastAsia"/>
          <w:sz w:val="28"/>
          <w:szCs w:val="28"/>
        </w:rPr>
        <w:t>定植后一周内应适当闭棚，保持白天温度25～30℃，夜间18～20℃，不超过35℃不放风，以促进缓苗。缓苗后可适当放风以降低温度，一般保持白天22～25℃，夜间16～18℃即可。进入盛果期后，白天温度应保持在25～30℃，夜间15～17℃，扩大温差有利于果实生长。</w:t>
      </w:r>
    </w:p>
    <w:p>
      <w:pPr>
        <w:pStyle w:val="Normal0"/>
        <w:spacing w:line="420" w:lineRule="atLeast"/>
        <w:ind w:firstLine="549" w:firstLineChars="196"/>
        <w:rPr>
          <w:rStyle w:val="blank"/>
          <w:rFonts w:ascii="楷体_GB2312" w:eastAsia="楷体_GB2312" w:hAnsi="宋体" w:cs="Tahoma" w:hint="eastAsia"/>
          <w:b/>
          <w:sz w:val="28"/>
          <w:szCs w:val="28"/>
        </w:rPr>
        <w:sectPr>
          <w:headerReference w:type="default" r:id="rId59"/>
          <w:footerReference w:type="default" r:id="rId60"/>
          <w:type w:val="nextPage"/>
          <w:pgSz w:w="11906" w:h="16838"/>
          <w:pgMar w:top="1440" w:right="1797" w:bottom="1440" w:left="1797" w:header="851" w:footer="992" w:gutter="0"/>
          <w:pgNumType w:start="28"/>
          <w:cols w:num="1" w:space="720"/>
          <w:titlePg w:val="0"/>
          <w:docGrid w:type="linesAndChars" w:linePitch="312" w:charSpace="0"/>
        </w:sectPr>
      </w:pPr>
      <w:r>
        <w:rPr>
          <w:rStyle w:val="blank"/>
          <w:rFonts w:ascii="楷体_GB2312" w:eastAsia="楷体_GB2312" w:hAnsi="宋体" w:cs="Tahoma" w:hint="eastAsia"/>
          <w:b/>
          <w:sz w:val="28"/>
          <w:szCs w:val="28"/>
        </w:rPr>
        <w:t>4.2　肥水</w:t>
      </w:r>
      <w:r>
        <w:rPr>
          <w:rStyle w:val="blank"/>
          <w:rFonts w:ascii="楷体_GB2312" w:eastAsia="楷体_GB2312" w:hAnsi="宋体" w:cs="Tahoma" w:hint="eastAsia"/>
          <w:b/>
          <w:sz w:val="28"/>
          <w:szCs w:val="28"/>
          <w:lang w:eastAsia="zh-CN"/>
        </w:rPr>
        <w:t>管理管控管控</w:t>
      </w:r>
    </w:p>
    <w:p>
      <w:pPr>
        <w:pStyle w:val="Normal0"/>
        <w:spacing w:line="420" w:lineRule="atLeast"/>
        <w:ind w:firstLine="560" w:firstLineChars="200"/>
        <w:rPr>
          <w:rStyle w:val="blank"/>
          <w:rFonts w:ascii="楷体_GB2312" w:eastAsia="楷体_GB2312" w:hAnsi="宋体" w:cs="Tahoma" w:hint="eastAsia"/>
          <w:sz w:val="28"/>
          <w:szCs w:val="28"/>
        </w:rPr>
      </w:pPr>
      <w:r>
        <w:rPr>
          <w:rStyle w:val="blank"/>
          <w:rFonts w:ascii="楷体_GB2312" w:eastAsia="楷体_GB2312" w:hAnsi="宋体" w:cs="Tahoma" w:hint="eastAsia"/>
          <w:sz w:val="28"/>
          <w:szCs w:val="28"/>
        </w:rPr>
        <w:t>在定植7天后应浇缓苗水，在根瓜坐住前应控制浇水，一般不浇水，根瓜坐住后每隔3～5天即可浇一次小水，每隔一次随水追肥一次，每亩施</w:t>
      </w:r>
      <w:r>
        <w:rPr>
          <w:rFonts w:ascii="楷体_GB2312" w:eastAsia="楷体_GB2312" w:hAnsi="宋体" w:hint="eastAsia"/>
          <w:sz w:val="28"/>
          <w:szCs w:val="28"/>
        </w:rPr>
        <w:t>亿兆大丰收生态肥</w:t>
      </w:r>
      <w:r>
        <w:rPr>
          <w:rStyle w:val="blank"/>
          <w:rFonts w:ascii="楷体_GB2312" w:eastAsia="楷体_GB2312" w:hAnsi="宋体" w:cs="Tahoma" w:hint="eastAsia"/>
          <w:sz w:val="28"/>
          <w:szCs w:val="28"/>
        </w:rPr>
        <w:t>或复合肥10～15kg。在生长期内还应追施叶面肥3～4次，一般以0.2%的磷酸二氢钾配合微量元素肥结合施药喷施。</w:t>
      </w:r>
    </w:p>
    <w:p>
      <w:pPr>
        <w:pStyle w:val="Normal0"/>
        <w:spacing w:line="420" w:lineRule="atLeast"/>
        <w:ind w:firstLine="549" w:firstLineChars="196"/>
        <w:rPr>
          <w:rStyle w:val="blank"/>
          <w:rFonts w:ascii="楷体_GB2312" w:eastAsia="楷体_GB2312" w:hAnsi="宋体" w:cs="Tahoma" w:hint="eastAsia"/>
          <w:sz w:val="28"/>
          <w:szCs w:val="28"/>
        </w:rPr>
      </w:pPr>
      <w:r>
        <w:rPr>
          <w:rStyle w:val="blank"/>
          <w:rFonts w:ascii="楷体_GB2312" w:eastAsia="楷体_GB2312" w:hAnsi="宋体" w:cs="Tahoma" w:hint="eastAsia"/>
          <w:b/>
          <w:sz w:val="28"/>
          <w:szCs w:val="28"/>
        </w:rPr>
        <w:t>4.3　植株调整方法与普通黄瓜基本相同</w:t>
      </w:r>
      <w:r>
        <w:rPr>
          <w:rStyle w:val="blank"/>
          <w:rFonts w:ascii="楷体_GB2312" w:eastAsia="楷体_GB2312" w:hAnsi="宋体" w:cs="Tahoma" w:hint="eastAsia"/>
          <w:sz w:val="28"/>
          <w:szCs w:val="28"/>
        </w:rPr>
        <w:t>。</w:t>
      </w:r>
    </w:p>
    <w:p>
      <w:pPr>
        <w:pStyle w:val="Normal0"/>
        <w:spacing w:line="420" w:lineRule="atLeast"/>
        <w:ind w:firstLine="549" w:firstLineChars="196"/>
        <w:rPr>
          <w:rStyle w:val="blank"/>
          <w:rFonts w:ascii="楷体_GB2312" w:eastAsia="楷体_GB2312" w:hAnsi="宋体" w:cs="Tahoma" w:hint="eastAsia"/>
          <w:b/>
          <w:sz w:val="28"/>
          <w:szCs w:val="28"/>
        </w:rPr>
      </w:pPr>
      <w:r>
        <w:rPr>
          <w:rStyle w:val="blank"/>
          <w:rFonts w:ascii="楷体_GB2312" w:eastAsia="楷体_GB2312" w:hAnsi="宋体" w:cs="Tahoma" w:hint="eastAsia"/>
          <w:b/>
          <w:sz w:val="28"/>
          <w:szCs w:val="28"/>
        </w:rPr>
        <w:t>5　病虫害防治</w:t>
      </w:r>
    </w:p>
    <w:p>
      <w:pPr>
        <w:pStyle w:val="Normal0"/>
        <w:spacing w:line="420" w:lineRule="atLeast"/>
        <w:ind w:firstLine="560" w:firstLineChars="200"/>
        <w:rPr>
          <w:rFonts w:ascii="楷体_GB2312" w:eastAsia="楷体_GB2312" w:hAnsi="宋体" w:hint="eastAsia"/>
          <w:b/>
          <w:sz w:val="28"/>
          <w:szCs w:val="28"/>
        </w:rPr>
      </w:pPr>
      <w:r>
        <w:rPr>
          <w:rStyle w:val="blank"/>
          <w:rFonts w:ascii="楷体_GB2312" w:eastAsia="楷体_GB2312" w:hAnsi="宋体" w:cs="Tahoma" w:hint="eastAsia"/>
          <w:sz w:val="28"/>
          <w:szCs w:val="28"/>
        </w:rPr>
        <w:t>迷你黄瓜的病虫害与普通黄瓜基本相同，防治方法也相同。</w:t>
      </w:r>
      <w:r>
        <w:rPr>
          <w:rFonts w:ascii="楷体_GB2312" w:eastAsia="楷体_GB2312" w:hAnsi="宋体" w:hint="eastAsia"/>
          <w:b/>
          <w:sz w:val="28"/>
          <w:szCs w:val="28"/>
        </w:rPr>
        <w:t>　　　　　　　</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46" w:name="_Toc150527666"/>
      <w:bookmarkStart w:id="47" w:name="_Toc151727113"/>
      <w:r>
        <w:rPr>
          <w:rFonts w:ascii="楷体_GB2312" w:eastAsia="楷体_GB2312" w:hAnsi="Times New Roman" w:hint="eastAsia"/>
          <w:kern w:val="44"/>
          <w:sz w:val="28"/>
          <w:szCs w:val="28"/>
        </w:rPr>
        <w:t>三、有机番茄生产操作规程</w:t>
      </w:r>
      <w:bookmarkEnd w:id="46"/>
      <w:bookmarkEnd w:id="47"/>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　品种选择</w:t>
      </w:r>
    </w:p>
    <w:p>
      <w:pPr>
        <w:pStyle w:val="Normal0"/>
        <w:spacing w:line="420" w:lineRule="atLeast"/>
        <w:ind w:firstLine="420" w:firstLineChars="150"/>
        <w:rPr>
          <w:rFonts w:ascii="楷体_GB2312" w:eastAsia="楷体_GB2312" w:hAnsi="宋体" w:hint="eastAsia"/>
          <w:sz w:val="28"/>
          <w:szCs w:val="28"/>
        </w:rPr>
      </w:pPr>
      <w:r>
        <w:rPr>
          <w:rFonts w:ascii="楷体_GB2312" w:eastAsia="楷体_GB2312" w:hAnsi="宋体" w:hint="eastAsia"/>
          <w:sz w:val="28"/>
          <w:szCs w:val="28"/>
        </w:rPr>
        <w:t>选择适应性广、抗病、抗逆性强品种，大型品种主要选择中杂9号、佳粉16、R～144、金棚一号、毛粉802、卡鲁索；小型品种主要选择圣女、千禧、京丹5号等品种。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　育苗</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2.1　种子选择</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根据种植季节和方式，选择有机种子，只有在得不到经认证的有机种子的情况下，使用未禁用物质处理的常规种子。杜绝使用转基因作物品种。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2.2　温水烫种</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配制55℃、0.1%的高锰酸钾溶液，浸种15分钟，然后用清水洗净种子。放入30℃的温水中浸泡6～8小时。</w:t>
      </w:r>
    </w:p>
    <w:p>
      <w:pPr>
        <w:pStyle w:val="Normal0"/>
        <w:spacing w:line="420" w:lineRule="atLeast"/>
        <w:ind w:firstLine="549" w:firstLineChars="196"/>
        <w:rPr>
          <w:rFonts w:ascii="楷体_GB2312" w:eastAsia="楷体_GB2312" w:hAnsi="宋体" w:hint="eastAsia"/>
          <w:b/>
          <w:sz w:val="28"/>
          <w:szCs w:val="28"/>
        </w:rPr>
        <w:sectPr>
          <w:headerReference w:type="default" r:id="rId61"/>
          <w:footerReference w:type="default" r:id="rId62"/>
          <w:type w:val="nextPage"/>
          <w:pgSz w:w="11906" w:h="16838"/>
          <w:pgMar w:top="1440" w:right="1797" w:bottom="1440" w:left="1797" w:header="851" w:footer="992" w:gutter="0"/>
          <w:pgNumType w:start="29"/>
          <w:cols w:num="1" w:space="720"/>
          <w:titlePg w:val="0"/>
          <w:docGrid w:type="linesAndChars" w:linePitch="312" w:charSpace="0"/>
        </w:sectPr>
      </w:pPr>
      <w:r>
        <w:rPr>
          <w:rFonts w:ascii="楷体_GB2312" w:eastAsia="楷体_GB2312" w:hAnsi="宋体" w:hint="eastAsia"/>
          <w:b/>
          <w:sz w:val="28"/>
          <w:szCs w:val="28"/>
        </w:rPr>
        <w:t>2.3　催芽</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浸泡种后将洗净的种子，晾去表面水分，用干净的湿布包好，在25～30℃的条件下经2～3天出芽。</w:t>
      </w:r>
    </w:p>
    <w:p>
      <w:pPr>
        <w:pStyle w:val="Normal0"/>
        <w:tabs>
          <w:tab w:val="left" w:pos="5250"/>
        </w:tabs>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2.4　播种</w:t>
      </w:r>
      <w:r>
        <w:rPr>
          <w:rFonts w:ascii="楷体_GB2312" w:eastAsia="楷体_GB2312" w:hAnsi="宋体" w:hint="eastAsia"/>
          <w:b/>
          <w:sz w:val="28"/>
          <w:szCs w:val="28"/>
        </w:rPr>
        <w:tab/>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营养土按草炭：蛭石3：1的比例配制，每方营养土中加腐熟鸡粪10kg，将催好芽的种子点入装满营养土的穴盘（72孔），每穴一粒，上覆1.5cm厚营养土，浇透水，放入苗床。</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2.5　苗期</w:t>
      </w:r>
      <w:r>
        <w:rPr>
          <w:rFonts w:ascii="楷体_GB2312" w:eastAsia="楷体_GB2312" w:hAnsi="宋体" w:hint="eastAsia"/>
          <w:b/>
          <w:sz w:val="28"/>
          <w:szCs w:val="28"/>
          <w:lang w:eastAsia="zh-CN"/>
        </w:rPr>
        <w:t>管理管控管控</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出苗前保持温度白天25～30℃，夜间17～20℃，出苗后降低3～5℃。根据湿度及时浇水。防病用1000倍50%加瑞农（春雷霉素）溶液喷雾，防虫可用5%天然除虫菊酯1000～1500倍喷雾。二叶一心时可用双和天然植物生长调节剂500倍喷施叶面。定植前降温练苗。一般苗龄30～35天。</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　定植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3.1　整地施肥</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每亩施用亿兆大丰收生态肥200kg或腐熟牛粪4000～6000kg，鸡粪300～400kg，钙镁磷肥20kg，硫酸钾15kg。</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3.2　定植与密度</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根据品种特性和栽培条件确定适宜的密度，温室大行距70cm、小行距60cm，株距35cm，亩定植2800～3000株。定植时浇足定植水，密闭温室提高地温，白天温度25～30℃，夜间18～20℃，缓苗后，昼夜温度降低5℃，加大通风。</w:t>
      </w:r>
    </w:p>
    <w:p>
      <w:pPr>
        <w:pStyle w:val="Normal0"/>
        <w:spacing w:line="420" w:lineRule="atLeast"/>
        <w:ind w:firstLine="549" w:firstLineChars="196"/>
        <w:rPr>
          <w:rFonts w:ascii="楷体_GB2312" w:eastAsia="楷体_GB2312" w:hAnsi="宋体" w:hint="eastAsia"/>
          <w:b/>
          <w:sz w:val="28"/>
          <w:szCs w:val="28"/>
        </w:rPr>
        <w:sectPr>
          <w:headerReference w:type="default" r:id="rId63"/>
          <w:footerReference w:type="default" r:id="rId64"/>
          <w:type w:val="nextPage"/>
          <w:pgSz w:w="11906" w:h="16838"/>
          <w:pgMar w:top="1440" w:right="1797" w:bottom="1440" w:left="1797" w:header="851" w:footer="992" w:gutter="0"/>
          <w:pgNumType w:start="30"/>
          <w:cols w:num="1" w:space="720"/>
          <w:titlePg w:val="0"/>
          <w:docGrid w:type="linesAndChars" w:linePitch="312" w:charSpace="0"/>
        </w:sectPr>
      </w:pPr>
      <w:r>
        <w:rPr>
          <w:rFonts w:ascii="楷体_GB2312" w:eastAsia="楷体_GB2312" w:hAnsi="宋体" w:hint="eastAsia"/>
          <w:b/>
          <w:sz w:val="28"/>
          <w:szCs w:val="28"/>
        </w:rPr>
        <w:t>4　田间</w:t>
      </w:r>
      <w:r>
        <w:rPr>
          <w:rFonts w:ascii="楷体_GB2312" w:eastAsia="楷体_GB2312" w:hAnsi="宋体" w:hint="eastAsia"/>
          <w:b/>
          <w:sz w:val="28"/>
          <w:szCs w:val="28"/>
          <w:lang w:eastAsia="zh-CN"/>
        </w:rPr>
        <w:t>管理管控管控</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4.1　采收前</w:t>
      </w:r>
      <w:r>
        <w:rPr>
          <w:rFonts w:ascii="楷体_GB2312" w:eastAsia="楷体_GB2312" w:hAnsi="宋体" w:hint="eastAsia"/>
          <w:b/>
          <w:sz w:val="28"/>
          <w:szCs w:val="28"/>
          <w:lang w:eastAsia="zh-CN"/>
        </w:rPr>
        <w:t>管理管控管控</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初花期，每亩穴施亿兆大丰收生态肥30kg或鸡粪100kg，并浇小水。然后松土促根控秧。白天温度22～27℃，夜间13～18℃。株高15～20cm时吊绳、盘头、打杈。</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4.2　收获期</w:t>
      </w:r>
      <w:r>
        <w:rPr>
          <w:rFonts w:ascii="楷体_GB2312" w:eastAsia="楷体_GB2312" w:hAnsi="宋体" w:hint="eastAsia"/>
          <w:b/>
          <w:sz w:val="28"/>
          <w:szCs w:val="28"/>
          <w:lang w:eastAsia="zh-CN"/>
        </w:rPr>
        <w:t>管理管控管控</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温度白天25～30℃，夜间15～20℃，加强通风换气。每一穗红收获后，冬季每隔5～7天浇清水一次，夏季每隔4～5天浇清水一次。如果是有机生态型无土栽培每隔1～2天浇水一次。根据生长期长短，每隔10～15天，每亩用亿兆大丰收生态肥20kg或100kg鸡粪加200kg水浸泡二天后的过滤液滴灌一次。或每亩穴施亿兆大丰收生态肥20kg或鸡粪100kg，硫酸钾3～5kg。叶面喷符合《含氨基酸叶面肥料》和《含微量元素叶面肥料》技术要求的叶面肥。</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　病虫草害</w:t>
      </w:r>
      <w:r>
        <w:rPr>
          <w:rFonts w:ascii="楷体_GB2312" w:eastAsia="楷体_GB2312" w:hAnsi="宋体" w:hint="eastAsia"/>
          <w:b/>
          <w:sz w:val="28"/>
          <w:szCs w:val="28"/>
          <w:lang w:eastAsia="zh-CN"/>
        </w:rPr>
        <w:t>管理管控管控</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遵照“预防为主，综合防治”的原则，以农业防治为基础，选用抗病品种，应用生物技术，实行倒茬轮作，加强肥水</w:t>
      </w:r>
      <w:r>
        <w:rPr>
          <w:rFonts w:ascii="楷体_GB2312" w:eastAsia="楷体_GB2312" w:hAnsi="宋体" w:hint="eastAsia"/>
          <w:sz w:val="28"/>
          <w:szCs w:val="28"/>
          <w:lang w:eastAsia="zh-CN"/>
        </w:rPr>
        <w:t>管理管控管控</w:t>
      </w:r>
      <w:r>
        <w:rPr>
          <w:rFonts w:ascii="楷体_GB2312" w:eastAsia="楷体_GB2312" w:hAnsi="宋体" w:hint="eastAsia"/>
          <w:sz w:val="28"/>
          <w:szCs w:val="28"/>
        </w:rPr>
        <w:t>，保护生物多样化和生态环境，保持生产发展的可持续性。</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5.1　病害</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a.及时清洁棚室,翻地,高温闷棚杀菌消毒。</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b.采用高温45～50℃闭棚2小时的方法,防治晚疫病、白粉病、叶霉病等。</w:t>
      </w:r>
    </w:p>
    <w:p>
      <w:pPr>
        <w:pStyle w:val="Normal0"/>
        <w:spacing w:line="420" w:lineRule="atLeast"/>
        <w:rPr>
          <w:rFonts w:ascii="楷体_GB2312" w:eastAsia="楷体_GB2312" w:hAnsi="宋体" w:hint="eastAsia"/>
          <w:sz w:val="28"/>
          <w:szCs w:val="28"/>
        </w:rPr>
        <w:sectPr>
          <w:headerReference w:type="default" r:id="rId65"/>
          <w:footerReference w:type="default" r:id="rId66"/>
          <w:type w:val="nextPage"/>
          <w:pgSz w:w="11906" w:h="16838"/>
          <w:pgMar w:top="1440" w:right="1797" w:bottom="1440" w:left="1797" w:header="851" w:footer="992" w:gutter="0"/>
          <w:pgNumType w:start="31"/>
          <w:cols w:num="1" w:space="720"/>
          <w:titlePg w:val="0"/>
          <w:docGrid w:type="linesAndChars" w:linePitch="312" w:charSpace="0"/>
        </w:sectPr>
      </w:pPr>
      <w:r>
        <w:rPr>
          <w:rFonts w:ascii="楷体_GB2312" w:eastAsia="楷体_GB2312" w:hAnsi="宋体" w:hint="eastAsia"/>
          <w:sz w:val="28"/>
          <w:szCs w:val="28"/>
        </w:rPr>
        <w:t xml:space="preserve">    C.也可用50%春雷氧氯铜（加瑞农）可湿性粉剂800倍喷雾防治晚疫病、白粉病、叶霉病。</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d.软腐病、疱疹病用72%农用硫酸链霉3000～4000倍喷雾或DT杀菌剂700倍液喷雾。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e.枯萎病用2%农抗120水剂150～200倍喷雾。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f．病毒病用5%菌素清水剂200～300倍喷雾。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g．灰霉病用10%多抗霉素500～700倍喷雾。</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5.2　虫害</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a．采用频振式杀虫灯、黄板、蓝板诱杀。</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b．安装防虫网。 </w:t>
      </w:r>
    </w:p>
    <w:p>
      <w:pPr>
        <w:pStyle w:val="Normal0"/>
        <w:spacing w:line="420" w:lineRule="atLeast"/>
        <w:ind w:firstLine="280" w:firstLineChars="100"/>
        <w:rPr>
          <w:rFonts w:ascii="楷体_GB2312" w:eastAsia="楷体_GB2312" w:hAnsi="宋体" w:hint="eastAsia"/>
          <w:sz w:val="28"/>
          <w:szCs w:val="28"/>
        </w:rPr>
      </w:pPr>
      <w:r>
        <w:rPr>
          <w:rFonts w:ascii="楷体_GB2312" w:eastAsia="楷体_GB2312" w:hAnsi="宋体" w:hint="eastAsia"/>
          <w:sz w:val="28"/>
          <w:szCs w:val="28"/>
        </w:rPr>
        <w:t xml:space="preserve">  C．用5%天然除虫菊酯1000～1500倍或0.6%清源宝(苦内酯水剂)800～1000倍防治蚜虫、红蜘蛛、白粉虱等害虫。棉蛉虫可用100亿活芽孢/克苏云金杆菌BT800～1000倍喷雾。</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48" w:name="_Toc151727114"/>
      <w:bookmarkStart w:id="49" w:name="_Toc150527667"/>
      <w:r>
        <w:rPr>
          <w:rFonts w:ascii="楷体_GB2312" w:eastAsia="楷体_GB2312" w:hAnsi="Times New Roman" w:hint="eastAsia"/>
          <w:kern w:val="44"/>
          <w:sz w:val="28"/>
          <w:szCs w:val="28"/>
        </w:rPr>
        <w:t>四、有机辣椒生产操作规程</w:t>
      </w:r>
      <w:bookmarkEnd w:id="48"/>
      <w:bookmarkEnd w:id="49"/>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　品种选择</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选择适应性广、抗病、抗逆性强的优良品种。甜椒主要选择中椒7号、中椒12、红罗丹、甜杂6号；辣椒主要选择中椒6号、山东羊角黄、湘研9号、维尔塔等品种；朝天椒选择天鹰朝天椒。</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　育苗</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2.1　种子选择</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根据种植季节和方式，选择有机种子，只有在得不到经认证的有机种子的情况下，使用未禁用物质处理的常规种子。杜绝使用转基因作物品种。</w:t>
      </w:r>
    </w:p>
    <w:p>
      <w:pPr>
        <w:pStyle w:val="Normal0"/>
        <w:spacing w:line="420" w:lineRule="atLeast"/>
        <w:ind w:firstLine="549" w:firstLineChars="196"/>
        <w:rPr>
          <w:rFonts w:ascii="楷体_GB2312" w:eastAsia="楷体_GB2312" w:hAnsi="宋体" w:hint="eastAsia"/>
          <w:b/>
          <w:sz w:val="28"/>
          <w:szCs w:val="28"/>
        </w:rPr>
        <w:sectPr>
          <w:headerReference w:type="default" r:id="rId67"/>
          <w:footerReference w:type="default" r:id="rId68"/>
          <w:type w:val="nextPage"/>
          <w:pgSz w:w="11906" w:h="16838"/>
          <w:pgMar w:top="1440" w:right="1797" w:bottom="1440" w:left="1797" w:header="851" w:footer="992" w:gutter="0"/>
          <w:pgNumType w:start="32"/>
          <w:cols w:num="1" w:space="720"/>
          <w:titlePg w:val="0"/>
          <w:docGrid w:type="linesAndChars" w:linePitch="312" w:charSpace="0"/>
        </w:sectPr>
      </w:pPr>
      <w:r>
        <w:rPr>
          <w:rFonts w:ascii="楷体_GB2312" w:eastAsia="楷体_GB2312" w:hAnsi="宋体" w:hint="eastAsia"/>
          <w:b/>
          <w:sz w:val="28"/>
          <w:szCs w:val="28"/>
        </w:rPr>
        <w:t>2.2　温水烫种</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配制55℃、0.1%的高锰酸钾溶液，浸种15分钟，然后用清水洗净种子，放入30℃的温水中浸泡10～12小时候。</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2.3　催芽</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浸水种后将洗净的种子，晾去表面水分，用干净的湿布包好，在25～30℃的条件下催芽，3～5天出芽。</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2.4　播种</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营养土按草炭：蛭石3：1的比例配制，每方营养土中加腐熟鸡粪10kg，将催好芽的种子点入装满营养土的穴盘（50孔），每穴一粒，上覆1.5cm厚营养土，浇透水，放入苗床。</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2.5　苗期</w:t>
      </w:r>
      <w:r>
        <w:rPr>
          <w:rFonts w:ascii="楷体_GB2312" w:eastAsia="楷体_GB2312" w:hAnsi="宋体" w:hint="eastAsia"/>
          <w:b/>
          <w:sz w:val="28"/>
          <w:szCs w:val="28"/>
          <w:lang w:eastAsia="zh-CN"/>
        </w:rPr>
        <w:t>管理管控管控</w:t>
      </w:r>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出苗前保持温度白天25～30℃，夜间17～20℃，出苗后降低3～5℃。根据湿度及时浇水。防病用1000倍50%加瑞农（春雷霉素）溶液喷雾，防虫可用5%天然除虫菊酯1000～1500倍液喷雾。二叶一心时可用双和天然植物生长调节剂500倍喷施叶面。定植前降温练苗。一般苗龄35～45天。</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　定植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3.1　整地施肥</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每亩施亿兆大丰收生态肥200kg或腐熟牛粪4000～6000kg，鸡粪300～400kg，钙镁磷肥20kg，硫酸钾15kg。</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3.2　定植与密度</w:t>
      </w:r>
    </w:p>
    <w:p>
      <w:pPr>
        <w:pStyle w:val="Normal0"/>
        <w:spacing w:line="420" w:lineRule="atLeast"/>
        <w:ind w:firstLine="420"/>
        <w:rPr>
          <w:rFonts w:ascii="楷体_GB2312" w:eastAsia="楷体_GB2312" w:hAnsi="宋体" w:hint="eastAsia"/>
          <w:sz w:val="28"/>
          <w:szCs w:val="28"/>
        </w:rPr>
        <w:sectPr>
          <w:headerReference w:type="default" r:id="rId69"/>
          <w:footerReference w:type="default" r:id="rId70"/>
          <w:type w:val="nextPage"/>
          <w:pgSz w:w="11906" w:h="16838"/>
          <w:pgMar w:top="1440" w:right="1797" w:bottom="1440" w:left="1797" w:header="851" w:footer="992" w:gutter="0"/>
          <w:pgNumType w:start="33"/>
          <w:cols w:num="1" w:space="720"/>
          <w:titlePg w:val="0"/>
          <w:docGrid w:type="linesAndChars" w:linePitch="312" w:charSpace="0"/>
        </w:sectPr>
      </w:pPr>
      <w:r>
        <w:rPr>
          <w:rFonts w:ascii="楷体_GB2312" w:eastAsia="楷体_GB2312" w:hAnsi="宋体" w:hint="eastAsia"/>
          <w:sz w:val="28"/>
          <w:szCs w:val="28"/>
        </w:rPr>
        <w:t>根据品种特性和栽培条件确定适宜的密度，温室大行距70cm、小行距60cm、株距35cm，亩定植</w:t>
      </w:r>
      <w:bookmarkStart w:id="50" w:name="OLE_LINK1"/>
      <w:bookmarkStart w:id="51" w:name="OLE_LINK2"/>
      <w:r>
        <w:rPr>
          <w:rFonts w:ascii="楷体_GB2312" w:eastAsia="楷体_GB2312" w:hAnsi="宋体" w:hint="eastAsia"/>
          <w:sz w:val="28"/>
          <w:szCs w:val="28"/>
        </w:rPr>
        <w:t>2880～3000</w:t>
      </w:r>
      <w:bookmarkEnd w:id="50"/>
      <w:bookmarkEnd w:id="51"/>
    </w:p>
    <w:p>
      <w:pPr>
        <w:pStyle w:val="Normal0"/>
        <w:spacing w:line="420" w:lineRule="atLeast"/>
        <w:ind w:firstLine="420"/>
        <w:rPr>
          <w:rFonts w:ascii="楷体_GB2312" w:eastAsia="楷体_GB2312" w:hAnsi="宋体" w:hint="eastAsia"/>
          <w:sz w:val="28"/>
          <w:szCs w:val="28"/>
        </w:rPr>
      </w:pPr>
      <w:r>
        <w:rPr>
          <w:rFonts w:ascii="楷体_GB2312" w:eastAsia="楷体_GB2312" w:hAnsi="宋体" w:hint="eastAsia"/>
          <w:sz w:val="28"/>
          <w:szCs w:val="28"/>
        </w:rPr>
        <w:t>株。定植时浇足定植水，密闭温室提高地温，白天温度25～30℃，夜间18～20℃，缓苗后，昼夜温度降低5℃，加大通风。</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　田间</w:t>
      </w:r>
      <w:r>
        <w:rPr>
          <w:rFonts w:ascii="楷体_GB2312" w:eastAsia="楷体_GB2312" w:hAnsi="宋体" w:hint="eastAsia"/>
          <w:b/>
          <w:sz w:val="28"/>
          <w:szCs w:val="28"/>
          <w:lang w:eastAsia="zh-CN"/>
        </w:rPr>
        <w:t>管理管控管控</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4.1　采收前</w:t>
      </w:r>
      <w:r>
        <w:rPr>
          <w:rFonts w:ascii="楷体_GB2312" w:eastAsia="楷体_GB2312" w:hAnsi="宋体" w:hint="eastAsia"/>
          <w:b/>
          <w:sz w:val="28"/>
          <w:szCs w:val="28"/>
          <w:lang w:eastAsia="zh-CN"/>
        </w:rPr>
        <w:t>管理管控管控</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初花期，每亩穴施亿兆大丰收生态肥40kg或穴施鸡粪100kg，并浇小水。然后松土促根控秧。白天温度22～27℃，夜间13～18℃。株高50cm时吊绳、盘头、打杈、疏枝。</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4.2　收获期</w:t>
      </w:r>
      <w:r>
        <w:rPr>
          <w:rFonts w:ascii="楷体_GB2312" w:eastAsia="楷体_GB2312" w:hAnsi="宋体" w:hint="eastAsia"/>
          <w:b/>
          <w:sz w:val="28"/>
          <w:szCs w:val="28"/>
          <w:lang w:eastAsia="zh-CN"/>
        </w:rPr>
        <w:t>管理管控管控</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温度白天25～30℃，夜间15～20℃，加强通风换气。门椒收获后，冬季每隔5～7天浇清水一次，夏季每隔3～4天浇清水一次。每隔10～15天，每亩用亿兆大丰收生态肥20kg或100kg鸡粪加200kg水浸泡二天后的过滤液滴灌一次。或每亩穴施亿兆大丰收生态肥20kg或鸡粪100kg，硫酸钾3～5kg。叶面喷符合《含氨基酸叶面肥料》和《含微量元素叶面肥料》技术要求的叶面肥。</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　病虫草害</w:t>
      </w:r>
      <w:r>
        <w:rPr>
          <w:rFonts w:ascii="楷体_GB2312" w:eastAsia="楷体_GB2312" w:hAnsi="宋体" w:hint="eastAsia"/>
          <w:b/>
          <w:sz w:val="28"/>
          <w:szCs w:val="28"/>
          <w:lang w:eastAsia="zh-CN"/>
        </w:rPr>
        <w:t>管理管控管控</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遵照“预防为主，综合防治”的原则，以农业防治为基础，选用抗病品种，应用生物技术，实行倒茬轮作，加强肥水</w:t>
      </w:r>
      <w:r>
        <w:rPr>
          <w:rFonts w:ascii="楷体_GB2312" w:eastAsia="楷体_GB2312" w:hAnsi="宋体" w:hint="eastAsia"/>
          <w:sz w:val="28"/>
          <w:szCs w:val="28"/>
          <w:lang w:eastAsia="zh-CN"/>
        </w:rPr>
        <w:t>管理管控管控</w:t>
      </w:r>
      <w:r>
        <w:rPr>
          <w:rFonts w:ascii="楷体_GB2312" w:eastAsia="楷体_GB2312" w:hAnsi="宋体" w:hint="eastAsia"/>
          <w:sz w:val="28"/>
          <w:szCs w:val="28"/>
        </w:rPr>
        <w:t>，保护生物多样化和生态环境，保持生产发展的可持续性。</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5.1　病害</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a.及时清洁棚室,翻地,高温闷棚杀菌消毒。</w:t>
      </w:r>
    </w:p>
    <w:p>
      <w:pPr>
        <w:pStyle w:val="Normal0"/>
        <w:spacing w:line="420" w:lineRule="atLeast"/>
        <w:rPr>
          <w:rFonts w:ascii="楷体_GB2312" w:eastAsia="楷体_GB2312" w:hAnsi="宋体" w:hint="eastAsia"/>
          <w:sz w:val="28"/>
          <w:szCs w:val="28"/>
        </w:rPr>
        <w:sectPr>
          <w:headerReference w:type="default" r:id="rId71"/>
          <w:footerReference w:type="default" r:id="rId72"/>
          <w:type w:val="nextPage"/>
          <w:pgSz w:w="11906" w:h="16838"/>
          <w:pgMar w:top="1440" w:right="1797" w:bottom="1440" w:left="1797" w:header="851" w:footer="992" w:gutter="0"/>
          <w:pgNumType w:start="34"/>
          <w:cols w:num="1" w:space="720"/>
          <w:titlePg w:val="0"/>
          <w:docGrid w:type="linesAndChars" w:linePitch="312" w:charSpace="0"/>
        </w:sectPr>
      </w:pPr>
      <w:r>
        <w:rPr>
          <w:rFonts w:ascii="楷体_GB2312" w:eastAsia="楷体_GB2312" w:hAnsi="宋体" w:hint="eastAsia"/>
          <w:sz w:val="28"/>
          <w:szCs w:val="28"/>
        </w:rPr>
        <w:t>　  b.采用高温45～50℃闭棚2小时的方法,防治疫病、白粉病、炭疽病等。</w:t>
      </w:r>
    </w:p>
    <w:p>
      <w:pPr>
        <w:pStyle w:val="Normal0"/>
        <w:spacing w:line="420" w:lineRule="atLeast"/>
        <w:rPr>
          <w:rFonts w:ascii="楷体_GB2312" w:eastAsia="楷体_GB2312" w:hAnsi="宋体" w:hint="eastAsia"/>
          <w:sz w:val="28"/>
          <w:szCs w:val="28"/>
        </w:rPr>
      </w:pPr>
      <w:r>
        <w:rPr>
          <w:rFonts w:ascii="楷体_GB2312" w:eastAsia="楷体_GB2312" w:hAnsi="宋体" w:hint="eastAsia"/>
          <w:sz w:val="28"/>
          <w:szCs w:val="28"/>
        </w:rPr>
        <w:t xml:space="preserve">    C.也可用50%春雷氧氯铜（加瑞农）可湿性粉剂800倍喷雾防治疫病、白粉病、炭疽病等。</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d.软腐病用72%农用硫酸链霉3000～4000倍喷雾或DT杀菌剂700倍液喷雾。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e.枯萎病用2%农抗120水剂150～200倍喷雾。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f．病毒病用5%菌素清水剂200～300倍喷雾。</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g．灰霉病用10%多抗霉素500～700倍喷雾。</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5.2　虫害</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sz w:val="28"/>
          <w:szCs w:val="28"/>
        </w:rPr>
        <w:t>a．采用频振式杀虫灯、黄板、蓝板诱杀。</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sz w:val="28"/>
          <w:szCs w:val="28"/>
        </w:rPr>
        <w:t>b．安装防虫网。</w:t>
      </w:r>
    </w:p>
    <w:p>
      <w:pPr>
        <w:pStyle w:val="Normal0"/>
        <w:spacing w:line="420" w:lineRule="atLeast"/>
        <w:ind w:firstLine="549" w:firstLineChars="196"/>
        <w:rPr>
          <w:rFonts w:ascii="楷体_GB2312" w:eastAsia="楷体_GB2312" w:hAnsi="宋体" w:hint="eastAsia"/>
          <w:sz w:val="28"/>
          <w:szCs w:val="28"/>
        </w:rPr>
      </w:pPr>
      <w:r>
        <w:rPr>
          <w:rFonts w:ascii="楷体_GB2312" w:eastAsia="楷体_GB2312" w:hAnsi="宋体" w:hint="eastAsia"/>
          <w:sz w:val="28"/>
          <w:szCs w:val="28"/>
        </w:rPr>
        <w:t>C．用5%天然除虫菊酯1000～1500倍或0.6%清源宝(苦内酯水剂)800～1000倍防治蚜虫、茶黄螨、白粉虱、甜菜夜蛾。烟青虫可用100亿活芽孢/克苏云金杆菌BT800～1000倍喷雾防治。</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5.3　草害</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sz w:val="28"/>
          <w:szCs w:val="28"/>
        </w:rPr>
        <w:t>采用作物轮作、人工拨草、锄草方法清除草害。禁止使用任何化学除草剂。</w:t>
      </w:r>
    </w:p>
    <w:p>
      <w:pPr>
        <w:pStyle w:val="Heading2"/>
        <w:spacing w:before="156" w:beforeLines="50" w:after="156" w:afterLines="50" w:line="420" w:lineRule="exact"/>
        <w:ind w:firstLine="549" w:firstLineChars="196"/>
        <w:rPr>
          <w:rFonts w:ascii="楷体_GB2312" w:eastAsia="楷体_GB2312" w:hAnsi="Times New Roman" w:hint="eastAsia"/>
          <w:kern w:val="44"/>
          <w:sz w:val="28"/>
          <w:szCs w:val="28"/>
        </w:rPr>
      </w:pPr>
      <w:bookmarkStart w:id="52" w:name="_Toc151727115"/>
      <w:bookmarkStart w:id="53" w:name="_Toc150527668"/>
      <w:r>
        <w:rPr>
          <w:rFonts w:ascii="楷体_GB2312" w:eastAsia="楷体_GB2312" w:hAnsi="Times New Roman" w:hint="eastAsia"/>
          <w:kern w:val="44"/>
          <w:sz w:val="28"/>
          <w:szCs w:val="28"/>
        </w:rPr>
        <w:t>五、有机茄子生产操作规程</w:t>
      </w:r>
      <w:bookmarkEnd w:id="52"/>
      <w:bookmarkEnd w:id="53"/>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1　品种选择</w:t>
      </w:r>
    </w:p>
    <w:p>
      <w:pPr>
        <w:pStyle w:val="Normal0"/>
        <w:spacing w:line="420" w:lineRule="atLeast"/>
        <w:ind w:firstLine="560" w:firstLineChars="200"/>
        <w:rPr>
          <w:rFonts w:ascii="楷体_GB2312" w:eastAsia="楷体_GB2312" w:hAnsi="宋体" w:hint="eastAsia"/>
          <w:sz w:val="28"/>
          <w:szCs w:val="28"/>
        </w:rPr>
      </w:pPr>
      <w:r>
        <w:rPr>
          <w:rFonts w:ascii="楷体_GB2312" w:eastAsia="楷体_GB2312" w:hAnsi="宋体" w:hint="eastAsia"/>
          <w:sz w:val="28"/>
          <w:szCs w:val="28"/>
        </w:rPr>
        <w:t>选择适应性广、抗病、抗逆性强优良的品种，选择园杂2号、丰研2号、京茄10号、黑龙长茄等品种。</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　育苗</w:t>
      </w:r>
    </w:p>
    <w:p>
      <w:pPr>
        <w:pStyle w:val="Normal0"/>
        <w:spacing w:line="420" w:lineRule="atLeast"/>
        <w:ind w:firstLine="549" w:firstLineChars="196"/>
        <w:rPr>
          <w:rFonts w:ascii="楷体_GB2312" w:eastAsia="楷体_GB2312" w:hAnsi="宋体" w:hint="eastAsia"/>
          <w:b/>
          <w:sz w:val="28"/>
          <w:szCs w:val="28"/>
        </w:rPr>
      </w:pPr>
      <w:r>
        <w:rPr>
          <w:rFonts w:ascii="楷体_GB2312" w:eastAsia="楷体_GB2312" w:hAnsi="宋体" w:hint="eastAsia"/>
          <w:b/>
          <w:sz w:val="28"/>
          <w:szCs w:val="28"/>
        </w:rPr>
        <w:t>2.1　种子选择</w:t>
      </w:r>
      <w:r>
        <w:rPr>
          <w:rFonts w:ascii="楷体_GB2312" w:eastAsia="楷体_GB2312" w:hAnsi="宋体" w:hint="eastAsia"/>
          <w:b/>
          <w:sz w:val="28"/>
          <w:szCs w:val="28"/>
        </w:rPr>
        <w:br/>
      </w:r>
      <w:r>
        <w:rPr>
          <w:rFonts w:ascii="楷体_GB2312" w:eastAsia="楷体_GB2312" w:hAnsi="宋体" w:hint="eastAsia"/>
          <w:b/>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https://d.book118.com/888000054042006043</w:t>
        </w:r>
      </w:hyperlink>
    </w:p>
    <w:p>
      <w:pPr>
        <w:pStyle w:val="Normal0"/>
        <w:spacing w:line="420" w:lineRule="atLeast"/>
        <w:ind w:firstLine="549" w:firstLineChars="196"/>
        <w:rPr>
          <w:rFonts w:ascii="楷体_GB2312" w:eastAsia="楷体_GB2312" w:hAnsi="宋体" w:hint="eastAsia"/>
          <w:b/>
          <w:sz w:val="28"/>
          <w:szCs w:val="28"/>
        </w:rPr>
      </w:pPr>
    </w:p>
    <w:sectPr>
      <w:headerReference w:type="default" r:id="rId74"/>
      <w:footerReference w:type="default" r:id="rId75"/>
      <w:type w:val="nextPage"/>
      <w:pgSz w:w="11906" w:h="16838"/>
      <w:pgMar w:top="1440" w:right="1797" w:bottom="1440" w:left="1797" w:header="851" w:footer="992" w:gutter="0"/>
      <w:pgNumType w:start="35"/>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华文琥珀">
    <w:panose1 w:val="02010800040101010101"/>
    <w:charset w:val="86"/>
    <w:family w:val="auto"/>
    <w:pitch w:val="default"/>
    <w:sig w:usb0="00000001" w:usb1="080F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微软雅黑"/>
    <w:panose1 w:val="02010609060101010101"/>
    <w:charset w:val="86"/>
    <w:family w:val="modern"/>
    <w:pitch w:val="default"/>
    <w:sig w:usb0="00000000" w:usb1="00000000" w:usb2="000A005E" w:usb3="00000000" w:csb0="00040001" w:csb1="00000000"/>
  </w:font>
  <w:font w:name="AdobeSongStd-Light">
    <w:altName w:val="方正舒体"/>
    <w:panose1 w:val="00000000000000000000"/>
    <w:charset w:val="86"/>
    <w:family w:val="auto"/>
    <w:pitch w:val="default"/>
    <w:sig w:usb0="00000000" w:usb1="00000000" w:usb2="0000001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49" type="#_x0000_t202" style="width:2in;height:2in;margin-top:0;margin-left:0;mso-height-relative:page;mso-position-horizontal:right;mso-position-horizontal-relative:margin;mso-width-relative:page;mso-wrap-style:none;position:absolute;z-index:251658240"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0" type="#_x0000_t202" style="width:2in;height:2in;margin-top:0;margin-left:0;mso-height-relative:page;mso-position-horizontal:right;mso-position-horizontal-relative:margin;mso-width-relative:page;mso-wrap-style:none;position:absolute;z-index:251659264"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1" type="#_x0000_t202" style="width:2in;height:2in;margin-top:0;margin-left:0;mso-height-relative:page;mso-position-horizontal:right;mso-position-horizontal-relative:margin;mso-width-relative:page;mso-wrap-style:none;position:absolute;z-index:251660288"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2" type="#_x0000_t202" style="width:2in;height:2in;margin-top:0;margin-left:0;mso-height-relative:page;mso-position-horizontal:right;mso-position-horizontal-relative:margin;mso-width-relative:page;mso-wrap-style:none;position:absolute;z-index:251661312"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3" type="#_x0000_t202" style="width:2in;height:2in;margin-top:0;margin-left:0;mso-height-relative:page;mso-position-horizontal:right;mso-position-horizontal-relative:margin;mso-width-relative:page;mso-wrap-style:none;position:absolute;z-index:251662336"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w:t>
                </w:r>
                <w:r>
                  <w:rPr>
                    <w:rFonts w:hint="eastAsia"/>
                    <w:sz w:val="18"/>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4" type="#_x0000_t202" style="width:2in;height:2in;margin-top:0;margin-left:0;mso-height-relative:page;mso-position-horizontal:right;mso-position-horizontal-relative:margin;mso-width-relative:page;mso-wrap-style:none;position:absolute;z-index:251663360"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6</w:t>
                </w:r>
                <w:r>
                  <w:rPr>
                    <w:rFonts w:hint="eastAsia"/>
                    <w:sz w:val="18"/>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5" type="#_x0000_t202" style="width:2in;height:2in;margin-top:0;margin-left:0;mso-height-relative:page;mso-position-horizontal:right;mso-position-horizontal-relative:margin;mso-width-relative:page;mso-wrap-style:none;position:absolute;z-index:251664384"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w:t>
                </w:r>
                <w:r>
                  <w:rPr>
                    <w:rFonts w:hint="eastAsia"/>
                    <w:sz w:val="18"/>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6" type="#_x0000_t202" style="width:2in;height:2in;margin-top:0;margin-left:0;mso-height-relative:page;mso-position-horizontal:right;mso-position-horizontal-relative:margin;mso-width-relative:page;mso-wrap-style:none;position:absolute;z-index:251665408"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8</w:t>
                </w:r>
                <w:r>
                  <w:rPr>
                    <w:rFonts w:hint="eastAsia"/>
                    <w:sz w:val="18"/>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7" type="#_x0000_t202" style="width:2in;height:2in;margin-top:0;margin-left:0;mso-height-relative:page;mso-position-horizontal:right;mso-position-horizontal-relative:margin;mso-width-relative:page;mso-wrap-style:none;position:absolute;z-index:251666432"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9</w:t>
                </w:r>
                <w:r>
                  <w:rPr>
                    <w:rFonts w:hint="eastAsia"/>
                    <w:sz w:val="18"/>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8" type="#_x0000_t202" style="width:2in;height:2in;margin-top:0;margin-left:0;mso-height-relative:page;mso-position-horizontal:right;mso-position-horizontal-relative:margin;mso-width-relative:page;mso-wrap-style:none;position:absolute;z-index:251667456"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11</w:t>
                </w:r>
                <w:r>
                  <w:rPr>
                    <w:rFonts w:hint="eastAsia"/>
                    <w:sz w:val="18"/>
                  </w:rPr>
                  <w:fldChar w:fldCharType="end"/>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59" type="#_x0000_t202" style="width:2in;height:2in;margin-top:0;margin-left:0;mso-height-relative:page;mso-position-horizontal:right;mso-position-horizontal-relative:margin;mso-width-relative:page;mso-wrap-style:none;position:absolute;z-index:251668480"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11</w:t>
                </w:r>
                <w:r>
                  <w:rPr>
                    <w:rFonts w:hint="eastAsia"/>
                    <w:sz w:val="18"/>
                  </w:rP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0" type="#_x0000_t202" style="width:2in;height:2in;margin-top:0;margin-left:0;mso-height-relative:page;mso-position-horizontal:right;mso-position-horizontal-relative:margin;mso-width-relative:page;mso-wrap-style:none;position:absolute;z-index:251669504"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1" type="#_x0000_t202" style="width:2in;height:2in;margin-top:0;margin-left:0;mso-height-relative:page;mso-position-horizontal:right;mso-position-horizontal-relative:margin;mso-width-relative:page;mso-wrap-style:none;position:absolute;z-index:251670528"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2" type="#_x0000_t202" style="width:2in;height:2in;margin-top:0;margin-left:0;mso-height-relative:page;mso-position-horizontal:right;mso-position-horizontal-relative:margin;mso-width-relative:page;mso-wrap-style:none;position:absolute;z-index:251671552"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15</w:t>
                </w:r>
                <w:r>
                  <w:rPr>
                    <w:rFonts w:hint="eastAsia"/>
                    <w:sz w:val="18"/>
                  </w:rPr>
                  <w:fldChar w:fldCharType="end"/>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3" type="#_x0000_t202" style="width:2in;height:2in;margin-top:0;margin-left:0;mso-height-relative:page;mso-position-horizontal:right;mso-position-horizontal-relative:margin;mso-width-relative:page;mso-wrap-style:none;position:absolute;z-index:251672576"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15</w:t>
                </w:r>
                <w:r>
                  <w:rPr>
                    <w:rFonts w:hint="eastAsia"/>
                    <w:sz w:val="18"/>
                  </w:rPr>
                  <w:fldChar w:fldCharType="end"/>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4" type="#_x0000_t202" style="width:2in;height:2in;margin-top:0;margin-left:0;mso-height-relative:page;mso-position-horizontal:right;mso-position-horizontal-relative:margin;mso-width-relative:page;mso-wrap-style:none;position:absolute;z-index:251673600"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16</w:t>
                </w:r>
                <w:r>
                  <w:rPr>
                    <w:rFonts w:hint="eastAsia"/>
                    <w:sz w:val="18"/>
                  </w:rPr>
                  <w:fldChar w:fldCharType="end"/>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5" type="#_x0000_t202" style="width:2in;height:2in;margin-top:0;margin-left:0;mso-height-relative:page;mso-position-horizontal:right;mso-position-horizontal-relative:margin;mso-width-relative:page;mso-wrap-style:none;position:absolute;z-index:251674624"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17</w:t>
                </w:r>
                <w:r>
                  <w:rPr>
                    <w:rFonts w:hint="eastAsia"/>
                    <w:sz w:val="18"/>
                  </w:rPr>
                  <w:fldChar w:fldCharType="end"/>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6" type="#_x0000_t202" style="width:2in;height:2in;margin-top:0;margin-left:0;mso-height-relative:page;mso-position-horizontal:right;mso-position-horizontal-relative:margin;mso-width-relative:page;mso-wrap-style:none;position:absolute;z-index:251675648"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19</w:t>
                </w:r>
                <w:r>
                  <w:rPr>
                    <w:rFonts w:hint="eastAsia"/>
                    <w:sz w:val="18"/>
                  </w:rPr>
                  <w:fldChar w:fldCharType="end"/>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7" type="#_x0000_t202" style="width:2in;height:2in;margin-top:0;margin-left:0;mso-height-relative:page;mso-position-horizontal:right;mso-position-horizontal-relative:margin;mso-width-relative:page;mso-wrap-style:none;position:absolute;z-index:251676672"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19</w:t>
                </w:r>
                <w:r>
                  <w:rPr>
                    <w:rFonts w:hint="eastAsia"/>
                    <w:sz w:val="18"/>
                  </w:rPr>
                  <w:fldChar w:fldCharType="end"/>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8" type="#_x0000_t202" style="width:2in;height:2in;margin-top:0;margin-left:0;mso-height-relative:page;mso-position-horizontal:right;mso-position-horizontal-relative:margin;mso-width-relative:page;mso-wrap-style:none;position:absolute;z-index:251677696"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20</w:t>
                </w:r>
                <w:r>
                  <w:rPr>
                    <w:rFonts w:hint="eastAsia"/>
                    <w:sz w:val="18"/>
                  </w:rPr>
                  <w:fldChar w:fldCharType="end"/>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69" type="#_x0000_t202" style="width:2in;height:2in;margin-top:0;margin-left:0;mso-height-relative:page;mso-position-horizontal:right;mso-position-horizontal-relative:margin;mso-width-relative:page;mso-wrap-style:none;position:absolute;z-index:251678720"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22</w:t>
                </w:r>
                <w:r>
                  <w:rPr>
                    <w:rFonts w:hint="eastAsia"/>
                    <w:sz w:val="18"/>
                  </w:rPr>
                  <w:fldChar w:fldCharType="end"/>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0" type="#_x0000_t202" style="width:2in;height:2in;margin-top:0;margin-left:0;mso-height-relative:page;mso-position-horizontal:right;mso-position-horizontal-relative:margin;mso-width-relative:page;mso-wrap-style:none;position:absolute;z-index:251679744"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22</w:t>
                </w:r>
                <w:r>
                  <w:rPr>
                    <w:rFonts w:hint="eastAsia"/>
                    <w:sz w:val="18"/>
                  </w:rPr>
                  <w:fldChar w:fldCharType="end"/>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1" type="#_x0000_t202" style="width:2in;height:2in;margin-top:0;margin-left:0;mso-height-relative:page;mso-position-horizontal:right;mso-position-horizontal-relative:margin;mso-width-relative:page;mso-wrap-style:none;position:absolute;z-index:251680768"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23</w:t>
                </w:r>
                <w:r>
                  <w:rPr>
                    <w:rFonts w:hint="eastAsia"/>
                    <w:sz w:val="18"/>
                  </w:rPr>
                  <w:fldChar w:fldCharType="end"/>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2" type="#_x0000_t202" style="width:2in;height:2in;margin-top:0;margin-left:0;mso-height-relative:page;mso-position-horizontal:right;mso-position-horizontal-relative:margin;mso-width-relative:page;mso-wrap-style:none;position:absolute;z-index:251681792"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24</w:t>
                </w:r>
                <w:r>
                  <w:rPr>
                    <w:rFonts w:hint="eastAsia"/>
                    <w:sz w:val="18"/>
                  </w:rPr>
                  <w:fldChar w:fldCharType="end"/>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3" type="#_x0000_t202" style="width:2in;height:2in;margin-top:0;margin-left:0;mso-height-relative:page;mso-position-horizontal:right;mso-position-horizontal-relative:margin;mso-width-relative:page;mso-wrap-style:none;position:absolute;z-index:251682816"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26</w:t>
                </w:r>
                <w:r>
                  <w:rPr>
                    <w:rFonts w:hint="eastAsia"/>
                    <w:sz w:val="18"/>
                  </w:rPr>
                  <w:fldChar w:fldCharType="end"/>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4" type="#_x0000_t202" style="width:2in;height:2in;margin-top:0;margin-left:0;mso-height-relative:page;mso-position-horizontal:right;mso-position-horizontal-relative:margin;mso-width-relative:page;mso-wrap-style:none;position:absolute;z-index:251683840"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26</w:t>
                </w:r>
                <w:r>
                  <w:rPr>
                    <w:rFonts w:hint="eastAsia"/>
                    <w:sz w:val="18"/>
                  </w:rPr>
                  <w:fldChar w:fldCharType="end"/>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5" type="#_x0000_t202" style="width:2in;height:2in;margin-top:0;margin-left:0;mso-height-relative:page;mso-position-horizontal:right;mso-position-horizontal-relative:margin;mso-width-relative:page;mso-wrap-style:none;position:absolute;z-index:251684864"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27</w:t>
                </w:r>
                <w:r>
                  <w:rPr>
                    <w:rFonts w:hint="eastAsia"/>
                    <w:sz w:val="18"/>
                  </w:rPr>
                  <w:fldChar w:fldCharType="end"/>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6" type="#_x0000_t202" style="width:2in;height:2in;margin-top:0;margin-left:0;mso-height-relative:page;mso-position-horizontal:right;mso-position-horizontal-relative:margin;mso-width-relative:page;mso-wrap-style:none;position:absolute;z-index:251685888"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28</w:t>
                </w:r>
                <w:r>
                  <w:rPr>
                    <w:rFonts w:hint="eastAsia"/>
                    <w:sz w:val="18"/>
                  </w:rPr>
                  <w:fldChar w:fldCharType="end"/>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7" type="#_x0000_t202" style="width:2in;height:2in;margin-top:0;margin-left:0;mso-height-relative:page;mso-position-horizontal:right;mso-position-horizontal-relative:margin;mso-width-relative:page;mso-wrap-style:none;position:absolute;z-index:251686912"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29</w:t>
                </w:r>
                <w:r>
                  <w:rPr>
                    <w:rFonts w:hint="eastAsia"/>
                    <w:sz w:val="18"/>
                  </w:rPr>
                  <w:fldChar w:fldCharType="end"/>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8" type="#_x0000_t202" style="width:2in;height:2in;margin-top:0;margin-left:0;mso-height-relative:page;mso-position-horizontal:right;mso-position-horizontal-relative:margin;mso-width-relative:page;mso-wrap-style:none;position:absolute;z-index:251687936"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30</w:t>
                </w:r>
                <w:r>
                  <w:rPr>
                    <w:rFonts w:hint="eastAsia"/>
                    <w:sz w:val="18"/>
                  </w:rPr>
                  <w:fldChar w:fldCharType="end"/>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79" type="#_x0000_t202" style="width:2in;height:2in;margin-top:0;margin-left:0;mso-height-relative:page;mso-position-horizontal:right;mso-position-horizontal-relative:margin;mso-width-relative:page;mso-wrap-style:none;position:absolute;z-index:251688960"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31</w:t>
                </w:r>
                <w:r>
                  <w:rPr>
                    <w:rFonts w:hint="eastAsia"/>
                    <w:sz w:val="18"/>
                  </w:rPr>
                  <w:fldChar w:fldCharType="end"/>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80" type="#_x0000_t202" style="width:2in;height:2in;margin-top:0;margin-left:0;mso-height-relative:page;mso-position-horizontal:right;mso-position-horizontal-relative:margin;mso-width-relative:page;mso-wrap-style:none;position:absolute;z-index:251689984"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32</w:t>
                </w:r>
                <w:r>
                  <w:rPr>
                    <w:rFonts w:hint="eastAsia"/>
                    <w:sz w:val="18"/>
                  </w:rPr>
                  <w:fldChar w:fldCharType="end"/>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81" type="#_x0000_t202" style="width:2in;height:2in;margin-top:0;margin-left:0;mso-height-relative:page;mso-position-horizontal:right;mso-position-horizontal-relative:margin;mso-width-relative:page;mso-wrap-style:none;position:absolute;z-index:251691008"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33</w:t>
                </w:r>
                <w:r>
                  <w:rPr>
                    <w:rFonts w:hint="eastAsia"/>
                    <w:sz w:val="18"/>
                  </w:rPr>
                  <w:fldChar w:fldCharType="end"/>
                </w:r>
              </w:p>
            </w:txbxContent>
          </v:textbox>
          <w10:wrap anchorx="margin"/>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82" type="#_x0000_t202" style="width:2in;height:2in;margin-top:0;margin-left:0;mso-height-relative:page;mso-position-horizontal:right;mso-position-horizontal-relative:margin;mso-width-relative:page;mso-wrap-style:none;position:absolute;z-index:251692032"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34</w:t>
                </w:r>
                <w:r>
                  <w:rPr>
                    <w:rFonts w:hint="eastAsia"/>
                    <w:sz w:val="18"/>
                  </w:rPr>
                  <w:fldChar w:fldCharType="end"/>
                </w:r>
              </w:p>
            </w:txbxContent>
          </v:textbox>
          <w10:wrap anchorx="margin"/>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r>
      <w:pict>
        <v:shapetype id="_x0000_t202" coordsize="21600,21600" o:spt="202" path="m,l,21600r21600,l21600,xe">
          <v:stroke joinstyle="miter"/>
          <v:path gradientshapeok="t" o:connecttype="rect"/>
        </v:shapetype>
        <v:shape id="文本框62" o:spid="_x0000_s2083" type="#_x0000_t202" style="width:2in;height:2in;margin-top:0;margin-left:0;mso-height-relative:page;mso-position-horizontal:right;mso-position-horizontal-relative:margin;mso-width-relative:page;mso-wrap-style:none;position:absolute;z-index:251693056" coordsize="21600,21600" filled="f" stroked="f">
          <v:stroke joinstyle="miter"/>
          <o:lock v:ext="edit" aspectratio="f"/>
          <v:textbox style="mso-fit-shape-to-text:t" inset="0,0,0,0">
            <w:txbxContent>
              <w:p>
                <w:pPr>
                  <w:pStyle w:val="Normal0"/>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35</w:t>
                </w:r>
                <w:r>
                  <w:rPr>
                    <w:rFonts w:hint="eastAsia"/>
                    <w:sz w:val="18"/>
                  </w:rPr>
                  <w:fldChar w:fldCharType="end"/>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D24BCC"/>
    <w:multiLevelType w:val="multilevel"/>
    <w:tmpl w:val="03D24BCC"/>
    <w:lvl w:ilvl="0">
      <w:start w:val="1"/>
      <w:numFmt w:val="decimalEnclosedCircle"/>
      <w:lvlText w:val="%1"/>
      <w:lvlJc w:val="left"/>
      <w:pPr>
        <w:tabs>
          <w:tab w:val="left" w:pos="920"/>
        </w:tabs>
        <w:ind w:left="920" w:hanging="360"/>
      </w:pPr>
      <w:rPr>
        <w:rFonts w:hint="default"/>
      </w:rPr>
    </w:lvl>
    <w:lvl w:ilvl="1">
      <w:start w:val="1"/>
      <w:numFmt w:val="lowerLetter"/>
      <w:lvlText w:val="%2)"/>
      <w:lvlJc w:val="left"/>
      <w:pPr>
        <w:tabs>
          <w:tab w:val="left" w:pos="1400"/>
        </w:tabs>
        <w:ind w:left="1400"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1">
    <w:nsid w:val="0E812C06"/>
    <w:multiLevelType w:val="multilevel"/>
    <w:tmpl w:val="0E812C06"/>
    <w:lvl w:ilvl="0">
      <w:start w:val="3"/>
      <w:numFmt w:val="decimal"/>
      <w:lvlText w:val="%1"/>
      <w:lvlJc w:val="left"/>
      <w:pPr>
        <w:tabs>
          <w:tab w:val="left" w:pos="705"/>
        </w:tabs>
        <w:ind w:left="705" w:hanging="705"/>
      </w:pPr>
      <w:rPr>
        <w:rFonts w:hint="default"/>
      </w:rPr>
    </w:lvl>
    <w:lvl w:ilvl="1">
      <w:start w:val="2"/>
      <w:numFmt w:val="decimal"/>
      <w:lvlText w:val="%1.%2"/>
      <w:lvlJc w:val="left"/>
      <w:pPr>
        <w:tabs>
          <w:tab w:val="left" w:pos="1271"/>
        </w:tabs>
        <w:ind w:left="1271" w:hanging="720"/>
      </w:pPr>
      <w:rPr>
        <w:rFonts w:hint="default"/>
      </w:rPr>
    </w:lvl>
    <w:lvl w:ilvl="2">
      <w:start w:val="1"/>
      <w:numFmt w:val="decimal"/>
      <w:lvlText w:val="%1.%2.%3"/>
      <w:lvlJc w:val="left"/>
      <w:pPr>
        <w:tabs>
          <w:tab w:val="left" w:pos="1822"/>
        </w:tabs>
        <w:ind w:left="1822" w:hanging="720"/>
      </w:pPr>
      <w:rPr>
        <w:rFonts w:hint="default"/>
      </w:rPr>
    </w:lvl>
    <w:lvl w:ilvl="3">
      <w:start w:val="1"/>
      <w:numFmt w:val="decimal"/>
      <w:lvlText w:val="%1.%2.%3.%4"/>
      <w:lvlJc w:val="left"/>
      <w:pPr>
        <w:tabs>
          <w:tab w:val="left" w:pos="2733"/>
        </w:tabs>
        <w:ind w:left="2733" w:hanging="1080"/>
      </w:pPr>
      <w:rPr>
        <w:rFonts w:hint="default"/>
      </w:rPr>
    </w:lvl>
    <w:lvl w:ilvl="4">
      <w:start w:val="1"/>
      <w:numFmt w:val="decimal"/>
      <w:lvlText w:val="%1.%2.%3.%4.%5"/>
      <w:lvlJc w:val="left"/>
      <w:pPr>
        <w:tabs>
          <w:tab w:val="left" w:pos="3644"/>
        </w:tabs>
        <w:ind w:left="3644" w:hanging="1440"/>
      </w:pPr>
      <w:rPr>
        <w:rFonts w:hint="default"/>
      </w:rPr>
    </w:lvl>
    <w:lvl w:ilvl="5">
      <w:start w:val="1"/>
      <w:numFmt w:val="decimal"/>
      <w:lvlText w:val="%1.%2.%3.%4.%5.%6"/>
      <w:lvlJc w:val="left"/>
      <w:pPr>
        <w:tabs>
          <w:tab w:val="left" w:pos="4555"/>
        </w:tabs>
        <w:ind w:left="4555" w:hanging="1800"/>
      </w:pPr>
      <w:rPr>
        <w:rFonts w:hint="default"/>
      </w:rPr>
    </w:lvl>
    <w:lvl w:ilvl="6">
      <w:start w:val="1"/>
      <w:numFmt w:val="decimal"/>
      <w:lvlText w:val="%1.%2.%3.%4.%5.%6.%7"/>
      <w:lvlJc w:val="left"/>
      <w:pPr>
        <w:tabs>
          <w:tab w:val="left" w:pos="5466"/>
        </w:tabs>
        <w:ind w:left="5466" w:hanging="2160"/>
      </w:pPr>
      <w:rPr>
        <w:rFonts w:hint="default"/>
      </w:rPr>
    </w:lvl>
    <w:lvl w:ilvl="7">
      <w:start w:val="1"/>
      <w:numFmt w:val="decimal"/>
      <w:lvlText w:val="%1.%2.%3.%4.%5.%6.%7.%8"/>
      <w:lvlJc w:val="left"/>
      <w:pPr>
        <w:tabs>
          <w:tab w:val="left" w:pos="6017"/>
        </w:tabs>
        <w:ind w:left="6017" w:hanging="2160"/>
      </w:pPr>
      <w:rPr>
        <w:rFonts w:hint="default"/>
      </w:rPr>
    </w:lvl>
    <w:lvl w:ilvl="8">
      <w:start w:val="1"/>
      <w:numFmt w:val="decimal"/>
      <w:lvlText w:val="%1.%2.%3.%4.%5.%6.%7.%8.%9"/>
      <w:lvlJc w:val="left"/>
      <w:pPr>
        <w:tabs>
          <w:tab w:val="left" w:pos="6928"/>
        </w:tabs>
        <w:ind w:left="6928" w:hanging="25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B3A8C"/>
    <w:rsid w:val="00252B25"/>
    <w:rsid w:val="00781564"/>
    <w:rsid w:val="007D1BB9"/>
    <w:rsid w:val="00A52A6F"/>
    <w:rsid w:val="00C1729B"/>
    <w:rsid w:val="00C3480A"/>
    <w:rsid w:val="00D16826"/>
    <w:rsid w:val="00E73211"/>
    <w:rsid w:val="00EC2DA7"/>
    <w:rsid w:val="00EF34AA"/>
    <w:rsid w:val="00F82459"/>
    <w:rsid w:val="00FC25C7"/>
    <w:rsid w:val="1B775F20"/>
    <w:rsid w:val="49B755B6"/>
    <w:rsid w:val="53D629E8"/>
    <w:rsid w:val="5E280D51"/>
    <w:rsid w:val="60177190"/>
    <w:rsid w:val="61881D96"/>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autoRedefine/>
    <w:qFormat/>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autoRedefine/>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styleId="PlainText">
    <w:name w:val="Plain Text"/>
    <w:basedOn w:val="Normal"/>
    <w:autoRedefine/>
    <w:qFormat/>
    <w:rPr>
      <w:rFonts w:ascii="宋体" w:hAnsi="Courier New"/>
      <w:szCs w:val="20"/>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qFormat/>
    <w:pPr>
      <w:tabs>
        <w:tab w:val="right" w:leader="dot" w:pos="8302"/>
      </w:tabs>
      <w:jc w:val="center"/>
    </w:pPr>
    <w:rPr>
      <w:rFonts w:ascii="楷体_GB2312" w:eastAsia="楷体_GB2312" w:hAnsi="Times New Roman"/>
      <w:sz w:val="32"/>
      <w:szCs w:val="32"/>
    </w:rPr>
  </w:style>
  <w:style w:type="paragraph" w:styleId="TOC2">
    <w:name w:val="toc 2"/>
    <w:basedOn w:val="Normal"/>
    <w:next w:val="Normal0"/>
    <w:autoRedefine/>
    <w:semiHidden/>
    <w:qFormat/>
    <w:pPr>
      <w:ind w:left="420" w:leftChars="200"/>
    </w:pPr>
    <w:rPr>
      <w:rFonts w:ascii="Times New Roman" w:hAnsi="Times New Roman"/>
      <w:szCs w:val="24"/>
    </w:r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 w:val="24"/>
      <w:szCs w:val="24"/>
    </w:rPr>
  </w:style>
  <w:style w:type="character" w:styleId="PageNumber">
    <w:name w:val="page number"/>
    <w:basedOn w:val="DefaultParagraphFont"/>
  </w:style>
  <w:style w:type="character" w:styleId="Hyperlink">
    <w:name w:val="Hyperlink"/>
    <w:basedOn w:val="DefaultParagraphFont"/>
    <w:autoRedefine/>
    <w:qFormat/>
    <w:rPr>
      <w:color w:val="0000FF"/>
      <w:u w:val="single"/>
    </w:rPr>
  </w:style>
  <w:style w:type="paragraph" w:customStyle="1" w:styleId="Header0">
    <w:name w:val="Header_0"/>
    <w:basedOn w:val="Normal0"/>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customStyle="1" w:styleId="Footer0">
    <w:name w:val="Footer_0"/>
    <w:basedOn w:val="Normal0"/>
    <w:autoRedefine/>
    <w:qFormat/>
    <w:pPr>
      <w:tabs>
        <w:tab w:val="center" w:pos="4153"/>
        <w:tab w:val="right" w:pos="8306"/>
      </w:tabs>
      <w:snapToGrid w:val="0"/>
      <w:jc w:val="left"/>
    </w:pPr>
    <w:rPr>
      <w:sz w:val="18"/>
    </w:rPr>
  </w:style>
  <w:style w:type="character" w:customStyle="1" w:styleId="blank">
    <w:name w:val="blank"/>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header" Target="head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hyperlink" Target="https://d.book118.com/888000054042006043" TargetMode="External" /><Relationship Id="rId74" Type="http://schemas.openxmlformats.org/officeDocument/2006/relationships/header" Target="header35.xml" /><Relationship Id="rId75" Type="http://schemas.openxmlformats.org/officeDocument/2006/relationships/footer" Target="footer35.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2051"/>
    <customShpInfo spid="_x0000_s1029"/>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30"/>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41</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2024-02-25T17:01:09Z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1842971215064DB694A67740F119AD2B_12</vt:lpwstr>
  </property>
  <property fmtid="{D5CDD505-2E9C-101B-9397-08002B2CF9AE}" pid="3" name="KSOProductBuildVer">
    <vt:lpwstr>2052-12.1.0.16388</vt:lpwstr>
  </property>
</Properties>
</file>