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color w:val="auto"/>
          <w:sz w:val="36"/>
          <w:szCs w:val="36"/>
          <w:highlight w:val="yellow"/>
        </w:rPr>
      </w:pPr>
    </w:p>
    <w:p>
      <w:pPr>
        <w:rPr>
          <w:color w:val="auto"/>
          <w:sz w:val="36"/>
          <w:szCs w:val="36"/>
          <w:highlight w:val="yellow"/>
        </w:rPr>
      </w:pPr>
    </w:p>
    <w:p>
      <w:pPr>
        <w:rPr>
          <w:color w:val="auto"/>
          <w:sz w:val="36"/>
          <w:szCs w:val="36"/>
          <w:highlight w:val="yellow"/>
        </w:rPr>
      </w:pPr>
    </w:p>
    <w:p>
      <w:pPr>
        <w:rPr>
          <w:color w:val="auto"/>
          <w:sz w:val="36"/>
          <w:szCs w:val="36"/>
          <w:highlight w:val="yellow"/>
        </w:rPr>
      </w:pPr>
    </w:p>
    <w:p>
      <w:pPr>
        <w:rPr>
          <w:color w:val="auto"/>
          <w:sz w:val="36"/>
          <w:szCs w:val="36"/>
          <w:highlight w:val="yellow"/>
        </w:rPr>
      </w:pPr>
    </w:p>
    <w:p>
      <w:pPr>
        <w:adjustRightInd w:val="0"/>
        <w:snapToGrid w:val="0"/>
        <w:jc w:val="center"/>
        <w:outlineLvl w:val="0"/>
        <w:rPr>
          <w:bCs/>
          <w:color w:val="auto"/>
          <w:sz w:val="72"/>
          <w:szCs w:val="72"/>
          <w:highlight w:val="none"/>
        </w:rPr>
      </w:pPr>
      <w:bookmarkStart w:id="0" w:name="_Toc28012"/>
      <w:bookmarkStart w:id="1" w:name="_Toc4028"/>
      <w:r>
        <w:rPr>
          <w:rFonts w:ascii="Times New Roman" w:eastAsia="宋体" w:hAnsi="Times New Roman" w:cs="Times New Roman" w:hint="eastAsia"/>
          <w:bCs/>
          <w:color w:val="auto"/>
          <w:sz w:val="72"/>
          <w:szCs w:val="72"/>
          <w:highlight w:val="none"/>
        </w:rPr>
        <w:t>建设项目环境影响报告表</w:t>
      </w:r>
      <w:bookmarkEnd w:id="0"/>
    </w:p>
    <w:p>
      <w:pPr>
        <w:adjustRightInd w:val="0"/>
        <w:snapToGrid w:val="0"/>
        <w:spacing w:before="192" w:beforeLines="80"/>
        <w:jc w:val="center"/>
        <w:rPr>
          <w:rFonts w:hint="eastAsia"/>
          <w:bCs/>
          <w:color w:val="auto"/>
          <w:sz w:val="48"/>
          <w:szCs w:val="48"/>
          <w:highlight w:val="none"/>
        </w:rPr>
      </w:pPr>
      <w:r>
        <w:rPr>
          <w:rFonts w:ascii="Times New Roman" w:eastAsia="宋体" w:hAnsi="Times New Roman" w:cs="Times New Roman" w:hint="eastAsia"/>
          <w:bCs/>
          <w:color w:val="auto"/>
          <w:sz w:val="48"/>
          <w:szCs w:val="48"/>
          <w:highlight w:val="none"/>
          <w:lang w:eastAsia="zh-CN"/>
        </w:rPr>
        <w:t>（</w:t>
      </w:r>
      <w:r>
        <w:rPr>
          <w:rFonts w:ascii="Times New Roman" w:eastAsia="宋体" w:hAnsi="Times New Roman" w:cs="Times New Roman" w:hint="eastAsia"/>
          <w:bCs/>
          <w:color w:val="auto"/>
          <w:sz w:val="48"/>
          <w:szCs w:val="48"/>
          <w:highlight w:val="none"/>
        </w:rPr>
        <w:t>污染影响类</w:t>
      </w:r>
      <w:r>
        <w:rPr>
          <w:rFonts w:ascii="Times New Roman" w:eastAsia="宋体" w:hAnsi="Times New Roman" w:cs="Times New Roman" w:hint="eastAsia"/>
          <w:bCs/>
          <w:color w:val="auto"/>
          <w:sz w:val="48"/>
          <w:szCs w:val="48"/>
          <w:highlight w:val="none"/>
          <w:lang w:eastAsia="zh-CN"/>
        </w:rPr>
        <w:t>）</w:t>
      </w:r>
    </w:p>
    <w:p>
      <w:pPr>
        <w:adjustRightInd w:val="0"/>
        <w:snapToGrid w:val="0"/>
        <w:spacing w:line="288" w:lineRule="auto"/>
        <w:jc w:val="center"/>
        <w:rPr>
          <w:color w:val="auto"/>
          <w:kern w:val="44"/>
          <w:sz w:val="44"/>
          <w:szCs w:val="44"/>
          <w:highlight w:val="none"/>
        </w:rPr>
      </w:pPr>
    </w:p>
    <w:p>
      <w:pPr>
        <w:jc w:val="center"/>
        <w:rPr>
          <w:color w:val="auto"/>
          <w:sz w:val="52"/>
          <w:szCs w:val="52"/>
          <w:highlight w:val="yellow"/>
        </w:rPr>
      </w:pPr>
    </w:p>
    <w:p>
      <w:pPr>
        <w:ind w:firstLine="1040"/>
        <w:rPr>
          <w:color w:val="auto"/>
          <w:sz w:val="44"/>
          <w:szCs w:val="44"/>
          <w:highlight w:val="yellow"/>
        </w:rPr>
      </w:pPr>
    </w:p>
    <w:p>
      <w:pPr>
        <w:ind w:firstLine="1040"/>
        <w:rPr>
          <w:color w:val="auto"/>
          <w:sz w:val="44"/>
          <w:szCs w:val="44"/>
          <w:highlight w:val="yellow"/>
        </w:rPr>
      </w:pPr>
    </w:p>
    <w:p>
      <w:pPr>
        <w:ind w:firstLine="1040"/>
        <w:rPr>
          <w:color w:val="auto"/>
          <w:sz w:val="44"/>
          <w:szCs w:val="44"/>
          <w:highlight w:val="none"/>
        </w:rPr>
      </w:pPr>
    </w:p>
    <w:p>
      <w:pPr>
        <w:ind w:firstLine="1040"/>
        <w:rPr>
          <w:color w:val="auto"/>
          <w:sz w:val="44"/>
          <w:szCs w:val="44"/>
          <w:highlight w:val="none"/>
        </w:rPr>
      </w:pPr>
    </w:p>
    <w:p>
      <w:pPr>
        <w:adjustRightInd w:val="0"/>
        <w:snapToGrid w:val="0"/>
        <w:spacing w:line="288" w:lineRule="auto"/>
        <w:ind w:firstLine="1040"/>
        <w:rPr>
          <w:color w:val="auto"/>
          <w:sz w:val="36"/>
          <w:szCs w:val="36"/>
          <w:highlight w:val="none"/>
          <w:u w:val="single"/>
        </w:rPr>
      </w:pPr>
      <w:r>
        <w:rPr>
          <w:rFonts w:ascii="Times New Roman" w:eastAsia="宋体" w:hAnsi="Times New Roman" w:cs="Times New Roman" w:hint="eastAsia"/>
          <w:color w:val="auto"/>
          <w:sz w:val="36"/>
          <w:szCs w:val="36"/>
          <w:highlight w:val="none"/>
        </w:rPr>
        <w:t xml:space="preserve">项目名称： </w:t>
      </w:r>
      <w:r>
        <w:rPr>
          <w:rFonts w:ascii="Times New Roman" w:eastAsia="宋体" w:hAnsi="Times New Roman" w:cs="Times New Roman" w:hint="eastAsia"/>
          <w:color w:val="auto"/>
          <w:sz w:val="36"/>
          <w:szCs w:val="36"/>
          <w:highlight w:val="none"/>
          <w:u w:val="single"/>
        </w:rPr>
        <w:t xml:space="preserve">    年产</w:t>
      </w:r>
      <w:r>
        <w:rPr>
          <w:rFonts w:ascii="Times New Roman" w:eastAsia="宋体" w:hAnsi="Times New Roman" w:cs="Times New Roman" w:hint="eastAsia"/>
          <w:color w:val="auto"/>
          <w:sz w:val="36"/>
          <w:szCs w:val="36"/>
          <w:highlight w:val="none"/>
          <w:u w:val="single"/>
          <w:lang w:val="en-US" w:eastAsia="zh-CN"/>
        </w:rPr>
        <w:t>1</w:t>
      </w:r>
      <w:r>
        <w:rPr>
          <w:rFonts w:ascii="Times New Roman" w:eastAsia="宋体" w:hAnsi="Times New Roman" w:cs="Times New Roman" w:hint="eastAsia"/>
          <w:color w:val="auto"/>
          <w:sz w:val="36"/>
          <w:szCs w:val="36"/>
          <w:highlight w:val="none"/>
          <w:u w:val="single"/>
        </w:rPr>
        <w:t xml:space="preserve">亿米涤纶布搬迁项目       </w:t>
      </w:r>
    </w:p>
    <w:p>
      <w:pPr>
        <w:adjustRightInd w:val="0"/>
        <w:snapToGrid w:val="0"/>
        <w:spacing w:line="288" w:lineRule="auto"/>
        <w:ind w:firstLine="1080" w:firstLineChars="300"/>
        <w:rPr>
          <w:color w:val="auto"/>
          <w:sz w:val="36"/>
          <w:szCs w:val="36"/>
          <w:highlight w:val="none"/>
          <w:u w:val="single"/>
        </w:rPr>
      </w:pPr>
      <w:r>
        <w:rPr>
          <w:rFonts w:ascii="Times New Roman" w:eastAsia="宋体" w:hAnsi="Times New Roman" w:cs="Times New Roman" w:hint="eastAsia"/>
          <w:color w:val="auto"/>
          <w:sz w:val="36"/>
          <w:szCs w:val="36"/>
          <w:highlight w:val="none"/>
        </w:rPr>
        <w:t>建设单位</w:t>
      </w:r>
      <w:r>
        <w:rPr>
          <w:rFonts w:ascii="Times New Roman" w:eastAsia="宋体" w:hAnsi="Times New Roman" w:cs="Times New Roman" w:hint="eastAsia"/>
          <w:color w:val="auto"/>
          <w:sz w:val="36"/>
          <w:szCs w:val="36"/>
          <w:highlight w:val="none"/>
          <w:lang w:eastAsia="zh-CN"/>
        </w:rPr>
        <w:t>（</w:t>
      </w:r>
      <w:r>
        <w:rPr>
          <w:rFonts w:ascii="Times New Roman" w:eastAsia="宋体" w:hAnsi="Times New Roman" w:cs="Times New Roman" w:hint="eastAsia"/>
          <w:color w:val="auto"/>
          <w:sz w:val="36"/>
          <w:szCs w:val="36"/>
          <w:highlight w:val="none"/>
        </w:rPr>
        <w:t>盖章</w:t>
      </w:r>
      <w:r>
        <w:rPr>
          <w:rFonts w:ascii="Times New Roman" w:eastAsia="宋体" w:hAnsi="Times New Roman" w:cs="Times New Roman" w:hint="eastAsia"/>
          <w:color w:val="auto"/>
          <w:sz w:val="36"/>
          <w:szCs w:val="36"/>
          <w:highlight w:val="none"/>
          <w:lang w:eastAsia="zh-CN"/>
        </w:rPr>
        <w:t>）</w:t>
      </w:r>
      <w:r>
        <w:rPr>
          <w:rFonts w:ascii="Times New Roman" w:eastAsia="宋体" w:hAnsi="Times New Roman" w:cs="Times New Roman" w:hint="eastAsia"/>
          <w:color w:val="auto"/>
          <w:sz w:val="36"/>
          <w:szCs w:val="36"/>
          <w:highlight w:val="none"/>
        </w:rPr>
        <w:t>：</w:t>
      </w:r>
      <w:r>
        <w:rPr>
          <w:rFonts w:ascii="Times New Roman" w:eastAsia="宋体" w:hAnsi="Times New Roman" w:cs="Times New Roman" w:hint="eastAsia"/>
          <w:color w:val="auto"/>
          <w:sz w:val="36"/>
          <w:szCs w:val="36"/>
          <w:highlight w:val="none"/>
          <w:u w:val="single"/>
          <w:lang w:eastAsia="zh-CN"/>
        </w:rPr>
        <w:t>滨海亚峰纺织品有限公司</w:t>
      </w:r>
      <w:r>
        <w:rPr>
          <w:rFonts w:ascii="Times New Roman" w:eastAsia="宋体" w:hAnsi="Times New Roman" w:cs="Times New Roman" w:hint="eastAsia"/>
          <w:color w:val="auto"/>
          <w:sz w:val="36"/>
          <w:szCs w:val="36"/>
          <w:highlight w:val="none"/>
          <w:u w:val="single"/>
        </w:rPr>
        <w:t xml:space="preserve">       </w:t>
      </w:r>
    </w:p>
    <w:p>
      <w:pPr>
        <w:adjustRightInd w:val="0"/>
        <w:snapToGrid w:val="0"/>
        <w:spacing w:line="288" w:lineRule="auto"/>
        <w:ind w:firstLine="1040"/>
        <w:rPr>
          <w:color w:val="auto"/>
          <w:sz w:val="36"/>
          <w:szCs w:val="36"/>
          <w:highlight w:val="none"/>
          <w:u w:val="single"/>
        </w:rPr>
      </w:pPr>
      <w:r>
        <w:rPr>
          <w:rFonts w:ascii="Times New Roman" w:eastAsia="宋体" w:hAnsi="Times New Roman" w:cs="Times New Roman" w:hint="eastAsia"/>
          <w:color w:val="auto"/>
          <w:sz w:val="36"/>
          <w:szCs w:val="36"/>
          <w:highlight w:val="none"/>
        </w:rPr>
        <w:t>编制日期：</w:t>
      </w:r>
      <w:r>
        <w:rPr>
          <w:rFonts w:ascii="Times New Roman" w:eastAsia="宋体" w:hAnsi="Times New Roman" w:cs="Times New Roman" w:hint="eastAsia"/>
          <w:color w:val="auto"/>
          <w:sz w:val="36"/>
          <w:szCs w:val="36"/>
          <w:highlight w:val="none"/>
          <w:u w:val="single"/>
        </w:rPr>
        <w:t xml:space="preserve">        </w:t>
      </w:r>
      <w:r>
        <w:rPr>
          <w:rFonts w:ascii="Times New Roman" w:eastAsia="宋体" w:hAnsi="Times New Roman" w:cs="Times New Roman" w:hint="eastAsia"/>
          <w:color w:val="auto"/>
          <w:sz w:val="36"/>
          <w:szCs w:val="36"/>
          <w:highlight w:val="none"/>
          <w:u w:val="single"/>
          <w:lang w:val="en-US" w:eastAsia="zh-CN"/>
        </w:rPr>
        <w:t xml:space="preserve">    2023</w:t>
      </w:r>
      <w:r>
        <w:rPr>
          <w:rFonts w:ascii="Times New Roman" w:eastAsia="宋体" w:hAnsi="Times New Roman" w:cs="Times New Roman" w:hint="eastAsia"/>
          <w:color w:val="auto"/>
          <w:sz w:val="36"/>
          <w:szCs w:val="36"/>
          <w:highlight w:val="none"/>
          <w:u w:val="single"/>
        </w:rPr>
        <w:t>年</w:t>
      </w:r>
      <w:r>
        <w:rPr>
          <w:rFonts w:ascii="Times New Roman" w:eastAsia="宋体" w:hAnsi="Times New Roman" w:cs="Times New Roman" w:hint="eastAsia"/>
          <w:color w:val="auto"/>
          <w:sz w:val="36"/>
          <w:szCs w:val="36"/>
          <w:highlight w:val="none"/>
          <w:u w:val="single"/>
          <w:lang w:val="en-US" w:eastAsia="zh-CN"/>
        </w:rPr>
        <w:t>12</w:t>
      </w:r>
      <w:r>
        <w:rPr>
          <w:rFonts w:ascii="Times New Roman" w:eastAsia="宋体" w:hAnsi="Times New Roman" w:cs="Times New Roman" w:hint="eastAsia"/>
          <w:color w:val="auto"/>
          <w:sz w:val="36"/>
          <w:szCs w:val="36"/>
          <w:highlight w:val="none"/>
          <w:u w:val="single"/>
        </w:rPr>
        <w:t xml:space="preserve">月          </w:t>
      </w:r>
      <w:r>
        <w:rPr>
          <w:rFonts w:ascii="Times New Roman" w:eastAsia="宋体" w:hAnsi="Times New Roman" w:cs="Times New Roman" w:hint="eastAsia"/>
          <w:color w:val="auto"/>
          <w:sz w:val="36"/>
          <w:szCs w:val="36"/>
          <w:highlight w:val="none"/>
          <w:u w:val="single"/>
          <w:lang w:val="en-US" w:eastAsia="zh-CN"/>
        </w:rPr>
        <w:t xml:space="preserve"> </w:t>
      </w:r>
      <w:r>
        <w:rPr>
          <w:rFonts w:ascii="Times New Roman" w:eastAsia="宋体" w:hAnsi="Times New Roman" w:cs="Times New Roman" w:hint="eastAsia"/>
          <w:color w:val="auto"/>
          <w:sz w:val="36"/>
          <w:szCs w:val="36"/>
          <w:highlight w:val="none"/>
          <w:u w:val="single"/>
        </w:rPr>
        <w:t xml:space="preserve">  </w:t>
      </w:r>
    </w:p>
    <w:p>
      <w:pPr>
        <w:adjustRightInd w:val="0"/>
        <w:snapToGrid w:val="0"/>
        <w:spacing w:line="288" w:lineRule="auto"/>
        <w:ind w:firstLine="1040"/>
        <w:rPr>
          <w:color w:val="auto"/>
          <w:sz w:val="36"/>
          <w:szCs w:val="36"/>
          <w:highlight w:val="yellow"/>
          <w:u w:val="single"/>
        </w:rPr>
      </w:pPr>
      <w:bookmarkStart w:id="2" w:name="_Hlk57884087"/>
    </w:p>
    <w:p>
      <w:pPr>
        <w:adjustRightInd w:val="0"/>
        <w:snapToGrid w:val="0"/>
        <w:spacing w:line="288" w:lineRule="auto"/>
        <w:ind w:firstLine="1040"/>
        <w:rPr>
          <w:color w:val="auto"/>
          <w:sz w:val="36"/>
          <w:szCs w:val="36"/>
          <w:highlight w:val="yellow"/>
        </w:rPr>
      </w:pPr>
    </w:p>
    <w:p>
      <w:pPr>
        <w:adjustRightInd w:val="0"/>
        <w:snapToGrid w:val="0"/>
        <w:spacing w:line="288" w:lineRule="auto"/>
        <w:ind w:firstLine="1040"/>
        <w:rPr>
          <w:color w:val="auto"/>
          <w:sz w:val="36"/>
          <w:szCs w:val="36"/>
          <w:highlight w:val="yellow"/>
        </w:rPr>
      </w:pPr>
    </w:p>
    <w:p>
      <w:pPr>
        <w:adjustRightInd w:val="0"/>
        <w:snapToGrid w:val="0"/>
        <w:spacing w:line="288" w:lineRule="auto"/>
        <w:ind w:firstLine="1040"/>
        <w:rPr>
          <w:color w:val="auto"/>
          <w:sz w:val="36"/>
          <w:szCs w:val="36"/>
          <w:highlight w:val="yellow"/>
        </w:rPr>
      </w:pPr>
    </w:p>
    <w:p>
      <w:pPr>
        <w:adjustRightInd w:val="0"/>
        <w:snapToGrid w:val="0"/>
        <w:spacing w:line="288" w:lineRule="auto"/>
        <w:ind w:firstLine="1040"/>
        <w:rPr>
          <w:color w:val="auto"/>
          <w:sz w:val="36"/>
          <w:szCs w:val="36"/>
          <w:highlight w:val="yellow"/>
        </w:rPr>
      </w:pPr>
    </w:p>
    <w:bookmarkEnd w:id="2"/>
    <w:p>
      <w:pPr>
        <w:adjustRightInd w:val="0"/>
        <w:snapToGrid w:val="0"/>
        <w:spacing w:line="288" w:lineRule="auto"/>
        <w:jc w:val="center"/>
        <w:rPr>
          <w:color w:val="auto"/>
          <w:sz w:val="36"/>
          <w:szCs w:val="36"/>
          <w:highlight w:val="none"/>
        </w:rPr>
      </w:pPr>
      <w:r>
        <w:rPr>
          <w:rFonts w:ascii="Times New Roman" w:eastAsia="宋体" w:hAnsi="Times New Roman" w:cs="Times New Roman" w:hint="eastAsia"/>
          <w:color w:val="auto"/>
          <w:sz w:val="36"/>
          <w:szCs w:val="36"/>
          <w:highlight w:val="none"/>
        </w:rPr>
        <w:t>中华人民共和国生态环境部制</w:t>
      </w:r>
    </w:p>
    <w:p>
      <w:pPr>
        <w:adjustRightInd w:val="0"/>
        <w:snapToGrid w:val="0"/>
        <w:spacing w:line="288" w:lineRule="auto"/>
        <w:ind w:firstLine="1040"/>
        <w:rPr>
          <w:color w:val="auto"/>
          <w:sz w:val="36"/>
          <w:szCs w:val="36"/>
          <w:highlight w:val="none"/>
        </w:rPr>
        <w:sectPr>
          <w:footerReference w:type="even" r:id="rId6"/>
          <w:footerReference w:type="default" r:id="rId7"/>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3"/>
          <w:cols w:num="1" w:space="720"/>
          <w:docGrid w:linePitch="312" w:charSpace="0"/>
        </w:sectPr>
      </w:pPr>
    </w:p>
    <w:p>
      <w:pPr>
        <w:jc w:val="center"/>
        <w:rPr>
          <w:b/>
          <w:bCs/>
          <w:color w:val="auto"/>
          <w:sz w:val="32"/>
          <w:szCs w:val="32"/>
          <w:highlight w:val="none"/>
        </w:rPr>
      </w:pPr>
      <w:r>
        <w:rPr>
          <w:rFonts w:ascii="Times New Roman" w:eastAsia="宋体" w:hAnsi="Times New Roman" w:cs="Times New Roman"/>
          <w:b/>
          <w:bCs/>
          <w:color w:val="auto"/>
          <w:sz w:val="32"/>
          <w:szCs w:val="32"/>
          <w:highlight w:val="none"/>
        </w:rPr>
        <w:t>目录</w:t>
      </w:r>
    </w:p>
    <w:p>
      <w:pPr>
        <w:pStyle w:val="TOC1"/>
        <w:tabs>
          <w:tab w:val="right" w:leader="dot" w:pos="8844"/>
        </w:tabs>
        <w:rPr>
          <w:rFonts w:ascii="Times New Roman" w:eastAsia="宋体" w:hAnsi="Times New Roman" w:cs="Times New Roman"/>
          <w:color w:val="auto"/>
          <w:highlight w:val="none"/>
        </w:rPr>
      </w:pPr>
      <w:r>
        <w:rPr>
          <w:rFonts w:ascii="Times New Roman" w:eastAsia="宋体" w:hAnsi="Times New Roman" w:cs="Times New Roman"/>
          <w:color w:val="auto"/>
          <w:sz w:val="24"/>
          <w:highlight w:val="none"/>
        </w:rPr>
        <w:fldChar w:fldCharType="begin"/>
      </w:r>
      <w:r>
        <w:rPr>
          <w:rFonts w:ascii="Times New Roman" w:eastAsia="宋体" w:hAnsi="Times New Roman" w:cs="Times New Roman"/>
          <w:color w:val="auto"/>
          <w:sz w:val="24"/>
          <w:highlight w:val="none"/>
        </w:rPr>
        <w:instrText xml:space="preserve">TOC \o "1-1" \h \u </w:instrText>
      </w:r>
      <w:r>
        <w:rPr>
          <w:rFonts w:ascii="Times New Roman" w:eastAsia="宋体" w:hAnsi="Times New Roman" w:cs="Times New Roman"/>
          <w:color w:val="auto"/>
          <w:sz w:val="24"/>
          <w:highlight w:val="none"/>
        </w:rPr>
        <w:fldChar w:fldCharType="separate"/>
      </w:r>
    </w:p>
    <w:p>
      <w:pPr>
        <w:pStyle w:val="TOC1"/>
        <w:tabs>
          <w:tab w:val="right" w:leader="dot" w:pos="8844"/>
        </w:tabs>
        <w:spacing w:line="360" w:lineRule="auto"/>
        <w:rPr>
          <w:rFonts w:ascii="Times New Roman" w:eastAsia="宋体" w:hAnsi="Times New Roman" w:cs="Times New Roman"/>
          <w:color w:val="auto"/>
          <w:sz w:val="24"/>
          <w:highlight w:val="none"/>
        </w:rPr>
      </w:pPr>
      <w:hyperlink w:anchor="_Toc4028" w:history="1">
        <w:r>
          <w:rPr>
            <w:rFonts w:ascii="Times New Roman" w:eastAsia="宋体" w:hAnsi="Times New Roman" w:cs="Times New Roman"/>
            <w:snapToGrid w:val="0"/>
            <w:color w:val="auto"/>
            <w:sz w:val="24"/>
            <w:highlight w:val="none"/>
          </w:rPr>
          <w:t>一、建设项目基本情况</w:t>
        </w:r>
        <w:r>
          <w:rPr>
            <w:rFonts w:ascii="Times New Roman" w:eastAsia="宋体" w:hAnsi="Times New Roman" w:cs="Times New Roman"/>
            <w:color w:val="auto"/>
            <w:sz w:val="24"/>
            <w:highlight w:val="none"/>
          </w:rPr>
          <w:tab/>
        </w:r>
        <w:r>
          <w:rPr>
            <w:rFonts w:ascii="Times New Roman" w:eastAsia="宋体" w:hAnsi="Times New Roman" w:cs="Times New Roman"/>
            <w:color w:val="auto"/>
            <w:sz w:val="24"/>
            <w:highlight w:val="none"/>
          </w:rPr>
          <w:fldChar w:fldCharType="begin"/>
        </w:r>
        <w:r>
          <w:rPr>
            <w:rFonts w:ascii="Times New Roman" w:eastAsia="宋体" w:hAnsi="Times New Roman" w:cs="Times New Roman"/>
            <w:color w:val="auto"/>
            <w:sz w:val="24"/>
            <w:highlight w:val="none"/>
          </w:rPr>
          <w:instrText xml:space="preserve"> PAGEREF _Toc4028 \h </w:instrText>
        </w:r>
        <w:r>
          <w:rPr>
            <w:rFonts w:ascii="Times New Roman" w:eastAsia="宋体" w:hAnsi="Times New Roman" w:cs="Times New Roman"/>
            <w:color w:val="auto"/>
            <w:sz w:val="24"/>
            <w:highlight w:val="none"/>
          </w:rPr>
          <w:fldChar w:fldCharType="separate"/>
        </w:r>
        <w:r>
          <w:rPr>
            <w:rFonts w:ascii="Times New Roman" w:eastAsia="宋体" w:hAnsi="Times New Roman" w:cs="Times New Roman"/>
            <w:color w:val="auto"/>
            <w:sz w:val="24"/>
            <w:highlight w:val="none"/>
          </w:rPr>
          <w:t>3</w:t>
        </w:r>
        <w:r>
          <w:rPr>
            <w:rFonts w:ascii="Times New Roman" w:eastAsia="宋体" w:hAnsi="Times New Roman" w:cs="Times New Roman"/>
            <w:color w:val="auto"/>
            <w:sz w:val="24"/>
            <w:highlight w:val="none"/>
          </w:rPr>
          <w:fldChar w:fldCharType="end"/>
        </w:r>
      </w:hyperlink>
    </w:p>
    <w:p>
      <w:pPr>
        <w:pStyle w:val="TOC1"/>
        <w:tabs>
          <w:tab w:val="right" w:leader="dot" w:pos="8844"/>
        </w:tabs>
        <w:spacing w:line="360" w:lineRule="auto"/>
        <w:rPr>
          <w:rFonts w:ascii="Times New Roman" w:eastAsia="宋体" w:hAnsi="Times New Roman" w:cs="Times New Roman"/>
          <w:color w:val="auto"/>
          <w:sz w:val="24"/>
          <w:highlight w:val="none"/>
        </w:rPr>
      </w:pPr>
      <w:hyperlink w:anchor="_Toc13081" w:history="1">
        <w:r>
          <w:rPr>
            <w:rFonts w:ascii="Times New Roman" w:eastAsia="宋体" w:hAnsi="Times New Roman" w:cs="Times New Roman"/>
            <w:snapToGrid w:val="0"/>
            <w:color w:val="auto"/>
            <w:sz w:val="24"/>
            <w:highlight w:val="none"/>
          </w:rPr>
          <w:t>二、建设项目工程分析</w:t>
        </w:r>
        <w:r>
          <w:rPr>
            <w:rFonts w:ascii="Times New Roman" w:eastAsia="宋体" w:hAnsi="Times New Roman" w:cs="Times New Roman"/>
            <w:color w:val="auto"/>
            <w:sz w:val="24"/>
            <w:highlight w:val="none"/>
          </w:rPr>
          <w:tab/>
        </w:r>
        <w:r>
          <w:rPr>
            <w:rFonts w:ascii="Times New Roman" w:eastAsia="宋体" w:hAnsi="Times New Roman" w:cs="Times New Roman"/>
            <w:color w:val="auto"/>
            <w:sz w:val="24"/>
            <w:highlight w:val="none"/>
          </w:rPr>
          <w:fldChar w:fldCharType="begin"/>
        </w:r>
        <w:r>
          <w:rPr>
            <w:rFonts w:ascii="Times New Roman" w:eastAsia="宋体" w:hAnsi="Times New Roman" w:cs="Times New Roman"/>
            <w:color w:val="auto"/>
            <w:sz w:val="24"/>
            <w:highlight w:val="none"/>
          </w:rPr>
          <w:instrText xml:space="preserve"> PAGEREF _Toc13081 \h </w:instrText>
        </w:r>
        <w:r>
          <w:rPr>
            <w:rFonts w:ascii="Times New Roman" w:eastAsia="宋体" w:hAnsi="Times New Roman" w:cs="Times New Roman"/>
            <w:color w:val="auto"/>
            <w:sz w:val="24"/>
            <w:highlight w:val="none"/>
          </w:rPr>
          <w:fldChar w:fldCharType="separate"/>
        </w:r>
        <w:r>
          <w:rPr>
            <w:rFonts w:ascii="Times New Roman" w:eastAsia="宋体" w:hAnsi="Times New Roman" w:cs="Times New Roman"/>
            <w:color w:val="auto"/>
            <w:sz w:val="24"/>
            <w:highlight w:val="none"/>
          </w:rPr>
          <w:t>14</w:t>
        </w:r>
        <w:r>
          <w:rPr>
            <w:rFonts w:ascii="Times New Roman" w:eastAsia="宋体" w:hAnsi="Times New Roman" w:cs="Times New Roman"/>
            <w:color w:val="auto"/>
            <w:sz w:val="24"/>
            <w:highlight w:val="none"/>
          </w:rPr>
          <w:fldChar w:fldCharType="end"/>
        </w:r>
      </w:hyperlink>
    </w:p>
    <w:p>
      <w:pPr>
        <w:pStyle w:val="TOC1"/>
        <w:tabs>
          <w:tab w:val="right" w:leader="dot" w:pos="8844"/>
        </w:tabs>
        <w:spacing w:line="360" w:lineRule="auto"/>
        <w:rPr>
          <w:rFonts w:ascii="Times New Roman" w:eastAsia="宋体" w:hAnsi="Times New Roman" w:cs="Times New Roman"/>
          <w:color w:val="auto"/>
          <w:sz w:val="24"/>
          <w:highlight w:val="none"/>
        </w:rPr>
      </w:pPr>
      <w:hyperlink w:anchor="_Toc26442" w:history="1">
        <w:r>
          <w:rPr>
            <w:rFonts w:ascii="Times New Roman" w:eastAsia="宋体" w:hAnsi="Times New Roman" w:cs="Times New Roman"/>
            <w:snapToGrid w:val="0"/>
            <w:color w:val="auto"/>
            <w:sz w:val="24"/>
            <w:highlight w:val="none"/>
          </w:rPr>
          <w:t>三、区域环境质量现状、环境保护目标及评价标准</w:t>
        </w:r>
        <w:r>
          <w:rPr>
            <w:rFonts w:ascii="Times New Roman" w:eastAsia="宋体" w:hAnsi="Times New Roman" w:cs="Times New Roman"/>
            <w:color w:val="auto"/>
            <w:sz w:val="24"/>
            <w:highlight w:val="none"/>
          </w:rPr>
          <w:tab/>
        </w:r>
        <w:r>
          <w:rPr>
            <w:rFonts w:ascii="Times New Roman" w:eastAsia="宋体" w:hAnsi="Times New Roman" w:cs="Times New Roman"/>
            <w:color w:val="auto"/>
            <w:sz w:val="24"/>
            <w:highlight w:val="none"/>
          </w:rPr>
          <w:fldChar w:fldCharType="begin"/>
        </w:r>
        <w:r>
          <w:rPr>
            <w:rFonts w:ascii="Times New Roman" w:eastAsia="宋体" w:hAnsi="Times New Roman" w:cs="Times New Roman"/>
            <w:color w:val="auto"/>
            <w:sz w:val="24"/>
            <w:highlight w:val="none"/>
          </w:rPr>
          <w:instrText xml:space="preserve"> PAGEREF _Toc26442 \h </w:instrText>
        </w:r>
        <w:r>
          <w:rPr>
            <w:rFonts w:ascii="Times New Roman" w:eastAsia="宋体" w:hAnsi="Times New Roman" w:cs="Times New Roman"/>
            <w:color w:val="auto"/>
            <w:sz w:val="24"/>
            <w:highlight w:val="none"/>
          </w:rPr>
          <w:fldChar w:fldCharType="separate"/>
        </w:r>
        <w:r>
          <w:rPr>
            <w:rFonts w:ascii="Times New Roman" w:eastAsia="宋体" w:hAnsi="Times New Roman" w:cs="Times New Roman"/>
            <w:color w:val="auto"/>
            <w:sz w:val="24"/>
            <w:highlight w:val="none"/>
          </w:rPr>
          <w:t>27</w:t>
        </w:r>
        <w:r>
          <w:rPr>
            <w:rFonts w:ascii="Times New Roman" w:eastAsia="宋体" w:hAnsi="Times New Roman" w:cs="Times New Roman"/>
            <w:color w:val="auto"/>
            <w:sz w:val="24"/>
            <w:highlight w:val="none"/>
          </w:rPr>
          <w:fldChar w:fldCharType="end"/>
        </w:r>
      </w:hyperlink>
    </w:p>
    <w:p>
      <w:pPr>
        <w:pStyle w:val="TOC1"/>
        <w:tabs>
          <w:tab w:val="right" w:leader="dot" w:pos="8844"/>
        </w:tabs>
        <w:spacing w:line="360" w:lineRule="auto"/>
        <w:rPr>
          <w:rFonts w:ascii="Times New Roman" w:eastAsia="宋体" w:hAnsi="Times New Roman" w:cs="Times New Roman"/>
          <w:color w:val="auto"/>
          <w:sz w:val="24"/>
          <w:highlight w:val="none"/>
        </w:rPr>
      </w:pPr>
      <w:hyperlink w:anchor="_Toc30801" w:history="1">
        <w:r>
          <w:rPr>
            <w:rFonts w:ascii="Times New Roman" w:eastAsia="宋体" w:hAnsi="Times New Roman" w:cs="Times New Roman"/>
            <w:snapToGrid w:val="0"/>
            <w:color w:val="auto"/>
            <w:sz w:val="24"/>
            <w:highlight w:val="none"/>
          </w:rPr>
          <w:t>四、主要环境影响和保护措施</w:t>
        </w:r>
        <w:r>
          <w:rPr>
            <w:rFonts w:ascii="Times New Roman" w:eastAsia="宋体" w:hAnsi="Times New Roman" w:cs="Times New Roman"/>
            <w:color w:val="auto"/>
            <w:sz w:val="24"/>
            <w:highlight w:val="none"/>
          </w:rPr>
          <w:tab/>
        </w:r>
        <w:r>
          <w:rPr>
            <w:rFonts w:ascii="Times New Roman" w:eastAsia="宋体" w:hAnsi="Times New Roman" w:cs="Times New Roman"/>
            <w:color w:val="auto"/>
            <w:sz w:val="24"/>
            <w:highlight w:val="none"/>
          </w:rPr>
          <w:fldChar w:fldCharType="begin"/>
        </w:r>
        <w:r>
          <w:rPr>
            <w:rFonts w:ascii="Times New Roman" w:eastAsia="宋体" w:hAnsi="Times New Roman" w:cs="Times New Roman"/>
            <w:color w:val="auto"/>
            <w:sz w:val="24"/>
            <w:highlight w:val="none"/>
          </w:rPr>
          <w:instrText xml:space="preserve"> PAGEREF _Toc30801 \h </w:instrText>
        </w:r>
        <w:r>
          <w:rPr>
            <w:rFonts w:ascii="Times New Roman" w:eastAsia="宋体" w:hAnsi="Times New Roman" w:cs="Times New Roman"/>
            <w:color w:val="auto"/>
            <w:sz w:val="24"/>
            <w:highlight w:val="none"/>
          </w:rPr>
          <w:fldChar w:fldCharType="separate"/>
        </w:r>
        <w:r>
          <w:rPr>
            <w:rFonts w:ascii="Times New Roman" w:eastAsia="宋体" w:hAnsi="Times New Roman" w:cs="Times New Roman"/>
            <w:color w:val="auto"/>
            <w:sz w:val="24"/>
            <w:highlight w:val="none"/>
          </w:rPr>
          <w:t>36</w:t>
        </w:r>
        <w:r>
          <w:rPr>
            <w:rFonts w:ascii="Times New Roman" w:eastAsia="宋体" w:hAnsi="Times New Roman" w:cs="Times New Roman"/>
            <w:color w:val="auto"/>
            <w:sz w:val="24"/>
            <w:highlight w:val="none"/>
          </w:rPr>
          <w:fldChar w:fldCharType="end"/>
        </w:r>
      </w:hyperlink>
    </w:p>
    <w:p>
      <w:pPr>
        <w:pStyle w:val="TOC1"/>
        <w:tabs>
          <w:tab w:val="right" w:leader="dot" w:pos="8844"/>
        </w:tabs>
        <w:spacing w:line="360" w:lineRule="auto"/>
        <w:rPr>
          <w:rFonts w:ascii="Times New Roman" w:eastAsia="宋体" w:hAnsi="Times New Roman" w:cs="Times New Roman"/>
          <w:color w:val="auto"/>
          <w:sz w:val="24"/>
          <w:highlight w:val="none"/>
        </w:rPr>
      </w:pPr>
      <w:hyperlink w:anchor="_Toc5377" w:history="1">
        <w:r>
          <w:rPr>
            <w:rFonts w:ascii="Times New Roman" w:eastAsia="宋体" w:hAnsi="Times New Roman" w:cs="Times New Roman"/>
            <w:snapToGrid w:val="0"/>
            <w:color w:val="auto"/>
            <w:sz w:val="24"/>
            <w:highlight w:val="none"/>
          </w:rPr>
          <w:t>五、环境保护措施监督检查清单</w:t>
        </w:r>
        <w:r>
          <w:rPr>
            <w:rFonts w:ascii="Times New Roman" w:eastAsia="宋体" w:hAnsi="Times New Roman" w:cs="Times New Roman"/>
            <w:color w:val="auto"/>
            <w:sz w:val="24"/>
            <w:highlight w:val="none"/>
          </w:rPr>
          <w:tab/>
        </w:r>
        <w:r>
          <w:rPr>
            <w:rFonts w:ascii="Times New Roman" w:eastAsia="宋体" w:hAnsi="Times New Roman" w:cs="Times New Roman"/>
            <w:color w:val="auto"/>
            <w:sz w:val="24"/>
            <w:highlight w:val="none"/>
          </w:rPr>
          <w:fldChar w:fldCharType="begin"/>
        </w:r>
        <w:r>
          <w:rPr>
            <w:rFonts w:ascii="Times New Roman" w:eastAsia="宋体" w:hAnsi="Times New Roman" w:cs="Times New Roman"/>
            <w:color w:val="auto"/>
            <w:sz w:val="24"/>
            <w:highlight w:val="none"/>
          </w:rPr>
          <w:instrText xml:space="preserve"> PAGEREF _Toc5377 \h </w:instrText>
        </w:r>
        <w:r>
          <w:rPr>
            <w:rFonts w:ascii="Times New Roman" w:eastAsia="宋体" w:hAnsi="Times New Roman" w:cs="Times New Roman"/>
            <w:color w:val="auto"/>
            <w:sz w:val="24"/>
            <w:highlight w:val="none"/>
          </w:rPr>
          <w:fldChar w:fldCharType="separate"/>
        </w:r>
        <w:r>
          <w:rPr>
            <w:rFonts w:ascii="Times New Roman" w:eastAsia="宋体" w:hAnsi="Times New Roman" w:cs="Times New Roman"/>
            <w:color w:val="auto"/>
            <w:sz w:val="24"/>
            <w:highlight w:val="none"/>
          </w:rPr>
          <w:t>72</w:t>
        </w:r>
        <w:r>
          <w:rPr>
            <w:rFonts w:ascii="Times New Roman" w:eastAsia="宋体" w:hAnsi="Times New Roman" w:cs="Times New Roman"/>
            <w:color w:val="auto"/>
            <w:sz w:val="24"/>
            <w:highlight w:val="none"/>
          </w:rPr>
          <w:fldChar w:fldCharType="end"/>
        </w:r>
      </w:hyperlink>
    </w:p>
    <w:p>
      <w:pPr>
        <w:pStyle w:val="TOC1"/>
        <w:tabs>
          <w:tab w:val="right" w:leader="dot" w:pos="8844"/>
        </w:tabs>
        <w:spacing w:line="360" w:lineRule="auto"/>
        <w:rPr>
          <w:rFonts w:ascii="Times New Roman" w:eastAsia="宋体" w:hAnsi="Times New Roman" w:cs="Times New Roman"/>
          <w:color w:val="auto"/>
          <w:highlight w:val="none"/>
        </w:rPr>
      </w:pPr>
      <w:hyperlink w:anchor="_Toc1194" w:history="1">
        <w:r>
          <w:rPr>
            <w:rFonts w:ascii="Times New Roman" w:eastAsia="宋体" w:hAnsi="Times New Roman" w:cs="Times New Roman"/>
            <w:snapToGrid w:val="0"/>
            <w:color w:val="auto"/>
            <w:sz w:val="24"/>
            <w:highlight w:val="none"/>
          </w:rPr>
          <w:t>六、结论</w:t>
        </w:r>
        <w:r>
          <w:rPr>
            <w:rFonts w:ascii="Times New Roman" w:eastAsia="宋体" w:hAnsi="Times New Roman" w:cs="Times New Roman"/>
            <w:color w:val="auto"/>
            <w:sz w:val="24"/>
            <w:highlight w:val="none"/>
          </w:rPr>
          <w:tab/>
        </w:r>
        <w:r>
          <w:rPr>
            <w:rFonts w:ascii="Times New Roman" w:eastAsia="宋体" w:hAnsi="Times New Roman" w:cs="Times New Roman"/>
            <w:color w:val="auto"/>
            <w:sz w:val="24"/>
            <w:highlight w:val="none"/>
          </w:rPr>
          <w:fldChar w:fldCharType="begin"/>
        </w:r>
        <w:r>
          <w:rPr>
            <w:rFonts w:ascii="Times New Roman" w:eastAsia="宋体" w:hAnsi="Times New Roman" w:cs="Times New Roman"/>
            <w:color w:val="auto"/>
            <w:sz w:val="24"/>
            <w:highlight w:val="none"/>
          </w:rPr>
          <w:instrText xml:space="preserve"> PAGEREF _Toc1194 \h </w:instrText>
        </w:r>
        <w:r>
          <w:rPr>
            <w:rFonts w:ascii="Times New Roman" w:eastAsia="宋体" w:hAnsi="Times New Roman" w:cs="Times New Roman"/>
            <w:color w:val="auto"/>
            <w:sz w:val="24"/>
            <w:highlight w:val="none"/>
          </w:rPr>
          <w:fldChar w:fldCharType="separate"/>
        </w:r>
        <w:r>
          <w:rPr>
            <w:rFonts w:ascii="Times New Roman" w:eastAsia="宋体" w:hAnsi="Times New Roman" w:cs="Times New Roman"/>
            <w:color w:val="auto"/>
            <w:sz w:val="24"/>
            <w:highlight w:val="none"/>
          </w:rPr>
          <w:t>76</w:t>
        </w:r>
        <w:r>
          <w:rPr>
            <w:rFonts w:ascii="Times New Roman" w:eastAsia="宋体" w:hAnsi="Times New Roman" w:cs="Times New Roman"/>
            <w:color w:val="auto"/>
            <w:sz w:val="24"/>
            <w:highlight w:val="none"/>
          </w:rPr>
          <w:fldChar w:fldCharType="end"/>
        </w:r>
      </w:hyperlink>
    </w:p>
    <w:p>
      <w:pPr>
        <w:pStyle w:val="Default"/>
        <w:spacing w:line="360" w:lineRule="auto"/>
        <w:ind w:left="0" w:firstLine="0" w:leftChars="0" w:firstLineChars="0"/>
        <w:outlineLvl w:val="9"/>
        <w:rPr>
          <w:rFonts w:ascii="Times New Roman" w:eastAsia="宋体" w:hAnsi="Times New Roman" w:cs="Times New Roman"/>
          <w:b/>
          <w:bCs/>
          <w:color w:val="auto"/>
          <w:highlight w:val="none"/>
        </w:rPr>
      </w:pPr>
      <w:r>
        <w:rPr>
          <w:rFonts w:ascii="Times New Roman" w:eastAsia="宋体" w:hAnsi="Times New Roman" w:cs="Times New Roman"/>
          <w:color w:val="auto"/>
          <w:highlight w:val="none"/>
        </w:rPr>
        <w:fldChar w:fldCharType="end"/>
      </w:r>
      <w:r>
        <w:rPr>
          <w:rFonts w:ascii="Times New Roman" w:eastAsia="宋体" w:hAnsi="Times New Roman" w:cs="Times New Roman"/>
          <w:b/>
          <w:bCs/>
          <w:color w:val="auto"/>
          <w:highlight w:val="none"/>
        </w:rPr>
        <w:t>附图</w:t>
      </w:r>
    </w:p>
    <w:p>
      <w:pPr>
        <w:spacing w:line="360" w:lineRule="auto"/>
        <w:ind w:firstLine="461"/>
        <w:jc w:val="left"/>
        <w:rPr>
          <w:color w:val="auto"/>
          <w:highlight w:val="none"/>
        </w:rPr>
      </w:pPr>
      <w:r>
        <w:rPr>
          <w:rFonts w:ascii="Times New Roman" w:eastAsia="宋体" w:hAnsi="Times New Roman" w:cs="Times New Roman"/>
          <w:color w:val="auto"/>
          <w:highlight w:val="none"/>
        </w:rPr>
        <w:t>附图一</w:t>
      </w:r>
      <w:r>
        <w:rPr>
          <w:rFonts w:ascii="Times New Roman" w:eastAsia="宋体" w:hAnsi="Times New Roman" w:cs="Times New Roman" w:hint="eastAsia"/>
          <w:color w:val="auto"/>
          <w:highlight w:val="none"/>
        </w:rPr>
        <w:t xml:space="preserve">  </w:t>
      </w:r>
      <w:r>
        <w:rPr>
          <w:rFonts w:ascii="Times New Roman" w:eastAsia="宋体" w:hAnsi="Times New Roman" w:cs="Times New Roman"/>
          <w:color w:val="auto"/>
          <w:highlight w:val="none"/>
        </w:rPr>
        <w:t>项目地理位置图</w:t>
      </w:r>
    </w:p>
    <w:p>
      <w:pPr>
        <w:spacing w:line="360" w:lineRule="auto"/>
        <w:ind w:firstLine="461"/>
        <w:jc w:val="left"/>
        <w:rPr>
          <w:color w:val="auto"/>
          <w:highlight w:val="none"/>
        </w:rPr>
      </w:pPr>
      <w:r>
        <w:rPr>
          <w:rFonts w:ascii="Times New Roman" w:eastAsia="宋体" w:hAnsi="Times New Roman" w:cs="Times New Roman"/>
          <w:color w:val="auto"/>
          <w:highlight w:val="none"/>
        </w:rPr>
        <w:t>附图二</w:t>
      </w:r>
      <w:r>
        <w:rPr>
          <w:rFonts w:ascii="Times New Roman" w:eastAsia="宋体" w:hAnsi="Times New Roman" w:cs="Times New Roman" w:hint="eastAsia"/>
          <w:color w:val="auto"/>
          <w:highlight w:val="none"/>
        </w:rPr>
        <w:t xml:space="preserve">  项目周边500m环境现状图</w:t>
      </w:r>
    </w:p>
    <w:p>
      <w:pPr>
        <w:spacing w:line="360" w:lineRule="auto"/>
        <w:ind w:firstLine="461"/>
        <w:jc w:val="left"/>
        <w:rPr>
          <w:color w:val="auto"/>
          <w:highlight w:val="none"/>
        </w:rPr>
      </w:pPr>
      <w:r>
        <w:rPr>
          <w:rFonts w:ascii="Times New Roman" w:eastAsia="宋体" w:hAnsi="Times New Roman" w:cs="Times New Roman"/>
          <w:color w:val="auto"/>
          <w:highlight w:val="none"/>
        </w:rPr>
        <w:t>附图三</w:t>
      </w:r>
      <w:r>
        <w:rPr>
          <w:rFonts w:ascii="Times New Roman" w:eastAsia="宋体" w:hAnsi="Times New Roman" w:cs="Times New Roman" w:hint="eastAsia"/>
          <w:color w:val="auto"/>
          <w:highlight w:val="none"/>
        </w:rPr>
        <w:t xml:space="preserve">  </w:t>
      </w:r>
      <w:r>
        <w:rPr>
          <w:rFonts w:ascii="Times New Roman" w:eastAsia="宋体" w:hAnsi="Times New Roman" w:cs="Times New Roman"/>
          <w:color w:val="auto"/>
          <w:highlight w:val="none"/>
        </w:rPr>
        <w:t>厂区平面布置图</w:t>
      </w:r>
    </w:p>
    <w:p>
      <w:pPr>
        <w:spacing w:line="360" w:lineRule="auto"/>
        <w:ind w:firstLine="461"/>
        <w:jc w:val="left"/>
        <w:rPr>
          <w:color w:val="auto"/>
          <w:highlight w:val="none"/>
        </w:rPr>
      </w:pPr>
      <w:r>
        <w:rPr>
          <w:rFonts w:ascii="Times New Roman" w:eastAsia="宋体" w:hAnsi="Times New Roman" w:cs="Times New Roman"/>
          <w:color w:val="auto"/>
          <w:highlight w:val="none"/>
        </w:rPr>
        <w:t>附图四</w:t>
      </w:r>
      <w:r>
        <w:rPr>
          <w:rFonts w:ascii="Times New Roman" w:eastAsia="宋体" w:hAnsi="Times New Roman" w:cs="Times New Roman" w:hint="eastAsia"/>
          <w:color w:val="auto"/>
          <w:highlight w:val="none"/>
        </w:rPr>
        <w:t xml:space="preserve">  </w:t>
      </w:r>
      <w:r>
        <w:rPr>
          <w:rFonts w:ascii="Times New Roman" w:eastAsia="宋体" w:hAnsi="Times New Roman" w:cs="Times New Roman"/>
          <w:color w:val="auto"/>
          <w:highlight w:val="none"/>
        </w:rPr>
        <w:t>项目周边水系图</w:t>
      </w:r>
    </w:p>
    <w:p>
      <w:pPr>
        <w:spacing w:line="360" w:lineRule="auto"/>
        <w:ind w:firstLine="461"/>
        <w:jc w:val="left"/>
        <w:rPr>
          <w:color w:val="auto"/>
          <w:highlight w:val="none"/>
        </w:rPr>
      </w:pPr>
      <w:r>
        <w:rPr>
          <w:rFonts w:ascii="Times New Roman" w:eastAsia="宋体" w:hAnsi="Times New Roman" w:cs="Times New Roman" w:hint="eastAsia"/>
          <w:color w:val="auto"/>
          <w:highlight w:val="none"/>
        </w:rPr>
        <w:t>附图五  江苏省盐城市环境管控单元图</w:t>
      </w:r>
    </w:p>
    <w:p>
      <w:pPr>
        <w:spacing w:line="360" w:lineRule="auto"/>
        <w:ind w:firstLine="461"/>
        <w:jc w:val="left"/>
        <w:rPr>
          <w:rFonts w:hint="eastAsia"/>
          <w:color w:val="auto"/>
          <w:highlight w:val="none"/>
        </w:rPr>
      </w:pPr>
      <w:r>
        <w:rPr>
          <w:rFonts w:ascii="Times New Roman" w:eastAsia="宋体" w:hAnsi="Times New Roman" w:cs="Times New Roman" w:hint="eastAsia"/>
          <w:color w:val="auto"/>
          <w:highlight w:val="none"/>
        </w:rPr>
        <w:t>附图六  盐城市主体功能区划图</w:t>
      </w:r>
    </w:p>
    <w:p>
      <w:pPr>
        <w:spacing w:line="360" w:lineRule="auto"/>
        <w:ind w:firstLine="461"/>
        <w:jc w:val="left"/>
        <w:rPr>
          <w:rFonts w:hint="default"/>
          <w:color w:val="auto"/>
          <w:highlight w:val="none"/>
        </w:rPr>
      </w:pPr>
      <w:r>
        <w:rPr>
          <w:rFonts w:ascii="Times New Roman" w:eastAsia="宋体" w:hAnsi="Times New Roman" w:cs="Times New Roman" w:hint="eastAsia"/>
          <w:color w:val="auto"/>
          <w:highlight w:val="none"/>
          <w:lang w:val="en-US" w:eastAsia="zh-CN"/>
        </w:rPr>
        <w:t>附图七  江苏省生态空间管控区域规划图</w:t>
      </w:r>
    </w:p>
    <w:p>
      <w:pPr>
        <w:spacing w:line="336" w:lineRule="auto"/>
        <w:jc w:val="left"/>
        <w:rPr>
          <w:b/>
          <w:bCs/>
          <w:color w:val="auto"/>
          <w:highlight w:val="none"/>
        </w:rPr>
      </w:pPr>
      <w:r>
        <w:rPr>
          <w:rFonts w:ascii="Times New Roman" w:eastAsia="宋体" w:hAnsi="Times New Roman" w:cs="Times New Roman"/>
          <w:b/>
          <w:bCs/>
          <w:color w:val="auto"/>
          <w:highlight w:val="none"/>
        </w:rPr>
        <w:t>附件</w:t>
      </w:r>
    </w:p>
    <w:p>
      <w:pPr>
        <w:spacing w:line="360" w:lineRule="auto"/>
        <w:ind w:firstLine="461"/>
        <w:jc w:val="left"/>
        <w:rPr>
          <w:color w:val="auto"/>
          <w:highlight w:val="none"/>
        </w:rPr>
      </w:pPr>
      <w:r>
        <w:rPr>
          <w:rFonts w:ascii="Times New Roman" w:eastAsia="宋体" w:hAnsi="Times New Roman" w:cs="Times New Roman"/>
          <w:color w:val="auto"/>
          <w:highlight w:val="none"/>
        </w:rPr>
        <w:t>附件一</w:t>
      </w:r>
      <w:r>
        <w:rPr>
          <w:rFonts w:ascii="Times New Roman" w:eastAsia="宋体" w:hAnsi="Times New Roman" w:cs="Times New Roman" w:hint="eastAsia"/>
          <w:color w:val="auto"/>
          <w:highlight w:val="none"/>
        </w:rPr>
        <w:t xml:space="preserve">  申请报告</w:t>
      </w:r>
    </w:p>
    <w:p>
      <w:pPr>
        <w:spacing w:line="360" w:lineRule="auto"/>
        <w:ind w:firstLine="461"/>
        <w:jc w:val="left"/>
        <w:rPr>
          <w:color w:val="auto"/>
          <w:highlight w:val="none"/>
        </w:rPr>
      </w:pPr>
      <w:r>
        <w:rPr>
          <w:rFonts w:ascii="Times New Roman" w:eastAsia="宋体" w:hAnsi="Times New Roman" w:cs="Times New Roman" w:hint="eastAsia"/>
          <w:color w:val="auto"/>
          <w:highlight w:val="none"/>
        </w:rPr>
        <w:t xml:space="preserve">附件二  </w:t>
      </w:r>
      <w:r>
        <w:rPr>
          <w:rFonts w:ascii="Times New Roman" w:eastAsia="宋体" w:hAnsi="Times New Roman" w:cs="Times New Roman"/>
          <w:color w:val="auto"/>
          <w:highlight w:val="none"/>
        </w:rPr>
        <w:t>项目委托书</w:t>
      </w:r>
    </w:p>
    <w:p>
      <w:pPr>
        <w:spacing w:line="360" w:lineRule="auto"/>
        <w:ind w:firstLine="461"/>
        <w:jc w:val="left"/>
        <w:rPr>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三  项目备案证</w:t>
      </w:r>
    </w:p>
    <w:p>
      <w:pPr>
        <w:spacing w:line="360" w:lineRule="auto"/>
        <w:ind w:firstLine="461"/>
        <w:jc w:val="left"/>
        <w:rPr>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四  项目营业执照及法人身份证复印件</w:t>
      </w:r>
    </w:p>
    <w:p>
      <w:pPr>
        <w:spacing w:line="360" w:lineRule="auto"/>
        <w:ind w:firstLine="461"/>
        <w:jc w:val="left"/>
        <w:rPr>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五  建设单位承诺书</w:t>
      </w:r>
    </w:p>
    <w:p>
      <w:pPr>
        <w:spacing w:line="360" w:lineRule="auto"/>
        <w:ind w:firstLine="461"/>
        <w:jc w:val="left"/>
        <w:rPr>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六  规划相符性说明</w:t>
      </w:r>
    </w:p>
    <w:p>
      <w:pPr>
        <w:spacing w:line="360" w:lineRule="auto"/>
        <w:ind w:firstLine="461"/>
        <w:jc w:val="left"/>
        <w:rPr>
          <w:color w:val="auto"/>
          <w:highlight w:val="none"/>
        </w:rPr>
      </w:pPr>
      <w:r>
        <w:rPr>
          <w:rFonts w:ascii="Times New Roman" w:eastAsia="宋体" w:hAnsi="Times New Roman" w:cs="Times New Roman" w:hint="eastAsia"/>
          <w:color w:val="auto"/>
          <w:highlight w:val="none"/>
        </w:rPr>
        <w:t xml:space="preserve">附件七  </w:t>
      </w:r>
      <w:r>
        <w:rPr>
          <w:rFonts w:ascii="Times New Roman" w:eastAsia="宋体" w:hAnsi="Times New Roman" w:cs="Times New Roman" w:hint="eastAsia"/>
          <w:color w:val="auto"/>
          <w:kern w:val="0"/>
          <w:highlight w:val="none"/>
        </w:rPr>
        <w:t>项目租赁合同及土地证</w:t>
      </w:r>
    </w:p>
    <w:p>
      <w:pPr>
        <w:spacing w:line="360" w:lineRule="auto"/>
        <w:ind w:firstLine="461"/>
        <w:jc w:val="left"/>
        <w:rPr>
          <w:rFonts w:hint="eastAsia"/>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八  危废</w:t>
      </w:r>
      <w:r>
        <w:rPr>
          <w:rFonts w:ascii="Times New Roman" w:eastAsia="宋体" w:hAnsi="Times New Roman" w:cs="Times New Roman" w:hint="eastAsia"/>
          <w:color w:val="auto"/>
          <w:highlight w:val="none"/>
          <w:lang w:val="en-US" w:eastAsia="zh-CN"/>
        </w:rPr>
        <w:t>承诺及协议</w:t>
      </w:r>
    </w:p>
    <w:p>
      <w:pPr>
        <w:spacing w:line="360" w:lineRule="auto"/>
        <w:ind w:firstLine="461"/>
        <w:jc w:val="left"/>
        <w:rPr>
          <w:color w:val="auto"/>
          <w:highlight w:val="none"/>
        </w:rPr>
      </w:pPr>
      <w:r>
        <w:rPr>
          <w:rFonts w:ascii="Times New Roman" w:eastAsia="宋体" w:hAnsi="Times New Roman" w:cs="Times New Roman" w:hint="eastAsia"/>
          <w:color w:val="auto"/>
          <w:highlight w:val="none"/>
        </w:rPr>
        <w:t>附件九  监测报告</w:t>
      </w:r>
    </w:p>
    <w:p>
      <w:pPr>
        <w:spacing w:line="360" w:lineRule="auto"/>
        <w:ind w:firstLine="461"/>
        <w:jc w:val="left"/>
        <w:rPr>
          <w:bCs/>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 xml:space="preserve">十  </w:t>
      </w:r>
      <w:r>
        <w:rPr>
          <w:rFonts w:ascii="Times New Roman" w:eastAsia="宋体" w:hAnsi="Times New Roman" w:cs="Times New Roman" w:hint="eastAsia"/>
          <w:bCs/>
          <w:color w:val="auto"/>
          <w:highlight w:val="none"/>
        </w:rPr>
        <w:t>项目合同</w:t>
      </w:r>
    </w:p>
    <w:p>
      <w:pPr>
        <w:spacing w:line="360" w:lineRule="auto"/>
        <w:ind w:firstLine="461"/>
        <w:jc w:val="left"/>
        <w:rPr>
          <w:bCs/>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十</w:t>
      </w:r>
      <w:r>
        <w:rPr>
          <w:rFonts w:ascii="Times New Roman" w:eastAsia="宋体" w:hAnsi="Times New Roman" w:cs="Times New Roman" w:hint="eastAsia"/>
          <w:color w:val="auto"/>
          <w:highlight w:val="none"/>
          <w:lang w:val="en-US" w:eastAsia="zh-CN"/>
        </w:rPr>
        <w:t>一</w:t>
      </w:r>
      <w:r>
        <w:rPr>
          <w:rFonts w:ascii="Times New Roman" w:eastAsia="宋体" w:hAnsi="Times New Roman" w:cs="Times New Roman" w:hint="eastAsia"/>
          <w:color w:val="auto"/>
          <w:highlight w:val="none"/>
        </w:rPr>
        <w:t xml:space="preserve">  滨海天扬生态农业有限公司环评批复</w:t>
      </w:r>
    </w:p>
    <w:p>
      <w:pPr>
        <w:spacing w:line="360" w:lineRule="auto"/>
        <w:ind w:firstLine="461"/>
        <w:jc w:val="left"/>
        <w:rPr>
          <w:bCs/>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十</w:t>
      </w:r>
      <w:r>
        <w:rPr>
          <w:rFonts w:ascii="Times New Roman" w:eastAsia="宋体" w:hAnsi="Times New Roman" w:cs="Times New Roman" w:hint="eastAsia"/>
          <w:color w:val="auto"/>
          <w:highlight w:val="none"/>
          <w:lang w:val="en-US" w:eastAsia="zh-CN"/>
        </w:rPr>
        <w:t>二</w:t>
      </w:r>
      <w:r>
        <w:rPr>
          <w:rFonts w:ascii="Times New Roman" w:eastAsia="宋体" w:hAnsi="Times New Roman" w:cs="Times New Roman" w:hint="eastAsia"/>
          <w:color w:val="auto"/>
          <w:highlight w:val="none"/>
        </w:rPr>
        <w:t xml:space="preserve">  清洗过程不</w:t>
      </w:r>
      <w:r>
        <w:rPr>
          <w:rFonts w:ascii="Times New Roman" w:eastAsia="宋体" w:hAnsi="Times New Roman" w:cs="Times New Roman" w:hint="eastAsia"/>
          <w:color w:val="auto"/>
          <w:highlight w:val="none"/>
          <w:lang w:val="en-US" w:eastAsia="zh-CN"/>
        </w:rPr>
        <w:t>使用</w:t>
      </w:r>
      <w:r>
        <w:rPr>
          <w:rFonts w:ascii="Times New Roman" w:eastAsia="宋体" w:hAnsi="Times New Roman" w:cs="Times New Roman" w:hint="eastAsia"/>
          <w:color w:val="auto"/>
          <w:highlight w:val="none"/>
        </w:rPr>
        <w:t>清洗剂的说明</w:t>
      </w:r>
    </w:p>
    <w:p>
      <w:pPr>
        <w:spacing w:line="360" w:lineRule="auto"/>
        <w:ind w:firstLine="461"/>
        <w:jc w:val="left"/>
        <w:rPr>
          <w:rFonts w:hint="eastAsia"/>
          <w:color w:val="auto"/>
          <w:highlight w:val="none"/>
        </w:rPr>
      </w:pPr>
      <w:r>
        <w:rPr>
          <w:rFonts w:ascii="Times New Roman" w:eastAsia="宋体" w:hAnsi="Times New Roman" w:cs="Times New Roman"/>
          <w:color w:val="auto"/>
          <w:highlight w:val="none"/>
        </w:rPr>
        <w:t>附件</w:t>
      </w:r>
      <w:r>
        <w:rPr>
          <w:rFonts w:ascii="Times New Roman" w:eastAsia="宋体" w:hAnsi="Times New Roman" w:cs="Times New Roman" w:hint="eastAsia"/>
          <w:color w:val="auto"/>
          <w:highlight w:val="none"/>
        </w:rPr>
        <w:t>十</w:t>
      </w:r>
      <w:r>
        <w:rPr>
          <w:rFonts w:ascii="Times New Roman" w:eastAsia="宋体" w:hAnsi="Times New Roman" w:cs="Times New Roman" w:hint="eastAsia"/>
          <w:color w:val="auto"/>
          <w:highlight w:val="none"/>
          <w:lang w:val="en-US" w:eastAsia="zh-CN"/>
        </w:rPr>
        <w:t>三</w:t>
      </w:r>
      <w:r>
        <w:rPr>
          <w:rFonts w:ascii="Times New Roman" w:eastAsia="宋体" w:hAnsi="Times New Roman" w:cs="Times New Roman" w:hint="eastAsia"/>
          <w:color w:val="auto"/>
          <w:highlight w:val="none"/>
        </w:rPr>
        <w:t xml:space="preserve">  </w:t>
      </w:r>
      <w:r>
        <w:rPr>
          <w:rFonts w:ascii="Times New Roman" w:eastAsia="宋体" w:hAnsi="Times New Roman" w:cs="Times New Roman" w:hint="eastAsia"/>
          <w:color w:val="auto"/>
          <w:highlight w:val="none"/>
          <w:lang w:val="en-US" w:eastAsia="zh-CN"/>
        </w:rPr>
        <w:t>项目所在地与敏感目标距离现状测绘图</w:t>
      </w:r>
    </w:p>
    <w:p>
      <w:pPr>
        <w:spacing w:line="360" w:lineRule="auto"/>
        <w:ind w:firstLine="461"/>
        <w:jc w:val="left"/>
        <w:rPr>
          <w:rFonts w:hint="eastAsia"/>
          <w:color w:val="auto"/>
          <w:highlight w:val="none"/>
        </w:rPr>
      </w:pPr>
      <w:r>
        <w:rPr>
          <w:rFonts w:ascii="Times New Roman" w:eastAsia="宋体" w:hAnsi="Times New Roman" w:cs="Times New Roman" w:hint="eastAsia"/>
          <w:color w:val="auto"/>
          <w:highlight w:val="none"/>
          <w:lang w:val="en-US" w:eastAsia="zh-CN"/>
        </w:rPr>
        <w:t>附件十四  污水接管协议及污水厂环评批复</w:t>
      </w:r>
    </w:p>
    <w:p>
      <w:pPr>
        <w:spacing w:line="360" w:lineRule="auto"/>
        <w:ind w:firstLine="461"/>
        <w:jc w:val="left"/>
        <w:rPr>
          <w:color w:val="auto"/>
          <w:highlight w:val="yellow"/>
        </w:rPr>
        <w:sectPr>
          <w:footerReference w:type="even" r:id="rId8"/>
          <w:footerReference w:type="default" r:id="rId9"/>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fmt="upperRoman" w:start="1"/>
          <w:cols w:num="1" w:space="720"/>
          <w:docGrid w:linePitch="312" w:charSpace="0"/>
        </w:sectPr>
      </w:pPr>
      <w:r>
        <w:rPr>
          <w:rFonts w:ascii="Times New Roman" w:eastAsia="宋体" w:hAnsi="Times New Roman" w:cs="Times New Roman" w:hint="eastAsia"/>
          <w:color w:val="auto"/>
          <w:highlight w:val="none"/>
          <w:lang w:val="en-US" w:eastAsia="zh-CN"/>
        </w:rPr>
        <w:t>附件十五  未批先建处罚文件</w:t>
      </w:r>
    </w:p>
    <w:p>
      <w:pPr>
        <w:pStyle w:val="NormalWeb"/>
        <w:jc w:val="center"/>
        <w:outlineLvl w:val="0"/>
        <w:rPr>
          <w:rFonts w:ascii="Times New Roman" w:eastAsia="宋体" w:hAnsi="Times New Roman" w:cs="Times New Roman"/>
          <w:snapToGrid w:val="0"/>
          <w:color w:val="auto"/>
          <w:sz w:val="30"/>
          <w:szCs w:val="30"/>
          <w:highlight w:val="none"/>
        </w:rPr>
      </w:pPr>
      <w:r>
        <w:rPr>
          <w:rFonts w:ascii="Times New Roman" w:eastAsia="宋体" w:hAnsi="Times New Roman" w:cs="Times New Roman" w:hint="eastAsia"/>
          <w:snapToGrid w:val="0"/>
          <w:color w:val="auto"/>
          <w:sz w:val="30"/>
          <w:szCs w:val="30"/>
          <w:highlight w:val="none"/>
        </w:rPr>
        <w:t>一、建设项目基本情况</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261"/>
        <w:gridCol w:w="2250"/>
        <w:gridCol w:w="2371"/>
        <w:gridCol w:w="2988"/>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2129" w:type="dxa"/>
            <w:tcMar>
              <w:top w:w="16" w:type="dxa"/>
              <w:left w:w="16" w:type="dxa"/>
              <w:right w:w="16" w:type="dxa"/>
            </w:tcMar>
            <w:vAlign w:val="center"/>
          </w:tcPr>
          <w:p>
            <w:pPr>
              <w:adjustRightInd w:val="0"/>
              <w:snapToGrid w:val="0"/>
              <w:jc w:val="center"/>
              <w:rPr>
                <w:color w:val="auto"/>
                <w:sz w:val="24"/>
                <w:highlight w:val="none"/>
              </w:rPr>
            </w:pPr>
            <w:bookmarkEnd w:id="1"/>
            <w:r>
              <w:rPr>
                <w:rFonts w:ascii="Times New Roman" w:eastAsia="宋体" w:hAnsi="Times New Roman" w:cs="Times New Roman"/>
                <w:color w:val="auto"/>
                <w:sz w:val="24"/>
                <w:highlight w:val="none"/>
              </w:rPr>
              <w:t>建设项目名称</w:t>
            </w:r>
          </w:p>
        </w:tc>
        <w:tc>
          <w:tcPr>
            <w:tcW w:w="6741" w:type="dxa"/>
            <w:gridSpan w:val="3"/>
            <w:vAlign w:val="center"/>
          </w:tcPr>
          <w:p>
            <w:pPr>
              <w:adjustRightInd w:val="0"/>
              <w:snapToGrid w:val="0"/>
              <w:jc w:val="center"/>
              <w:rPr>
                <w:rFonts w:hint="eastAsia"/>
                <w:color w:val="auto"/>
                <w:sz w:val="24"/>
                <w:highlight w:val="none"/>
              </w:rPr>
            </w:pPr>
            <w:r>
              <w:rPr>
                <w:rFonts w:ascii="Times New Roman" w:eastAsia="宋体" w:hAnsi="Times New Roman" w:cs="Times New Roman" w:hint="eastAsia"/>
                <w:color w:val="auto"/>
                <w:sz w:val="24"/>
                <w:highlight w:val="none"/>
                <w:lang w:eastAsia="zh-CN"/>
              </w:rPr>
              <w:t>年产1亿米涤纶布搬迁项目</w:t>
            </w:r>
          </w:p>
        </w:tc>
      </w:tr>
      <w:tr>
        <w:tblPrEx>
          <w:tblW w:w="0" w:type="auto"/>
          <w:jc w:val="center"/>
          <w:tblCellMar>
            <w:top w:w="0" w:type="dxa"/>
            <w:left w:w="0" w:type="dxa"/>
            <w:bottom w:w="0" w:type="dxa"/>
            <w:right w:w="0" w:type="dxa"/>
          </w:tblCellMar>
        </w:tblPrEx>
        <w:trPr>
          <w:trHeight w:val="497"/>
          <w:jc w:val="center"/>
        </w:trPr>
        <w:tc>
          <w:tcPr>
            <w:tcW w:w="2129"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项目代码</w:t>
            </w:r>
          </w:p>
        </w:tc>
        <w:tc>
          <w:tcPr>
            <w:tcW w:w="6741" w:type="dxa"/>
            <w:gridSpan w:val="3"/>
            <w:vAlign w:val="center"/>
          </w:tcPr>
          <w:p>
            <w:pPr>
              <w:adjustRightInd w:val="0"/>
              <w:snapToGrid w:val="0"/>
              <w:jc w:val="center"/>
              <w:rPr>
                <w:color w:val="auto"/>
                <w:sz w:val="24"/>
                <w:highlight w:val="none"/>
              </w:rPr>
            </w:pPr>
            <w:r>
              <w:rPr>
                <w:rFonts w:ascii="Times New Roman" w:eastAsia="宋体" w:hAnsi="Times New Roman" w:cs="Times New Roman" w:hint="eastAsia"/>
                <w:color w:val="auto"/>
                <w:sz w:val="24"/>
                <w:highlight w:val="none"/>
              </w:rPr>
              <w:t>2304-320922-89-05-605718</w:t>
            </w:r>
          </w:p>
        </w:tc>
      </w:tr>
      <w:tr>
        <w:tblPrEx>
          <w:tblW w:w="0" w:type="auto"/>
          <w:jc w:val="center"/>
          <w:tblCellMar>
            <w:top w:w="0" w:type="dxa"/>
            <w:left w:w="0" w:type="dxa"/>
            <w:bottom w:w="0" w:type="dxa"/>
            <w:right w:w="0" w:type="dxa"/>
          </w:tblCellMar>
        </w:tblPrEx>
        <w:trPr>
          <w:trHeight w:val="497"/>
          <w:jc w:val="center"/>
        </w:trPr>
        <w:tc>
          <w:tcPr>
            <w:tcW w:w="2129"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建设单位联系人</w:t>
            </w:r>
          </w:p>
        </w:tc>
        <w:tc>
          <w:tcPr>
            <w:tcW w:w="1991" w:type="dxa"/>
            <w:vAlign w:val="center"/>
          </w:tcPr>
          <w:p>
            <w:pPr>
              <w:adjustRightInd w:val="0"/>
              <w:snapToGrid w:val="0"/>
              <w:jc w:val="center"/>
              <w:rPr>
                <w:color w:val="auto"/>
                <w:sz w:val="24"/>
                <w:highlight w:val="none"/>
              </w:rPr>
            </w:pPr>
          </w:p>
        </w:tc>
        <w:tc>
          <w:tcPr>
            <w:tcW w:w="2111" w:type="dxa"/>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联系方式</w:t>
            </w:r>
          </w:p>
        </w:tc>
        <w:tc>
          <w:tcPr>
            <w:tcW w:w="2639" w:type="dxa"/>
            <w:vAlign w:val="center"/>
          </w:tcPr>
          <w:p>
            <w:pPr>
              <w:adjustRightInd w:val="0"/>
              <w:snapToGrid w:val="0"/>
              <w:jc w:val="center"/>
              <w:rPr>
                <w:color w:val="auto"/>
                <w:sz w:val="24"/>
                <w:highlight w:val="none"/>
              </w:rPr>
            </w:pPr>
          </w:p>
        </w:tc>
      </w:tr>
      <w:tr>
        <w:tblPrEx>
          <w:tblW w:w="0" w:type="auto"/>
          <w:jc w:val="center"/>
          <w:tblCellMar>
            <w:top w:w="0" w:type="dxa"/>
            <w:left w:w="0" w:type="dxa"/>
            <w:bottom w:w="0" w:type="dxa"/>
            <w:right w:w="0" w:type="dxa"/>
          </w:tblCellMar>
        </w:tblPrEx>
        <w:trPr>
          <w:trHeight w:val="497"/>
          <w:jc w:val="center"/>
        </w:trPr>
        <w:tc>
          <w:tcPr>
            <w:tcW w:w="2129"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建设地点</w:t>
            </w:r>
          </w:p>
        </w:tc>
        <w:tc>
          <w:tcPr>
            <w:tcW w:w="6741" w:type="dxa"/>
            <w:gridSpan w:val="3"/>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u w:val="single"/>
              </w:rPr>
              <w:t>江苏</w:t>
            </w:r>
            <w:r>
              <w:rPr>
                <w:rFonts w:ascii="Times New Roman" w:eastAsia="宋体" w:hAnsi="Times New Roman" w:cs="Times New Roman"/>
                <w:color w:val="auto"/>
                <w:sz w:val="24"/>
                <w:highlight w:val="none"/>
              </w:rPr>
              <w:t>省</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自治区</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u w:val="single"/>
              </w:rPr>
              <w:t>盐城</w:t>
            </w:r>
            <w:r>
              <w:rPr>
                <w:rFonts w:ascii="Times New Roman" w:eastAsia="宋体" w:hAnsi="Times New Roman" w:cs="Times New Roman"/>
                <w:color w:val="auto"/>
                <w:sz w:val="24"/>
                <w:highlight w:val="none"/>
              </w:rPr>
              <w:t>市</w:t>
            </w:r>
            <w:r>
              <w:rPr>
                <w:rFonts w:ascii="Times New Roman" w:eastAsia="宋体" w:hAnsi="Times New Roman" w:cs="Times New Roman" w:hint="eastAsia"/>
                <w:color w:val="auto"/>
                <w:sz w:val="24"/>
                <w:highlight w:val="none"/>
                <w:u w:val="single"/>
              </w:rPr>
              <w:t>滨海</w:t>
            </w:r>
            <w:r>
              <w:rPr>
                <w:rFonts w:ascii="Times New Roman" w:eastAsia="宋体" w:hAnsi="Times New Roman" w:cs="Times New Roman"/>
                <w:color w:val="auto"/>
                <w:sz w:val="24"/>
                <w:highlight w:val="none"/>
              </w:rPr>
              <w:t>县</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区</w:t>
            </w:r>
            <w:r>
              <w:rPr>
                <w:rFonts w:ascii="Times New Roman" w:eastAsia="宋体" w:hAnsi="Times New Roman" w:cs="Times New Roman" w:hint="eastAsia"/>
                <w:color w:val="auto"/>
                <w:sz w:val="24"/>
                <w:highlight w:val="none"/>
                <w:u w:val="single"/>
                <w:lang w:eastAsia="zh-CN"/>
              </w:rPr>
              <w:t>）</w:t>
            </w:r>
            <w:r>
              <w:rPr>
                <w:rFonts w:ascii="Times New Roman" w:eastAsia="宋体" w:hAnsi="Times New Roman" w:cs="Times New Roman"/>
                <w:color w:val="auto"/>
                <w:sz w:val="24"/>
                <w:highlight w:val="none"/>
                <w:u w:val="single"/>
              </w:rPr>
              <w:t xml:space="preserve"> / </w:t>
            </w:r>
            <w:r>
              <w:rPr>
                <w:rFonts w:ascii="Times New Roman" w:eastAsia="宋体" w:hAnsi="Times New Roman" w:cs="Times New Roman"/>
                <w:color w:val="auto"/>
                <w:sz w:val="24"/>
                <w:highlight w:val="none"/>
              </w:rPr>
              <w:t>乡</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街道</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 xml:space="preserve"> </w:t>
            </w:r>
            <w:r>
              <w:rPr>
                <w:rFonts w:ascii="Times New Roman" w:eastAsia="宋体" w:hAnsi="Times New Roman" w:cs="Times New Roman" w:hint="eastAsia"/>
                <w:color w:val="auto"/>
                <w:sz w:val="24"/>
                <w:highlight w:val="none"/>
                <w:u w:val="single"/>
              </w:rPr>
              <w:t>八巨镇民营园</w:t>
            </w:r>
            <w:r>
              <w:rPr>
                <w:rFonts w:ascii="Times New Roman" w:eastAsia="宋体" w:hAnsi="Times New Roman" w:cs="Times New Roman" w:hint="eastAsia"/>
                <w:color w:val="auto"/>
                <w:sz w:val="24"/>
                <w:highlight w:val="none"/>
                <w:u w:val="single"/>
                <w:lang w:val="en-US" w:eastAsia="zh-CN"/>
              </w:rPr>
              <w:t>园</w:t>
            </w:r>
            <w:r>
              <w:rPr>
                <w:rFonts w:ascii="Times New Roman" w:eastAsia="宋体" w:hAnsi="Times New Roman" w:cs="Times New Roman" w:hint="eastAsia"/>
                <w:color w:val="auto"/>
                <w:sz w:val="24"/>
                <w:highlight w:val="none"/>
                <w:u w:val="single"/>
              </w:rPr>
              <w:t>内）</w:t>
            </w:r>
          </w:p>
        </w:tc>
      </w:tr>
      <w:tr>
        <w:tblPrEx>
          <w:tblW w:w="0" w:type="auto"/>
          <w:jc w:val="center"/>
          <w:tblCellMar>
            <w:top w:w="0" w:type="dxa"/>
            <w:left w:w="0" w:type="dxa"/>
            <w:bottom w:w="0" w:type="dxa"/>
            <w:right w:w="0" w:type="dxa"/>
          </w:tblCellMar>
        </w:tblPrEx>
        <w:trPr>
          <w:trHeight w:val="497"/>
          <w:jc w:val="center"/>
        </w:trPr>
        <w:tc>
          <w:tcPr>
            <w:tcW w:w="2129"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地理坐标</w:t>
            </w:r>
          </w:p>
        </w:tc>
        <w:tc>
          <w:tcPr>
            <w:tcW w:w="6741" w:type="dxa"/>
            <w:gridSpan w:val="3"/>
            <w:vAlign w:val="center"/>
          </w:tcPr>
          <w:p>
            <w:pPr>
              <w:jc w:val="center"/>
              <w:rPr>
                <w:rFonts w:hint="eastAsia"/>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u w:val="single"/>
              </w:rPr>
              <w:t xml:space="preserve"> 120 </w:t>
            </w:r>
            <w:r>
              <w:rPr>
                <w:rFonts w:ascii="Times New Roman" w:eastAsia="宋体" w:hAnsi="Times New Roman" w:cs="Times New Roman"/>
                <w:color w:val="auto"/>
                <w:sz w:val="24"/>
                <w:highlight w:val="none"/>
              </w:rPr>
              <w:t>度</w:t>
            </w:r>
            <w:r>
              <w:rPr>
                <w:rFonts w:ascii="Times New Roman" w:eastAsia="宋体" w:hAnsi="Times New Roman" w:cs="Times New Roman" w:hint="eastAsia"/>
                <w:color w:val="auto"/>
                <w:sz w:val="24"/>
                <w:highlight w:val="none"/>
                <w:u w:val="single"/>
              </w:rPr>
              <w:t>0</w:t>
            </w:r>
            <w:r>
              <w:rPr>
                <w:rFonts w:ascii="Times New Roman" w:eastAsia="宋体" w:hAnsi="Times New Roman" w:cs="Times New Roman"/>
                <w:color w:val="auto"/>
                <w:sz w:val="24"/>
                <w:highlight w:val="none"/>
              </w:rPr>
              <w:t>分</w:t>
            </w:r>
            <w:r>
              <w:rPr>
                <w:rFonts w:ascii="Times New Roman" w:eastAsia="宋体" w:hAnsi="Times New Roman" w:cs="Times New Roman" w:hint="eastAsia"/>
                <w:color w:val="auto"/>
                <w:sz w:val="24"/>
                <w:highlight w:val="none"/>
                <w:u w:val="single"/>
              </w:rPr>
              <w:t>7.396</w:t>
            </w:r>
            <w:r>
              <w:rPr>
                <w:rFonts w:ascii="Times New Roman" w:eastAsia="宋体" w:hAnsi="Times New Roman" w:cs="Times New Roman"/>
                <w:color w:val="auto"/>
                <w:sz w:val="24"/>
                <w:highlight w:val="none"/>
              </w:rPr>
              <w:t>秒，</w:t>
            </w:r>
            <w:r>
              <w:rPr>
                <w:rFonts w:ascii="Times New Roman" w:eastAsia="宋体" w:hAnsi="Times New Roman" w:cs="Times New Roman" w:hint="eastAsia"/>
                <w:color w:val="auto"/>
                <w:sz w:val="24"/>
                <w:highlight w:val="none"/>
                <w:u w:val="single"/>
              </w:rPr>
              <w:t>34</w:t>
            </w:r>
            <w:r>
              <w:rPr>
                <w:rFonts w:ascii="Times New Roman" w:eastAsia="宋体" w:hAnsi="Times New Roman" w:cs="Times New Roman"/>
                <w:color w:val="auto"/>
                <w:sz w:val="24"/>
                <w:highlight w:val="none"/>
              </w:rPr>
              <w:t>度</w:t>
            </w:r>
            <w:r>
              <w:rPr>
                <w:rFonts w:ascii="Times New Roman" w:eastAsia="宋体" w:hAnsi="Times New Roman" w:cs="Times New Roman" w:hint="eastAsia"/>
                <w:color w:val="auto"/>
                <w:sz w:val="24"/>
                <w:highlight w:val="none"/>
                <w:u w:val="single"/>
              </w:rPr>
              <w:t>7</w:t>
            </w:r>
            <w:r>
              <w:rPr>
                <w:rFonts w:ascii="Times New Roman" w:eastAsia="宋体" w:hAnsi="Times New Roman" w:cs="Times New Roman"/>
                <w:color w:val="auto"/>
                <w:sz w:val="24"/>
                <w:highlight w:val="none"/>
              </w:rPr>
              <w:t>分</w:t>
            </w:r>
            <w:r>
              <w:rPr>
                <w:rFonts w:ascii="Times New Roman" w:eastAsia="宋体" w:hAnsi="Times New Roman" w:cs="Times New Roman" w:hint="eastAsia"/>
                <w:color w:val="auto"/>
                <w:sz w:val="24"/>
                <w:highlight w:val="none"/>
                <w:u w:val="single"/>
              </w:rPr>
              <w:t>42.939</w:t>
            </w:r>
            <w:r>
              <w:rPr>
                <w:rFonts w:ascii="Times New Roman" w:eastAsia="宋体" w:hAnsi="Times New Roman" w:cs="Times New Roman"/>
                <w:color w:val="auto"/>
                <w:sz w:val="24"/>
                <w:highlight w:val="none"/>
              </w:rPr>
              <w:t>秒</w:t>
            </w:r>
            <w:r>
              <w:rPr>
                <w:rFonts w:ascii="Times New Roman" w:eastAsia="宋体" w:hAnsi="Times New Roman" w:cs="Times New Roman" w:hint="eastAsia"/>
                <w:color w:val="auto"/>
                <w:sz w:val="24"/>
                <w:highlight w:val="none"/>
                <w:lang w:eastAsia="zh-CN"/>
              </w:rPr>
              <w:t>）</w:t>
            </w:r>
          </w:p>
        </w:tc>
      </w:tr>
      <w:tr>
        <w:tblPrEx>
          <w:tblW w:w="0" w:type="auto"/>
          <w:jc w:val="center"/>
          <w:tblCellMar>
            <w:top w:w="0" w:type="dxa"/>
            <w:left w:w="0" w:type="dxa"/>
            <w:bottom w:w="0" w:type="dxa"/>
            <w:right w:w="0" w:type="dxa"/>
          </w:tblCellMar>
        </w:tblPrEx>
        <w:trPr>
          <w:trHeight w:val="561"/>
          <w:jc w:val="center"/>
        </w:trPr>
        <w:tc>
          <w:tcPr>
            <w:tcW w:w="2129"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国民经济</w:t>
            </w:r>
          </w:p>
          <w:p>
            <w:pPr>
              <w:adjustRightInd w:val="0"/>
              <w:snapToGrid w:val="0"/>
              <w:jc w:val="center"/>
              <w:rPr>
                <w:color w:val="auto"/>
                <w:sz w:val="24"/>
                <w:highlight w:val="none"/>
              </w:rPr>
            </w:pPr>
            <w:r>
              <w:rPr>
                <w:rFonts w:ascii="Times New Roman" w:eastAsia="宋体" w:hAnsi="Times New Roman" w:cs="Times New Roman"/>
                <w:color w:val="auto"/>
                <w:sz w:val="24"/>
                <w:highlight w:val="none"/>
              </w:rPr>
              <w:t>行业类别</w:t>
            </w:r>
          </w:p>
        </w:tc>
        <w:tc>
          <w:tcPr>
            <w:tcW w:w="1991" w:type="dxa"/>
            <w:vAlign w:val="center"/>
          </w:tcPr>
          <w:p>
            <w:pPr>
              <w:adjustRightInd w:val="0"/>
              <w:snapToGrid w:val="0"/>
              <w:jc w:val="center"/>
              <w:rPr>
                <w:color w:val="auto"/>
                <w:sz w:val="24"/>
                <w:highlight w:val="none"/>
              </w:rPr>
            </w:pPr>
            <w:r>
              <w:rPr>
                <w:rFonts w:ascii="Times New Roman" w:eastAsia="宋体" w:hAnsi="Times New Roman" w:cs="Times New Roman" w:hint="eastAsia"/>
                <w:color w:val="auto"/>
                <w:sz w:val="24"/>
                <w:highlight w:val="none"/>
              </w:rPr>
              <w:t>C1751化纤织造加工</w:t>
            </w:r>
          </w:p>
        </w:tc>
        <w:tc>
          <w:tcPr>
            <w:tcW w:w="2111" w:type="dxa"/>
            <w:vAlign w:val="center"/>
          </w:tcPr>
          <w:p>
            <w:pPr>
              <w:adjustRightInd w:val="0"/>
              <w:snapToGrid w:val="0"/>
              <w:jc w:val="center"/>
              <w:rPr>
                <w:color w:val="auto"/>
                <w:sz w:val="24"/>
                <w:highlight w:val="none"/>
              </w:rPr>
            </w:pPr>
            <w:bookmarkStart w:id="3" w:name="_Hlk49843745"/>
            <w:r>
              <w:rPr>
                <w:rFonts w:ascii="Times New Roman" w:eastAsia="宋体" w:hAnsi="Times New Roman" w:cs="Times New Roman"/>
                <w:color w:val="auto"/>
                <w:sz w:val="24"/>
                <w:highlight w:val="none"/>
              </w:rPr>
              <w:t>建设项目</w:t>
            </w:r>
          </w:p>
          <w:p>
            <w:pPr>
              <w:adjustRightInd w:val="0"/>
              <w:snapToGrid w:val="0"/>
              <w:jc w:val="center"/>
              <w:rPr>
                <w:color w:val="auto"/>
                <w:sz w:val="24"/>
                <w:highlight w:val="none"/>
              </w:rPr>
            </w:pPr>
            <w:r>
              <w:rPr>
                <w:rFonts w:ascii="Times New Roman" w:eastAsia="宋体" w:hAnsi="Times New Roman" w:cs="Times New Roman"/>
                <w:color w:val="auto"/>
                <w:sz w:val="24"/>
                <w:highlight w:val="none"/>
              </w:rPr>
              <w:t>行业类别</w:t>
            </w:r>
            <w:bookmarkEnd w:id="3"/>
          </w:p>
        </w:tc>
        <w:tc>
          <w:tcPr>
            <w:tcW w:w="2639" w:type="dxa"/>
            <w:vAlign w:val="center"/>
          </w:tcPr>
          <w:p>
            <w:pPr>
              <w:jc w:val="center"/>
              <w:rPr>
                <w:color w:val="auto"/>
                <w:sz w:val="24"/>
                <w:highlight w:val="none"/>
              </w:rPr>
            </w:pPr>
            <w:r>
              <w:rPr>
                <w:rFonts w:ascii="Times New Roman" w:eastAsia="宋体" w:hAnsi="Times New Roman" w:cs="Times New Roman" w:hint="eastAsia"/>
                <w:color w:val="auto"/>
                <w:sz w:val="24"/>
                <w:highlight w:val="none"/>
              </w:rPr>
              <w:t>十四</w:t>
            </w:r>
            <w:r>
              <w:rPr>
                <w:rFonts w:ascii="Times New Roman" w:eastAsia="宋体" w:hAnsi="Times New Roman" w:cs="Times New Roman"/>
                <w:color w:val="auto"/>
                <w:sz w:val="24"/>
                <w:highlight w:val="none"/>
              </w:rPr>
              <w:t>、</w:t>
            </w:r>
            <w:r>
              <w:rPr>
                <w:rFonts w:ascii="Times New Roman" w:eastAsia="宋体" w:hAnsi="Times New Roman" w:cs="Times New Roman" w:hint="eastAsia"/>
                <w:color w:val="auto"/>
                <w:sz w:val="24"/>
                <w:highlight w:val="none"/>
              </w:rPr>
              <w:t>纺织</w:t>
            </w:r>
            <w:r>
              <w:rPr>
                <w:rFonts w:ascii="Times New Roman" w:eastAsia="宋体" w:hAnsi="Times New Roman" w:cs="Times New Roman"/>
                <w:color w:val="auto"/>
                <w:sz w:val="24"/>
                <w:highlight w:val="none"/>
              </w:rPr>
              <w:t>业</w:t>
            </w:r>
            <w:r>
              <w:rPr>
                <w:rFonts w:ascii="Times New Roman" w:eastAsia="宋体" w:hAnsi="Times New Roman" w:cs="Times New Roman" w:hint="eastAsia"/>
                <w:color w:val="auto"/>
                <w:sz w:val="24"/>
                <w:highlight w:val="none"/>
              </w:rPr>
              <w:t>17</w:t>
            </w:r>
            <w:r>
              <w:rPr>
                <w:rFonts w:ascii="Times New Roman" w:eastAsia="宋体" w:hAnsi="Times New Roman" w:cs="Times New Roman"/>
                <w:color w:val="auto"/>
                <w:sz w:val="24"/>
                <w:highlight w:val="none"/>
              </w:rPr>
              <w:t>、</w:t>
            </w:r>
            <w:r>
              <w:rPr>
                <w:rFonts w:ascii="Times New Roman" w:eastAsia="宋体" w:hAnsi="Times New Roman" w:cs="Times New Roman" w:hint="eastAsia"/>
                <w:color w:val="auto"/>
                <w:sz w:val="24"/>
                <w:highlight w:val="none"/>
              </w:rPr>
              <w:t>化纤织造及印染精加工175</w:t>
            </w:r>
          </w:p>
        </w:tc>
      </w:tr>
      <w:tr>
        <w:tblPrEx>
          <w:tblW w:w="0" w:type="auto"/>
          <w:jc w:val="center"/>
          <w:tblCellMar>
            <w:top w:w="0" w:type="dxa"/>
            <w:left w:w="0" w:type="dxa"/>
            <w:bottom w:w="0" w:type="dxa"/>
            <w:right w:w="0" w:type="dxa"/>
          </w:tblCellMar>
        </w:tblPrEx>
        <w:trPr>
          <w:trHeight w:val="1219"/>
          <w:jc w:val="center"/>
        </w:trPr>
        <w:tc>
          <w:tcPr>
            <w:tcW w:w="2129"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建设性质</w:t>
            </w:r>
          </w:p>
        </w:tc>
        <w:tc>
          <w:tcPr>
            <w:tcW w:w="1991" w:type="dxa"/>
            <w:vAlign w:val="center"/>
          </w:tcPr>
          <w:p>
            <w:pPr>
              <w:jc w:val="left"/>
              <w:rPr>
                <w:rFonts w:hint="eastAsia"/>
                <w:color w:val="auto"/>
                <w:sz w:val="24"/>
                <w:highlight w:val="none"/>
              </w:rPr>
            </w:pPr>
            <w:r>
              <w:rPr>
                <w:rFonts w:ascii="Times New Roman" w:eastAsia="宋体" w:hAnsi="Times New Roman" w:cs="Times New Roman" w:hint="eastAsia"/>
                <w:color w:val="auto"/>
                <w:sz w:val="24"/>
                <w:highlight w:val="none"/>
              </w:rPr>
              <w:t>☑</w:t>
            </w:r>
            <w:r>
              <w:rPr>
                <w:rFonts w:ascii="Times New Roman" w:eastAsia="宋体" w:hAnsi="Times New Roman" w:cs="Times New Roman"/>
                <w:color w:val="auto"/>
                <w:sz w:val="24"/>
                <w:highlight w:val="none"/>
              </w:rPr>
              <w:t>新建</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迁建</w:t>
            </w:r>
            <w:r>
              <w:rPr>
                <w:rFonts w:ascii="Times New Roman" w:eastAsia="宋体" w:hAnsi="Times New Roman" w:cs="Times New Roman" w:hint="eastAsia"/>
                <w:color w:val="auto"/>
                <w:sz w:val="24"/>
                <w:highlight w:val="none"/>
                <w:lang w:eastAsia="zh-CN"/>
              </w:rPr>
              <w:t>）</w:t>
            </w:r>
          </w:p>
          <w:p>
            <w:pPr>
              <w:jc w:val="left"/>
              <w:rPr>
                <w:color w:val="auto"/>
                <w:sz w:val="24"/>
                <w:highlight w:val="none"/>
              </w:rPr>
            </w:pPr>
            <w:r>
              <w:rPr>
                <w:rFonts w:ascii="Times New Roman" w:eastAsia="宋体" w:hAnsi="Times New Roman" w:cs="Times New Roman" w:hint="eastAsia"/>
                <w:color w:val="auto"/>
                <w:sz w:val="24"/>
                <w:highlight w:val="none"/>
              </w:rPr>
              <w:t>□</w:t>
            </w:r>
            <w:r>
              <w:rPr>
                <w:rFonts w:ascii="Times New Roman" w:eastAsia="宋体" w:hAnsi="Times New Roman" w:cs="Times New Roman"/>
                <w:color w:val="auto"/>
                <w:sz w:val="24"/>
                <w:highlight w:val="none"/>
              </w:rPr>
              <w:t>改建</w:t>
            </w:r>
          </w:p>
          <w:p>
            <w:pPr>
              <w:jc w:val="left"/>
              <w:rPr>
                <w:color w:val="auto"/>
                <w:sz w:val="24"/>
                <w:highlight w:val="none"/>
              </w:rPr>
            </w:pPr>
            <w:r>
              <w:rPr>
                <w:rFonts w:ascii="Times New Roman" w:eastAsia="宋体" w:hAnsi="Times New Roman" w:cs="Times New Roman" w:hint="eastAsia"/>
                <w:color w:val="auto"/>
                <w:sz w:val="24"/>
                <w:highlight w:val="none"/>
              </w:rPr>
              <w:t>□</w:t>
            </w:r>
            <w:r>
              <w:rPr>
                <w:rFonts w:ascii="Times New Roman" w:eastAsia="宋体" w:hAnsi="Times New Roman" w:cs="Times New Roman"/>
                <w:color w:val="auto"/>
                <w:sz w:val="24"/>
                <w:highlight w:val="none"/>
              </w:rPr>
              <w:t>扩建</w:t>
            </w:r>
          </w:p>
          <w:p>
            <w:pPr>
              <w:jc w:val="left"/>
              <w:rPr>
                <w:color w:val="auto"/>
                <w:sz w:val="24"/>
                <w:highlight w:val="none"/>
              </w:rPr>
            </w:pPr>
            <w:r>
              <w:rPr>
                <w:rFonts w:ascii="Times New Roman" w:eastAsia="宋体" w:hAnsi="Times New Roman" w:cs="Times New Roman" w:hint="eastAsia"/>
                <w:color w:val="auto"/>
                <w:sz w:val="24"/>
                <w:highlight w:val="none"/>
              </w:rPr>
              <w:t>□</w:t>
            </w:r>
            <w:r>
              <w:rPr>
                <w:rFonts w:ascii="Times New Roman" w:eastAsia="宋体" w:hAnsi="Times New Roman" w:cs="Times New Roman"/>
                <w:color w:val="auto"/>
                <w:sz w:val="24"/>
                <w:highlight w:val="none"/>
              </w:rPr>
              <w:t>技术改造</w:t>
            </w:r>
          </w:p>
        </w:tc>
        <w:tc>
          <w:tcPr>
            <w:tcW w:w="2111" w:type="dxa"/>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建设项目</w:t>
            </w:r>
          </w:p>
          <w:p>
            <w:pPr>
              <w:adjustRightInd w:val="0"/>
              <w:snapToGrid w:val="0"/>
              <w:jc w:val="center"/>
              <w:rPr>
                <w:color w:val="auto"/>
                <w:sz w:val="24"/>
                <w:highlight w:val="none"/>
              </w:rPr>
            </w:pPr>
            <w:r>
              <w:rPr>
                <w:rFonts w:ascii="Times New Roman" w:eastAsia="宋体" w:hAnsi="Times New Roman" w:cs="Times New Roman"/>
                <w:color w:val="auto"/>
                <w:sz w:val="24"/>
                <w:highlight w:val="none"/>
              </w:rPr>
              <w:t>申报情形</w:t>
            </w:r>
          </w:p>
        </w:tc>
        <w:tc>
          <w:tcPr>
            <w:tcW w:w="2639" w:type="dxa"/>
            <w:vAlign w:val="center"/>
          </w:tcPr>
          <w:p>
            <w:pPr>
              <w:jc w:val="left"/>
              <w:rPr>
                <w:color w:val="auto"/>
                <w:sz w:val="24"/>
                <w:highlight w:val="none"/>
              </w:rPr>
            </w:pPr>
            <w:r>
              <w:rPr>
                <w:rFonts w:ascii="Times New Roman" w:eastAsia="宋体" w:hAnsi="Times New Roman" w:cs="Times New Roman" w:hint="eastAsia"/>
                <w:color w:val="auto"/>
                <w:sz w:val="24"/>
                <w:highlight w:val="none"/>
              </w:rPr>
              <w:t>☑</w:t>
            </w:r>
            <w:r>
              <w:rPr>
                <w:rFonts w:ascii="Times New Roman" w:eastAsia="宋体" w:hAnsi="Times New Roman" w:cs="Times New Roman"/>
                <w:color w:val="auto"/>
                <w:sz w:val="24"/>
                <w:highlight w:val="none"/>
              </w:rPr>
              <w:t>首次申报项目</w:t>
            </w:r>
          </w:p>
          <w:p>
            <w:pPr>
              <w:jc w:val="left"/>
              <w:rPr>
                <w:color w:val="auto"/>
                <w:sz w:val="24"/>
                <w:highlight w:val="none"/>
              </w:rPr>
            </w:pPr>
            <w:r>
              <w:rPr>
                <w:rFonts w:ascii="Times New Roman" w:eastAsia="宋体" w:hAnsi="Times New Roman" w:cs="Times New Roman" w:hint="eastAsia"/>
                <w:color w:val="auto"/>
                <w:sz w:val="24"/>
                <w:highlight w:val="none"/>
              </w:rPr>
              <w:t>□</w:t>
            </w:r>
            <w:r>
              <w:rPr>
                <w:rFonts w:ascii="Times New Roman" w:eastAsia="宋体" w:hAnsi="Times New Roman" w:cs="Times New Roman"/>
                <w:color w:val="auto"/>
                <w:sz w:val="24"/>
                <w:highlight w:val="none"/>
              </w:rPr>
              <w:t>不予批准后再次申报项目</w:t>
            </w:r>
          </w:p>
          <w:p>
            <w:pPr>
              <w:jc w:val="left"/>
              <w:rPr>
                <w:color w:val="auto"/>
                <w:sz w:val="24"/>
                <w:highlight w:val="none"/>
              </w:rPr>
            </w:pPr>
            <w:r>
              <w:rPr>
                <w:rFonts w:ascii="Times New Roman" w:eastAsia="宋体" w:hAnsi="Times New Roman" w:cs="Times New Roman" w:hint="eastAsia"/>
                <w:color w:val="auto"/>
                <w:sz w:val="24"/>
                <w:highlight w:val="none"/>
              </w:rPr>
              <w:t>□</w:t>
            </w:r>
            <w:r>
              <w:rPr>
                <w:rFonts w:ascii="Times New Roman" w:eastAsia="宋体" w:hAnsi="Times New Roman" w:cs="Times New Roman"/>
                <w:color w:val="auto"/>
                <w:sz w:val="24"/>
                <w:highlight w:val="none"/>
              </w:rPr>
              <w:t>超五年重新审核项目</w:t>
            </w:r>
          </w:p>
          <w:p>
            <w:pPr>
              <w:jc w:val="left"/>
              <w:rPr>
                <w:color w:val="auto"/>
                <w:sz w:val="24"/>
                <w:highlight w:val="none"/>
              </w:rPr>
            </w:pPr>
            <w:r>
              <w:rPr>
                <w:rFonts w:ascii="Times New Roman" w:eastAsia="宋体" w:hAnsi="Times New Roman" w:cs="Times New Roman" w:hint="eastAsia"/>
                <w:color w:val="auto"/>
                <w:sz w:val="24"/>
                <w:highlight w:val="none"/>
              </w:rPr>
              <w:t>□</w:t>
            </w:r>
            <w:r>
              <w:rPr>
                <w:rFonts w:ascii="Times New Roman" w:eastAsia="宋体" w:hAnsi="Times New Roman" w:cs="Times New Roman"/>
                <w:color w:val="auto"/>
                <w:sz w:val="24"/>
                <w:highlight w:val="none"/>
              </w:rPr>
              <w:t>重大变动重新报批项目</w:t>
            </w:r>
          </w:p>
        </w:tc>
      </w:tr>
      <w:tr>
        <w:tblPrEx>
          <w:tblW w:w="0" w:type="auto"/>
          <w:jc w:val="center"/>
          <w:tblCellMar>
            <w:top w:w="0" w:type="dxa"/>
            <w:left w:w="0" w:type="dxa"/>
            <w:bottom w:w="0" w:type="dxa"/>
            <w:right w:w="0" w:type="dxa"/>
          </w:tblCellMar>
        </w:tblPrEx>
        <w:trPr>
          <w:trHeight w:val="851"/>
          <w:jc w:val="center"/>
        </w:trPr>
        <w:tc>
          <w:tcPr>
            <w:tcW w:w="2129"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项目审批</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核准/</w:t>
            </w:r>
          </w:p>
          <w:p>
            <w:pPr>
              <w:adjustRightInd w:val="0"/>
              <w:snapToGrid w:val="0"/>
              <w:jc w:val="center"/>
              <w:rPr>
                <w:rFonts w:hint="eastAsia"/>
                <w:color w:val="auto"/>
                <w:sz w:val="24"/>
                <w:highlight w:val="none"/>
              </w:rPr>
            </w:pPr>
            <w:r>
              <w:rPr>
                <w:rFonts w:ascii="Times New Roman" w:eastAsia="宋体" w:hAnsi="Times New Roman" w:cs="Times New Roman"/>
                <w:color w:val="auto"/>
                <w:sz w:val="24"/>
                <w:highlight w:val="none"/>
              </w:rPr>
              <w:t>备案</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部门</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选填</w:t>
            </w:r>
            <w:r>
              <w:rPr>
                <w:rFonts w:ascii="Times New Roman" w:eastAsia="宋体" w:hAnsi="Times New Roman" w:cs="Times New Roman" w:hint="eastAsia"/>
                <w:color w:val="auto"/>
                <w:sz w:val="24"/>
                <w:highlight w:val="none"/>
                <w:lang w:eastAsia="zh-CN"/>
              </w:rPr>
              <w:t>）</w:t>
            </w:r>
          </w:p>
        </w:tc>
        <w:tc>
          <w:tcPr>
            <w:tcW w:w="1991" w:type="dxa"/>
            <w:vAlign w:val="center"/>
          </w:tcPr>
          <w:p>
            <w:pPr>
              <w:adjustRightInd w:val="0"/>
              <w:snapToGrid w:val="0"/>
              <w:jc w:val="center"/>
              <w:rPr>
                <w:color w:val="auto"/>
                <w:sz w:val="24"/>
                <w:highlight w:val="none"/>
              </w:rPr>
            </w:pPr>
            <w:r>
              <w:rPr>
                <w:rFonts w:ascii="Times New Roman" w:eastAsia="宋体" w:hAnsi="Times New Roman" w:cs="Times New Roman" w:hint="eastAsia"/>
                <w:color w:val="auto"/>
                <w:sz w:val="24"/>
                <w:highlight w:val="none"/>
              </w:rPr>
              <w:t>滨海县行政审批局</w:t>
            </w:r>
          </w:p>
        </w:tc>
        <w:tc>
          <w:tcPr>
            <w:tcW w:w="2111" w:type="dxa"/>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项目审批</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核准/</w:t>
            </w:r>
          </w:p>
          <w:p>
            <w:pPr>
              <w:adjustRightInd w:val="0"/>
              <w:snapToGrid w:val="0"/>
              <w:jc w:val="center"/>
              <w:rPr>
                <w:rFonts w:hint="eastAsia"/>
                <w:color w:val="auto"/>
                <w:sz w:val="24"/>
                <w:highlight w:val="none"/>
              </w:rPr>
            </w:pPr>
            <w:r>
              <w:rPr>
                <w:rFonts w:ascii="Times New Roman" w:eastAsia="宋体" w:hAnsi="Times New Roman" w:cs="Times New Roman"/>
                <w:color w:val="auto"/>
                <w:sz w:val="24"/>
                <w:highlight w:val="none"/>
              </w:rPr>
              <w:t>备案</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文号</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选填</w:t>
            </w:r>
            <w:r>
              <w:rPr>
                <w:rFonts w:ascii="Times New Roman" w:eastAsia="宋体" w:hAnsi="Times New Roman" w:cs="Times New Roman" w:hint="eastAsia"/>
                <w:color w:val="auto"/>
                <w:sz w:val="24"/>
                <w:highlight w:val="none"/>
                <w:lang w:eastAsia="zh-CN"/>
              </w:rPr>
              <w:t>）</w:t>
            </w:r>
          </w:p>
        </w:tc>
        <w:tc>
          <w:tcPr>
            <w:tcW w:w="2639" w:type="dxa"/>
            <w:vAlign w:val="center"/>
          </w:tcPr>
          <w:p>
            <w:pPr>
              <w:adjustRightInd w:val="0"/>
              <w:snapToGrid w:val="0"/>
              <w:jc w:val="center"/>
              <w:rPr>
                <w:color w:val="auto"/>
                <w:sz w:val="24"/>
                <w:highlight w:val="none"/>
              </w:rPr>
            </w:pPr>
            <w:r>
              <w:rPr>
                <w:rFonts w:ascii="Times New Roman" w:eastAsia="宋体" w:hAnsi="Times New Roman" w:cs="Times New Roman" w:hint="eastAsia"/>
                <w:color w:val="auto"/>
                <w:sz w:val="24"/>
                <w:highlight w:val="none"/>
              </w:rPr>
              <w:t>滨行审投资备〔202</w:t>
            </w:r>
            <w:r>
              <w:rPr>
                <w:rFonts w:ascii="Times New Roman" w:eastAsia="宋体" w:hAnsi="Times New Roman" w:cs="Times New Roman" w:hint="eastAsia"/>
                <w:color w:val="auto"/>
                <w:sz w:val="24"/>
                <w:highlight w:val="none"/>
                <w:lang w:val="en-US" w:eastAsia="zh-CN"/>
              </w:rPr>
              <w:t>3</w:t>
            </w:r>
            <w:r>
              <w:rPr>
                <w:rFonts w:ascii="Times New Roman" w:eastAsia="宋体" w:hAnsi="Times New Roman" w:cs="Times New Roman" w:hint="eastAsia"/>
                <w:color w:val="auto"/>
                <w:sz w:val="24"/>
                <w:highlight w:val="none"/>
              </w:rPr>
              <w:t>〕1</w:t>
            </w:r>
            <w:r>
              <w:rPr>
                <w:rFonts w:ascii="Times New Roman" w:eastAsia="宋体" w:hAnsi="Times New Roman" w:cs="Times New Roman" w:hint="eastAsia"/>
                <w:color w:val="auto"/>
                <w:sz w:val="24"/>
                <w:highlight w:val="none"/>
                <w:lang w:val="en-US" w:eastAsia="zh-CN"/>
              </w:rPr>
              <w:t>85</w:t>
            </w:r>
            <w:r>
              <w:rPr>
                <w:rFonts w:ascii="Times New Roman" w:eastAsia="宋体" w:hAnsi="Times New Roman" w:cs="Times New Roman" w:hint="eastAsia"/>
                <w:color w:val="auto"/>
                <w:sz w:val="24"/>
                <w:highlight w:val="none"/>
              </w:rPr>
              <w:t>号</w:t>
            </w:r>
          </w:p>
        </w:tc>
      </w:tr>
      <w:tr>
        <w:tblPrEx>
          <w:tblW w:w="0" w:type="auto"/>
          <w:jc w:val="center"/>
          <w:tblCellMar>
            <w:top w:w="0" w:type="dxa"/>
            <w:left w:w="0" w:type="dxa"/>
            <w:bottom w:w="0" w:type="dxa"/>
            <w:right w:w="0" w:type="dxa"/>
          </w:tblCellMar>
        </w:tblPrEx>
        <w:trPr>
          <w:trHeight w:val="497"/>
          <w:jc w:val="center"/>
        </w:trPr>
        <w:tc>
          <w:tcPr>
            <w:tcW w:w="2129" w:type="dxa"/>
            <w:tcMar>
              <w:top w:w="16" w:type="dxa"/>
              <w:left w:w="16" w:type="dxa"/>
              <w:right w:w="16" w:type="dxa"/>
            </w:tcMar>
            <w:vAlign w:val="center"/>
          </w:tcPr>
          <w:p>
            <w:pPr>
              <w:adjustRightInd w:val="0"/>
              <w:snapToGrid w:val="0"/>
              <w:jc w:val="center"/>
              <w:rPr>
                <w:rFonts w:hint="eastAsia"/>
                <w:color w:val="auto"/>
                <w:sz w:val="24"/>
                <w:highlight w:val="none"/>
              </w:rPr>
            </w:pPr>
            <w:r>
              <w:rPr>
                <w:rFonts w:ascii="Times New Roman" w:eastAsia="宋体" w:hAnsi="Times New Roman" w:cs="Times New Roman"/>
                <w:color w:val="auto"/>
                <w:sz w:val="24"/>
                <w:highlight w:val="none"/>
              </w:rPr>
              <w:t>总投资</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万元</w:t>
            </w:r>
            <w:r>
              <w:rPr>
                <w:rFonts w:ascii="Times New Roman" w:eastAsia="宋体" w:hAnsi="Times New Roman" w:cs="Times New Roman" w:hint="eastAsia"/>
                <w:color w:val="auto"/>
                <w:sz w:val="24"/>
                <w:highlight w:val="none"/>
                <w:lang w:eastAsia="zh-CN"/>
              </w:rPr>
              <w:t>）</w:t>
            </w:r>
          </w:p>
        </w:tc>
        <w:tc>
          <w:tcPr>
            <w:tcW w:w="1991" w:type="dxa"/>
            <w:vAlign w:val="center"/>
          </w:tcPr>
          <w:p>
            <w:pPr>
              <w:adjustRightInd w:val="0"/>
              <w:snapToGrid w:val="0"/>
              <w:jc w:val="center"/>
              <w:rPr>
                <w:color w:val="auto"/>
                <w:sz w:val="24"/>
                <w:highlight w:val="none"/>
              </w:rPr>
            </w:pPr>
            <w:r>
              <w:rPr>
                <w:rFonts w:ascii="Times New Roman" w:eastAsia="宋体" w:hAnsi="Times New Roman" w:cs="Times New Roman" w:hint="eastAsia"/>
                <w:color w:val="auto"/>
                <w:sz w:val="24"/>
                <w:highlight w:val="none"/>
                <w:lang w:val="en-US" w:eastAsia="zh-CN"/>
              </w:rPr>
              <w:t>1</w:t>
            </w:r>
            <w:r>
              <w:rPr>
                <w:rFonts w:ascii="Times New Roman" w:eastAsia="宋体" w:hAnsi="Times New Roman" w:cs="Times New Roman" w:hint="eastAsia"/>
                <w:color w:val="auto"/>
                <w:sz w:val="24"/>
                <w:highlight w:val="none"/>
              </w:rPr>
              <w:t>000</w:t>
            </w:r>
          </w:p>
        </w:tc>
        <w:tc>
          <w:tcPr>
            <w:tcW w:w="2111" w:type="dxa"/>
            <w:tcMar>
              <w:top w:w="16" w:type="dxa"/>
              <w:left w:w="16" w:type="dxa"/>
              <w:right w:w="16" w:type="dxa"/>
            </w:tcMar>
            <w:vAlign w:val="center"/>
          </w:tcPr>
          <w:p>
            <w:pPr>
              <w:adjustRightInd w:val="0"/>
              <w:snapToGrid w:val="0"/>
              <w:jc w:val="center"/>
              <w:rPr>
                <w:rFonts w:hint="eastAsia"/>
                <w:color w:val="auto"/>
                <w:sz w:val="24"/>
                <w:highlight w:val="none"/>
              </w:rPr>
            </w:pPr>
            <w:r>
              <w:rPr>
                <w:rFonts w:ascii="Times New Roman" w:eastAsia="宋体" w:hAnsi="Times New Roman" w:cs="Times New Roman"/>
                <w:color w:val="auto"/>
                <w:sz w:val="24"/>
                <w:highlight w:val="none"/>
              </w:rPr>
              <w:t>环保投资</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万元</w:t>
            </w:r>
            <w:r>
              <w:rPr>
                <w:rFonts w:ascii="Times New Roman" w:eastAsia="宋体" w:hAnsi="Times New Roman" w:cs="Times New Roman" w:hint="eastAsia"/>
                <w:color w:val="auto"/>
                <w:sz w:val="24"/>
                <w:highlight w:val="none"/>
                <w:lang w:eastAsia="zh-CN"/>
              </w:rPr>
              <w:t>）</w:t>
            </w:r>
          </w:p>
        </w:tc>
        <w:tc>
          <w:tcPr>
            <w:tcW w:w="2639" w:type="dxa"/>
            <w:vAlign w:val="center"/>
          </w:tcPr>
          <w:p>
            <w:pPr>
              <w:adjustRightInd w:val="0"/>
              <w:snapToGrid w:val="0"/>
              <w:jc w:val="center"/>
              <w:rPr>
                <w:color w:val="auto"/>
                <w:sz w:val="24"/>
                <w:highlight w:val="none"/>
              </w:rPr>
            </w:pPr>
            <w:r>
              <w:rPr>
                <w:rFonts w:ascii="Times New Roman" w:eastAsia="宋体" w:hAnsi="Times New Roman" w:cs="Times New Roman" w:hint="eastAsia"/>
                <w:color w:val="auto"/>
                <w:sz w:val="24"/>
                <w:highlight w:val="none"/>
              </w:rPr>
              <w:t>30</w:t>
            </w:r>
          </w:p>
        </w:tc>
      </w:tr>
      <w:tr>
        <w:tblPrEx>
          <w:tblW w:w="0" w:type="auto"/>
          <w:jc w:val="center"/>
          <w:tblCellMar>
            <w:top w:w="0" w:type="dxa"/>
            <w:left w:w="0" w:type="dxa"/>
            <w:bottom w:w="0" w:type="dxa"/>
            <w:right w:w="0" w:type="dxa"/>
          </w:tblCellMar>
        </w:tblPrEx>
        <w:trPr>
          <w:trHeight w:val="497"/>
          <w:jc w:val="center"/>
        </w:trPr>
        <w:tc>
          <w:tcPr>
            <w:tcW w:w="2129" w:type="dxa"/>
            <w:tcMar>
              <w:top w:w="16" w:type="dxa"/>
              <w:left w:w="16" w:type="dxa"/>
              <w:right w:w="16" w:type="dxa"/>
            </w:tcMar>
            <w:vAlign w:val="center"/>
          </w:tcPr>
          <w:p>
            <w:pPr>
              <w:adjustRightInd w:val="0"/>
              <w:snapToGrid w:val="0"/>
              <w:jc w:val="center"/>
              <w:rPr>
                <w:rFonts w:hint="eastAsia"/>
                <w:color w:val="auto"/>
                <w:sz w:val="24"/>
                <w:highlight w:val="none"/>
              </w:rPr>
            </w:pPr>
            <w:r>
              <w:rPr>
                <w:rFonts w:ascii="Times New Roman" w:eastAsia="宋体" w:hAnsi="Times New Roman" w:cs="Times New Roman"/>
                <w:color w:val="auto"/>
                <w:sz w:val="24"/>
                <w:highlight w:val="none"/>
              </w:rPr>
              <w:t>环保投资占比</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w:t>
            </w:r>
            <w:r>
              <w:rPr>
                <w:rFonts w:ascii="Times New Roman" w:eastAsia="宋体" w:hAnsi="Times New Roman" w:cs="Times New Roman" w:hint="eastAsia"/>
                <w:color w:val="auto"/>
                <w:sz w:val="24"/>
                <w:highlight w:val="none"/>
                <w:lang w:eastAsia="zh-CN"/>
              </w:rPr>
              <w:t>）</w:t>
            </w:r>
          </w:p>
        </w:tc>
        <w:tc>
          <w:tcPr>
            <w:tcW w:w="1991" w:type="dxa"/>
            <w:vAlign w:val="center"/>
          </w:tcPr>
          <w:p>
            <w:pPr>
              <w:adjustRightInd w:val="0"/>
              <w:snapToGrid w:val="0"/>
              <w:jc w:val="center"/>
              <w:rPr>
                <w:rFonts w:hint="eastAsia"/>
                <w:color w:val="auto"/>
                <w:sz w:val="24"/>
                <w:highlight w:val="none"/>
              </w:rPr>
            </w:pPr>
            <w:r>
              <w:rPr>
                <w:rFonts w:ascii="Times New Roman" w:eastAsia="宋体" w:hAnsi="Times New Roman" w:cs="Times New Roman" w:hint="eastAsia"/>
                <w:color w:val="auto"/>
                <w:sz w:val="24"/>
                <w:highlight w:val="none"/>
                <w:lang w:val="en-US" w:eastAsia="zh-CN"/>
              </w:rPr>
              <w:t>3</w:t>
            </w:r>
          </w:p>
        </w:tc>
        <w:tc>
          <w:tcPr>
            <w:tcW w:w="2111"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施工工期</w:t>
            </w:r>
          </w:p>
        </w:tc>
        <w:tc>
          <w:tcPr>
            <w:tcW w:w="2639" w:type="dxa"/>
            <w:vAlign w:val="center"/>
          </w:tcPr>
          <w:p>
            <w:pPr>
              <w:adjustRightInd w:val="0"/>
              <w:snapToGrid w:val="0"/>
              <w:jc w:val="center"/>
              <w:rPr>
                <w:color w:val="auto"/>
                <w:sz w:val="24"/>
                <w:highlight w:val="none"/>
              </w:rPr>
            </w:pPr>
            <w:r>
              <w:rPr>
                <w:rFonts w:ascii="Times New Roman" w:eastAsia="宋体" w:hAnsi="Times New Roman" w:cs="Times New Roman" w:hint="eastAsia"/>
                <w:color w:val="auto"/>
                <w:sz w:val="24"/>
                <w:highlight w:val="none"/>
              </w:rPr>
              <w:t>3个月</w:t>
            </w:r>
          </w:p>
        </w:tc>
      </w:tr>
      <w:tr>
        <w:tblPrEx>
          <w:tblW w:w="0" w:type="auto"/>
          <w:jc w:val="center"/>
          <w:tblCellMar>
            <w:top w:w="0" w:type="dxa"/>
            <w:left w:w="0" w:type="dxa"/>
            <w:bottom w:w="0" w:type="dxa"/>
            <w:right w:w="0" w:type="dxa"/>
          </w:tblCellMar>
        </w:tblPrEx>
        <w:trPr>
          <w:trHeight w:val="497"/>
          <w:jc w:val="center"/>
        </w:trPr>
        <w:tc>
          <w:tcPr>
            <w:tcW w:w="2129" w:type="dxa"/>
            <w:tcMar>
              <w:top w:w="16" w:type="dxa"/>
              <w:left w:w="16" w:type="dxa"/>
              <w:right w:w="16" w:type="dxa"/>
            </w:tcMar>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是否开工建设</w:t>
            </w:r>
          </w:p>
        </w:tc>
        <w:tc>
          <w:tcPr>
            <w:tcW w:w="1991" w:type="dxa"/>
            <w:vAlign w:val="center"/>
          </w:tcPr>
          <w:p>
            <w:pPr>
              <w:adjustRightInd w:val="0"/>
              <w:snapToGrid w:val="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否</w:t>
            </w:r>
          </w:p>
          <w:p>
            <w:pPr>
              <w:adjustRightInd w:val="0"/>
              <w:snapToGrid w:val="0"/>
              <w:rPr>
                <w:rFonts w:hint="default"/>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是：</w:t>
            </w:r>
            <w:r>
              <w:rPr>
                <w:rFonts w:ascii="Times New Roman" w:eastAsia="宋体" w:hAnsi="Times New Roman" w:cs="Times New Roman" w:hint="eastAsia"/>
                <w:color w:val="auto"/>
                <w:sz w:val="24"/>
                <w:highlight w:val="none"/>
                <w:lang w:eastAsia="zh-CN"/>
              </w:rPr>
              <w:t>基本已建成</w:t>
            </w:r>
          </w:p>
        </w:tc>
        <w:tc>
          <w:tcPr>
            <w:tcW w:w="2111" w:type="dxa"/>
            <w:tcMar>
              <w:top w:w="16" w:type="dxa"/>
              <w:left w:w="16" w:type="dxa"/>
              <w:right w:w="16" w:type="dxa"/>
            </w:tcMar>
            <w:vAlign w:val="center"/>
          </w:tcPr>
          <w:p>
            <w:pPr>
              <w:adjustRightInd w:val="0"/>
              <w:snapToGrid w:val="0"/>
              <w:jc w:val="center"/>
              <w:rPr>
                <w:rFonts w:hint="eastAsia"/>
                <w:color w:val="auto"/>
                <w:spacing w:val="-6"/>
                <w:sz w:val="24"/>
                <w:highlight w:val="none"/>
              </w:rPr>
            </w:pPr>
            <w:r>
              <w:rPr>
                <w:rFonts w:ascii="Times New Roman" w:eastAsia="宋体" w:hAnsi="Times New Roman" w:cs="Times New Roman"/>
                <w:color w:val="auto"/>
                <w:spacing w:val="-6"/>
                <w:sz w:val="24"/>
                <w:highlight w:val="none"/>
              </w:rPr>
              <w:t>用地</w:t>
            </w:r>
            <w:r>
              <w:rPr>
                <w:rFonts w:ascii="Times New Roman" w:eastAsia="宋体" w:hAnsi="Times New Roman" w:cs="Times New Roman" w:hint="eastAsia"/>
                <w:color w:val="auto"/>
                <w:spacing w:val="-6"/>
                <w:sz w:val="24"/>
                <w:highlight w:val="none"/>
                <w:lang w:eastAsia="zh-CN"/>
              </w:rPr>
              <w:t>（</w:t>
            </w:r>
            <w:r>
              <w:rPr>
                <w:rFonts w:ascii="Times New Roman" w:eastAsia="宋体" w:hAnsi="Times New Roman" w:cs="Times New Roman"/>
                <w:color w:val="auto"/>
                <w:spacing w:val="-6"/>
                <w:sz w:val="24"/>
                <w:highlight w:val="none"/>
              </w:rPr>
              <w:t>用海</w:t>
            </w:r>
            <w:r>
              <w:rPr>
                <w:rFonts w:ascii="Times New Roman" w:eastAsia="宋体" w:hAnsi="Times New Roman" w:cs="Times New Roman" w:hint="eastAsia"/>
                <w:color w:val="auto"/>
                <w:spacing w:val="-6"/>
                <w:sz w:val="24"/>
                <w:highlight w:val="none"/>
                <w:lang w:eastAsia="zh-CN"/>
              </w:rPr>
              <w:t>）</w:t>
            </w:r>
          </w:p>
          <w:p>
            <w:pPr>
              <w:adjustRightInd w:val="0"/>
              <w:snapToGrid w:val="0"/>
              <w:jc w:val="center"/>
              <w:rPr>
                <w:rFonts w:hint="eastAsia"/>
                <w:color w:val="auto"/>
                <w:sz w:val="24"/>
                <w:highlight w:val="none"/>
              </w:rPr>
            </w:pPr>
            <w:r>
              <w:rPr>
                <w:rFonts w:ascii="Times New Roman" w:eastAsia="宋体" w:hAnsi="Times New Roman" w:cs="Times New Roman"/>
                <w:color w:val="auto"/>
                <w:spacing w:val="-6"/>
                <w:sz w:val="24"/>
                <w:highlight w:val="none"/>
              </w:rPr>
              <w:t>面积</w:t>
            </w:r>
            <w:r>
              <w:rPr>
                <w:rFonts w:ascii="Times New Roman" w:eastAsia="宋体" w:hAnsi="Times New Roman" w:cs="Times New Roman" w:hint="eastAsia"/>
                <w:color w:val="auto"/>
                <w:spacing w:val="-6"/>
                <w:sz w:val="24"/>
                <w:highlight w:val="none"/>
                <w:lang w:eastAsia="zh-CN"/>
              </w:rPr>
              <w:t>（</w:t>
            </w:r>
            <w:r>
              <w:rPr>
                <w:rFonts w:ascii="Times New Roman" w:eastAsia="宋体" w:hAnsi="Times New Roman" w:cs="Times New Roman"/>
                <w:color w:val="auto"/>
                <w:spacing w:val="-6"/>
                <w:sz w:val="24"/>
                <w:highlight w:val="none"/>
              </w:rPr>
              <w:t>m</w:t>
            </w:r>
            <w:r>
              <w:rPr>
                <w:rFonts w:ascii="Times New Roman" w:eastAsia="宋体" w:hAnsi="Times New Roman" w:cs="Times New Roman"/>
                <w:color w:val="auto"/>
                <w:spacing w:val="-6"/>
                <w:sz w:val="24"/>
                <w:highlight w:val="none"/>
                <w:vertAlign w:val="superscript"/>
              </w:rPr>
              <w:t>2</w:t>
            </w:r>
            <w:r>
              <w:rPr>
                <w:rFonts w:ascii="Times New Roman" w:eastAsia="宋体" w:hAnsi="Times New Roman" w:cs="Times New Roman" w:hint="eastAsia"/>
                <w:color w:val="auto"/>
                <w:spacing w:val="-6"/>
                <w:sz w:val="24"/>
                <w:highlight w:val="none"/>
                <w:lang w:eastAsia="zh-CN"/>
              </w:rPr>
              <w:t>）</w:t>
            </w:r>
          </w:p>
        </w:tc>
        <w:tc>
          <w:tcPr>
            <w:tcW w:w="2639" w:type="dxa"/>
            <w:vAlign w:val="center"/>
          </w:tcPr>
          <w:p>
            <w:pPr>
              <w:adjustRightInd w:val="0"/>
              <w:snapToGrid w:val="0"/>
              <w:jc w:val="center"/>
              <w:rPr>
                <w:color w:val="auto"/>
                <w:sz w:val="24"/>
                <w:highlight w:val="none"/>
              </w:rPr>
            </w:pPr>
            <w:r>
              <w:rPr>
                <w:rFonts w:ascii="Times New Roman" w:eastAsia="宋体" w:hAnsi="Times New Roman" w:cs="Times New Roman" w:hint="eastAsia"/>
                <w:color w:val="auto"/>
                <w:sz w:val="24"/>
                <w:highlight w:val="none"/>
              </w:rPr>
              <w:t>15836</w:t>
            </w:r>
          </w:p>
        </w:tc>
      </w:tr>
      <w:tr>
        <w:tblPrEx>
          <w:tblW w:w="0" w:type="auto"/>
          <w:jc w:val="center"/>
          <w:tblCellMar>
            <w:top w:w="0" w:type="dxa"/>
            <w:left w:w="108" w:type="dxa"/>
            <w:bottom w:w="0" w:type="dxa"/>
            <w:right w:w="108" w:type="dxa"/>
          </w:tblCellMar>
        </w:tblPrEx>
        <w:trPr>
          <w:trHeight w:val="1021"/>
          <w:jc w:val="center"/>
        </w:trPr>
        <w:tc>
          <w:tcPr>
            <w:tcW w:w="2129" w:type="dxa"/>
            <w:vAlign w:val="center"/>
          </w:tcPr>
          <w:p>
            <w:pPr>
              <w:autoSpaceDE w:val="0"/>
              <w:autoSpaceDN w:val="0"/>
              <w:adjustRightInd w:val="0"/>
              <w:snapToGrid w:val="0"/>
              <w:jc w:val="center"/>
              <w:rPr>
                <w:color w:val="auto"/>
                <w:kern w:val="0"/>
                <w:sz w:val="24"/>
                <w:highlight w:val="none"/>
              </w:rPr>
            </w:pPr>
            <w:r>
              <w:rPr>
                <w:rFonts w:ascii="Times New Roman" w:eastAsia="宋体" w:hAnsi="Times New Roman" w:cs="Times New Roman"/>
                <w:color w:val="auto"/>
                <w:kern w:val="0"/>
                <w:sz w:val="24"/>
                <w:highlight w:val="none"/>
              </w:rPr>
              <w:t>专项评价</w:t>
            </w:r>
          </w:p>
          <w:p>
            <w:pPr>
              <w:autoSpaceDE w:val="0"/>
              <w:autoSpaceDN w:val="0"/>
              <w:adjustRightInd w:val="0"/>
              <w:snapToGrid w:val="0"/>
              <w:jc w:val="center"/>
              <w:rPr>
                <w:color w:val="auto"/>
                <w:kern w:val="0"/>
                <w:sz w:val="24"/>
                <w:highlight w:val="none"/>
              </w:rPr>
            </w:pPr>
            <w:r>
              <w:rPr>
                <w:rFonts w:ascii="Times New Roman" w:eastAsia="宋体" w:hAnsi="Times New Roman" w:cs="Times New Roman"/>
                <w:color w:val="auto"/>
                <w:kern w:val="0"/>
                <w:sz w:val="24"/>
                <w:highlight w:val="none"/>
              </w:rPr>
              <w:t>设置情况</w:t>
            </w:r>
          </w:p>
        </w:tc>
        <w:tc>
          <w:tcPr>
            <w:tcW w:w="6741" w:type="dxa"/>
            <w:gridSpan w:val="3"/>
            <w:vAlign w:val="center"/>
          </w:tcPr>
          <w:p>
            <w:pPr>
              <w:adjustRightInd w:val="0"/>
              <w:snapToGrid w:val="0"/>
              <w:jc w:val="center"/>
              <w:rPr>
                <w:color w:val="auto"/>
                <w:kern w:val="0"/>
                <w:sz w:val="24"/>
                <w:highlight w:val="none"/>
              </w:rPr>
            </w:pPr>
            <w:r>
              <w:rPr>
                <w:rFonts w:ascii="Times New Roman" w:eastAsia="宋体" w:hAnsi="Times New Roman" w:cs="Times New Roman"/>
                <w:color w:val="auto"/>
                <w:sz w:val="24"/>
                <w:highlight w:val="none"/>
              </w:rPr>
              <w:t>无</w:t>
            </w:r>
          </w:p>
        </w:tc>
      </w:tr>
      <w:tr>
        <w:tblPrEx>
          <w:tblW w:w="0" w:type="auto"/>
          <w:jc w:val="center"/>
          <w:tblCellMar>
            <w:top w:w="0" w:type="dxa"/>
            <w:left w:w="108" w:type="dxa"/>
            <w:bottom w:w="0" w:type="dxa"/>
            <w:right w:w="108" w:type="dxa"/>
          </w:tblCellMar>
        </w:tblPrEx>
        <w:trPr>
          <w:trHeight w:val="1355"/>
          <w:jc w:val="center"/>
        </w:trPr>
        <w:tc>
          <w:tcPr>
            <w:tcW w:w="2129" w:type="dxa"/>
            <w:vAlign w:val="center"/>
          </w:tcPr>
          <w:p>
            <w:pPr>
              <w:autoSpaceDE w:val="0"/>
              <w:autoSpaceDN w:val="0"/>
              <w:adjustRightInd w:val="0"/>
              <w:snapToGrid w:val="0"/>
              <w:jc w:val="center"/>
              <w:rPr>
                <w:color w:val="auto"/>
                <w:kern w:val="0"/>
                <w:sz w:val="24"/>
                <w:highlight w:val="none"/>
              </w:rPr>
            </w:pPr>
            <w:r>
              <w:rPr>
                <w:rFonts w:ascii="Times New Roman" w:eastAsia="宋体" w:hAnsi="Times New Roman" w:cs="Times New Roman"/>
                <w:color w:val="auto"/>
                <w:sz w:val="24"/>
                <w:highlight w:val="none"/>
              </w:rPr>
              <w:t>规划情况</w:t>
            </w:r>
          </w:p>
        </w:tc>
        <w:tc>
          <w:tcPr>
            <w:tcW w:w="6741" w:type="dxa"/>
            <w:gridSpan w:val="3"/>
            <w:vAlign w:val="center"/>
          </w:tcPr>
          <w:p>
            <w:pPr>
              <w:jc w:val="center"/>
              <w:rPr>
                <w:color w:val="auto"/>
                <w:kern w:val="0"/>
                <w:sz w:val="24"/>
                <w:highlight w:val="none"/>
              </w:rPr>
            </w:pPr>
            <w:r>
              <w:rPr>
                <w:rFonts w:ascii="Times New Roman" w:eastAsia="宋体" w:hAnsi="Times New Roman" w:cs="Times New Roman" w:hint="eastAsia"/>
                <w:color w:val="auto"/>
                <w:kern w:val="0"/>
                <w:sz w:val="24"/>
                <w:highlight w:val="none"/>
              </w:rPr>
              <w:t>无</w:t>
            </w:r>
          </w:p>
        </w:tc>
      </w:tr>
      <w:tr>
        <w:tblPrEx>
          <w:tblW w:w="0" w:type="auto"/>
          <w:jc w:val="center"/>
          <w:tblCellMar>
            <w:top w:w="0" w:type="dxa"/>
            <w:left w:w="108" w:type="dxa"/>
            <w:bottom w:w="0" w:type="dxa"/>
            <w:right w:w="108" w:type="dxa"/>
          </w:tblCellMar>
        </w:tblPrEx>
        <w:trPr>
          <w:trHeight w:val="90"/>
          <w:jc w:val="center"/>
        </w:trPr>
        <w:tc>
          <w:tcPr>
            <w:tcW w:w="2129" w:type="dxa"/>
            <w:vAlign w:val="center"/>
          </w:tcPr>
          <w:p>
            <w:pPr>
              <w:adjustRightInd w:val="0"/>
              <w:snapToGrid w:val="0"/>
              <w:jc w:val="center"/>
              <w:rPr>
                <w:color w:val="auto"/>
                <w:sz w:val="24"/>
                <w:highlight w:val="none"/>
              </w:rPr>
            </w:pPr>
            <w:r>
              <w:rPr>
                <w:rFonts w:ascii="Times New Roman" w:eastAsia="宋体" w:hAnsi="Times New Roman" w:cs="Times New Roman"/>
                <w:color w:val="auto"/>
                <w:sz w:val="24"/>
                <w:highlight w:val="none"/>
              </w:rPr>
              <w:t>规划环境影响</w:t>
            </w:r>
          </w:p>
          <w:p>
            <w:pPr>
              <w:adjustRightInd w:val="0"/>
              <w:snapToGrid w:val="0"/>
              <w:jc w:val="center"/>
              <w:rPr>
                <w:color w:val="auto"/>
                <w:kern w:val="0"/>
                <w:sz w:val="24"/>
                <w:highlight w:val="none"/>
              </w:rPr>
            </w:pPr>
            <w:r>
              <w:rPr>
                <w:rFonts w:ascii="Times New Roman" w:eastAsia="宋体" w:hAnsi="Times New Roman" w:cs="Times New Roman"/>
                <w:color w:val="auto"/>
                <w:sz w:val="24"/>
                <w:highlight w:val="none"/>
              </w:rPr>
              <w:t>评价情况</w:t>
            </w:r>
          </w:p>
        </w:tc>
        <w:tc>
          <w:tcPr>
            <w:tcW w:w="6741" w:type="dxa"/>
            <w:gridSpan w:val="3"/>
            <w:vAlign w:val="center"/>
          </w:tcPr>
          <w:p>
            <w:pPr>
              <w:jc w:val="center"/>
              <w:rPr>
                <w:color w:val="auto"/>
                <w:kern w:val="0"/>
                <w:sz w:val="24"/>
                <w:highlight w:val="none"/>
              </w:rPr>
            </w:pPr>
            <w:r>
              <w:rPr>
                <w:rFonts w:ascii="Times New Roman" w:eastAsia="宋体" w:hAnsi="Times New Roman" w:cs="Times New Roman" w:hint="eastAsia"/>
                <w:color w:val="auto"/>
                <w:sz w:val="24"/>
                <w:highlight w:val="none"/>
              </w:rPr>
              <w:t>无</w:t>
            </w:r>
          </w:p>
        </w:tc>
      </w:tr>
      <w:tr>
        <w:tblPrEx>
          <w:tblW w:w="0" w:type="auto"/>
          <w:jc w:val="center"/>
          <w:tblCellMar>
            <w:top w:w="0" w:type="dxa"/>
            <w:left w:w="108" w:type="dxa"/>
            <w:bottom w:w="0" w:type="dxa"/>
            <w:right w:w="108" w:type="dxa"/>
          </w:tblCellMar>
        </w:tblPrEx>
        <w:trPr>
          <w:trHeight w:val="784"/>
          <w:jc w:val="center"/>
        </w:trPr>
        <w:tc>
          <w:tcPr>
            <w:tcW w:w="2129" w:type="dxa"/>
            <w:vAlign w:val="center"/>
          </w:tcPr>
          <w:p>
            <w:pPr>
              <w:autoSpaceDE w:val="0"/>
              <w:autoSpaceDN w:val="0"/>
              <w:adjustRightInd w:val="0"/>
              <w:snapToGrid w:val="0"/>
              <w:jc w:val="center"/>
              <w:rPr>
                <w:color w:val="auto"/>
                <w:kern w:val="0"/>
                <w:sz w:val="24"/>
                <w:highlight w:val="none"/>
              </w:rPr>
            </w:pPr>
            <w:r>
              <w:rPr>
                <w:rFonts w:ascii="Times New Roman" w:eastAsia="宋体" w:hAnsi="Times New Roman" w:cs="Times New Roman"/>
                <w:color w:val="auto"/>
                <w:kern w:val="0"/>
                <w:sz w:val="24"/>
                <w:highlight w:val="none"/>
              </w:rPr>
              <w:t>规划及规划环境</w:t>
            </w:r>
          </w:p>
          <w:p>
            <w:pPr>
              <w:adjustRightInd w:val="0"/>
              <w:snapToGrid w:val="0"/>
              <w:spacing w:after="0"/>
              <w:jc w:val="center"/>
              <w:rPr>
                <w:color w:val="auto"/>
                <w:sz w:val="24"/>
                <w:highlight w:val="none"/>
              </w:rPr>
            </w:pPr>
          </w:p>
        </w:tc>
        <w:tc>
          <w:tcPr>
            <w:tcW w:w="6741" w:type="dxa"/>
            <w:gridSpan w:val="3"/>
            <w:vAlign w:val="center"/>
          </w:tcPr>
          <w:p>
            <w:pPr>
              <w:jc w:val="center"/>
              <w:rPr>
                <w:color w:val="auto"/>
                <w:sz w:val="24"/>
                <w:highlight w:val="none"/>
              </w:rPr>
            </w:pPr>
            <w:r>
              <w:rPr>
                <w:rFonts w:ascii="Times New Roman" w:eastAsia="宋体" w:hAnsi="Times New Roman" w:cs="Times New Roman" w:hint="eastAsia"/>
                <w:color w:val="auto"/>
                <w:kern w:val="0"/>
                <w:sz w:val="24"/>
                <w:highlight w:val="none"/>
              </w:rPr>
              <w:t>根据八巨镇人民政府出具的规划相符性证明的文件，本项目符合八巨镇的相关规划。</w:t>
            </w:r>
          </w:p>
        </w:tc>
      </w:tr>
    </w:tbl>
    <w:p>
      <w:pPr>
        <w:sectPr>
          <w:footerReference w:type="even" r:id="rId10"/>
          <w:footerReference w:type="default" r:id="rId11"/>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935"/>
        <w:gridCol w:w="7609"/>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84"/>
          <w:jc w:val="center"/>
        </w:trPr>
        <w:tc>
          <w:tcPr>
            <w:tcW w:w="2129" w:type="dxa"/>
            <w:gridSpan w:val="2"/>
            <w:vAlign w:val="center"/>
          </w:tcPr>
          <w:p>
            <w:pPr>
              <w:adjustRightInd w:val="0"/>
              <w:snapToGrid w:val="0"/>
              <w:spacing w:before="0"/>
              <w:jc w:val="center"/>
              <w:rPr>
                <w:color w:val="auto"/>
                <w:sz w:val="24"/>
                <w:highlight w:val="none"/>
              </w:rPr>
            </w:pPr>
            <w:r>
              <w:rPr>
                <w:rFonts w:ascii="Times New Roman" w:eastAsia="宋体" w:hAnsi="Times New Roman" w:cs="Times New Roman"/>
                <w:color w:val="auto"/>
                <w:kern w:val="0"/>
                <w:sz w:val="24"/>
                <w:highlight w:val="none"/>
              </w:rPr>
              <w:t>影响评价符合性分析</w:t>
            </w:r>
          </w:p>
        </w:tc>
        <w:tc>
          <w:tcPr>
            <w:tcW w:w="6741" w:type="dxa"/>
            <w:vAlign w:val="center"/>
          </w:tcPr>
          <w:p/>
        </w:tc>
      </w:tr>
      <w:tr>
        <w:tblPrEx>
          <w:tblW w:w="0" w:type="auto"/>
          <w:jc w:val="center"/>
          <w:tblCellMar>
            <w:top w:w="0" w:type="dxa"/>
            <w:left w:w="108" w:type="dxa"/>
            <w:bottom w:w="0" w:type="dxa"/>
            <w:right w:w="108" w:type="dxa"/>
          </w:tblCellMar>
        </w:tblPrEx>
        <w:trPr>
          <w:trHeight w:val="7911"/>
          <w:jc w:val="center"/>
        </w:trPr>
        <w:tc>
          <w:tcPr>
            <w:tcW w:w="1019" w:type="dxa"/>
            <w:vAlign w:val="center"/>
          </w:tcPr>
          <w:p>
            <w:pPr>
              <w:autoSpaceDE w:val="0"/>
              <w:autoSpaceDN w:val="0"/>
              <w:adjustRightInd w:val="0"/>
              <w:snapToGrid w:val="0"/>
              <w:jc w:val="center"/>
              <w:rPr>
                <w:color w:val="auto"/>
                <w:kern w:val="0"/>
                <w:sz w:val="24"/>
                <w:highlight w:val="none"/>
              </w:rPr>
            </w:pPr>
            <w:r>
              <w:rPr>
                <w:rFonts w:ascii="Times New Roman" w:eastAsia="宋体" w:hAnsi="Times New Roman" w:cs="Times New Roman"/>
                <w:color w:val="auto"/>
                <w:kern w:val="0"/>
                <w:sz w:val="24"/>
                <w:highlight w:val="none"/>
              </w:rPr>
              <w:t>其他</w:t>
            </w:r>
          </w:p>
          <w:p>
            <w:pPr>
              <w:autoSpaceDE w:val="0"/>
              <w:autoSpaceDN w:val="0"/>
              <w:adjustRightInd w:val="0"/>
              <w:snapToGrid w:val="0"/>
              <w:jc w:val="center"/>
              <w:rPr>
                <w:color w:val="auto"/>
                <w:kern w:val="0"/>
                <w:sz w:val="24"/>
                <w:highlight w:val="yellow"/>
              </w:rPr>
            </w:pPr>
            <w:r>
              <w:rPr>
                <w:rFonts w:ascii="Times New Roman" w:eastAsia="宋体" w:hAnsi="Times New Roman" w:cs="Times New Roman"/>
                <w:color w:val="auto"/>
                <w:kern w:val="0"/>
                <w:sz w:val="24"/>
                <w:highlight w:val="none"/>
              </w:rPr>
              <w:t>符合性分析</w:t>
            </w:r>
          </w:p>
        </w:tc>
        <w:tc>
          <w:tcPr>
            <w:tcW w:w="7851" w:type="dxa"/>
            <w:gridSpan w:val="2"/>
            <w:vAlign w:val="center"/>
          </w:tcPr>
          <w:p>
            <w:pPr>
              <w:spacing w:line="360" w:lineRule="auto"/>
              <w:jc w:val="left"/>
              <w:rPr>
                <w:color w:val="auto"/>
                <w:sz w:val="24"/>
                <w:highlight w:val="none"/>
              </w:rPr>
            </w:pPr>
            <w:r>
              <w:rPr>
                <w:rFonts w:ascii="Times New Roman" w:eastAsia="宋体" w:hAnsi="Times New Roman" w:cs="Times New Roman" w:hint="eastAsia"/>
                <w:b/>
                <w:bCs/>
                <w:color w:val="auto"/>
                <w:sz w:val="24"/>
                <w:highlight w:val="none"/>
              </w:rPr>
              <w:t xml:space="preserve">1.1 </w:t>
            </w:r>
            <w:r>
              <w:rPr>
                <w:rFonts w:ascii="Times New Roman" w:eastAsia="宋体" w:hAnsi="Times New Roman" w:cs="Times New Roman"/>
                <w:b/>
                <w:bCs/>
                <w:color w:val="auto"/>
                <w:sz w:val="24"/>
                <w:highlight w:val="none"/>
              </w:rPr>
              <w:t>产业政策相符性分析</w:t>
            </w:r>
          </w:p>
          <w:p>
            <w:pPr>
              <w:spacing w:line="360" w:lineRule="auto"/>
              <w:ind w:firstLine="480" w:firstLineChars="200"/>
              <w:jc w:val="left"/>
              <w:rPr>
                <w:color w:val="auto"/>
                <w:sz w:val="24"/>
                <w:highlight w:val="none"/>
              </w:rPr>
            </w:pPr>
            <w:r>
              <w:rPr>
                <w:rFonts w:ascii="Times New Roman" w:eastAsia="宋体" w:hAnsi="Times New Roman" w:cs="Times New Roman"/>
                <w:color w:val="auto"/>
                <w:sz w:val="24"/>
                <w:highlight w:val="none"/>
              </w:rPr>
              <w:t>本项目为</w:t>
            </w:r>
            <w:r>
              <w:rPr>
                <w:rFonts w:ascii="Times New Roman" w:eastAsia="宋体" w:hAnsi="Times New Roman" w:cs="Times New Roman" w:hint="eastAsia"/>
                <w:color w:val="auto"/>
                <w:sz w:val="24"/>
                <w:highlight w:val="none"/>
              </w:rPr>
              <w:t>涤纶布</w:t>
            </w:r>
            <w:r>
              <w:rPr>
                <w:rFonts w:ascii="Times New Roman" w:eastAsia="宋体" w:hAnsi="Times New Roman" w:cs="Times New Roman"/>
                <w:color w:val="auto"/>
                <w:sz w:val="24"/>
                <w:highlight w:val="none"/>
              </w:rPr>
              <w:t>项目，根据《产业结构调整指导目录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2019年本</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w:t>
            </w:r>
            <w:r>
              <w:rPr>
                <w:rFonts w:ascii="Times New Roman" w:eastAsia="宋体" w:hAnsi="Times New Roman" w:cs="Times New Roman" w:hint="eastAsia"/>
                <w:color w:val="auto"/>
                <w:sz w:val="24"/>
                <w:highlight w:val="none"/>
              </w:rPr>
              <w:t>（2021 年修订）</w:t>
            </w:r>
            <w:r>
              <w:rPr>
                <w:rFonts w:ascii="Times New Roman" w:eastAsia="宋体" w:hAnsi="Times New Roman" w:cs="Times New Roman"/>
                <w:color w:val="auto"/>
                <w:sz w:val="24"/>
                <w:highlight w:val="none"/>
              </w:rPr>
              <w:t>，本项目不属于限制类和淘汰类，符合国家产业政策。根据</w:t>
            </w:r>
            <w:r>
              <w:rPr>
                <w:rFonts w:ascii="Times New Roman" w:eastAsia="宋体" w:hAnsi="Times New Roman" w:cs="Times New Roman" w:hint="eastAsia"/>
                <w:color w:val="auto"/>
                <w:sz w:val="24"/>
                <w:highlight w:val="none"/>
              </w:rPr>
              <w:t>《江苏省工业和信息产业结构调整限制淘汰目录和能耗限额的通知》（苏政办发〔2015〕118号）</w:t>
            </w:r>
            <w:r>
              <w:rPr>
                <w:rFonts w:ascii="Times New Roman" w:eastAsia="宋体" w:hAnsi="Times New Roman" w:cs="Times New Roman" w:hint="eastAsia"/>
                <w:color w:val="auto"/>
                <w:sz w:val="24"/>
                <w:highlight w:val="none"/>
                <w:lang w:eastAsia="zh-CN"/>
              </w:rPr>
              <w:t>、《江苏省产业结构调整限制、淘汰和禁止目录》（2018年本）</w:t>
            </w:r>
            <w:r>
              <w:rPr>
                <w:rFonts w:ascii="Times New Roman" w:eastAsia="宋体" w:hAnsi="Times New Roman" w:cs="Times New Roman"/>
                <w:color w:val="auto"/>
                <w:sz w:val="24"/>
                <w:highlight w:val="none"/>
              </w:rPr>
              <w:t>，本项目不属于限制和淘汰类项目；不属于《限制用地项目目录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2012年本</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》、《禁止用地项目目录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2012年本</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》中限制和禁止用地类项目。</w:t>
            </w:r>
          </w:p>
          <w:p>
            <w:pPr>
              <w:pStyle w:val="BodyText"/>
              <w:rPr>
                <w:rFonts w:ascii="Times New Roman" w:eastAsia="宋体" w:hAnsi="Times New Roman" w:cs="Times New Roman"/>
                <w:color w:val="auto"/>
                <w:sz w:val="24"/>
                <w:szCs w:val="24"/>
                <w:highlight w:val="none"/>
              </w:rPr>
            </w:pPr>
            <w:r>
              <w:rPr>
                <w:rFonts w:ascii="Times New Roman" w:eastAsia="宋体" w:hAnsi="Times New Roman" w:cs="Times New Roman" w:hint="eastAsia"/>
                <w:b/>
                <w:bCs/>
                <w:color w:val="auto"/>
                <w:sz w:val="24"/>
                <w:szCs w:val="24"/>
                <w:highlight w:val="none"/>
              </w:rPr>
              <w:t xml:space="preserve">1.2 </w:t>
            </w:r>
            <w:r>
              <w:rPr>
                <w:rFonts w:ascii="Times New Roman" w:eastAsia="宋体" w:hAnsi="Times New Roman" w:cs="Times New Roman" w:hint="eastAsia"/>
                <w:b/>
                <w:bCs/>
                <w:color w:val="auto"/>
                <w:sz w:val="24"/>
                <w:szCs w:val="24"/>
                <w:highlight w:val="none"/>
                <w:lang w:eastAsia="zh-CN"/>
              </w:rPr>
              <w:t>“</w:t>
            </w:r>
            <w:r>
              <w:rPr>
                <w:rFonts w:ascii="Times New Roman" w:eastAsia="宋体" w:hAnsi="Times New Roman" w:cs="Times New Roman"/>
                <w:b/>
                <w:bCs/>
                <w:color w:val="auto"/>
                <w:sz w:val="24"/>
                <w:szCs w:val="24"/>
                <w:highlight w:val="none"/>
              </w:rPr>
              <w:t>三线一单</w:t>
            </w:r>
            <w:r>
              <w:rPr>
                <w:rFonts w:ascii="Times New Roman" w:eastAsia="宋体" w:hAnsi="Times New Roman" w:cs="Times New Roman" w:hint="eastAsia"/>
                <w:b/>
                <w:bCs/>
                <w:color w:val="auto"/>
                <w:sz w:val="24"/>
                <w:szCs w:val="24"/>
                <w:highlight w:val="none"/>
                <w:lang w:eastAsia="zh-CN"/>
              </w:rPr>
              <w:t>”</w:t>
            </w:r>
            <w:r>
              <w:rPr>
                <w:rFonts w:ascii="Times New Roman" w:eastAsia="宋体" w:hAnsi="Times New Roman" w:cs="Times New Roman"/>
                <w:b/>
                <w:bCs/>
                <w:color w:val="auto"/>
                <w:sz w:val="24"/>
                <w:szCs w:val="24"/>
                <w:highlight w:val="none"/>
              </w:rPr>
              <w:t>相符性分析</w:t>
            </w:r>
          </w:p>
          <w:p>
            <w:pPr>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1</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 xml:space="preserve"> 生态保护红线</w:t>
            </w:r>
          </w:p>
          <w:p>
            <w:pPr>
              <w:adjustRightInd w:val="0"/>
              <w:snapToGrid w:val="0"/>
              <w:spacing w:line="360" w:lineRule="auto"/>
              <w:ind w:firstLine="480" w:firstLineChars="200"/>
              <w:textAlignment w:val="baseline"/>
              <w:rPr>
                <w:bCs/>
                <w:color w:val="auto"/>
                <w:sz w:val="24"/>
                <w:highlight w:val="none"/>
              </w:rPr>
            </w:pPr>
            <w:r>
              <w:rPr>
                <w:rFonts w:ascii="Times New Roman" w:eastAsia="宋体" w:hAnsi="Times New Roman" w:cs="Times New Roman"/>
                <w:color w:val="auto"/>
                <w:sz w:val="24"/>
                <w:highlight w:val="none"/>
              </w:rPr>
              <w:t>对照《省政府关于印发江苏省生态空间管控区域规划的通知》</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苏政发</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2020</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1号</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w:t>
            </w:r>
            <w:r>
              <w:rPr>
                <w:rFonts w:ascii="Times New Roman" w:eastAsia="宋体" w:hAnsi="Times New Roman" w:cs="Times New Roman"/>
                <w:bCs/>
                <w:color w:val="auto"/>
                <w:sz w:val="24"/>
                <w:highlight w:val="none"/>
              </w:rPr>
              <w:t>《盐城市人民政府办公室关于印发盐城市生态红线区域保护规划的通知》</w:t>
            </w:r>
            <w:r>
              <w:rPr>
                <w:rFonts w:ascii="Times New Roman" w:eastAsia="宋体" w:hAnsi="Times New Roman" w:cs="Times New Roman" w:hint="eastAsia"/>
                <w:bCs/>
                <w:color w:val="auto"/>
                <w:sz w:val="24"/>
                <w:highlight w:val="none"/>
                <w:lang w:eastAsia="zh-CN"/>
              </w:rPr>
              <w:t>（</w:t>
            </w:r>
            <w:r>
              <w:rPr>
                <w:rFonts w:ascii="Times New Roman" w:eastAsia="宋体" w:hAnsi="Times New Roman" w:cs="Times New Roman"/>
                <w:bCs/>
                <w:color w:val="auto"/>
                <w:sz w:val="24"/>
                <w:highlight w:val="none"/>
              </w:rPr>
              <w:t>盐政办</w:t>
            </w:r>
            <w:r>
              <w:rPr>
                <w:rFonts w:ascii="Times New Roman" w:eastAsia="宋体" w:hAnsi="Times New Roman" w:cs="Times New Roman" w:hint="eastAsia"/>
                <w:bCs/>
                <w:color w:val="auto"/>
                <w:sz w:val="24"/>
                <w:highlight w:val="none"/>
                <w:lang w:eastAsia="zh-CN"/>
              </w:rPr>
              <w:t>〔</w:t>
            </w:r>
            <w:r>
              <w:rPr>
                <w:rFonts w:ascii="Times New Roman" w:eastAsia="宋体" w:hAnsi="Times New Roman" w:cs="Times New Roman"/>
                <w:bCs/>
                <w:color w:val="auto"/>
                <w:sz w:val="24"/>
                <w:highlight w:val="none"/>
              </w:rPr>
              <w:t>2014</w:t>
            </w:r>
            <w:r>
              <w:rPr>
                <w:rFonts w:ascii="Times New Roman" w:eastAsia="宋体" w:hAnsi="Times New Roman" w:cs="Times New Roman" w:hint="eastAsia"/>
                <w:bCs/>
                <w:color w:val="auto"/>
                <w:sz w:val="24"/>
                <w:highlight w:val="none"/>
                <w:lang w:eastAsia="zh-CN"/>
              </w:rPr>
              <w:t>〕</w:t>
            </w:r>
            <w:r>
              <w:rPr>
                <w:rFonts w:ascii="Times New Roman" w:eastAsia="宋体" w:hAnsi="Times New Roman" w:cs="Times New Roman"/>
                <w:bCs/>
                <w:color w:val="auto"/>
                <w:sz w:val="24"/>
                <w:highlight w:val="none"/>
              </w:rPr>
              <w:t>121号</w:t>
            </w:r>
            <w:r>
              <w:rPr>
                <w:rFonts w:ascii="Times New Roman" w:eastAsia="宋体" w:hAnsi="Times New Roman" w:cs="Times New Roman" w:hint="eastAsia"/>
                <w:bCs/>
                <w:color w:val="auto"/>
                <w:sz w:val="24"/>
                <w:highlight w:val="none"/>
                <w:lang w:eastAsia="zh-CN"/>
              </w:rPr>
              <w:t>）</w:t>
            </w:r>
            <w:r>
              <w:rPr>
                <w:rFonts w:ascii="Times New Roman" w:eastAsia="宋体" w:hAnsi="Times New Roman" w:cs="Times New Roman"/>
                <w:bCs/>
                <w:color w:val="auto"/>
                <w:sz w:val="24"/>
                <w:highlight w:val="none"/>
              </w:rPr>
              <w:t>，</w:t>
            </w:r>
            <w:r>
              <w:rPr>
                <w:rFonts w:ascii="Times New Roman" w:eastAsia="宋体" w:hAnsi="Times New Roman" w:cs="Times New Roman"/>
                <w:b/>
                <w:color w:val="auto"/>
                <w:sz w:val="24"/>
                <w:highlight w:val="none"/>
              </w:rPr>
              <w:t>本项目厂界距离最近的生态空间管控区域为</w:t>
            </w:r>
            <w:r>
              <w:rPr>
                <w:rFonts w:ascii="Times New Roman" w:eastAsia="宋体" w:hAnsi="Times New Roman" w:cs="Times New Roman" w:hint="eastAsia"/>
                <w:b/>
                <w:color w:val="auto"/>
                <w:sz w:val="24"/>
                <w:highlight w:val="none"/>
              </w:rPr>
              <w:t>废黄河（滨海县）清水通道维护区，约9.4km</w:t>
            </w:r>
            <w:r>
              <w:rPr>
                <w:rFonts w:ascii="Times New Roman" w:eastAsia="宋体" w:hAnsi="Times New Roman" w:cs="Times New Roman"/>
                <w:bCs/>
                <w:color w:val="auto"/>
                <w:sz w:val="24"/>
                <w:highlight w:val="none"/>
              </w:rPr>
              <w:t>，不在</w:t>
            </w:r>
            <w:r>
              <w:rPr>
                <w:rFonts w:ascii="Times New Roman" w:eastAsia="宋体" w:hAnsi="Times New Roman" w:cs="Times New Roman"/>
                <w:color w:val="auto"/>
                <w:sz w:val="24"/>
                <w:highlight w:val="none"/>
              </w:rPr>
              <w:t>江苏省生态空间管控区域</w:t>
            </w:r>
            <w:r>
              <w:rPr>
                <w:rFonts w:ascii="Times New Roman" w:eastAsia="宋体" w:hAnsi="Times New Roman" w:cs="Times New Roman"/>
                <w:bCs/>
                <w:color w:val="auto"/>
                <w:sz w:val="24"/>
                <w:highlight w:val="none"/>
              </w:rPr>
              <w:t>范围内，故本项目符合</w:t>
            </w:r>
            <w:r>
              <w:rPr>
                <w:rFonts w:ascii="Times New Roman" w:eastAsia="宋体" w:hAnsi="Times New Roman" w:cs="Times New Roman"/>
                <w:color w:val="auto"/>
                <w:sz w:val="24"/>
                <w:highlight w:val="none"/>
              </w:rPr>
              <w:t>江苏省生态空间管控区域</w:t>
            </w:r>
            <w:r>
              <w:rPr>
                <w:rFonts w:ascii="Times New Roman" w:eastAsia="宋体" w:hAnsi="Times New Roman" w:cs="Times New Roman"/>
                <w:bCs/>
                <w:color w:val="auto"/>
                <w:sz w:val="24"/>
                <w:highlight w:val="none"/>
              </w:rPr>
              <w:t>保护规划要求。</w:t>
            </w:r>
          </w:p>
          <w:p>
            <w:pPr>
              <w:adjustRightInd w:val="0"/>
              <w:snapToGrid w:val="0"/>
              <w:spacing w:line="360" w:lineRule="auto"/>
              <w:ind w:firstLine="480" w:firstLineChars="200"/>
              <w:textAlignment w:val="baseline"/>
              <w:rPr>
                <w:color w:val="auto"/>
                <w:sz w:val="24"/>
                <w:highlight w:val="none"/>
              </w:rPr>
            </w:pPr>
            <w:r>
              <w:rPr>
                <w:rFonts w:ascii="Times New Roman" w:eastAsia="宋体" w:hAnsi="Times New Roman" w:cs="Times New Roman"/>
                <w:color w:val="auto"/>
                <w:sz w:val="24"/>
                <w:highlight w:val="none"/>
              </w:rPr>
              <w:t>对照《省政府关于印发江苏省</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三线一单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生态环境分区管控方案的通知》</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苏政发</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2020</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49号</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，本项目所在地属于重点管控单元，属于淮河流域、沿海地区。</w:t>
            </w:r>
          </w:p>
          <w:p>
            <w:pPr>
              <w:ind w:firstLine="480" w:firstLineChars="200"/>
              <w:contextualSpacing/>
              <w:jc w:val="center"/>
              <w:rPr>
                <w:b/>
                <w:color w:val="auto"/>
                <w:spacing w:val="-8"/>
                <w:sz w:val="24"/>
                <w:highlight w:val="none"/>
              </w:rPr>
            </w:pPr>
            <w:r>
              <w:rPr>
                <w:rFonts w:ascii="Times New Roman" w:eastAsia="宋体" w:hAnsi="Times New Roman" w:cs="Times New Roman"/>
                <w:b/>
                <w:color w:val="auto"/>
                <w:spacing w:val="-8"/>
                <w:sz w:val="24"/>
                <w:highlight w:val="none"/>
              </w:rPr>
              <w:t>表</w:t>
            </w:r>
            <w:r>
              <w:rPr>
                <w:rFonts w:ascii="Times New Roman" w:eastAsia="宋体" w:hAnsi="Times New Roman" w:cs="Times New Roman" w:hint="eastAsia"/>
                <w:b/>
                <w:color w:val="auto"/>
                <w:spacing w:val="-8"/>
                <w:sz w:val="24"/>
                <w:highlight w:val="none"/>
              </w:rPr>
              <w:t>1-1</w:t>
            </w:r>
            <w:r>
              <w:rPr>
                <w:rFonts w:ascii="Times New Roman" w:eastAsia="宋体" w:hAnsi="Times New Roman" w:cs="Times New Roman"/>
                <w:b/>
                <w:color w:val="auto"/>
                <w:spacing w:val="-8"/>
                <w:sz w:val="24"/>
                <w:highlight w:val="none"/>
              </w:rPr>
              <w:t xml:space="preserve"> 与苏政发</w:t>
            </w:r>
            <w:r>
              <w:rPr>
                <w:rFonts w:ascii="Times New Roman" w:eastAsia="宋体" w:hAnsi="Times New Roman" w:cs="Times New Roman" w:hint="eastAsia"/>
                <w:b/>
                <w:color w:val="auto"/>
                <w:spacing w:val="-8"/>
                <w:sz w:val="24"/>
                <w:highlight w:val="none"/>
                <w:lang w:eastAsia="zh-CN"/>
              </w:rPr>
              <w:t>〔</w:t>
            </w:r>
            <w:r>
              <w:rPr>
                <w:rFonts w:ascii="Times New Roman" w:eastAsia="宋体" w:hAnsi="Times New Roman" w:cs="Times New Roman"/>
                <w:b/>
                <w:color w:val="auto"/>
                <w:spacing w:val="-8"/>
                <w:sz w:val="24"/>
                <w:highlight w:val="none"/>
              </w:rPr>
              <w:t>2020</w:t>
            </w:r>
            <w:r>
              <w:rPr>
                <w:rFonts w:ascii="Times New Roman" w:eastAsia="宋体" w:hAnsi="Times New Roman" w:cs="Times New Roman" w:hint="eastAsia"/>
                <w:b/>
                <w:color w:val="auto"/>
                <w:spacing w:val="-8"/>
                <w:sz w:val="24"/>
                <w:highlight w:val="none"/>
                <w:lang w:eastAsia="zh-CN"/>
              </w:rPr>
              <w:t>〕</w:t>
            </w:r>
            <w:r>
              <w:rPr>
                <w:rFonts w:ascii="Times New Roman" w:eastAsia="宋体" w:hAnsi="Times New Roman" w:cs="Times New Roman"/>
                <w:b/>
                <w:color w:val="auto"/>
                <w:spacing w:val="-8"/>
                <w:sz w:val="24"/>
                <w:highlight w:val="none"/>
              </w:rPr>
              <w:t>49号</w:t>
            </w:r>
            <w:r>
              <w:rPr>
                <w:rFonts w:ascii="Times New Roman" w:eastAsia="宋体" w:hAnsi="Times New Roman" w:cs="Times New Roman" w:hint="eastAsia"/>
                <w:b/>
                <w:color w:val="auto"/>
                <w:spacing w:val="-8"/>
                <w:sz w:val="24"/>
                <w:highlight w:val="none"/>
              </w:rPr>
              <w:t>江苏省省域生态环境管控要求</w:t>
            </w:r>
            <w:r>
              <w:rPr>
                <w:rFonts w:ascii="Times New Roman" w:eastAsia="宋体" w:hAnsi="Times New Roman" w:cs="Times New Roman"/>
                <w:b/>
                <w:color w:val="auto"/>
                <w:spacing w:val="-8"/>
                <w:sz w:val="24"/>
                <w:highlight w:val="none"/>
              </w:rPr>
              <w:t>相符性一览表</w:t>
            </w:r>
          </w:p>
          <w:tbl>
            <w:tblPr>
              <w:tblStyle w:val="TableNormal"/>
              <w:tblpPr w:leftFromText="180" w:rightFromText="180" w:vertAnchor="text" w:tblpXSpec="center" w:tblpY="1"/>
              <w:tblOverlap w:val="never"/>
              <w:tblW w:w="4999"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804"/>
              <w:gridCol w:w="5680"/>
              <w:gridCol w:w="1842"/>
            </w:tblGrid>
            <w:tr>
              <w:tblPrEx>
                <w:tblW w:w="4999"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3"/>
              </w:trPr>
              <w:tc>
                <w:tcPr>
                  <w:tcW w:w="483"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管控类别</w:t>
                  </w:r>
                </w:p>
              </w:tc>
              <w:tc>
                <w:tcPr>
                  <w:tcW w:w="3410"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重点管控要求</w:t>
                  </w:r>
                </w:p>
              </w:tc>
              <w:tc>
                <w:tcPr>
                  <w:tcW w:w="1106"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本项目符合性说明</w:t>
                  </w:r>
                </w:p>
              </w:tc>
            </w:tr>
            <w:tr>
              <w:tblPrEx>
                <w:tblW w:w="4999" w:type="pct"/>
                <w:tblInd w:w="5" w:type="dxa"/>
                <w:tblCellMar>
                  <w:top w:w="0" w:type="dxa"/>
                  <w:left w:w="108" w:type="dxa"/>
                  <w:bottom w:w="0" w:type="dxa"/>
                  <w:right w:w="108" w:type="dxa"/>
                </w:tblCellMar>
              </w:tblPrEx>
              <w:trPr>
                <w:trHeight w:val="23"/>
              </w:trPr>
              <w:tc>
                <w:tcPr>
                  <w:tcW w:w="48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空间布局约束</w:t>
                  </w:r>
                </w:p>
              </w:tc>
              <w:tc>
                <w:tcPr>
                  <w:tcW w:w="3410"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1</w:t>
                  </w:r>
                  <w:r>
                    <w:rPr>
                      <w:rFonts w:ascii="Times New Roman" w:eastAsia="宋体" w:hAnsi="Times New Roman" w:cs="Times New Roman" w:hint="eastAsia"/>
                      <w:color w:val="auto"/>
                      <w:szCs w:val="21"/>
                      <w:highlight w:val="none"/>
                    </w:rPr>
                    <w:t>.</w:t>
                  </w:r>
                  <w:r>
                    <w:rPr>
                      <w:rFonts w:ascii="Times New Roman" w:eastAsia="宋体" w:hAnsi="Times New Roman" w:cs="Times New Roman"/>
                      <w:color w:val="auto"/>
                      <w:szCs w:val="21"/>
                      <w:highlight w:val="none"/>
                    </w:rPr>
                    <w:t>按照《省政府关于印发江苏省生态空间管控区域规划的通知》</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苏政发</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2020</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1号</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、《省政府关于印发江苏省国家级生态保护红线规划的通知》（苏政发〔2018</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 xml:space="preserve"> 74 号</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坚持节约优先、保护优先、自然恢复为主的方针，以改善生态环境质量为核心，以保障和维护生态功能为主线，统筹山水林田湖草一体化保护和修复，严守生态保护红线，实行最严格的生态空间管控制度，确保全省生态功能不降低、面积不减少、性质不改变，切实维护生态安全。全省陆域生态空间总面积23216.24平方公里，占全省陆域国土面积的22.49%。其中国家级生态保护红线陆域面积为8474.27 平方公里，占全省陆域国土面积的8.21%;生态空间管控区域面积为14741.97平方公里，占全省陆域国土面积的 14.28%。</w:t>
                  </w:r>
                </w:p>
                <w:p>
                  <w:pPr>
                    <w:spacing w:after="0"/>
                    <w:jc w:val="center"/>
                    <w:rPr>
                      <w:color w:val="auto"/>
                      <w:szCs w:val="21"/>
                      <w:highlight w:val="none"/>
                    </w:rPr>
                  </w:pPr>
                  <w:r>
                    <w:rPr>
                      <w:rFonts w:ascii="Times New Roman" w:eastAsia="宋体" w:hAnsi="Times New Roman" w:cs="Times New Roman"/>
                      <w:color w:val="auto"/>
                      <w:szCs w:val="21"/>
                      <w:highlight w:val="none"/>
                    </w:rPr>
                    <w:t>2</w:t>
                  </w:r>
                  <w:r>
                    <w:rPr>
                      <w:rFonts w:ascii="Times New Roman" w:eastAsia="宋体" w:hAnsi="Times New Roman" w:cs="Times New Roman" w:hint="eastAsia"/>
                      <w:color w:val="auto"/>
                      <w:szCs w:val="21"/>
                      <w:highlight w:val="none"/>
                    </w:rPr>
                    <w:t>.</w:t>
                  </w:r>
                  <w:r>
                    <w:rPr>
                      <w:rFonts w:ascii="Times New Roman" w:eastAsia="宋体" w:hAnsi="Times New Roman" w:cs="Times New Roman"/>
                      <w:color w:val="auto"/>
                      <w:szCs w:val="21"/>
                      <w:highlight w:val="none"/>
                    </w:rPr>
                    <w:t>牢牢把握推动长江经济带发展</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共抓大保护，不搞大开发</w:t>
                  </w:r>
                  <w:r>
                    <w:rPr>
                      <w:rFonts w:ascii="Times New Roman" w:eastAsia="宋体" w:hAnsi="Times New Roman" w:cs="Times New Roman" w:hint="eastAsia"/>
                      <w:color w:val="auto"/>
                      <w:szCs w:val="21"/>
                      <w:highlight w:val="none"/>
                      <w:lang w:eastAsia="zh-CN"/>
                    </w:rPr>
                    <w:t>”</w:t>
                  </w:r>
                </w:p>
              </w:tc>
              <w:tc>
                <w:tcPr>
                  <w:tcW w:w="1106"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本项目不在生态红线区域范围内；不在长江流域范围；本项目不属于化工企业；不属于钢铁行业；不属于重大民生项目、重大基础设施项目</w:t>
                  </w:r>
                </w:p>
              </w:tc>
            </w:tr>
          </w:tbl>
          <w:p/>
        </w:tc>
      </w:tr>
    </w:tbl>
    <w:p>
      <w:pPr>
        <w:sectPr>
          <w:footerReference w:type="even" r:id="rId12"/>
          <w:footerReference w:type="default" r:id="rId13"/>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tbl>
            <w:tblPr>
              <w:tblStyle w:val="TableNormal"/>
              <w:tblpPr w:leftFromText="180" w:rightFromText="180" w:vertAnchor="text" w:tblpXSpec="center" w:tblpY="1"/>
              <w:tblOverlap w:val="never"/>
              <w:tblW w:w="4999"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804"/>
              <w:gridCol w:w="5680"/>
              <w:gridCol w:w="1842"/>
            </w:tblGrid>
            <w:tr>
              <w:tblPrEx>
                <w:tblW w:w="4999"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3"/>
              </w:trPr>
              <w:tc>
                <w:tcPr>
                  <w:tcW w:w="483" w:type="pct"/>
                  <w:tcBorders>
                    <w:tl2br w:val="nil"/>
                    <w:tr2bl w:val="nil"/>
                  </w:tcBorders>
                  <w:vAlign w:val="center"/>
                </w:tcPr>
                <w:p/>
              </w:tc>
              <w:tc>
                <w:tcPr>
                  <w:tcW w:w="3410" w:type="pct"/>
                  <w:tcBorders>
                    <w:tl2br w:val="nil"/>
                    <w:tr2bl w:val="nil"/>
                  </w:tcBorders>
                  <w:vAlign w:val="center"/>
                </w:tcPr>
                <w:p>
                  <w:pPr>
                    <w:spacing w:before="0"/>
                    <w:jc w:val="center"/>
                    <w:rPr>
                      <w:color w:val="auto"/>
                      <w:szCs w:val="21"/>
                      <w:highlight w:val="none"/>
                    </w:rPr>
                  </w:pPr>
                  <w:r>
                    <w:rPr>
                      <w:rFonts w:ascii="Times New Roman" w:eastAsia="宋体" w:hAnsi="Times New Roman" w:cs="Times New Roman"/>
                      <w:color w:val="auto"/>
                      <w:szCs w:val="21"/>
                      <w:highlight w:val="none"/>
                    </w:rPr>
                    <w:t>战略导向，对省域范围内需要重点保护的岸线、河段和区域实行严格管控，管住控好排放量大、耗能高、产能过剩的产业，推动长江经济带高质量发展。</w:t>
                  </w:r>
                </w:p>
                <w:p>
                  <w:pPr>
                    <w:jc w:val="center"/>
                    <w:rPr>
                      <w:color w:val="auto"/>
                      <w:szCs w:val="21"/>
                      <w:highlight w:val="none"/>
                    </w:rPr>
                  </w:pPr>
                  <w:r>
                    <w:rPr>
                      <w:rFonts w:ascii="Times New Roman" w:eastAsia="宋体" w:hAnsi="Times New Roman" w:cs="Times New Roman"/>
                      <w:color w:val="auto"/>
                      <w:szCs w:val="21"/>
                      <w:highlight w:val="none"/>
                    </w:rPr>
                    <w:t>3.大幅压减沿长江干支流两侧 1 公里范围内、环境敏感区域、城镇人口密集区、化工园区外和规模以下化工生产企业，着力破解</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重化围江</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突出问题，高起点同步推进沿江地区战略性转型和沿海地区战略性布局。</w:t>
                  </w:r>
                </w:p>
                <w:p>
                  <w:pPr>
                    <w:jc w:val="center"/>
                    <w:rPr>
                      <w:color w:val="auto"/>
                      <w:szCs w:val="21"/>
                      <w:highlight w:val="none"/>
                    </w:rPr>
                  </w:pPr>
                  <w:r>
                    <w:rPr>
                      <w:rFonts w:ascii="Times New Roman" w:eastAsia="宋体" w:hAnsi="Times New Roman" w:cs="Times New Roman"/>
                      <w:color w:val="auto"/>
                      <w:szCs w:val="21"/>
                      <w:highlight w:val="none"/>
                    </w:rPr>
                    <w:t>4.全省钢铁行业坚持布局调整和产能整合相结合，坚持企业搬迁与转型升级相结合，鼓励有条件的企业实施跨地区、跨所有制的兼并重组，高起点、高标准规划建设沿海精品钢基地，做精做优沿江特钢产业基地，加快推动全省钢铁行业转型升级优化布局。</w:t>
                  </w:r>
                </w:p>
                <w:p>
                  <w:pPr>
                    <w:jc w:val="center"/>
                    <w:rPr>
                      <w:color w:val="auto"/>
                      <w:szCs w:val="21"/>
                      <w:highlight w:val="none"/>
                    </w:rPr>
                  </w:pPr>
                  <w:r>
                    <w:rPr>
                      <w:rFonts w:ascii="Times New Roman" w:eastAsia="宋体" w:hAnsi="Times New Roman" w:cs="Times New Roman"/>
                      <w:color w:val="auto"/>
                      <w:szCs w:val="21"/>
                      <w:highlight w:val="none"/>
                    </w:rPr>
                    <w:t>5.对列入国家和省规划，涉及生态保护红线和相关法定保护区的重大民生项目、重大基础设施项目（交通基础设施项目等</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，应优化空间布局（选线</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、主动避让；确实无法避让的，应采取无害化方式</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如无害化穿、跨越方式等</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，依法依规履行行政审批手续，强化减缓生态环境影响和生态补偿措施。</w:t>
                  </w:r>
                </w:p>
              </w:tc>
              <w:tc>
                <w:tcPr>
                  <w:tcW w:w="1106" w:type="pct"/>
                  <w:tcBorders>
                    <w:tl2br w:val="nil"/>
                    <w:tr2bl w:val="nil"/>
                  </w:tcBorders>
                  <w:vAlign w:val="center"/>
                </w:tcPr>
                <w:p/>
              </w:tc>
            </w:tr>
            <w:tr>
              <w:tblPrEx>
                <w:tblW w:w="4999" w:type="pct"/>
                <w:tblInd w:w="5" w:type="dxa"/>
                <w:tblCellMar>
                  <w:top w:w="0" w:type="dxa"/>
                  <w:left w:w="108" w:type="dxa"/>
                  <w:bottom w:w="0" w:type="dxa"/>
                  <w:right w:w="108" w:type="dxa"/>
                </w:tblCellMar>
              </w:tblPrEx>
              <w:trPr>
                <w:trHeight w:val="23"/>
              </w:trPr>
              <w:tc>
                <w:tcPr>
                  <w:tcW w:w="48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污染物排放管控</w:t>
                  </w:r>
                </w:p>
              </w:tc>
              <w:tc>
                <w:tcPr>
                  <w:tcW w:w="3410"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1.坚持生态环境质量只能更好、不能变坏，实施污染物总量控制，以环境容量定产业、定项目、定规模，确保开发建设行为不突破生态环境承载力。</w:t>
                  </w:r>
                </w:p>
                <w:p>
                  <w:pPr>
                    <w:jc w:val="center"/>
                    <w:rPr>
                      <w:color w:val="auto"/>
                      <w:szCs w:val="21"/>
                      <w:highlight w:val="none"/>
                    </w:rPr>
                  </w:pPr>
                  <w:r>
                    <w:rPr>
                      <w:rFonts w:ascii="Times New Roman" w:eastAsia="宋体" w:hAnsi="Times New Roman" w:cs="Times New Roman"/>
                      <w:color w:val="auto"/>
                      <w:szCs w:val="21"/>
                      <w:highlight w:val="none"/>
                    </w:rPr>
                    <w:t>2.2020年主要污染物排放总量要求:全省二氧化硫、氮氧化物、挥发性有机物、化学需氧量、氨氮、总氮、总磷排放总量分别为66.8万吨、85.4万吨、149.6万吨、91.2万吨、11.9万吨、29.2万吨、2.7万吨。</w:t>
                  </w:r>
                </w:p>
              </w:tc>
              <w:tc>
                <w:tcPr>
                  <w:tcW w:w="1106"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本项目污染物排放已申请总量</w:t>
                  </w:r>
                </w:p>
              </w:tc>
            </w:tr>
            <w:tr>
              <w:tblPrEx>
                <w:tblW w:w="4999" w:type="pct"/>
                <w:tblInd w:w="5" w:type="dxa"/>
                <w:tblCellMar>
                  <w:top w:w="0" w:type="dxa"/>
                  <w:left w:w="108" w:type="dxa"/>
                  <w:bottom w:w="0" w:type="dxa"/>
                  <w:right w:w="108" w:type="dxa"/>
                </w:tblCellMar>
              </w:tblPrEx>
              <w:trPr>
                <w:trHeight w:val="23"/>
              </w:trPr>
              <w:tc>
                <w:tcPr>
                  <w:tcW w:w="48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环境风险防控</w:t>
                  </w:r>
                </w:p>
              </w:tc>
              <w:tc>
                <w:tcPr>
                  <w:tcW w:w="3410"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1</w:t>
                  </w:r>
                  <w:r>
                    <w:rPr>
                      <w:rFonts w:ascii="Times New Roman" w:eastAsia="宋体" w:hAnsi="Times New Roman" w:cs="Times New Roman" w:hint="eastAsia"/>
                      <w:color w:val="auto"/>
                      <w:szCs w:val="21"/>
                      <w:highlight w:val="none"/>
                    </w:rPr>
                    <w:t>.</w:t>
                  </w:r>
                  <w:r>
                    <w:rPr>
                      <w:rFonts w:ascii="Times New Roman" w:eastAsia="宋体" w:hAnsi="Times New Roman" w:cs="Times New Roman"/>
                      <w:color w:val="auto"/>
                      <w:szCs w:val="21"/>
                      <w:highlight w:val="none"/>
                    </w:rPr>
                    <w:t>强化饮用水水源环境风险管控。县级以上城市全部建成应急水源或双源供水。</w:t>
                  </w:r>
                </w:p>
                <w:p>
                  <w:pPr>
                    <w:jc w:val="center"/>
                    <w:rPr>
                      <w:color w:val="auto"/>
                      <w:szCs w:val="21"/>
                      <w:highlight w:val="none"/>
                    </w:rPr>
                  </w:pPr>
                  <w:r>
                    <w:rPr>
                      <w:rFonts w:ascii="Times New Roman" w:eastAsia="宋体" w:hAnsi="Times New Roman" w:cs="Times New Roman"/>
                      <w:color w:val="auto"/>
                      <w:szCs w:val="21"/>
                      <w:highlight w:val="none"/>
                    </w:rPr>
                    <w:t>2</w:t>
                  </w:r>
                  <w:r>
                    <w:rPr>
                      <w:rFonts w:ascii="Times New Roman" w:eastAsia="宋体" w:hAnsi="Times New Roman" w:cs="Times New Roman" w:hint="eastAsia"/>
                      <w:color w:val="auto"/>
                      <w:szCs w:val="21"/>
                      <w:highlight w:val="none"/>
                    </w:rPr>
                    <w:t>.</w:t>
                  </w:r>
                  <w:r>
                    <w:rPr>
                      <w:rFonts w:ascii="Times New Roman" w:eastAsia="宋体" w:hAnsi="Times New Roman" w:cs="Times New Roman"/>
                      <w:color w:val="auto"/>
                      <w:szCs w:val="21"/>
                      <w:highlight w:val="none"/>
                    </w:rPr>
                    <w:t>强化化工行业环境风险管控。重点加强化学工业园区、涉及大宗危化品使用企业、贮存和运输危化品的港口码头、尾矿库、集中式污水处理厂、危废处理企业的环境风险防控：严厉打击危险废物非法转移、处置和倾倒行为；加强关闭搬迁化工企业及遗留地块的调查评估、风险管控、治理修复。</w:t>
                  </w:r>
                </w:p>
                <w:p>
                  <w:pPr>
                    <w:jc w:val="center"/>
                    <w:rPr>
                      <w:color w:val="auto"/>
                      <w:szCs w:val="21"/>
                      <w:highlight w:val="none"/>
                    </w:rPr>
                  </w:pPr>
                  <w:r>
                    <w:rPr>
                      <w:rFonts w:ascii="Times New Roman" w:eastAsia="宋体" w:hAnsi="Times New Roman" w:cs="Times New Roman"/>
                      <w:color w:val="auto"/>
                      <w:szCs w:val="21"/>
                      <w:highlight w:val="none"/>
                    </w:rPr>
                    <w:t>3</w:t>
                  </w:r>
                  <w:r>
                    <w:rPr>
                      <w:rFonts w:ascii="Times New Roman" w:eastAsia="宋体" w:hAnsi="Times New Roman" w:cs="Times New Roman" w:hint="eastAsia"/>
                      <w:color w:val="auto"/>
                      <w:szCs w:val="21"/>
                      <w:highlight w:val="none"/>
                    </w:rPr>
                    <w:t>.</w:t>
                  </w:r>
                  <w:r>
                    <w:rPr>
                      <w:rFonts w:ascii="Times New Roman" w:eastAsia="宋体" w:hAnsi="Times New Roman" w:cs="Times New Roman"/>
                      <w:color w:val="auto"/>
                      <w:szCs w:val="21"/>
                      <w:highlight w:val="none"/>
                    </w:rPr>
                    <w:t>强化环境事故应急管理。深化跨部门、跨区域环境应急协调联动，分区域建立环境应急物资储备库。各级工业园区（集聚区）和企业的环境应急装备和储备物资应纳入储备体系。</w:t>
                  </w:r>
                </w:p>
                <w:p>
                  <w:pPr>
                    <w:jc w:val="center"/>
                    <w:rPr>
                      <w:color w:val="auto"/>
                      <w:szCs w:val="21"/>
                      <w:highlight w:val="none"/>
                    </w:rPr>
                  </w:pPr>
                  <w:r>
                    <w:rPr>
                      <w:rFonts w:ascii="Times New Roman" w:eastAsia="宋体" w:hAnsi="Times New Roman" w:cs="Times New Roman"/>
                      <w:color w:val="auto"/>
                      <w:szCs w:val="21"/>
                      <w:highlight w:val="none"/>
                    </w:rPr>
                    <w:t>4</w:t>
                  </w:r>
                  <w:r>
                    <w:rPr>
                      <w:rFonts w:ascii="Times New Roman" w:eastAsia="宋体" w:hAnsi="Times New Roman" w:cs="Times New Roman" w:hint="eastAsia"/>
                      <w:color w:val="auto"/>
                      <w:szCs w:val="21"/>
                      <w:highlight w:val="none"/>
                    </w:rPr>
                    <w:t>.</w:t>
                  </w:r>
                  <w:r>
                    <w:rPr>
                      <w:rFonts w:ascii="Times New Roman" w:eastAsia="宋体" w:hAnsi="Times New Roman" w:cs="Times New Roman"/>
                      <w:color w:val="auto"/>
                      <w:szCs w:val="21"/>
                      <w:highlight w:val="none"/>
                    </w:rPr>
                    <w:t>强化环境风险防控能力建设。按照统一信息平台、统一监管力度、统一应急等级、协同应急救援的思路，在沿江发展带、沿海发展带、环太湖等地区构建区域性环境风险预警应急响应机制，实施区域突发环境风险预警联防联控。</w:t>
                  </w:r>
                </w:p>
              </w:tc>
              <w:tc>
                <w:tcPr>
                  <w:tcW w:w="1106"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本项目不涉及饮用水源地；不属于化工行业；本环评建议企业投产后编制应急预案</w:t>
                  </w:r>
                </w:p>
              </w:tc>
            </w:tr>
            <w:tr>
              <w:tblPrEx>
                <w:tblW w:w="4999" w:type="pct"/>
                <w:tblInd w:w="5" w:type="dxa"/>
                <w:tblCellMar>
                  <w:top w:w="0" w:type="dxa"/>
                  <w:left w:w="108" w:type="dxa"/>
                  <w:bottom w:w="0" w:type="dxa"/>
                  <w:right w:w="108" w:type="dxa"/>
                </w:tblCellMar>
              </w:tblPrEx>
              <w:trPr>
                <w:trHeight w:val="23"/>
              </w:trPr>
              <w:tc>
                <w:tcPr>
                  <w:tcW w:w="48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资源利用效率要求</w:t>
                  </w:r>
                </w:p>
              </w:tc>
              <w:tc>
                <w:tcPr>
                  <w:tcW w:w="3410"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1</w:t>
                  </w:r>
                  <w:r>
                    <w:rPr>
                      <w:rFonts w:ascii="Times New Roman" w:eastAsia="宋体" w:hAnsi="Times New Roman" w:cs="Times New Roman" w:hint="eastAsia"/>
                      <w:color w:val="auto"/>
                      <w:szCs w:val="21"/>
                      <w:highlight w:val="none"/>
                    </w:rPr>
                    <w:t>.</w:t>
                  </w:r>
                  <w:r>
                    <w:rPr>
                      <w:rFonts w:ascii="Times New Roman" w:eastAsia="宋体" w:hAnsi="Times New Roman" w:cs="Times New Roman"/>
                      <w:color w:val="auto"/>
                      <w:szCs w:val="21"/>
                      <w:highlight w:val="none"/>
                    </w:rPr>
                    <w:t>水资源利用总量及效率要求：到2020年，全省用水总量不得超过524.15亿立方米。全省万元地区生产总值用水量、万元工业增加值用水量达到国家最严格水资源管理考核要求。到202</w:t>
                  </w:r>
                  <w:r>
                    <w:rPr>
                      <w:rFonts w:ascii="Times New Roman" w:eastAsia="宋体" w:hAnsi="Times New Roman" w:cs="Times New Roman" w:hint="eastAsia"/>
                      <w:color w:val="auto"/>
                      <w:szCs w:val="21"/>
                      <w:highlight w:val="none"/>
                      <w:lang w:val="en-US" w:eastAsia="zh-CN"/>
                    </w:rPr>
                    <w:t>0</w:t>
                  </w:r>
                  <w:r>
                    <w:rPr>
                      <w:rFonts w:ascii="Times New Roman" w:eastAsia="宋体" w:hAnsi="Times New Roman" w:cs="Times New Roman"/>
                      <w:color w:val="auto"/>
                      <w:szCs w:val="21"/>
                      <w:highlight w:val="none"/>
                    </w:rPr>
                    <w:t>年，全省矿井水、洗煤废水70%以上综合利用，高耗水行业达到先进定额标准，工业水循环利用率达到90%。</w:t>
                  </w:r>
                </w:p>
                <w:p>
                  <w:pPr>
                    <w:jc w:val="center"/>
                    <w:rPr>
                      <w:color w:val="auto"/>
                      <w:szCs w:val="21"/>
                      <w:highlight w:val="none"/>
                    </w:rPr>
                  </w:pPr>
                  <w:r>
                    <w:rPr>
                      <w:rFonts w:ascii="Times New Roman" w:eastAsia="宋体" w:hAnsi="Times New Roman" w:cs="Times New Roman"/>
                      <w:color w:val="auto"/>
                      <w:szCs w:val="21"/>
                      <w:highlight w:val="none"/>
                    </w:rPr>
                    <w:t>2</w:t>
                  </w:r>
                  <w:r>
                    <w:rPr>
                      <w:rFonts w:ascii="Times New Roman" w:eastAsia="宋体" w:hAnsi="Times New Roman" w:cs="Times New Roman" w:hint="eastAsia"/>
                      <w:color w:val="auto"/>
                      <w:szCs w:val="21"/>
                      <w:highlight w:val="none"/>
                    </w:rPr>
                    <w:t>.</w:t>
                  </w:r>
                  <w:r>
                    <w:rPr>
                      <w:rFonts w:ascii="Times New Roman" w:eastAsia="宋体" w:hAnsi="Times New Roman" w:cs="Times New Roman"/>
                      <w:color w:val="auto"/>
                      <w:szCs w:val="21"/>
                      <w:highlight w:val="none"/>
                    </w:rPr>
                    <w:t>土地资源总量要求:到2020年，全省耕地保有量不低于 456.87万公顷，永久基本农田保护面积不低于390.67万公顷。</w:t>
                  </w:r>
                </w:p>
                <w:p>
                  <w:pPr>
                    <w:spacing w:after="0"/>
                    <w:jc w:val="center"/>
                    <w:rPr>
                      <w:color w:val="auto"/>
                      <w:szCs w:val="21"/>
                      <w:highlight w:val="none"/>
                    </w:rPr>
                  </w:pPr>
                  <w:r>
                    <w:rPr>
                      <w:rFonts w:ascii="Times New Roman" w:eastAsia="宋体" w:hAnsi="Times New Roman" w:cs="Times New Roman"/>
                      <w:color w:val="auto"/>
                      <w:szCs w:val="21"/>
                      <w:highlight w:val="none"/>
                    </w:rPr>
                    <w:t>3</w:t>
                  </w:r>
                  <w:r>
                    <w:rPr>
                      <w:rFonts w:ascii="Times New Roman" w:eastAsia="宋体" w:hAnsi="Times New Roman" w:cs="Times New Roman" w:hint="eastAsia"/>
                      <w:color w:val="auto"/>
                      <w:szCs w:val="21"/>
                      <w:highlight w:val="none"/>
                    </w:rPr>
                    <w:t>.</w:t>
                  </w:r>
                </w:p>
              </w:tc>
              <w:tc>
                <w:tcPr>
                  <w:tcW w:w="1106"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项目生产废水经厂区污水处理站处理后回用至生产，生活污水</w:t>
                  </w:r>
                  <w:r>
                    <w:rPr>
                      <w:rFonts w:ascii="Times New Roman" w:eastAsia="宋体" w:hAnsi="Times New Roman" w:cs="Times New Roman"/>
                      <w:color w:val="auto"/>
                      <w:szCs w:val="21"/>
                      <w:highlight w:val="none"/>
                    </w:rPr>
                    <w:t>经</w:t>
                  </w:r>
                  <w:r>
                    <w:rPr>
                      <w:rFonts w:ascii="Times New Roman" w:eastAsia="宋体" w:hAnsi="Times New Roman" w:cs="Times New Roman" w:hint="eastAsia"/>
                      <w:color w:val="auto"/>
                      <w:szCs w:val="21"/>
                      <w:highlight w:val="none"/>
                    </w:rPr>
                    <w:t>地埋一体化污水处理设施</w:t>
                  </w:r>
                  <w:r>
                    <w:rPr>
                      <w:rFonts w:ascii="Times New Roman" w:eastAsia="宋体" w:hAnsi="Times New Roman" w:cs="Times New Roman"/>
                      <w:color w:val="auto"/>
                      <w:szCs w:val="21"/>
                      <w:highlight w:val="none"/>
                    </w:rPr>
                    <w:t>处理</w:t>
                  </w:r>
                  <w:r>
                    <w:rPr>
                      <w:rFonts w:ascii="Times New Roman" w:eastAsia="宋体" w:hAnsi="Times New Roman" w:cs="Times New Roman" w:hint="eastAsia"/>
                      <w:color w:val="auto"/>
                      <w:szCs w:val="21"/>
                      <w:highlight w:val="none"/>
                      <w:lang w:val="en-US" w:eastAsia="zh-CN"/>
                    </w:rPr>
                    <w:t>达标</w:t>
                  </w:r>
                  <w:r>
                    <w:rPr>
                      <w:rFonts w:ascii="Times New Roman" w:eastAsia="宋体" w:hAnsi="Times New Roman" w:cs="Times New Roman"/>
                      <w:color w:val="auto"/>
                      <w:szCs w:val="21"/>
                      <w:highlight w:val="none"/>
                    </w:rPr>
                    <w:t>后</w:t>
                  </w:r>
                  <w:r>
                    <w:rPr>
                      <w:rFonts w:ascii="Times New Roman" w:eastAsia="宋体" w:hAnsi="Times New Roman" w:cs="Times New Roman" w:hint="eastAsia"/>
                      <w:color w:val="auto"/>
                      <w:szCs w:val="21"/>
                      <w:highlight w:val="none"/>
                      <w:lang w:val="en-US" w:eastAsia="zh-CN"/>
                    </w:rPr>
                    <w:t>接管</w:t>
                  </w:r>
                  <w:r>
                    <w:rPr>
                      <w:rFonts w:ascii="Times New Roman" w:eastAsia="宋体" w:hAnsi="Times New Roman" w:cs="Times New Roman"/>
                      <w:color w:val="auto"/>
                      <w:szCs w:val="21"/>
                      <w:highlight w:val="none"/>
                    </w:rPr>
                    <w:t>；土地利用性质为工业用地，不占用耕地；不在禁燃区范围内。</w:t>
                  </w:r>
                </w:p>
              </w:tc>
            </w:tr>
          </w:tbl>
          <w:p/>
        </w:tc>
      </w:tr>
    </w:tbl>
    <w:p>
      <w:pPr>
        <w:sectPr>
          <w:footerReference w:type="even" r:id="rId14"/>
          <w:footerReference w:type="default" r:id="rId15"/>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tbl>
            <w:tblPr>
              <w:tblStyle w:val="TableNormal"/>
              <w:tblpPr w:leftFromText="180" w:rightFromText="180" w:vertAnchor="text" w:tblpXSpec="center" w:tblpY="1"/>
              <w:tblOverlap w:val="never"/>
              <w:tblW w:w="4999"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804"/>
              <w:gridCol w:w="5680"/>
              <w:gridCol w:w="1842"/>
            </w:tblGrid>
            <w:tr>
              <w:tblPrEx>
                <w:tblW w:w="4999"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3"/>
              </w:trPr>
              <w:tc>
                <w:tcPr>
                  <w:tcW w:w="483" w:type="pct"/>
                  <w:tcBorders>
                    <w:tl2br w:val="nil"/>
                    <w:tr2bl w:val="nil"/>
                  </w:tcBorders>
                  <w:vAlign w:val="center"/>
                </w:tcPr>
                <w:p/>
              </w:tc>
              <w:tc>
                <w:tcPr>
                  <w:tcW w:w="3410" w:type="pct"/>
                  <w:tcBorders>
                    <w:tl2br w:val="nil"/>
                    <w:tr2bl w:val="nil"/>
                  </w:tcBorders>
                  <w:vAlign w:val="center"/>
                </w:tcPr>
                <w:p>
                  <w:pPr>
                    <w:spacing w:before="0"/>
                    <w:jc w:val="center"/>
                    <w:rPr>
                      <w:color w:val="auto"/>
                      <w:szCs w:val="21"/>
                      <w:highlight w:val="none"/>
                    </w:rPr>
                  </w:pPr>
                  <w:r>
                    <w:rPr>
                      <w:rFonts w:ascii="Times New Roman" w:eastAsia="宋体" w:hAnsi="Times New Roman" w:cs="Times New Roman"/>
                      <w:color w:val="auto"/>
                      <w:szCs w:val="21"/>
                      <w:highlight w:val="none"/>
                    </w:rPr>
                    <w:t>禁燃区要求：在禁燃区内，禁止销售、燃用高污染燃料；禁止新建、扩建燃用高污染燃料的设施，已建成的，应当在城市人民政府规定的期限内改用天然气、页岩气、液化石油气、电或者其他清洁能源。</w:t>
                  </w:r>
                </w:p>
              </w:tc>
              <w:tc>
                <w:tcPr>
                  <w:tcW w:w="1106" w:type="pct"/>
                  <w:tcBorders>
                    <w:tl2br w:val="nil"/>
                    <w:tr2bl w:val="nil"/>
                  </w:tcBorders>
                  <w:vAlign w:val="center"/>
                </w:tcPr>
                <w:p>
                  <w:pPr>
                    <w:jc w:val="center"/>
                    <w:rPr>
                      <w:color w:val="auto"/>
                      <w:szCs w:val="21"/>
                      <w:highlight w:val="none"/>
                    </w:rPr>
                  </w:pPr>
                </w:p>
              </w:tc>
            </w:tr>
          </w:tbl>
          <w:p>
            <w:pPr>
              <w:contextualSpacing/>
              <w:jc w:val="center"/>
              <w:rPr>
                <w:b/>
                <w:color w:val="auto"/>
                <w:spacing w:val="-8"/>
                <w:sz w:val="24"/>
                <w:highlight w:val="none"/>
              </w:rPr>
            </w:pPr>
            <w:r>
              <w:rPr>
                <w:rFonts w:ascii="Times New Roman" w:eastAsia="宋体" w:hAnsi="Times New Roman" w:cs="Times New Roman"/>
                <w:b/>
                <w:color w:val="auto"/>
                <w:spacing w:val="-8"/>
                <w:sz w:val="24"/>
                <w:highlight w:val="none"/>
              </w:rPr>
              <w:t>表</w:t>
            </w:r>
            <w:r>
              <w:rPr>
                <w:rFonts w:ascii="Times New Roman" w:eastAsia="宋体" w:hAnsi="Times New Roman" w:cs="Times New Roman" w:hint="eastAsia"/>
                <w:b/>
                <w:color w:val="auto"/>
                <w:spacing w:val="-8"/>
                <w:sz w:val="24"/>
                <w:highlight w:val="none"/>
              </w:rPr>
              <w:t>1-2</w:t>
            </w:r>
            <w:r>
              <w:rPr>
                <w:rFonts w:ascii="Times New Roman" w:eastAsia="宋体" w:hAnsi="Times New Roman" w:cs="Times New Roman"/>
                <w:b/>
                <w:color w:val="auto"/>
                <w:spacing w:val="-8"/>
                <w:sz w:val="24"/>
                <w:highlight w:val="none"/>
              </w:rPr>
              <w:t xml:space="preserve"> 与苏政发</w:t>
            </w:r>
            <w:r>
              <w:rPr>
                <w:rFonts w:ascii="Times New Roman" w:eastAsia="宋体" w:hAnsi="Times New Roman" w:cs="Times New Roman" w:hint="eastAsia"/>
                <w:b/>
                <w:color w:val="auto"/>
                <w:spacing w:val="-8"/>
                <w:sz w:val="24"/>
                <w:highlight w:val="none"/>
                <w:lang w:eastAsia="zh-CN"/>
              </w:rPr>
              <w:t>〔</w:t>
            </w:r>
            <w:r>
              <w:rPr>
                <w:rFonts w:ascii="Times New Roman" w:eastAsia="宋体" w:hAnsi="Times New Roman" w:cs="Times New Roman"/>
                <w:b/>
                <w:color w:val="auto"/>
                <w:spacing w:val="-8"/>
                <w:sz w:val="24"/>
                <w:highlight w:val="none"/>
              </w:rPr>
              <w:t>2020</w:t>
            </w:r>
            <w:r>
              <w:rPr>
                <w:rFonts w:ascii="Times New Roman" w:eastAsia="宋体" w:hAnsi="Times New Roman" w:cs="Times New Roman" w:hint="eastAsia"/>
                <w:b/>
                <w:color w:val="auto"/>
                <w:spacing w:val="-8"/>
                <w:sz w:val="24"/>
                <w:highlight w:val="none"/>
                <w:lang w:eastAsia="zh-CN"/>
              </w:rPr>
              <w:t>〕</w:t>
            </w:r>
            <w:r>
              <w:rPr>
                <w:rFonts w:ascii="Times New Roman" w:eastAsia="宋体" w:hAnsi="Times New Roman" w:cs="Times New Roman"/>
                <w:b/>
                <w:color w:val="auto"/>
                <w:spacing w:val="-8"/>
                <w:sz w:val="24"/>
                <w:highlight w:val="none"/>
              </w:rPr>
              <w:t>49号</w:t>
            </w:r>
            <w:r>
              <w:rPr>
                <w:rFonts w:ascii="Times New Roman" w:eastAsia="宋体" w:hAnsi="Times New Roman" w:cs="Times New Roman" w:hint="eastAsia"/>
                <w:b/>
                <w:color w:val="auto"/>
                <w:spacing w:val="-8"/>
                <w:sz w:val="24"/>
                <w:highlight w:val="none"/>
              </w:rPr>
              <w:t>江苏省重点区域（流域）生态环境分区管控要求</w:t>
            </w:r>
            <w:r>
              <w:rPr>
                <w:rFonts w:ascii="Times New Roman" w:eastAsia="宋体" w:hAnsi="Times New Roman" w:cs="Times New Roman"/>
                <w:b/>
                <w:color w:val="auto"/>
                <w:spacing w:val="-8"/>
                <w:sz w:val="24"/>
                <w:highlight w:val="none"/>
              </w:rPr>
              <w:t>相符性一览表</w:t>
            </w:r>
          </w:p>
          <w:tbl>
            <w:tblPr>
              <w:tblStyle w:val="TableNormal"/>
              <w:tblpPr w:leftFromText="180" w:rightFromText="180" w:vertAnchor="text" w:tblpXSpec="center" w:tblpY="1"/>
              <w:tblOverlap w:val="never"/>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977"/>
              <w:gridCol w:w="5092"/>
              <w:gridCol w:w="2256"/>
            </w:tblGrid>
            <w:tr>
              <w:tblPrEx>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83"/>
                <w:jc w:val="center"/>
              </w:trPr>
              <w:tc>
                <w:tcPr>
                  <w:tcW w:w="587"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管控类别</w:t>
                  </w:r>
                </w:p>
              </w:tc>
              <w:tc>
                <w:tcPr>
                  <w:tcW w:w="3058"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重点管控要求</w:t>
                  </w:r>
                </w:p>
              </w:tc>
              <w:tc>
                <w:tcPr>
                  <w:tcW w:w="1353"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本项目符合性说明</w:t>
                  </w:r>
                </w:p>
              </w:tc>
            </w:tr>
            <w:tr>
              <w:tblPrEx>
                <w:tblW w:w="4998" w:type="pct"/>
                <w:jc w:val="center"/>
                <w:tblCellMar>
                  <w:top w:w="0" w:type="dxa"/>
                  <w:left w:w="108" w:type="dxa"/>
                  <w:bottom w:w="0" w:type="dxa"/>
                  <w:right w:w="108" w:type="dxa"/>
                </w:tblCellMar>
              </w:tblPrEx>
              <w:trPr>
                <w:trHeight w:val="283"/>
                <w:jc w:val="center"/>
              </w:trPr>
              <w:tc>
                <w:tcPr>
                  <w:tcW w:w="5000" w:type="pct"/>
                  <w:gridSpan w:val="3"/>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一、淮河流域</w:t>
                  </w:r>
                </w:p>
              </w:tc>
            </w:tr>
            <w:tr>
              <w:tblPrEx>
                <w:tblW w:w="4998" w:type="pct"/>
                <w:jc w:val="center"/>
                <w:tblCellMar>
                  <w:top w:w="0" w:type="dxa"/>
                  <w:left w:w="108" w:type="dxa"/>
                  <w:bottom w:w="0" w:type="dxa"/>
                  <w:right w:w="108" w:type="dxa"/>
                </w:tblCellMar>
              </w:tblPrEx>
              <w:trPr>
                <w:trHeight w:val="283"/>
                <w:jc w:val="center"/>
              </w:trPr>
              <w:tc>
                <w:tcPr>
                  <w:tcW w:w="587"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空间布局约束</w:t>
                  </w:r>
                </w:p>
              </w:tc>
              <w:tc>
                <w:tcPr>
                  <w:tcW w:w="3058"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1．禁止在淮河流域新建化学制浆造纸企业，禁止在淮河流域新建制革、化工、印染、电镀、酿造等污染严重的小型企业。</w:t>
                  </w:r>
                </w:p>
                <w:p>
                  <w:pPr>
                    <w:jc w:val="center"/>
                    <w:rPr>
                      <w:color w:val="auto"/>
                      <w:szCs w:val="21"/>
                      <w:highlight w:val="none"/>
                    </w:rPr>
                  </w:pPr>
                  <w:r>
                    <w:rPr>
                      <w:rFonts w:ascii="Times New Roman" w:eastAsia="宋体" w:hAnsi="Times New Roman" w:cs="Times New Roman"/>
                      <w:color w:val="auto"/>
                      <w:szCs w:val="21"/>
                      <w:highlight w:val="none"/>
                    </w:rPr>
                    <w:t>2．落实《江苏省通榆河水污染防治条例》，在通榆河一级保护区、二级保护区，禁止新建、改建、扩建制浆、造纸、化工、制革、酿造、染料、印染、电镀、炼油、铅酸蓄电池和排放水污染物的黑色金属冶炼及压延加工项目、有色金属冶炼及压延加工项目、金属制品项目等污染环境的项目。</w:t>
                  </w:r>
                </w:p>
                <w:p>
                  <w:pPr>
                    <w:jc w:val="center"/>
                    <w:rPr>
                      <w:color w:val="auto"/>
                      <w:szCs w:val="21"/>
                      <w:highlight w:val="none"/>
                    </w:rPr>
                  </w:pPr>
                  <w:r>
                    <w:rPr>
                      <w:rFonts w:ascii="Times New Roman" w:eastAsia="宋体" w:hAnsi="Times New Roman" w:cs="Times New Roman"/>
                      <w:color w:val="auto"/>
                      <w:szCs w:val="21"/>
                      <w:highlight w:val="none"/>
                    </w:rPr>
                    <w:t>3．在通榆河一级保护区，禁止新建、扩建直接或者间接向水体排放污染物的项目，禁止建设工业固体废物集中贮存、利用、处置设施或者场所以及城市生活垃圾填埋场，禁止新建规模化畜禽养殖场。</w:t>
                  </w:r>
                </w:p>
              </w:tc>
              <w:tc>
                <w:tcPr>
                  <w:tcW w:w="135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本项目不属于污染严重的小型企业；不在通榆河保护区范围内。</w:t>
                  </w:r>
                </w:p>
              </w:tc>
            </w:tr>
            <w:tr>
              <w:tblPrEx>
                <w:tblW w:w="4998" w:type="pct"/>
                <w:jc w:val="center"/>
                <w:tblCellMar>
                  <w:top w:w="0" w:type="dxa"/>
                  <w:left w:w="108" w:type="dxa"/>
                  <w:bottom w:w="0" w:type="dxa"/>
                  <w:right w:w="108" w:type="dxa"/>
                </w:tblCellMar>
              </w:tblPrEx>
              <w:trPr>
                <w:trHeight w:val="283"/>
                <w:jc w:val="center"/>
              </w:trPr>
              <w:tc>
                <w:tcPr>
                  <w:tcW w:w="587"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污染物排放管控</w:t>
                  </w:r>
                </w:p>
              </w:tc>
              <w:tc>
                <w:tcPr>
                  <w:tcW w:w="3058"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按照《淮河流域水污染防治暂行条例》实施排污总量控制制度。</w:t>
                  </w:r>
                </w:p>
              </w:tc>
              <w:tc>
                <w:tcPr>
                  <w:tcW w:w="135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本项目污染物排放已申请总量</w:t>
                  </w:r>
                  <w:r>
                    <w:rPr>
                      <w:rFonts w:ascii="Times New Roman" w:eastAsia="宋体" w:hAnsi="Times New Roman" w:cs="Times New Roman" w:hint="eastAsia"/>
                      <w:color w:val="auto"/>
                      <w:szCs w:val="21"/>
                      <w:highlight w:val="none"/>
                    </w:rPr>
                    <w:t>。</w:t>
                  </w:r>
                </w:p>
              </w:tc>
            </w:tr>
            <w:tr>
              <w:tblPrEx>
                <w:tblW w:w="4998" w:type="pct"/>
                <w:jc w:val="center"/>
                <w:tblCellMar>
                  <w:top w:w="0" w:type="dxa"/>
                  <w:left w:w="108" w:type="dxa"/>
                  <w:bottom w:w="0" w:type="dxa"/>
                  <w:right w:w="108" w:type="dxa"/>
                </w:tblCellMar>
              </w:tblPrEx>
              <w:trPr>
                <w:trHeight w:val="283"/>
                <w:jc w:val="center"/>
              </w:trPr>
              <w:tc>
                <w:tcPr>
                  <w:tcW w:w="587"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环境风险防控</w:t>
                  </w:r>
                </w:p>
              </w:tc>
              <w:tc>
                <w:tcPr>
                  <w:tcW w:w="3058"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禁止运输剧毒化学品以及国家规定禁止通过内河运输的其他危险化学品的船舶进入通榆河及主要供水河道。</w:t>
                  </w:r>
                </w:p>
              </w:tc>
              <w:tc>
                <w:tcPr>
                  <w:tcW w:w="135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本项目不涉及河流运输化学品运输</w:t>
                  </w:r>
                  <w:r>
                    <w:rPr>
                      <w:rFonts w:ascii="Times New Roman" w:eastAsia="宋体" w:hAnsi="Times New Roman" w:cs="Times New Roman" w:hint="eastAsia"/>
                      <w:color w:val="auto"/>
                      <w:szCs w:val="21"/>
                      <w:highlight w:val="none"/>
                    </w:rPr>
                    <w:t>。</w:t>
                  </w:r>
                </w:p>
              </w:tc>
            </w:tr>
            <w:tr>
              <w:tblPrEx>
                <w:tblW w:w="4998" w:type="pct"/>
                <w:jc w:val="center"/>
                <w:tblCellMar>
                  <w:top w:w="0" w:type="dxa"/>
                  <w:left w:w="108" w:type="dxa"/>
                  <w:bottom w:w="0" w:type="dxa"/>
                  <w:right w:w="108" w:type="dxa"/>
                </w:tblCellMar>
              </w:tblPrEx>
              <w:trPr>
                <w:trHeight w:val="283"/>
                <w:jc w:val="center"/>
              </w:trPr>
              <w:tc>
                <w:tcPr>
                  <w:tcW w:w="587"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资源利用效率要求</w:t>
                  </w:r>
                </w:p>
              </w:tc>
              <w:tc>
                <w:tcPr>
                  <w:tcW w:w="3058"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限制缺水地区发展耗水型产业，调整缺水地区的产业结构，严格控制高耗水、高耗能和重污染的建设项目。</w:t>
                  </w:r>
                </w:p>
              </w:tc>
              <w:tc>
                <w:tcPr>
                  <w:tcW w:w="135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项目所在地不属于缺水地区，项目也不属于高耗水、高耗能以及重污染的建设项目。</w:t>
                  </w:r>
                </w:p>
              </w:tc>
            </w:tr>
            <w:tr>
              <w:tblPrEx>
                <w:tblW w:w="4998" w:type="pct"/>
                <w:jc w:val="center"/>
                <w:tblCellMar>
                  <w:top w:w="0" w:type="dxa"/>
                  <w:left w:w="108" w:type="dxa"/>
                  <w:bottom w:w="0" w:type="dxa"/>
                  <w:right w:w="108" w:type="dxa"/>
                </w:tblCellMar>
              </w:tblPrEx>
              <w:trPr>
                <w:trHeight w:val="283"/>
                <w:jc w:val="center"/>
              </w:trPr>
              <w:tc>
                <w:tcPr>
                  <w:tcW w:w="5000" w:type="pct"/>
                  <w:gridSpan w:val="3"/>
                  <w:tcBorders>
                    <w:tl2br w:val="nil"/>
                    <w:tr2bl w:val="nil"/>
                  </w:tcBorders>
                  <w:vAlign w:val="center"/>
                </w:tcPr>
                <w:p>
                  <w:pPr>
                    <w:jc w:val="center"/>
                    <w:rPr>
                      <w:color w:val="auto"/>
                      <w:szCs w:val="21"/>
                      <w:highlight w:val="none"/>
                    </w:rPr>
                  </w:pPr>
                  <w:r>
                    <w:rPr>
                      <w:rFonts w:ascii="Times New Roman" w:eastAsia="宋体" w:hAnsi="Times New Roman" w:cs="Times New Roman" w:hint="eastAsia"/>
                      <w:b/>
                      <w:bCs/>
                      <w:color w:val="auto"/>
                      <w:szCs w:val="21"/>
                      <w:highlight w:val="none"/>
                    </w:rPr>
                    <w:t>二</w:t>
                  </w:r>
                  <w:r>
                    <w:rPr>
                      <w:rFonts w:ascii="Times New Roman" w:eastAsia="宋体" w:hAnsi="Times New Roman" w:cs="Times New Roman"/>
                      <w:b/>
                      <w:bCs/>
                      <w:color w:val="auto"/>
                      <w:szCs w:val="21"/>
                      <w:highlight w:val="none"/>
                    </w:rPr>
                    <w:t>、沿海地区</w:t>
                  </w:r>
                </w:p>
              </w:tc>
            </w:tr>
            <w:tr>
              <w:tblPrEx>
                <w:tblW w:w="4998" w:type="pct"/>
                <w:jc w:val="center"/>
                <w:tblCellMar>
                  <w:top w:w="0" w:type="dxa"/>
                  <w:left w:w="108" w:type="dxa"/>
                  <w:bottom w:w="0" w:type="dxa"/>
                  <w:right w:w="108" w:type="dxa"/>
                </w:tblCellMar>
              </w:tblPrEx>
              <w:trPr>
                <w:trHeight w:val="283"/>
                <w:jc w:val="center"/>
              </w:trPr>
              <w:tc>
                <w:tcPr>
                  <w:tcW w:w="587"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空间布局约束</w:t>
                  </w:r>
                </w:p>
              </w:tc>
              <w:tc>
                <w:tcPr>
                  <w:tcW w:w="3058"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kern w:val="0"/>
                      <w:szCs w:val="21"/>
                      <w:highlight w:val="none"/>
                      <w:lang w:bidi="ar"/>
                    </w:rPr>
                    <w:t>1．禁止在沿海陆域内新建不具备有效治理措施的化学制浆造纸、化工、印染、制革、电镀、酿造、炼油、岸边冲滩拆船以及其他严重污染海洋环境的工业生产项目。</w:t>
                  </w:r>
                </w:p>
                <w:p>
                  <w:pPr>
                    <w:widowControl/>
                    <w:jc w:val="center"/>
                    <w:rPr>
                      <w:color w:val="auto"/>
                      <w:szCs w:val="21"/>
                      <w:highlight w:val="none"/>
                    </w:rPr>
                  </w:pPr>
                  <w:r>
                    <w:rPr>
                      <w:rFonts w:ascii="Times New Roman" w:eastAsia="宋体" w:hAnsi="Times New Roman" w:cs="Times New Roman"/>
                      <w:color w:val="auto"/>
                      <w:kern w:val="0"/>
                      <w:szCs w:val="21"/>
                      <w:highlight w:val="none"/>
                      <w:lang w:bidi="ar"/>
                    </w:rPr>
                    <w:t>2．沿海地区严格控制新建医药、农药和染料中间体项目。</w:t>
                  </w:r>
                </w:p>
              </w:tc>
              <w:tc>
                <w:tcPr>
                  <w:tcW w:w="135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本项目属于禁止类工业生产项目。</w:t>
                  </w:r>
                </w:p>
              </w:tc>
            </w:tr>
            <w:tr>
              <w:tblPrEx>
                <w:tblW w:w="4998" w:type="pct"/>
                <w:jc w:val="center"/>
                <w:tblCellMar>
                  <w:top w:w="0" w:type="dxa"/>
                  <w:left w:w="108" w:type="dxa"/>
                  <w:bottom w:w="0" w:type="dxa"/>
                  <w:right w:w="108" w:type="dxa"/>
                </w:tblCellMar>
              </w:tblPrEx>
              <w:trPr>
                <w:trHeight w:val="283"/>
                <w:jc w:val="center"/>
              </w:trPr>
              <w:tc>
                <w:tcPr>
                  <w:tcW w:w="587"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kern w:val="0"/>
                      <w:szCs w:val="21"/>
                      <w:highlight w:val="none"/>
                      <w:lang w:bidi="ar"/>
                    </w:rPr>
                    <w:t>污染物排放</w:t>
                  </w:r>
                </w:p>
                <w:p>
                  <w:pPr>
                    <w:widowControl/>
                    <w:jc w:val="center"/>
                    <w:rPr>
                      <w:color w:val="auto"/>
                      <w:szCs w:val="21"/>
                      <w:highlight w:val="none"/>
                    </w:rPr>
                  </w:pPr>
                  <w:r>
                    <w:rPr>
                      <w:rFonts w:ascii="Times New Roman" w:eastAsia="宋体" w:hAnsi="Times New Roman" w:cs="Times New Roman"/>
                      <w:color w:val="auto"/>
                      <w:kern w:val="0"/>
                      <w:szCs w:val="21"/>
                      <w:highlight w:val="none"/>
                      <w:lang w:bidi="ar"/>
                    </w:rPr>
                    <w:t>管控</w:t>
                  </w:r>
                </w:p>
                <w:p>
                  <w:pPr>
                    <w:jc w:val="center"/>
                    <w:rPr>
                      <w:color w:val="auto"/>
                      <w:szCs w:val="21"/>
                      <w:highlight w:val="none"/>
                    </w:rPr>
                  </w:pPr>
                </w:p>
              </w:tc>
              <w:tc>
                <w:tcPr>
                  <w:tcW w:w="3058"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kern w:val="0"/>
                      <w:szCs w:val="21"/>
                      <w:highlight w:val="none"/>
                      <w:lang w:bidi="ar"/>
                    </w:rPr>
                    <w:t>按照《江苏省海洋环境保护条例》实施重点海域排污总量控制制度。</w:t>
                  </w:r>
                </w:p>
                <w:p>
                  <w:pPr>
                    <w:widowControl/>
                    <w:jc w:val="center"/>
                    <w:rPr>
                      <w:color w:val="auto"/>
                      <w:kern w:val="0"/>
                      <w:szCs w:val="21"/>
                      <w:highlight w:val="none"/>
                      <w:lang w:bidi="ar"/>
                    </w:rPr>
                  </w:pPr>
                </w:p>
              </w:tc>
              <w:tc>
                <w:tcPr>
                  <w:tcW w:w="135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本项目不涉及。</w:t>
                  </w:r>
                </w:p>
              </w:tc>
            </w:tr>
            <w:tr>
              <w:tblPrEx>
                <w:tblW w:w="4998" w:type="pct"/>
                <w:jc w:val="center"/>
                <w:tblCellMar>
                  <w:top w:w="0" w:type="dxa"/>
                  <w:left w:w="108" w:type="dxa"/>
                  <w:bottom w:w="0" w:type="dxa"/>
                  <w:right w:w="108" w:type="dxa"/>
                </w:tblCellMar>
              </w:tblPrEx>
              <w:trPr>
                <w:trHeight w:val="283"/>
                <w:jc w:val="center"/>
              </w:trPr>
              <w:tc>
                <w:tcPr>
                  <w:tcW w:w="587"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kern w:val="0"/>
                      <w:szCs w:val="21"/>
                      <w:highlight w:val="none"/>
                      <w:lang w:bidi="ar"/>
                    </w:rPr>
                    <w:t>环境风险</w:t>
                  </w:r>
                </w:p>
                <w:p>
                  <w:pPr>
                    <w:widowControl/>
                    <w:jc w:val="center"/>
                    <w:rPr>
                      <w:color w:val="auto"/>
                      <w:szCs w:val="21"/>
                      <w:highlight w:val="none"/>
                    </w:rPr>
                  </w:pPr>
                  <w:r>
                    <w:rPr>
                      <w:rFonts w:ascii="Times New Roman" w:eastAsia="宋体" w:hAnsi="Times New Roman" w:cs="Times New Roman"/>
                      <w:color w:val="auto"/>
                      <w:kern w:val="0"/>
                      <w:szCs w:val="21"/>
                      <w:highlight w:val="none"/>
                      <w:lang w:bidi="ar"/>
                    </w:rPr>
                    <w:t>防控</w:t>
                  </w:r>
                </w:p>
                <w:p>
                  <w:pPr>
                    <w:jc w:val="center"/>
                    <w:rPr>
                      <w:color w:val="auto"/>
                      <w:szCs w:val="21"/>
                      <w:highlight w:val="none"/>
                    </w:rPr>
                  </w:pPr>
                </w:p>
              </w:tc>
              <w:tc>
                <w:tcPr>
                  <w:tcW w:w="3058"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kern w:val="0"/>
                      <w:szCs w:val="21"/>
                      <w:highlight w:val="none"/>
                      <w:lang w:bidi="ar"/>
                    </w:rPr>
                    <w:t>1．禁止向海洋倾倒汞及汞化合物、强放射性物质等国家规定的一类废弃物。</w:t>
                  </w:r>
                </w:p>
                <w:p>
                  <w:pPr>
                    <w:widowControl/>
                    <w:jc w:val="center"/>
                    <w:rPr>
                      <w:color w:val="auto"/>
                      <w:szCs w:val="21"/>
                      <w:highlight w:val="none"/>
                    </w:rPr>
                  </w:pPr>
                  <w:r>
                    <w:rPr>
                      <w:rFonts w:ascii="Times New Roman" w:eastAsia="宋体" w:hAnsi="Times New Roman" w:cs="Times New Roman"/>
                      <w:color w:val="auto"/>
                      <w:kern w:val="0"/>
                      <w:szCs w:val="21"/>
                      <w:highlight w:val="none"/>
                      <w:lang w:bidi="ar"/>
                    </w:rPr>
                    <w:t>2．加强对赤潮、浒苔绿潮、溢油、危险化学品泄漏及海洋核辐射等海上突发性海洋灾害事故的应急监视，防治突发性海洋环境灾害。</w:t>
                  </w:r>
                </w:p>
                <w:p>
                  <w:pPr>
                    <w:widowControl/>
                    <w:jc w:val="center"/>
                    <w:rPr>
                      <w:color w:val="auto"/>
                      <w:kern w:val="0"/>
                      <w:szCs w:val="21"/>
                      <w:highlight w:val="none"/>
                      <w:lang w:bidi="ar"/>
                    </w:rPr>
                  </w:pPr>
                  <w:r>
                    <w:rPr>
                      <w:rFonts w:ascii="Times New Roman" w:eastAsia="宋体" w:hAnsi="Times New Roman" w:cs="Times New Roman"/>
                      <w:color w:val="auto"/>
                      <w:kern w:val="0"/>
                      <w:szCs w:val="21"/>
                      <w:highlight w:val="none"/>
                      <w:lang w:bidi="ar"/>
                    </w:rPr>
                    <w:t>3．沿海地区应加强危险货物运输风险、船舶污染事故风险应急管控。</w:t>
                  </w:r>
                </w:p>
              </w:tc>
              <w:tc>
                <w:tcPr>
                  <w:tcW w:w="135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本项目不涉及</w:t>
                  </w:r>
                </w:p>
              </w:tc>
            </w:tr>
            <w:tr>
              <w:tblPrEx>
                <w:tblW w:w="4998" w:type="pct"/>
                <w:jc w:val="center"/>
                <w:tblCellMar>
                  <w:top w:w="0" w:type="dxa"/>
                  <w:left w:w="108" w:type="dxa"/>
                  <w:bottom w:w="0" w:type="dxa"/>
                  <w:right w:w="108" w:type="dxa"/>
                </w:tblCellMar>
              </w:tblPrEx>
              <w:trPr>
                <w:trHeight w:val="283"/>
                <w:jc w:val="center"/>
              </w:trPr>
              <w:tc>
                <w:tcPr>
                  <w:tcW w:w="587"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kern w:val="0"/>
                      <w:szCs w:val="21"/>
                      <w:highlight w:val="none"/>
                      <w:lang w:bidi="ar"/>
                    </w:rPr>
                    <w:t>资源利用</w:t>
                  </w:r>
                </w:p>
              </w:tc>
              <w:tc>
                <w:tcPr>
                  <w:tcW w:w="3058" w:type="pct"/>
                  <w:tcBorders>
                    <w:tl2br w:val="nil"/>
                    <w:tr2bl w:val="nil"/>
                  </w:tcBorders>
                  <w:vAlign w:val="center"/>
                </w:tcPr>
                <w:p>
                  <w:pPr>
                    <w:widowControl/>
                    <w:jc w:val="center"/>
                    <w:rPr>
                      <w:color w:val="auto"/>
                      <w:kern w:val="0"/>
                      <w:szCs w:val="21"/>
                      <w:highlight w:val="none"/>
                      <w:lang w:bidi="ar"/>
                    </w:rPr>
                  </w:pPr>
                  <w:r>
                    <w:rPr>
                      <w:rFonts w:ascii="Times New Roman" w:eastAsia="宋体" w:hAnsi="Times New Roman" w:cs="Times New Roman"/>
                      <w:color w:val="auto"/>
                      <w:kern w:val="0"/>
                      <w:szCs w:val="21"/>
                      <w:highlight w:val="none"/>
                      <w:lang w:bidi="ar"/>
                    </w:rPr>
                    <w:t>至2020年，大陆自然岸线保有率不低于37%，全省海岛自然岸线保有率不低于25%</w:t>
                  </w:r>
                </w:p>
              </w:tc>
              <w:tc>
                <w:tcPr>
                  <w:tcW w:w="135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本项目不涉及</w:t>
                  </w:r>
                </w:p>
              </w:tc>
            </w:tr>
          </w:tbl>
          <w:p/>
        </w:tc>
      </w:tr>
    </w:tbl>
    <w:p>
      <w:pPr>
        <w:sectPr>
          <w:footerReference w:type="even" r:id="rId16"/>
          <w:footerReference w:type="default" r:id="rId17"/>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tbl>
            <w:tblPr>
              <w:tblStyle w:val="TableNormal"/>
              <w:tblpPr w:leftFromText="180" w:rightFromText="180" w:vertAnchor="text" w:tblpXSpec="center" w:tblpY="1"/>
              <w:tblOverlap w:val="never"/>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977"/>
              <w:gridCol w:w="5092"/>
              <w:gridCol w:w="2256"/>
            </w:tblGrid>
            <w:tr>
              <w:tblPrEx>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83"/>
                <w:jc w:val="center"/>
              </w:trPr>
              <w:tc>
                <w:tcPr>
                  <w:tcW w:w="587"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kern w:val="0"/>
                      <w:szCs w:val="21"/>
                      <w:highlight w:val="none"/>
                      <w:lang w:bidi="ar"/>
                    </w:rPr>
                    <w:t>效率要求</w:t>
                  </w:r>
                </w:p>
              </w:tc>
              <w:tc>
                <w:tcPr>
                  <w:tcW w:w="3058" w:type="pct"/>
                  <w:tcBorders>
                    <w:tl2br w:val="nil"/>
                    <w:tr2bl w:val="nil"/>
                  </w:tcBorders>
                  <w:vAlign w:val="center"/>
                </w:tcPr>
                <w:p/>
              </w:tc>
              <w:tc>
                <w:tcPr>
                  <w:tcW w:w="1353" w:type="pct"/>
                  <w:tcBorders>
                    <w:tl2br w:val="nil"/>
                    <w:tr2bl w:val="nil"/>
                  </w:tcBorders>
                  <w:vAlign w:val="center"/>
                </w:tcPr>
                <w:p/>
              </w:tc>
            </w:tr>
          </w:tbl>
          <w:p>
            <w:pPr>
              <w:adjustRightInd w:val="0"/>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对照《关于印发《盐城市</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三线一单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生态环境分区管控实施方案》的通知》</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盐环发</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2020</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200号</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，本项目所在地位于</w:t>
            </w:r>
            <w:r>
              <w:rPr>
                <w:rFonts w:ascii="Times New Roman" w:eastAsia="宋体" w:hAnsi="Times New Roman" w:cs="Times New Roman" w:hint="eastAsia"/>
                <w:color w:val="auto"/>
                <w:sz w:val="24"/>
                <w:highlight w:val="none"/>
              </w:rPr>
              <w:t>滨海县八巨镇工业园</w:t>
            </w:r>
            <w:r>
              <w:rPr>
                <w:rFonts w:ascii="Times New Roman" w:eastAsia="宋体" w:hAnsi="Times New Roman" w:cs="Times New Roman"/>
                <w:color w:val="auto"/>
                <w:sz w:val="24"/>
                <w:highlight w:val="none"/>
              </w:rPr>
              <w:t>，本项目与盐城市</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三线一单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生态环境分区管控相符性分析详见表1-</w:t>
            </w:r>
            <w:r>
              <w:rPr>
                <w:rFonts w:ascii="Times New Roman" w:eastAsia="宋体" w:hAnsi="Times New Roman" w:cs="Times New Roman" w:hint="eastAsia"/>
                <w:color w:val="auto"/>
                <w:sz w:val="24"/>
                <w:highlight w:val="none"/>
              </w:rPr>
              <w:t>3</w:t>
            </w:r>
            <w:r>
              <w:rPr>
                <w:rFonts w:ascii="Times New Roman" w:eastAsia="宋体" w:hAnsi="Times New Roman" w:cs="Times New Roman"/>
                <w:color w:val="auto"/>
                <w:sz w:val="24"/>
                <w:highlight w:val="none"/>
              </w:rPr>
              <w:t>。</w:t>
            </w:r>
          </w:p>
          <w:p>
            <w:pPr>
              <w:adjustRightInd w:val="0"/>
              <w:snapToGrid w:val="0"/>
              <w:jc w:val="center"/>
              <w:rPr>
                <w:b/>
                <w:bCs/>
                <w:color w:val="auto"/>
                <w:sz w:val="24"/>
                <w:highlight w:val="none"/>
              </w:rPr>
            </w:pPr>
            <w:r>
              <w:rPr>
                <w:rFonts w:ascii="Times New Roman" w:eastAsia="宋体" w:hAnsi="Times New Roman" w:cs="Times New Roman"/>
                <w:b/>
                <w:bCs/>
                <w:color w:val="auto"/>
                <w:sz w:val="24"/>
                <w:highlight w:val="none"/>
              </w:rPr>
              <w:t>表1-</w:t>
            </w:r>
            <w:r>
              <w:rPr>
                <w:rFonts w:ascii="Times New Roman" w:eastAsia="宋体" w:hAnsi="Times New Roman" w:cs="Times New Roman" w:hint="eastAsia"/>
                <w:b/>
                <w:bCs/>
                <w:color w:val="auto"/>
                <w:sz w:val="24"/>
                <w:highlight w:val="none"/>
              </w:rPr>
              <w:t>3</w:t>
            </w:r>
            <w:r>
              <w:rPr>
                <w:rFonts w:ascii="Times New Roman" w:eastAsia="宋体" w:hAnsi="Times New Roman" w:cs="Times New Roman"/>
                <w:b/>
                <w:bCs/>
                <w:color w:val="auto"/>
                <w:sz w:val="24"/>
                <w:highlight w:val="none"/>
              </w:rPr>
              <w:t>本项目与盐城市</w:t>
            </w:r>
            <w:r>
              <w:rPr>
                <w:rFonts w:ascii="Times New Roman" w:eastAsia="宋体" w:hAnsi="Times New Roman" w:cs="Times New Roman" w:hint="eastAsia"/>
                <w:b/>
                <w:bCs/>
                <w:color w:val="auto"/>
                <w:sz w:val="24"/>
                <w:highlight w:val="none"/>
                <w:lang w:eastAsia="zh-CN"/>
              </w:rPr>
              <w:t>“</w:t>
            </w:r>
            <w:r>
              <w:rPr>
                <w:rFonts w:ascii="Times New Roman" w:eastAsia="宋体" w:hAnsi="Times New Roman" w:cs="Times New Roman"/>
                <w:b/>
                <w:bCs/>
                <w:color w:val="auto"/>
                <w:sz w:val="24"/>
                <w:highlight w:val="none"/>
              </w:rPr>
              <w:t>三线一单</w:t>
            </w:r>
            <w:r>
              <w:rPr>
                <w:rFonts w:ascii="Times New Roman" w:eastAsia="宋体" w:hAnsi="Times New Roman" w:cs="Times New Roman" w:hint="eastAsia"/>
                <w:b/>
                <w:bCs/>
                <w:color w:val="auto"/>
                <w:sz w:val="24"/>
                <w:highlight w:val="none"/>
                <w:lang w:eastAsia="zh-CN"/>
              </w:rPr>
              <w:t>”</w:t>
            </w:r>
            <w:r>
              <w:rPr>
                <w:rFonts w:ascii="Times New Roman" w:eastAsia="宋体" w:hAnsi="Times New Roman" w:cs="Times New Roman"/>
                <w:b/>
                <w:bCs/>
                <w:color w:val="auto"/>
                <w:sz w:val="24"/>
                <w:highlight w:val="none"/>
              </w:rPr>
              <w:t>生态环境分区管控相符性分析</w:t>
            </w:r>
          </w:p>
          <w:tbl>
            <w:tblPr>
              <w:tblStyle w:val="TableNormal"/>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261"/>
              <w:gridCol w:w="3765"/>
              <w:gridCol w:w="3299"/>
            </w:tblGrid>
            <w:tr>
              <w:tblPrEx>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283"/>
                <w:jc w:val="center"/>
              </w:trPr>
              <w:tc>
                <w:tcPr>
                  <w:tcW w:w="757" w:type="pct"/>
                  <w:tcBorders>
                    <w:tl2br w:val="nil"/>
                    <w:tr2bl w:val="nil"/>
                  </w:tcBorders>
                  <w:vAlign w:val="center"/>
                </w:tcPr>
                <w:p>
                  <w:pPr>
                    <w:snapToGrid w:val="0"/>
                    <w:jc w:val="center"/>
                    <w:rPr>
                      <w:b/>
                      <w:bCs/>
                      <w:color w:val="auto"/>
                      <w:szCs w:val="21"/>
                      <w:highlight w:val="none"/>
                    </w:rPr>
                  </w:pPr>
                  <w:r>
                    <w:rPr>
                      <w:rFonts w:ascii="Times New Roman" w:eastAsia="宋体" w:hAnsi="Times New Roman" w:cs="Times New Roman"/>
                      <w:b/>
                      <w:bCs/>
                      <w:color w:val="auto"/>
                      <w:szCs w:val="21"/>
                      <w:highlight w:val="none"/>
                    </w:rPr>
                    <w:t>管控类别</w:t>
                  </w:r>
                </w:p>
              </w:tc>
              <w:tc>
                <w:tcPr>
                  <w:tcW w:w="2261" w:type="pct"/>
                  <w:tcBorders>
                    <w:tl2br w:val="nil"/>
                    <w:tr2bl w:val="nil"/>
                  </w:tcBorders>
                  <w:vAlign w:val="center"/>
                </w:tcPr>
                <w:p>
                  <w:pPr>
                    <w:snapToGrid w:val="0"/>
                    <w:jc w:val="center"/>
                    <w:rPr>
                      <w:b/>
                      <w:bCs/>
                      <w:color w:val="auto"/>
                      <w:szCs w:val="21"/>
                      <w:highlight w:val="none"/>
                    </w:rPr>
                  </w:pPr>
                  <w:r>
                    <w:rPr>
                      <w:rFonts w:ascii="Times New Roman" w:eastAsia="宋体" w:hAnsi="Times New Roman" w:cs="Times New Roman"/>
                      <w:b/>
                      <w:bCs/>
                      <w:color w:val="auto"/>
                      <w:szCs w:val="21"/>
                      <w:highlight w:val="none"/>
                    </w:rPr>
                    <w:t>管控要求</w:t>
                  </w:r>
                </w:p>
              </w:tc>
              <w:tc>
                <w:tcPr>
                  <w:tcW w:w="1981" w:type="pct"/>
                  <w:tcBorders>
                    <w:tl2br w:val="nil"/>
                    <w:tr2bl w:val="nil"/>
                  </w:tcBorders>
                  <w:vAlign w:val="center"/>
                </w:tcPr>
                <w:p>
                  <w:pPr>
                    <w:snapToGrid w:val="0"/>
                    <w:jc w:val="center"/>
                    <w:rPr>
                      <w:b/>
                      <w:bCs/>
                      <w:color w:val="auto"/>
                      <w:szCs w:val="21"/>
                      <w:highlight w:val="none"/>
                    </w:rPr>
                  </w:pPr>
                  <w:r>
                    <w:rPr>
                      <w:rFonts w:ascii="Times New Roman" w:eastAsia="宋体" w:hAnsi="Times New Roman" w:cs="Times New Roman"/>
                      <w:b/>
                      <w:bCs/>
                      <w:color w:val="auto"/>
                      <w:szCs w:val="21"/>
                      <w:highlight w:val="none"/>
                    </w:rPr>
                    <w:t>相符性分析</w:t>
                  </w:r>
                </w:p>
              </w:tc>
            </w:tr>
            <w:tr>
              <w:tblPrEx>
                <w:tblW w:w="4998" w:type="pct"/>
                <w:jc w:val="center"/>
                <w:tblCellMar>
                  <w:top w:w="0" w:type="dxa"/>
                  <w:left w:w="108" w:type="dxa"/>
                  <w:bottom w:w="0" w:type="dxa"/>
                  <w:right w:w="108" w:type="dxa"/>
                </w:tblCellMar>
              </w:tblPrEx>
              <w:trPr>
                <w:trHeight w:val="283"/>
                <w:jc w:val="center"/>
              </w:trPr>
              <w:tc>
                <w:tcPr>
                  <w:tcW w:w="757"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color w:val="auto"/>
                      <w:szCs w:val="21"/>
                      <w:highlight w:val="none"/>
                    </w:rPr>
                    <w:t>空间布局约束</w:t>
                  </w:r>
                </w:p>
              </w:tc>
              <w:tc>
                <w:tcPr>
                  <w:tcW w:w="2261" w:type="pct"/>
                  <w:tcBorders>
                    <w:tl2br w:val="nil"/>
                    <w:tr2bl w:val="nil"/>
                  </w:tcBorders>
                  <w:vAlign w:val="center"/>
                </w:tcPr>
                <w:p>
                  <w:pPr>
                    <w:numPr>
                      <w:ilvl w:val="0"/>
                      <w:numId w:val="2"/>
                    </w:numPr>
                    <w:adjustRightInd w:val="0"/>
                    <w:snapToGrid w:val="0"/>
                    <w:ind w:firstLine="420" w:firstLineChars="200"/>
                    <w:jc w:val="center"/>
                    <w:textAlignment w:val="baseline"/>
                    <w:rPr>
                      <w:color w:val="auto"/>
                      <w:szCs w:val="21"/>
                      <w:highlight w:val="none"/>
                    </w:rPr>
                  </w:pPr>
                  <w:r>
                    <w:rPr>
                      <w:rFonts w:ascii="Times New Roman" w:eastAsia="宋体" w:hAnsi="Times New Roman" w:cs="Times New Roman" w:hint="eastAsia"/>
                      <w:color w:val="auto"/>
                      <w:szCs w:val="21"/>
                      <w:highlight w:val="none"/>
                    </w:rPr>
                    <w:t>各类开发建设活动应符合盐城市总体规划、控制性详细规划、土地利用规划等相关要求。（2）优化产业布局和结构，实施分区差别化的产业准入要求。（3）合理规划居住区与园区，在居住区和园区、企业之间设置防护绿地、生态绿地等隔离带。</w:t>
                  </w:r>
                </w:p>
              </w:tc>
              <w:tc>
                <w:tcPr>
                  <w:tcW w:w="1981"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根据八巨镇人民政府出具的证明，本项目建设符合当地用地规划及产业定位</w:t>
                  </w:r>
                </w:p>
              </w:tc>
            </w:tr>
            <w:tr>
              <w:tblPrEx>
                <w:tblW w:w="4998" w:type="pct"/>
                <w:jc w:val="center"/>
                <w:tblCellMar>
                  <w:top w:w="0" w:type="dxa"/>
                  <w:left w:w="108" w:type="dxa"/>
                  <w:bottom w:w="0" w:type="dxa"/>
                  <w:right w:w="108" w:type="dxa"/>
                </w:tblCellMar>
              </w:tblPrEx>
              <w:trPr>
                <w:trHeight w:val="283"/>
                <w:jc w:val="center"/>
              </w:trPr>
              <w:tc>
                <w:tcPr>
                  <w:tcW w:w="757"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color w:val="auto"/>
                      <w:szCs w:val="21"/>
                      <w:highlight w:val="none"/>
                    </w:rPr>
                    <w:t>污染物排放管控</w:t>
                  </w:r>
                </w:p>
              </w:tc>
              <w:tc>
                <w:tcPr>
                  <w:tcW w:w="2261"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严格实施污染物总量控制制度，根据区域环境质量改善目标，采取有效措施减少主要污染物排放总量，确保区域环境质量持续改善。</w:t>
                  </w:r>
                </w:p>
              </w:tc>
              <w:tc>
                <w:tcPr>
                  <w:tcW w:w="1981"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color w:val="auto"/>
                      <w:szCs w:val="21"/>
                      <w:highlight w:val="none"/>
                    </w:rPr>
                    <w:t>本项目</w:t>
                  </w:r>
                  <w:r>
                    <w:rPr>
                      <w:rFonts w:ascii="Times New Roman" w:eastAsia="宋体" w:hAnsi="Times New Roman" w:cs="Times New Roman" w:hint="eastAsia"/>
                      <w:color w:val="auto"/>
                      <w:szCs w:val="21"/>
                      <w:highlight w:val="none"/>
                    </w:rPr>
                    <w:t>不产生工艺废气</w:t>
                  </w:r>
                  <w:r>
                    <w:rPr>
                      <w:rFonts w:ascii="Times New Roman" w:eastAsia="宋体" w:hAnsi="Times New Roman" w:cs="Times New Roman"/>
                      <w:color w:val="auto"/>
                      <w:szCs w:val="21"/>
                      <w:highlight w:val="none"/>
                    </w:rPr>
                    <w:t>；</w:t>
                  </w:r>
                  <w:r>
                    <w:rPr>
                      <w:rFonts w:ascii="Times New Roman" w:eastAsia="宋体" w:hAnsi="Times New Roman" w:cs="Times New Roman" w:hint="eastAsia"/>
                      <w:color w:val="auto"/>
                      <w:szCs w:val="21"/>
                      <w:highlight w:val="none"/>
                    </w:rPr>
                    <w:t>本项目生产废水经厂区污水处理站处理后回用至生产，生活污水</w:t>
                  </w:r>
                  <w:r>
                    <w:rPr>
                      <w:rFonts w:ascii="Times New Roman" w:eastAsia="宋体" w:hAnsi="Times New Roman" w:cs="Times New Roman"/>
                      <w:color w:val="auto"/>
                      <w:szCs w:val="21"/>
                      <w:highlight w:val="none"/>
                    </w:rPr>
                    <w:t>经</w:t>
                  </w:r>
                  <w:r>
                    <w:rPr>
                      <w:rFonts w:ascii="Times New Roman" w:eastAsia="宋体" w:hAnsi="Times New Roman" w:cs="Times New Roman" w:hint="eastAsia"/>
                      <w:color w:val="auto"/>
                      <w:szCs w:val="21"/>
                      <w:highlight w:val="none"/>
                    </w:rPr>
                    <w:t>地埋一体化污水处理设施</w:t>
                  </w:r>
                  <w:r>
                    <w:rPr>
                      <w:rFonts w:ascii="Times New Roman" w:eastAsia="宋体" w:hAnsi="Times New Roman" w:cs="Times New Roman"/>
                      <w:color w:val="auto"/>
                      <w:szCs w:val="21"/>
                      <w:highlight w:val="none"/>
                    </w:rPr>
                    <w:t>处理</w:t>
                  </w:r>
                  <w:r>
                    <w:rPr>
                      <w:rFonts w:ascii="Times New Roman" w:eastAsia="宋体" w:hAnsi="Times New Roman" w:cs="Times New Roman" w:hint="eastAsia"/>
                      <w:color w:val="auto"/>
                      <w:szCs w:val="21"/>
                      <w:highlight w:val="none"/>
                      <w:lang w:val="en-US" w:eastAsia="zh-CN"/>
                    </w:rPr>
                    <w:t>达标</w:t>
                  </w:r>
                  <w:r>
                    <w:rPr>
                      <w:rFonts w:ascii="Times New Roman" w:eastAsia="宋体" w:hAnsi="Times New Roman" w:cs="Times New Roman"/>
                      <w:color w:val="auto"/>
                      <w:szCs w:val="21"/>
                      <w:highlight w:val="none"/>
                    </w:rPr>
                    <w:t>后</w:t>
                  </w:r>
                  <w:r>
                    <w:rPr>
                      <w:rFonts w:ascii="Times New Roman" w:eastAsia="宋体" w:hAnsi="Times New Roman" w:cs="Times New Roman" w:hint="eastAsia"/>
                      <w:color w:val="auto"/>
                      <w:szCs w:val="21"/>
                      <w:highlight w:val="none"/>
                      <w:lang w:val="en-US" w:eastAsia="zh-CN"/>
                    </w:rPr>
                    <w:t>接管</w:t>
                  </w:r>
                  <w:r>
                    <w:rPr>
                      <w:rFonts w:ascii="Times New Roman" w:eastAsia="宋体" w:hAnsi="Times New Roman" w:cs="Times New Roman"/>
                      <w:color w:val="auto"/>
                      <w:szCs w:val="21"/>
                      <w:highlight w:val="none"/>
                    </w:rPr>
                    <w:t>；固废排放量为零。</w:t>
                  </w:r>
                </w:p>
              </w:tc>
            </w:tr>
            <w:tr>
              <w:tblPrEx>
                <w:tblW w:w="4998" w:type="pct"/>
                <w:jc w:val="center"/>
                <w:tblCellMar>
                  <w:top w:w="0" w:type="dxa"/>
                  <w:left w:w="108" w:type="dxa"/>
                  <w:bottom w:w="0" w:type="dxa"/>
                  <w:right w:w="108" w:type="dxa"/>
                </w:tblCellMar>
              </w:tblPrEx>
              <w:trPr>
                <w:trHeight w:val="283"/>
                <w:jc w:val="center"/>
              </w:trPr>
              <w:tc>
                <w:tcPr>
                  <w:tcW w:w="757"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color w:val="auto"/>
                      <w:szCs w:val="21"/>
                      <w:highlight w:val="none"/>
                    </w:rPr>
                    <w:t>环境风险防控</w:t>
                  </w:r>
                </w:p>
              </w:tc>
              <w:tc>
                <w:tcPr>
                  <w:tcW w:w="2261"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应建立环境风险防范体系，制定园区应急预案，开展应急演练。</w:t>
                  </w:r>
                </w:p>
              </w:tc>
              <w:tc>
                <w:tcPr>
                  <w:tcW w:w="1981"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已在环评中建议企业建立环境风险防范体系</w:t>
                  </w:r>
                  <w:r>
                    <w:rPr>
                      <w:rFonts w:ascii="Times New Roman" w:eastAsia="宋体" w:hAnsi="Times New Roman" w:cs="Times New Roman"/>
                      <w:color w:val="auto"/>
                      <w:szCs w:val="21"/>
                      <w:highlight w:val="none"/>
                    </w:rPr>
                    <w:t>。</w:t>
                  </w:r>
                </w:p>
              </w:tc>
            </w:tr>
            <w:tr>
              <w:tblPrEx>
                <w:tblW w:w="4998" w:type="pct"/>
                <w:jc w:val="center"/>
                <w:tblCellMar>
                  <w:top w:w="0" w:type="dxa"/>
                  <w:left w:w="108" w:type="dxa"/>
                  <w:bottom w:w="0" w:type="dxa"/>
                  <w:right w:w="108" w:type="dxa"/>
                </w:tblCellMar>
              </w:tblPrEx>
              <w:trPr>
                <w:trHeight w:val="283"/>
                <w:jc w:val="center"/>
              </w:trPr>
              <w:tc>
                <w:tcPr>
                  <w:tcW w:w="757"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color w:val="auto"/>
                      <w:szCs w:val="21"/>
                      <w:highlight w:val="none"/>
                    </w:rPr>
                    <w:t>资源利用效率要求</w:t>
                  </w:r>
                </w:p>
              </w:tc>
              <w:tc>
                <w:tcPr>
                  <w:tcW w:w="2261" w:type="pct"/>
                  <w:tcBorders>
                    <w:tl2br w:val="nil"/>
                    <w:tr2bl w:val="nil"/>
                  </w:tcBorders>
                  <w:vAlign w:val="center"/>
                </w:tcPr>
                <w:p>
                  <w:pPr>
                    <w:numPr>
                      <w:ilvl w:val="0"/>
                      <w:numId w:val="0"/>
                    </w:numPr>
                    <w:adjustRightInd w:val="0"/>
                    <w:snapToGrid w:val="0"/>
                    <w:ind w:firstLine="420" w:firstLineChars="200"/>
                    <w:jc w:val="center"/>
                    <w:textAlignment w:val="baseline"/>
                    <w:rPr>
                      <w:color w:val="auto"/>
                      <w:szCs w:val="21"/>
                      <w:highlight w:val="none"/>
                    </w:rPr>
                  </w:pP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color w:val="auto"/>
                      <w:kern w:val="2"/>
                      <w:sz w:val="21"/>
                      <w:szCs w:val="21"/>
                      <w:lang w:val="en-US" w:eastAsia="zh-CN" w:bidi="ar-SA"/>
                    </w:rPr>
                    <w:t>1</w:t>
                  </w:r>
                  <w:r>
                    <w:rPr>
                      <w:rFonts w:ascii="Times New Roman" w:eastAsia="宋体" w:hAnsi="Times New Roman" w:cs="Times New Roman" w:hint="eastAsia"/>
                      <w:color w:val="auto"/>
                      <w:kern w:val="2"/>
                      <w:sz w:val="21"/>
                      <w:szCs w:val="21"/>
                      <w:lang w:val="en-US" w:eastAsia="zh-CN" w:bidi="ar-SA"/>
                    </w:rPr>
                    <w:t>）</w:t>
                  </w:r>
                  <w:r>
                    <w:rPr>
                      <w:rFonts w:ascii="Times New Roman" w:eastAsia="宋体" w:hAnsi="Times New Roman" w:cs="Times New Roman" w:hint="eastAsia"/>
                      <w:color w:val="auto"/>
                      <w:szCs w:val="21"/>
                      <w:highlight w:val="none"/>
                    </w:rPr>
                    <w:t>引进项目的生产工艺、设备、能耗、污染物排放、资源利用等均须达到同行业先进水平。（2）按照国家和省能耗及水耗限额标准执行。（3）强化企业清洁生产改造，推进节水型企业、节水型园区建设，提高资源能源利用效率。</w:t>
                  </w:r>
                </w:p>
              </w:tc>
              <w:tc>
                <w:tcPr>
                  <w:tcW w:w="1981"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bCs/>
                      <w:color w:val="auto"/>
                      <w:szCs w:val="21"/>
                      <w:highlight w:val="none"/>
                    </w:rPr>
                    <w:t>本项目属于迁建项目，本项目设有中水回用系统</w:t>
                  </w:r>
                  <w:r>
                    <w:rPr>
                      <w:rFonts w:ascii="Times New Roman" w:eastAsia="宋体" w:hAnsi="Times New Roman" w:cs="Times New Roman"/>
                      <w:bCs/>
                      <w:color w:val="auto"/>
                      <w:szCs w:val="21"/>
                      <w:highlight w:val="none"/>
                    </w:rPr>
                    <w:t>。本项目租用</w:t>
                  </w:r>
                  <w:r>
                    <w:rPr>
                      <w:rFonts w:ascii="Times New Roman" w:eastAsia="宋体" w:hAnsi="Times New Roman" w:cs="Times New Roman" w:hint="eastAsia"/>
                      <w:color w:val="auto"/>
                      <w:szCs w:val="21"/>
                      <w:highlight w:val="none"/>
                    </w:rPr>
                    <w:t>厂房地块</w:t>
                  </w:r>
                  <w:r>
                    <w:rPr>
                      <w:rFonts w:ascii="Times New Roman" w:eastAsia="宋体" w:hAnsi="Times New Roman" w:cs="Times New Roman"/>
                      <w:bCs/>
                      <w:color w:val="auto"/>
                      <w:szCs w:val="21"/>
                      <w:highlight w:val="none"/>
                    </w:rPr>
                    <w:t>属于工业用地，不涉及耕地、农田。</w:t>
                  </w:r>
                </w:p>
              </w:tc>
            </w:tr>
          </w:tbl>
          <w:p>
            <w:pPr>
              <w:adjustRightInd w:val="0"/>
              <w:snapToGrid w:val="0"/>
              <w:spacing w:line="360" w:lineRule="auto"/>
              <w:ind w:firstLine="480" w:firstLineChars="200"/>
              <w:textAlignment w:val="baseline"/>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 xml:space="preserve"> 环境质量底线</w:t>
            </w:r>
          </w:p>
          <w:p>
            <w:pPr>
              <w:spacing w:line="360" w:lineRule="auto"/>
              <w:ind w:firstLine="480" w:firstLineChars="200"/>
              <w:rPr>
                <w:rFonts w:hint="eastAsia"/>
                <w:color w:val="auto"/>
                <w:kern w:val="0"/>
                <w:sz w:val="24"/>
                <w:highlight w:val="none"/>
              </w:rPr>
            </w:pPr>
            <w:r>
              <w:rPr>
                <w:rFonts w:ascii="Times New Roman" w:eastAsia="宋体" w:hAnsi="Times New Roman" w:cs="Times New Roman" w:hint="eastAsia"/>
                <w:color w:val="auto"/>
                <w:kern w:val="0"/>
                <w:sz w:val="24"/>
                <w:highlight w:val="none"/>
                <w:lang w:val="en-US" w:eastAsia="zh-CN"/>
              </w:rPr>
              <w:t>①大气</w:t>
            </w:r>
            <w:r>
              <w:rPr>
                <w:rFonts w:ascii="Times New Roman" w:eastAsia="宋体" w:hAnsi="Times New Roman" w:cs="Times New Roman" w:hint="eastAsia"/>
                <w:color w:val="auto"/>
                <w:kern w:val="0"/>
                <w:sz w:val="24"/>
                <w:highlight w:val="none"/>
              </w:rPr>
              <w:t>环境质量现状</w:t>
            </w:r>
          </w:p>
          <w:p>
            <w:pPr>
              <w:spacing w:line="360" w:lineRule="auto"/>
              <w:ind w:firstLine="480" w:firstLineChars="200"/>
              <w:rPr>
                <w:rFonts w:hint="eastAsia"/>
                <w:color w:val="auto"/>
                <w:kern w:val="0"/>
                <w:sz w:val="24"/>
                <w:highlight w:val="yellow"/>
              </w:rPr>
            </w:pPr>
            <w:r>
              <w:rPr>
                <w:rFonts w:ascii="Times New Roman" w:eastAsia="宋体" w:hAnsi="Times New Roman" w:cs="Times New Roman" w:hint="eastAsia"/>
                <w:color w:val="auto"/>
                <w:kern w:val="0"/>
                <w:sz w:val="24"/>
                <w:highlight w:val="none"/>
                <w:lang w:eastAsia="zh-CN"/>
              </w:rPr>
              <w:t>根据《202</w:t>
            </w:r>
            <w:r>
              <w:rPr>
                <w:rFonts w:ascii="Times New Roman" w:eastAsia="宋体" w:hAnsi="Times New Roman" w:cs="Times New Roman" w:hint="eastAsia"/>
                <w:color w:val="auto"/>
                <w:kern w:val="0"/>
                <w:sz w:val="24"/>
                <w:highlight w:val="none"/>
                <w:lang w:val="en-US" w:eastAsia="zh-CN"/>
              </w:rPr>
              <w:t>2</w:t>
            </w:r>
            <w:r>
              <w:rPr>
                <w:rFonts w:ascii="Times New Roman" w:eastAsia="宋体" w:hAnsi="Times New Roman" w:cs="Times New Roman" w:hint="eastAsia"/>
                <w:color w:val="auto"/>
                <w:kern w:val="0"/>
                <w:sz w:val="24"/>
                <w:highlight w:val="none"/>
                <w:lang w:eastAsia="zh-CN"/>
              </w:rPr>
              <w:t>年滨海县生态环境状况公报》，</w:t>
            </w:r>
            <w:r>
              <w:rPr>
                <w:rFonts w:ascii="Times New Roman" w:eastAsia="宋体" w:hAnsi="Times New Roman" w:cs="Times New Roman" w:hint="eastAsia"/>
                <w:color w:val="auto"/>
                <w:kern w:val="0"/>
                <w:sz w:val="24"/>
                <w:highlight w:val="none"/>
                <w:lang w:val="en-US" w:eastAsia="zh-CN"/>
              </w:rPr>
              <w:t>项目所在地的声环境质量 良好，大气环境质量达标，地表水环境质量达标</w:t>
            </w:r>
            <w:r>
              <w:rPr>
                <w:rFonts w:ascii="Times New Roman" w:eastAsia="宋体" w:hAnsi="Times New Roman" w:cs="Times New Roman" w:hint="eastAsia"/>
                <w:color w:val="auto"/>
                <w:kern w:val="0"/>
                <w:sz w:val="24"/>
                <w:highlight w:val="none"/>
                <w:lang w:eastAsia="zh-CN"/>
              </w:rPr>
              <w:t>。</w:t>
            </w:r>
            <w:r>
              <w:rPr>
                <w:rFonts w:ascii="Times New Roman" w:eastAsia="宋体" w:hAnsi="Times New Roman" w:cs="Times New Roman" w:hint="eastAsia"/>
                <w:color w:val="auto"/>
                <w:kern w:val="0"/>
                <w:sz w:val="24"/>
                <w:highlight w:val="none"/>
                <w:lang w:val="en-US" w:eastAsia="zh-CN"/>
              </w:rPr>
              <w:t>迁建项目施工过程对周边环境造成影响，经一系列治理措施后，对大气影响较小，运营期的各项污染物均得到合理处置，本项目的建设不会改变区域环境功能区质量要求，能维持环境功能区质量现状。因此本项目的建设符合环境质量底线要求。</w:t>
            </w:r>
          </w:p>
          <w:p>
            <w:pPr>
              <w:adjustRightInd w:val="0"/>
              <w:snapToGrid w:val="0"/>
              <w:spacing w:line="360" w:lineRule="auto"/>
              <w:ind w:firstLine="480" w:firstLineChars="200"/>
              <w:rPr>
                <w:rFonts w:hint="default"/>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3</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 xml:space="preserve"> 资源利用上线</w:t>
            </w:r>
          </w:p>
          <w:p>
            <w:pPr>
              <w:adjustRightInd w:val="0"/>
              <w:snapToGrid w:val="0"/>
              <w:spacing w:line="360" w:lineRule="auto"/>
              <w:ind w:firstLine="480" w:firstLineChars="200"/>
              <w:rPr>
                <w:rFonts w:hint="default"/>
                <w:color w:val="auto"/>
                <w:sz w:val="24"/>
                <w:highlight w:val="none"/>
              </w:rPr>
            </w:pPr>
            <w:r>
              <w:rPr>
                <w:rFonts w:ascii="Times New Roman" w:eastAsia="宋体" w:hAnsi="Times New Roman" w:cs="Times New Roman"/>
                <w:color w:val="auto"/>
                <w:sz w:val="24"/>
                <w:highlight w:val="none"/>
              </w:rPr>
              <w:t>本项目营运过程主要资源消耗为水、电。其中水消耗约</w:t>
            </w:r>
            <w:r>
              <w:rPr>
                <w:rFonts w:ascii="Times New Roman" w:eastAsia="宋体" w:hAnsi="Times New Roman" w:cs="Times New Roman" w:hint="eastAsia"/>
                <w:color w:val="auto"/>
                <w:sz w:val="24"/>
                <w:highlight w:val="none"/>
                <w:lang w:val="en-US" w:eastAsia="zh-CN"/>
              </w:rPr>
              <w:t>20076</w:t>
            </w:r>
            <w:r>
              <w:rPr>
                <w:rFonts w:ascii="Times New Roman" w:eastAsia="宋体" w:hAnsi="Times New Roman" w:cs="Times New Roman"/>
                <w:color w:val="auto"/>
                <w:sz w:val="24"/>
                <w:highlight w:val="none"/>
              </w:rPr>
              <w:t>m</w:t>
            </w:r>
            <w:r>
              <w:rPr>
                <w:rFonts w:ascii="Times New Roman" w:eastAsia="宋体" w:hAnsi="Times New Roman" w:cs="Times New Roman"/>
                <w:color w:val="auto"/>
                <w:sz w:val="24"/>
                <w:highlight w:val="none"/>
                <w:vertAlign w:val="superscript"/>
              </w:rPr>
              <w:t>3</w:t>
            </w:r>
            <w:r>
              <w:rPr>
                <w:rFonts w:ascii="Times New Roman" w:eastAsia="宋体" w:hAnsi="Times New Roman" w:cs="Times New Roman"/>
                <w:color w:val="auto"/>
                <w:sz w:val="24"/>
                <w:highlight w:val="none"/>
              </w:rPr>
              <w:t>/a，由园区给水管网统一供给；电能消耗约</w:t>
            </w:r>
            <w:r>
              <w:rPr>
                <w:rFonts w:ascii="Times New Roman" w:eastAsia="宋体" w:hAnsi="Times New Roman" w:cs="Times New Roman" w:hint="eastAsia"/>
                <w:color w:val="auto"/>
                <w:sz w:val="24"/>
                <w:highlight w:val="none"/>
                <w:lang w:val="en-US" w:eastAsia="zh-CN"/>
              </w:rPr>
              <w:t>15</w:t>
            </w:r>
            <w:r>
              <w:rPr>
                <w:rFonts w:ascii="Times New Roman" w:eastAsia="宋体" w:hAnsi="Times New Roman" w:cs="Times New Roman"/>
                <w:color w:val="auto"/>
                <w:sz w:val="24"/>
                <w:highlight w:val="none"/>
              </w:rPr>
              <w:t>0万kWh/a，由当地电网提供。本项目位于</w:t>
            </w:r>
            <w:r>
              <w:rPr>
                <w:rFonts w:ascii="Times New Roman" w:eastAsia="宋体" w:hAnsi="Times New Roman" w:cs="Times New Roman" w:hint="eastAsia"/>
                <w:color w:val="auto"/>
                <w:sz w:val="24"/>
                <w:highlight w:val="none"/>
              </w:rPr>
              <w:t>八巨镇工业园</w:t>
            </w:r>
            <w:r>
              <w:rPr>
                <w:rFonts w:ascii="Times New Roman" w:eastAsia="宋体" w:hAnsi="Times New Roman" w:cs="Times New Roman"/>
                <w:color w:val="auto"/>
                <w:sz w:val="24"/>
                <w:highlight w:val="none"/>
              </w:rPr>
              <w:t>，项目用地为工业用地，符合当地用地要求。</w:t>
            </w:r>
          </w:p>
        </w:tc>
      </w:tr>
    </w:tbl>
    <w:p>
      <w:pPr>
        <w:sectPr>
          <w:footerReference w:type="even" r:id="rId18"/>
          <w:footerReference w:type="default" r:id="rId19"/>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p>
            <w:pPr>
              <w:adjustRightInd w:val="0"/>
              <w:snapToGrid w:val="0"/>
              <w:spacing w:line="360" w:lineRule="auto"/>
              <w:ind w:firstLine="480" w:firstLineChars="200"/>
              <w:rPr>
                <w:rFonts w:hint="default"/>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4</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 xml:space="preserve"> 环境准入负面清单</w:t>
            </w:r>
          </w:p>
          <w:p>
            <w:pPr>
              <w:adjustRightInd w:val="0"/>
              <w:snapToGrid w:val="0"/>
              <w:spacing w:line="360" w:lineRule="auto"/>
              <w:ind w:firstLine="480" w:firstLineChars="200"/>
              <w:rPr>
                <w:b/>
                <w:bCs/>
                <w:color w:val="auto"/>
                <w:sz w:val="24"/>
                <w:highlight w:val="none"/>
              </w:rPr>
            </w:pPr>
            <w:r>
              <w:rPr>
                <w:rFonts w:ascii="Times New Roman" w:eastAsia="宋体" w:hAnsi="Times New Roman" w:cs="Times New Roman" w:hint="eastAsia"/>
                <w:bCs/>
                <w:color w:val="auto"/>
                <w:sz w:val="24"/>
                <w:highlight w:val="none"/>
              </w:rPr>
              <w:t>项目所在地无环境准入负面清单，本项目与相关文件进行对照分析</w:t>
            </w:r>
            <w:r>
              <w:rPr>
                <w:rFonts w:ascii="Times New Roman" w:eastAsia="宋体" w:hAnsi="Times New Roman" w:cs="Times New Roman"/>
                <w:color w:val="auto"/>
                <w:kern w:val="0"/>
                <w:sz w:val="24"/>
                <w:highlight w:val="none"/>
              </w:rPr>
              <w:t>。</w:t>
            </w:r>
          </w:p>
          <w:p>
            <w:pPr>
              <w:snapToGrid w:val="0"/>
              <w:jc w:val="center"/>
              <w:rPr>
                <w:b/>
                <w:bCs/>
                <w:color w:val="auto"/>
                <w:sz w:val="24"/>
                <w:highlight w:val="none"/>
              </w:rPr>
            </w:pPr>
            <w:r>
              <w:rPr>
                <w:rFonts w:ascii="Times New Roman" w:eastAsia="宋体" w:hAnsi="Times New Roman" w:cs="Times New Roman"/>
                <w:b/>
                <w:bCs/>
                <w:color w:val="auto"/>
                <w:sz w:val="24"/>
                <w:highlight w:val="none"/>
              </w:rPr>
              <w:t>表</w:t>
            </w:r>
            <w:r>
              <w:rPr>
                <w:rFonts w:ascii="Times New Roman" w:eastAsia="宋体" w:hAnsi="Times New Roman" w:cs="Times New Roman" w:hint="eastAsia"/>
                <w:b/>
                <w:bCs/>
                <w:color w:val="auto"/>
                <w:sz w:val="24"/>
                <w:highlight w:val="none"/>
              </w:rPr>
              <w:t>1-4</w:t>
            </w:r>
            <w:r>
              <w:rPr>
                <w:rFonts w:ascii="Times New Roman" w:eastAsia="宋体" w:hAnsi="Times New Roman" w:cs="Times New Roman"/>
                <w:b/>
                <w:bCs/>
                <w:color w:val="auto"/>
                <w:sz w:val="24"/>
                <w:highlight w:val="none"/>
              </w:rPr>
              <w:t>项目与国家及地方政策相符性分析</w:t>
            </w:r>
          </w:p>
          <w:tbl>
            <w:tblPr>
              <w:tblStyle w:val="TableNormal"/>
              <w:tblW w:w="4999" w:type="pct"/>
              <w:jc w:val="center"/>
              <w:tblBorders>
                <w:top w:val="single" w:sz="2" w:space="0" w:color="auto"/>
                <w:left w:val="none" w:sz="0" w:space="0" w:color="auto"/>
                <w:bottom w:val="single" w:sz="2" w:space="0" w:color="auto"/>
                <w:right w:val="none" w:sz="0" w:space="0" w:color="auto"/>
                <w:insideH w:val="single" w:sz="2" w:space="0" w:color="auto"/>
                <w:insideV w:val="single" w:sz="2" w:space="0" w:color="auto"/>
              </w:tblBorders>
              <w:tblCellMar>
                <w:top w:w="0" w:type="dxa"/>
                <w:left w:w="0" w:type="dxa"/>
                <w:bottom w:w="0" w:type="dxa"/>
                <w:right w:w="0" w:type="dxa"/>
              </w:tblCellMar>
            </w:tblPr>
            <w:tblGrid>
              <w:gridCol w:w="275"/>
              <w:gridCol w:w="2237"/>
              <w:gridCol w:w="2895"/>
              <w:gridCol w:w="2919"/>
            </w:tblGrid>
            <w:tr>
              <w:tblPrEx>
                <w:tblW w:w="4999" w:type="pct"/>
                <w:jc w:val="center"/>
                <w:tblBorders>
                  <w:top w:val="single" w:sz="2" w:space="0" w:color="auto"/>
                  <w:left w:val="none" w:sz="0" w:space="0" w:color="auto"/>
                  <w:bottom w:val="single" w:sz="2" w:space="0" w:color="auto"/>
                  <w:right w:val="none" w:sz="0" w:space="0" w:color="auto"/>
                  <w:insideH w:val="single" w:sz="2" w:space="0" w:color="auto"/>
                  <w:insideV w:val="single" w:sz="2" w:space="0" w:color="auto"/>
                </w:tblBorders>
                <w:tblCellMar>
                  <w:top w:w="0" w:type="dxa"/>
                  <w:left w:w="0" w:type="dxa"/>
                  <w:bottom w:w="0" w:type="dxa"/>
                  <w:right w:w="0" w:type="dxa"/>
                </w:tblCellMar>
              </w:tblPrEx>
              <w:trPr>
                <w:trHeight w:val="283"/>
                <w:jc w:val="center"/>
              </w:trPr>
              <w:tc>
                <w:tcPr>
                  <w:tcW w:w="165"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color w:val="auto"/>
                      <w:highlight w:val="none"/>
                    </w:rPr>
                    <w:t>序号</w:t>
                  </w:r>
                </w:p>
              </w:tc>
              <w:tc>
                <w:tcPr>
                  <w:tcW w:w="1343"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color w:val="auto"/>
                      <w:highlight w:val="none"/>
                    </w:rPr>
                    <w:t>文件</w:t>
                  </w:r>
                </w:p>
              </w:tc>
              <w:tc>
                <w:tcPr>
                  <w:tcW w:w="1738"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hint="eastAsia"/>
                      <w:color w:val="auto"/>
                      <w:highlight w:val="none"/>
                    </w:rPr>
                    <w:t>限制和要求</w:t>
                  </w:r>
                </w:p>
              </w:tc>
              <w:tc>
                <w:tcPr>
                  <w:tcW w:w="1752"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color w:val="auto"/>
                      <w:highlight w:val="none"/>
                    </w:rPr>
                    <w:t>相符性分析</w:t>
                  </w:r>
                </w:p>
              </w:tc>
            </w:tr>
            <w:tr>
              <w:tblPrEx>
                <w:tblW w:w="4999" w:type="pct"/>
                <w:jc w:val="center"/>
                <w:tblCellMar>
                  <w:top w:w="0" w:type="dxa"/>
                  <w:left w:w="0" w:type="dxa"/>
                  <w:bottom w:w="0" w:type="dxa"/>
                  <w:right w:w="0" w:type="dxa"/>
                </w:tblCellMar>
              </w:tblPrEx>
              <w:trPr>
                <w:trHeight w:val="283"/>
                <w:jc w:val="center"/>
              </w:trPr>
              <w:tc>
                <w:tcPr>
                  <w:tcW w:w="165"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color w:val="auto"/>
                      <w:highlight w:val="none"/>
                    </w:rPr>
                    <w:t>1</w:t>
                  </w:r>
                </w:p>
              </w:tc>
              <w:tc>
                <w:tcPr>
                  <w:tcW w:w="1343"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color w:val="auto"/>
                      <w:highlight w:val="none"/>
                    </w:rPr>
                    <w:t>《产业结构调整指导目录</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color w:val="auto"/>
                      <w:highlight w:val="none"/>
                    </w:rPr>
                    <w:t>201</w:t>
                  </w:r>
                  <w:r>
                    <w:rPr>
                      <w:rFonts w:ascii="Times New Roman" w:eastAsia="宋体" w:hAnsi="Times New Roman" w:cs="Times New Roman" w:hint="eastAsia"/>
                      <w:color w:val="auto"/>
                      <w:highlight w:val="none"/>
                    </w:rPr>
                    <w:t>9</w:t>
                  </w:r>
                  <w:r>
                    <w:rPr>
                      <w:rFonts w:ascii="Times New Roman" w:eastAsia="宋体" w:hAnsi="Times New Roman" w:cs="Times New Roman"/>
                      <w:color w:val="auto"/>
                      <w:highlight w:val="none"/>
                    </w:rPr>
                    <w:t>年本</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color w:val="auto"/>
                      <w:highlight w:val="none"/>
                    </w:rPr>
                    <w:t>》</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hint="eastAsia"/>
                      <w:color w:val="auto"/>
                      <w:highlight w:val="none"/>
                      <w:lang w:val="en-US" w:eastAsia="zh-CN"/>
                    </w:rPr>
                    <w:t>2021年修订版</w:t>
                  </w:r>
                  <w:r>
                    <w:rPr>
                      <w:rFonts w:ascii="Times New Roman" w:eastAsia="宋体" w:hAnsi="Times New Roman" w:cs="Times New Roman" w:hint="eastAsia"/>
                      <w:color w:val="auto"/>
                      <w:highlight w:val="none"/>
                      <w:lang w:eastAsia="zh-CN"/>
                    </w:rPr>
                    <w:t>）</w:t>
                  </w:r>
                </w:p>
              </w:tc>
              <w:tc>
                <w:tcPr>
                  <w:tcW w:w="1738" w:type="pct"/>
                  <w:tcBorders>
                    <w:tl2br w:val="nil"/>
                    <w:tr2bl w:val="nil"/>
                  </w:tcBorders>
                  <w:vAlign w:val="center"/>
                </w:tcPr>
                <w:p>
                  <w:pPr>
                    <w:pStyle w:val="a12"/>
                    <w:rPr>
                      <w:rFonts w:ascii="Times New Roman" w:eastAsia="宋体" w:hAnsi="Times New Roman" w:cs="Times New Roman" w:hint="eastAsia"/>
                      <w:color w:val="auto"/>
                      <w:highlight w:val="none"/>
                      <w:lang w:eastAsia="zh-CN"/>
                    </w:rPr>
                  </w:pPr>
                  <w:r>
                    <w:rPr>
                      <w:rFonts w:ascii="Times New Roman" w:eastAsia="宋体" w:hAnsi="Times New Roman" w:cs="Times New Roman"/>
                      <w:color w:val="auto"/>
                      <w:highlight w:val="none"/>
                    </w:rPr>
                    <w:t>限制类</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color w:val="auto"/>
                      <w:highlight w:val="none"/>
                    </w:rPr>
                    <w:t>十三、纺织</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color w:val="auto"/>
                      <w:highlight w:val="none"/>
                    </w:rPr>
                    <w:t>中</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color w:val="auto"/>
                      <w:highlight w:val="none"/>
                    </w:rPr>
                    <w:t>12、入纬率小于600米/分钟的剑杆织机，入纬率小于700米/分钟的喷气织机，入纬率小于900米/分钟的喷水织机</w:t>
                  </w:r>
                  <w:r>
                    <w:rPr>
                      <w:rFonts w:ascii="Times New Roman" w:eastAsia="宋体" w:hAnsi="Times New Roman" w:cs="Times New Roman" w:hint="eastAsia"/>
                      <w:color w:val="auto"/>
                      <w:highlight w:val="none"/>
                      <w:lang w:eastAsia="zh-CN"/>
                    </w:rPr>
                    <w:t>”</w:t>
                  </w:r>
                </w:p>
              </w:tc>
              <w:tc>
                <w:tcPr>
                  <w:tcW w:w="1752"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color w:val="auto"/>
                      <w:highlight w:val="none"/>
                    </w:rPr>
                    <w:t>本项目喷水织机入纬率为</w:t>
                  </w:r>
                  <w:r>
                    <w:rPr>
                      <w:rFonts w:ascii="Times New Roman" w:eastAsia="宋体" w:hAnsi="Times New Roman" w:cs="Times New Roman" w:hint="eastAsia"/>
                      <w:color w:val="auto"/>
                      <w:highlight w:val="none"/>
                      <w:lang w:val="en-US" w:eastAsia="zh-CN"/>
                    </w:rPr>
                    <w:t>14</w:t>
                  </w:r>
                  <w:r>
                    <w:rPr>
                      <w:rFonts w:ascii="Times New Roman" w:eastAsia="宋体" w:hAnsi="Times New Roman" w:cs="Times New Roman"/>
                      <w:color w:val="auto"/>
                      <w:highlight w:val="none"/>
                    </w:rPr>
                    <w:t>00米/分钟，不属于限制类项目。</w:t>
                  </w:r>
                </w:p>
              </w:tc>
            </w:tr>
            <w:tr>
              <w:tblPrEx>
                <w:tblW w:w="4999" w:type="pct"/>
                <w:jc w:val="center"/>
                <w:tblCellMar>
                  <w:top w:w="0" w:type="dxa"/>
                  <w:left w:w="0" w:type="dxa"/>
                  <w:bottom w:w="0" w:type="dxa"/>
                  <w:right w:w="0" w:type="dxa"/>
                </w:tblCellMar>
              </w:tblPrEx>
              <w:trPr>
                <w:trHeight w:val="283"/>
                <w:jc w:val="center"/>
              </w:trPr>
              <w:tc>
                <w:tcPr>
                  <w:tcW w:w="165"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color w:val="auto"/>
                      <w:highlight w:val="none"/>
                    </w:rPr>
                    <w:t>2</w:t>
                  </w:r>
                </w:p>
              </w:tc>
              <w:tc>
                <w:tcPr>
                  <w:tcW w:w="1343" w:type="pct"/>
                  <w:tcBorders>
                    <w:tl2br w:val="nil"/>
                    <w:tr2bl w:val="nil"/>
                  </w:tcBorders>
                  <w:vAlign w:val="center"/>
                </w:tcPr>
                <w:p>
                  <w:pPr>
                    <w:adjustRightInd w:val="0"/>
                    <w:snapToGrid w:val="0"/>
                    <w:jc w:val="center"/>
                    <w:rPr>
                      <w:rFonts w:hint="eastAsia"/>
                      <w:color w:val="auto"/>
                      <w:kern w:val="44"/>
                      <w:szCs w:val="20"/>
                      <w:highlight w:val="none"/>
                    </w:rPr>
                  </w:pPr>
                  <w:r>
                    <w:rPr>
                      <w:rFonts w:ascii="Times New Roman" w:eastAsia="宋体" w:hAnsi="Times New Roman" w:cs="Times New Roman" w:hint="eastAsia"/>
                      <w:color w:val="auto"/>
                      <w:kern w:val="44"/>
                      <w:sz w:val="21"/>
                      <w:szCs w:val="20"/>
                      <w:highlight w:val="none"/>
                      <w:lang w:val="en-US" w:eastAsia="zh-CN" w:bidi="ar-SA"/>
                    </w:rPr>
                    <w:t>《限制用地项目目录（2012年本）》、《禁止用地项目目录（2012年本）》</w:t>
                  </w:r>
                </w:p>
              </w:tc>
              <w:tc>
                <w:tcPr>
                  <w:tcW w:w="1738" w:type="pct"/>
                  <w:tcBorders>
                    <w:tl2br w:val="nil"/>
                    <w:tr2bl w:val="nil"/>
                  </w:tcBorders>
                  <w:vAlign w:val="center"/>
                </w:tcPr>
                <w:p>
                  <w:pPr>
                    <w:adjustRightInd w:val="0"/>
                    <w:snapToGrid w:val="0"/>
                    <w:jc w:val="center"/>
                    <w:rPr>
                      <w:rFonts w:hint="eastAsia"/>
                      <w:color w:val="auto"/>
                      <w:kern w:val="44"/>
                      <w:szCs w:val="20"/>
                      <w:highlight w:val="none"/>
                    </w:rPr>
                  </w:pPr>
                  <w:r>
                    <w:rPr>
                      <w:rFonts w:ascii="Times New Roman" w:eastAsia="宋体" w:hAnsi="Times New Roman" w:cs="Times New Roman" w:hint="eastAsia"/>
                      <w:color w:val="auto"/>
                      <w:kern w:val="44"/>
                      <w:sz w:val="21"/>
                      <w:szCs w:val="20"/>
                      <w:highlight w:val="none"/>
                      <w:lang w:val="en-US" w:eastAsia="zh-CN" w:bidi="ar-SA"/>
                    </w:rPr>
                    <w:t>/</w:t>
                  </w:r>
                </w:p>
              </w:tc>
              <w:tc>
                <w:tcPr>
                  <w:tcW w:w="1752" w:type="pct"/>
                  <w:tcBorders>
                    <w:tl2br w:val="nil"/>
                    <w:tr2bl w:val="nil"/>
                  </w:tcBorders>
                  <w:vAlign w:val="center"/>
                </w:tcPr>
                <w:p>
                  <w:pPr>
                    <w:adjustRightInd w:val="0"/>
                    <w:snapToGrid w:val="0"/>
                    <w:jc w:val="center"/>
                    <w:rPr>
                      <w:rFonts w:hint="eastAsia"/>
                      <w:color w:val="auto"/>
                      <w:kern w:val="44"/>
                      <w:szCs w:val="20"/>
                      <w:highlight w:val="none"/>
                    </w:rPr>
                  </w:pPr>
                  <w:r>
                    <w:rPr>
                      <w:rFonts w:ascii="Times New Roman" w:eastAsia="宋体" w:hAnsi="Times New Roman" w:cs="Times New Roman" w:hint="eastAsia"/>
                      <w:color w:val="auto"/>
                      <w:kern w:val="44"/>
                      <w:sz w:val="21"/>
                      <w:szCs w:val="20"/>
                      <w:highlight w:val="none"/>
                      <w:lang w:val="en-US" w:eastAsia="zh-CN" w:bidi="ar-SA"/>
                    </w:rPr>
                    <w:t>本项目用地性质为工业用地，不在《限制用地项目目录（2012年本）》、《禁止用地项目目录（2012年本）》中。</w:t>
                  </w:r>
                </w:p>
              </w:tc>
            </w:tr>
            <w:tr>
              <w:tblPrEx>
                <w:tblW w:w="4999" w:type="pct"/>
                <w:jc w:val="center"/>
                <w:tblCellMar>
                  <w:top w:w="0" w:type="dxa"/>
                  <w:left w:w="0" w:type="dxa"/>
                  <w:bottom w:w="0" w:type="dxa"/>
                  <w:right w:w="0" w:type="dxa"/>
                </w:tblCellMar>
              </w:tblPrEx>
              <w:trPr>
                <w:trHeight w:val="283"/>
                <w:jc w:val="center"/>
              </w:trPr>
              <w:tc>
                <w:tcPr>
                  <w:tcW w:w="165" w:type="pct"/>
                  <w:tcBorders>
                    <w:tl2br w:val="nil"/>
                    <w:tr2bl w:val="nil"/>
                  </w:tcBorders>
                  <w:vAlign w:val="center"/>
                </w:tcPr>
                <w:p>
                  <w:pPr>
                    <w:pStyle w:val="a12"/>
                    <w:rPr>
                      <w:rFonts w:ascii="Times New Roman" w:eastAsia="宋体" w:hAnsi="Times New Roman" w:cs="Times New Roman" w:hint="eastAsia"/>
                      <w:color w:val="auto"/>
                      <w:highlight w:val="none"/>
                      <w:lang w:val="en-US" w:eastAsia="zh-CN"/>
                    </w:rPr>
                  </w:pPr>
                  <w:r>
                    <w:rPr>
                      <w:rFonts w:ascii="Times New Roman" w:eastAsia="宋体" w:hAnsi="Times New Roman" w:cs="Times New Roman" w:hint="eastAsia"/>
                      <w:color w:val="auto"/>
                      <w:highlight w:val="none"/>
                      <w:lang w:val="en-US" w:eastAsia="zh-CN"/>
                    </w:rPr>
                    <w:t>3</w:t>
                  </w:r>
                </w:p>
              </w:tc>
              <w:tc>
                <w:tcPr>
                  <w:tcW w:w="1343" w:type="pct"/>
                  <w:tcBorders>
                    <w:tl2br w:val="nil"/>
                    <w:tr2bl w:val="nil"/>
                  </w:tcBorders>
                  <w:vAlign w:val="center"/>
                </w:tcPr>
                <w:p>
                  <w:pPr>
                    <w:adjustRightInd w:val="0"/>
                    <w:snapToGrid w:val="0"/>
                    <w:jc w:val="center"/>
                    <w:rPr>
                      <w:rFonts w:hint="eastAsia"/>
                      <w:color w:val="auto"/>
                      <w:kern w:val="44"/>
                      <w:szCs w:val="20"/>
                      <w:highlight w:val="none"/>
                    </w:rPr>
                  </w:pPr>
                  <w:r>
                    <w:rPr>
                      <w:rFonts w:ascii="Times New Roman" w:eastAsia="宋体" w:hAnsi="Times New Roman" w:cs="Times New Roman" w:hint="eastAsia"/>
                      <w:color w:val="auto"/>
                      <w:kern w:val="44"/>
                      <w:sz w:val="21"/>
                      <w:szCs w:val="20"/>
                      <w:highlight w:val="none"/>
                      <w:lang w:val="en-US" w:eastAsia="zh-CN" w:bidi="ar-SA"/>
                    </w:rPr>
                    <w:t>《江苏省限制用地项目目录（2013年本）》、《江苏省禁止用地项目目录（2013年本）》</w:t>
                  </w:r>
                </w:p>
              </w:tc>
              <w:tc>
                <w:tcPr>
                  <w:tcW w:w="1738" w:type="pct"/>
                  <w:tcBorders>
                    <w:tl2br w:val="nil"/>
                    <w:tr2bl w:val="nil"/>
                  </w:tcBorders>
                  <w:vAlign w:val="center"/>
                </w:tcPr>
                <w:p>
                  <w:pPr>
                    <w:adjustRightInd w:val="0"/>
                    <w:snapToGrid w:val="0"/>
                    <w:jc w:val="center"/>
                    <w:rPr>
                      <w:rFonts w:hint="eastAsia"/>
                      <w:color w:val="auto"/>
                      <w:kern w:val="44"/>
                      <w:szCs w:val="20"/>
                      <w:highlight w:val="none"/>
                    </w:rPr>
                  </w:pPr>
                  <w:r>
                    <w:rPr>
                      <w:rFonts w:ascii="Times New Roman" w:eastAsia="宋体" w:hAnsi="Times New Roman" w:cs="Times New Roman" w:hint="eastAsia"/>
                      <w:color w:val="auto"/>
                      <w:kern w:val="44"/>
                      <w:sz w:val="21"/>
                      <w:szCs w:val="20"/>
                      <w:highlight w:val="none"/>
                      <w:lang w:val="en-US" w:eastAsia="zh-CN" w:bidi="ar-SA"/>
                    </w:rPr>
                    <w:t>/</w:t>
                  </w:r>
                </w:p>
              </w:tc>
              <w:tc>
                <w:tcPr>
                  <w:tcW w:w="1752" w:type="pct"/>
                  <w:tcBorders>
                    <w:tl2br w:val="nil"/>
                    <w:tr2bl w:val="nil"/>
                  </w:tcBorders>
                  <w:vAlign w:val="center"/>
                </w:tcPr>
                <w:p>
                  <w:pPr>
                    <w:adjustRightInd w:val="0"/>
                    <w:snapToGrid w:val="0"/>
                    <w:jc w:val="center"/>
                    <w:rPr>
                      <w:rFonts w:hint="eastAsia"/>
                      <w:color w:val="auto"/>
                      <w:kern w:val="44"/>
                      <w:szCs w:val="20"/>
                      <w:highlight w:val="none"/>
                    </w:rPr>
                  </w:pPr>
                  <w:r>
                    <w:rPr>
                      <w:rFonts w:ascii="Times New Roman" w:eastAsia="宋体" w:hAnsi="Times New Roman" w:cs="Times New Roman" w:hint="eastAsia"/>
                      <w:color w:val="auto"/>
                      <w:kern w:val="44"/>
                      <w:sz w:val="21"/>
                      <w:szCs w:val="20"/>
                      <w:highlight w:val="none"/>
                      <w:lang w:val="en-US" w:eastAsia="zh-CN" w:bidi="ar-SA"/>
                    </w:rPr>
                    <w:t>本项目用地性质为工业用地，不在《江苏省限制用地项目目录（2013年本）》、《江苏省禁止用地项目目录（2013年本）》中。</w:t>
                  </w:r>
                </w:p>
              </w:tc>
            </w:tr>
            <w:tr>
              <w:tblPrEx>
                <w:tblW w:w="4999" w:type="pct"/>
                <w:jc w:val="center"/>
                <w:tblCellMar>
                  <w:top w:w="0" w:type="dxa"/>
                  <w:left w:w="0" w:type="dxa"/>
                  <w:bottom w:w="0" w:type="dxa"/>
                  <w:right w:w="0" w:type="dxa"/>
                </w:tblCellMar>
              </w:tblPrEx>
              <w:trPr>
                <w:trHeight w:val="283"/>
                <w:jc w:val="center"/>
              </w:trPr>
              <w:tc>
                <w:tcPr>
                  <w:tcW w:w="165" w:type="pct"/>
                  <w:tcBorders>
                    <w:tl2br w:val="nil"/>
                    <w:tr2bl w:val="nil"/>
                  </w:tcBorders>
                  <w:vAlign w:val="center"/>
                </w:tcPr>
                <w:p>
                  <w:pPr>
                    <w:pStyle w:val="a12"/>
                    <w:rPr>
                      <w:rFonts w:ascii="Times New Roman" w:eastAsia="宋体" w:hAnsi="Times New Roman" w:cs="Times New Roman" w:hint="eastAsia"/>
                      <w:color w:val="auto"/>
                      <w:highlight w:val="none"/>
                      <w:lang w:eastAsia="zh-CN"/>
                    </w:rPr>
                  </w:pPr>
                  <w:r>
                    <w:rPr>
                      <w:rFonts w:ascii="Times New Roman" w:eastAsia="宋体" w:hAnsi="Times New Roman" w:cs="Times New Roman" w:hint="eastAsia"/>
                      <w:color w:val="auto"/>
                      <w:highlight w:val="none"/>
                      <w:lang w:val="en-US" w:eastAsia="zh-CN"/>
                    </w:rPr>
                    <w:t>4</w:t>
                  </w:r>
                </w:p>
              </w:tc>
              <w:tc>
                <w:tcPr>
                  <w:tcW w:w="1343"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hint="eastAsia"/>
                      <w:color w:val="auto"/>
                      <w:highlight w:val="none"/>
                    </w:rPr>
                    <w:t>《市场准入负面清单</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hint="eastAsia"/>
                      <w:color w:val="auto"/>
                      <w:highlight w:val="none"/>
                    </w:rPr>
                    <w:t>202</w:t>
                  </w:r>
                  <w:r>
                    <w:rPr>
                      <w:rFonts w:ascii="Times New Roman" w:eastAsia="宋体" w:hAnsi="Times New Roman" w:cs="Times New Roman" w:hint="eastAsia"/>
                      <w:color w:val="auto"/>
                      <w:highlight w:val="none"/>
                      <w:lang w:val="en-US" w:eastAsia="zh-CN"/>
                    </w:rPr>
                    <w:t>2</w:t>
                  </w:r>
                  <w:r>
                    <w:rPr>
                      <w:rFonts w:ascii="Times New Roman" w:eastAsia="宋体" w:hAnsi="Times New Roman" w:cs="Times New Roman" w:hint="eastAsia"/>
                      <w:color w:val="auto"/>
                      <w:highlight w:val="none"/>
                    </w:rPr>
                    <w:t>版</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hint="eastAsia"/>
                      <w:color w:val="auto"/>
                      <w:highlight w:val="none"/>
                    </w:rPr>
                    <w:t>》</w:t>
                  </w:r>
                </w:p>
              </w:tc>
              <w:tc>
                <w:tcPr>
                  <w:tcW w:w="1738"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hint="eastAsia"/>
                      <w:color w:val="auto"/>
                      <w:highlight w:val="none"/>
                    </w:rPr>
                    <w:t>/</w:t>
                  </w:r>
                </w:p>
              </w:tc>
              <w:tc>
                <w:tcPr>
                  <w:tcW w:w="1752" w:type="pct"/>
                  <w:tcBorders>
                    <w:tl2br w:val="nil"/>
                    <w:tr2bl w:val="nil"/>
                  </w:tcBorders>
                  <w:vAlign w:val="center"/>
                </w:tcPr>
                <w:p>
                  <w:pPr>
                    <w:pStyle w:val="a12"/>
                    <w:rPr>
                      <w:rFonts w:ascii="Times New Roman" w:eastAsia="宋体" w:hAnsi="Times New Roman" w:cs="Times New Roman"/>
                      <w:color w:val="auto"/>
                      <w:highlight w:val="none"/>
                    </w:rPr>
                  </w:pPr>
                  <w:r>
                    <w:rPr>
                      <w:rFonts w:ascii="Times New Roman" w:eastAsia="宋体" w:hAnsi="Times New Roman" w:cs="Times New Roman"/>
                      <w:color w:val="auto"/>
                      <w:highlight w:val="none"/>
                    </w:rPr>
                    <w:t>本项目不属于禁止准入类项目</w:t>
                  </w:r>
                </w:p>
              </w:tc>
            </w:tr>
          </w:tbl>
          <w:p>
            <w:pPr>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本项目为涤纶布生产项目，项目位于滨海县八巨镇工业园，根据八巨镇人民政府出具的证明，本项目符合八巨镇土地利用规划及产业规划。</w:t>
            </w:r>
          </w:p>
          <w:p>
            <w:pPr>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综上所述，本项目符合生态保护红线、环境质量底线、资源利用上线和环境准入负面清单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简称</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三线一单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管控要求，符合</w:t>
            </w:r>
            <w:r>
              <w:rPr>
                <w:rFonts w:ascii="Times New Roman" w:eastAsia="宋体" w:hAnsi="Times New Roman" w:cs="Times New Roman" w:hint="eastAsia"/>
                <w:color w:val="auto"/>
                <w:sz w:val="24"/>
                <w:highlight w:val="none"/>
              </w:rPr>
              <w:t>八巨镇工业园园区</w:t>
            </w:r>
            <w:r>
              <w:rPr>
                <w:rFonts w:ascii="Times New Roman" w:eastAsia="宋体" w:hAnsi="Times New Roman" w:cs="Times New Roman"/>
                <w:color w:val="auto"/>
                <w:sz w:val="24"/>
                <w:highlight w:val="none"/>
              </w:rPr>
              <w:t>产业定位。</w:t>
            </w:r>
          </w:p>
          <w:p>
            <w:pPr>
              <w:pStyle w:val="Default"/>
              <w:spacing w:line="240" w:lineRule="auto"/>
              <w:ind w:left="0" w:firstLine="0" w:leftChars="0" w:firstLineChars="0"/>
              <w:rPr>
                <w:rFonts w:ascii="Times New Roman" w:eastAsia="宋体" w:hAnsi="Times New Roman" w:cs="Times New Roman" w:hint="default"/>
                <w:color w:val="auto"/>
                <w:highlight w:val="none"/>
              </w:rPr>
            </w:pPr>
            <w:r>
              <w:rPr>
                <w:rFonts w:ascii="Times New Roman" w:eastAsia="宋体" w:hAnsi="Times New Roman" w:cs="Times New Roman" w:hint="default"/>
                <w:bCs/>
                <w:color w:val="auto"/>
                <w:kern w:val="0"/>
                <w:highlight w:val="none"/>
                <w:lang w:bidi="ar"/>
              </w:rPr>
              <w:t>1.</w:t>
            </w:r>
            <w:r>
              <w:rPr>
                <w:rFonts w:ascii="Times New Roman" w:eastAsia="宋体" w:hAnsi="Times New Roman" w:cs="Times New Roman" w:hint="default"/>
                <w:bCs/>
                <w:color w:val="auto"/>
                <w:kern w:val="0"/>
                <w:highlight w:val="none"/>
                <w:lang w:val="en-US" w:eastAsia="zh-CN" w:bidi="ar"/>
              </w:rPr>
              <w:t>3</w:t>
            </w:r>
            <w:r>
              <w:rPr>
                <w:rFonts w:ascii="Times New Roman" w:eastAsia="宋体" w:hAnsi="Times New Roman" w:cs="Times New Roman" w:hint="default"/>
                <w:bCs/>
                <w:color w:val="auto"/>
                <w:kern w:val="0"/>
                <w:highlight w:val="none"/>
                <w:lang w:bidi="ar"/>
              </w:rPr>
              <w:t xml:space="preserve"> 项目与</w:t>
            </w:r>
            <w:r>
              <w:rPr>
                <w:rFonts w:ascii="Times New Roman" w:eastAsia="宋体" w:hAnsi="Times New Roman" w:cs="Times New Roman" w:hint="eastAsia"/>
                <w:color w:val="auto"/>
                <w:kern w:val="0"/>
                <w:highlight w:val="none"/>
                <w:lang w:eastAsia="zh-CN" w:bidi="ar"/>
              </w:rPr>
              <w:t>“</w:t>
            </w:r>
            <w:r>
              <w:rPr>
                <w:rFonts w:ascii="Times New Roman" w:eastAsia="宋体" w:hAnsi="Times New Roman" w:cs="Times New Roman" w:hint="default"/>
                <w:bCs/>
                <w:color w:val="auto"/>
                <w:kern w:val="0"/>
                <w:highlight w:val="none"/>
                <w:lang w:bidi="ar"/>
              </w:rPr>
              <w:t>长江经济带发展负面清单指南</w:t>
            </w:r>
            <w:r>
              <w:rPr>
                <w:rFonts w:ascii="Times New Roman" w:eastAsia="宋体" w:hAnsi="Times New Roman" w:cs="Times New Roman" w:hint="eastAsia"/>
                <w:color w:val="auto"/>
                <w:kern w:val="0"/>
                <w:highlight w:val="none"/>
                <w:lang w:eastAsia="zh-CN" w:bidi="ar"/>
              </w:rPr>
              <w:t>”</w:t>
            </w:r>
            <w:r>
              <w:rPr>
                <w:rFonts w:ascii="Times New Roman" w:eastAsia="宋体" w:hAnsi="Times New Roman" w:cs="Times New Roman" w:hint="default"/>
                <w:bCs/>
                <w:color w:val="auto"/>
                <w:kern w:val="0"/>
                <w:highlight w:val="none"/>
                <w:lang w:bidi="ar"/>
              </w:rPr>
              <w:t>的相符性分析</w:t>
            </w:r>
          </w:p>
          <w:p>
            <w:pPr>
              <w:pStyle w:val="Default"/>
              <w:keepNext w:val="0"/>
              <w:keepLines w:val="0"/>
              <w:pageBreakBefore w:val="0"/>
              <w:widowControl w:val="0"/>
              <w:kinsoku/>
              <w:wordWrap/>
              <w:overflowPunct/>
              <w:topLinePunct w:val="0"/>
              <w:autoSpaceDE w:val="0"/>
              <w:autoSpaceDN w:val="0"/>
              <w:bidi w:val="0"/>
              <w:adjustRightInd w:val="0"/>
              <w:snapToGrid/>
              <w:ind w:firstLine="480" w:firstLineChars="200"/>
              <w:textAlignment w:val="auto"/>
              <w:outlineLvl w:val="9"/>
              <w:rPr>
                <w:rFonts w:ascii="Times New Roman" w:eastAsia="宋体" w:hAnsi="Times New Roman" w:cs="Times New Roman" w:hint="default"/>
                <w:color w:val="auto"/>
                <w:highlight w:val="none"/>
              </w:rPr>
            </w:pPr>
            <w:r>
              <w:rPr>
                <w:rFonts w:ascii="Times New Roman" w:eastAsia="宋体" w:hAnsi="Times New Roman" w:cs="Times New Roman" w:hint="default"/>
                <w:b w:val="0"/>
                <w:bCs/>
                <w:color w:val="auto"/>
                <w:highlight w:val="none"/>
              </w:rPr>
              <w:t>对照</w:t>
            </w:r>
            <w:r>
              <w:rPr>
                <w:rFonts w:ascii="Times New Roman" w:eastAsia="宋体" w:hAnsi="Times New Roman" w:cs="Times New Roman" w:hint="default"/>
                <w:b w:val="0"/>
                <w:bCs/>
                <w:color w:val="auto"/>
                <w:highlight w:val="none"/>
                <w:lang w:val="zh-CN"/>
              </w:rPr>
              <w:t>《长江经济带发展负面清单指南</w:t>
            </w:r>
            <w:r>
              <w:rPr>
                <w:rFonts w:ascii="Times New Roman" w:eastAsia="宋体" w:hAnsi="Times New Roman" w:cs="Times New Roman" w:hint="default"/>
                <w:b w:val="0"/>
                <w:bCs/>
                <w:color w:val="auto"/>
                <w:highlight w:val="none"/>
                <w:lang w:eastAsia="zh-CN"/>
              </w:rPr>
              <w:t>（试行，</w:t>
            </w:r>
            <w:r>
              <w:rPr>
                <w:rFonts w:ascii="Times New Roman" w:eastAsia="宋体" w:hAnsi="Times New Roman" w:cs="Times New Roman" w:hint="default"/>
                <w:b w:val="0"/>
                <w:bCs/>
                <w:color w:val="auto"/>
                <w:highlight w:val="none"/>
                <w:lang w:val="en-US" w:eastAsia="zh-CN"/>
              </w:rPr>
              <w:t>2022版</w:t>
            </w:r>
            <w:r>
              <w:rPr>
                <w:rFonts w:ascii="Times New Roman" w:eastAsia="宋体" w:hAnsi="Times New Roman" w:cs="Times New Roman" w:hint="default"/>
                <w:b w:val="0"/>
                <w:bCs/>
                <w:color w:val="auto"/>
                <w:highlight w:val="none"/>
                <w:lang w:eastAsia="zh-CN"/>
              </w:rPr>
              <w:t>）</w:t>
            </w:r>
            <w:r>
              <w:rPr>
                <w:rFonts w:ascii="Times New Roman" w:eastAsia="宋体" w:hAnsi="Times New Roman" w:cs="Times New Roman" w:hint="default"/>
                <w:b w:val="0"/>
                <w:bCs/>
                <w:color w:val="auto"/>
                <w:highlight w:val="none"/>
              </w:rPr>
              <w:t>》</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hint="eastAsia"/>
                <w:b w:val="0"/>
                <w:bCs/>
                <w:color w:val="auto"/>
                <w:highlight w:val="none"/>
                <w:lang w:val="zh-CN" w:eastAsia="zh-CN"/>
              </w:rPr>
              <w:t>《长江经济带发展负面清单指南</w:t>
            </w:r>
            <w:r>
              <w:rPr>
                <w:rFonts w:ascii="Times New Roman" w:eastAsia="宋体" w:hAnsi="Times New Roman" w:cs="Times New Roman" w:hint="eastAsia"/>
                <w:b w:val="0"/>
                <w:bCs/>
                <w:color w:val="auto"/>
                <w:highlight w:val="none"/>
                <w:lang w:eastAsia="zh-CN"/>
              </w:rPr>
              <w:t>（试行，</w:t>
            </w:r>
            <w:r>
              <w:rPr>
                <w:rFonts w:ascii="Times New Roman" w:eastAsia="宋体" w:hAnsi="Times New Roman" w:cs="Times New Roman" w:hint="eastAsia"/>
                <w:b w:val="0"/>
                <w:bCs/>
                <w:color w:val="auto"/>
                <w:highlight w:val="none"/>
                <w:lang w:val="en-US" w:eastAsia="zh-CN"/>
              </w:rPr>
              <w:t>2022版</w:t>
            </w:r>
            <w:r>
              <w:rPr>
                <w:rFonts w:ascii="Times New Roman" w:eastAsia="宋体" w:hAnsi="Times New Roman" w:cs="Times New Roman" w:hint="eastAsia"/>
                <w:b w:val="0"/>
                <w:bCs/>
                <w:color w:val="auto"/>
                <w:highlight w:val="none"/>
                <w:lang w:eastAsia="zh-CN"/>
              </w:rPr>
              <w:t>）江苏省实施细则》</w:t>
            </w:r>
            <w:r>
              <w:rPr>
                <w:rFonts w:ascii="Times New Roman" w:eastAsia="宋体" w:hAnsi="Times New Roman" w:cs="Times New Roman" w:hint="default"/>
                <w:b w:val="0"/>
                <w:bCs/>
                <w:color w:val="auto"/>
                <w:highlight w:val="none"/>
              </w:rPr>
              <w:t>，本项目符合</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hint="default"/>
                <w:b w:val="0"/>
                <w:bCs/>
                <w:color w:val="auto"/>
                <w:highlight w:val="none"/>
              </w:rPr>
              <w:t>长江经济带发展负面清单指南</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hint="default"/>
                <w:b w:val="0"/>
                <w:bCs/>
                <w:color w:val="auto"/>
                <w:highlight w:val="none"/>
              </w:rPr>
              <w:t>的要求。</w:t>
            </w:r>
            <w:r>
              <w:rPr>
                <w:rFonts w:ascii="Times New Roman" w:eastAsia="宋体" w:hAnsi="Times New Roman" w:cs="Times New Roman" w:hint="default"/>
                <w:b w:val="0"/>
                <w:bCs/>
                <w:color w:val="auto"/>
                <w:highlight w:val="none"/>
                <w:lang w:val="en-US" w:eastAsia="zh-CN"/>
              </w:rPr>
              <w:t>详见</w:t>
            </w:r>
            <w:r>
              <w:rPr>
                <w:rFonts w:ascii="Times New Roman" w:eastAsia="宋体" w:hAnsi="Times New Roman" w:cs="Times New Roman" w:hint="default"/>
                <w:b w:val="0"/>
                <w:bCs/>
                <w:color w:val="auto"/>
                <w:sz w:val="24"/>
                <w:highlight w:val="none"/>
              </w:rPr>
              <w:t>表1-</w:t>
            </w:r>
            <w:r>
              <w:rPr>
                <w:rFonts w:ascii="Times New Roman" w:eastAsia="宋体" w:hAnsi="Times New Roman" w:cs="Times New Roman" w:hint="default"/>
                <w:b w:val="0"/>
                <w:bCs/>
                <w:color w:val="auto"/>
                <w:sz w:val="24"/>
                <w:highlight w:val="none"/>
                <w:lang w:val="en-US" w:eastAsia="zh-CN"/>
              </w:rPr>
              <w:t>5</w:t>
            </w:r>
            <w:r>
              <w:rPr>
                <w:rFonts w:ascii="Times New Roman" w:eastAsia="宋体" w:hAnsi="Times New Roman" w:cs="Times New Roman" w:hint="default"/>
                <w:b w:val="0"/>
                <w:bCs/>
                <w:color w:val="auto"/>
                <w:sz w:val="24"/>
                <w:highlight w:val="none"/>
              </w:rPr>
              <w:t>。</w:t>
            </w:r>
          </w:p>
          <w:p>
            <w:pPr>
              <w:pStyle w:val="Default"/>
              <w:ind w:left="0" w:firstLine="0" w:leftChars="0" w:firstLineChars="0"/>
              <w:jc w:val="center"/>
              <w:outlineLvl w:val="9"/>
              <w:rPr>
                <w:rFonts w:ascii="Times New Roman" w:eastAsia="宋体" w:hAnsi="Times New Roman" w:cs="Times New Roman"/>
                <w:color w:val="auto"/>
                <w:highlight w:val="none"/>
              </w:rPr>
            </w:pPr>
            <w:r>
              <w:rPr>
                <w:rFonts w:ascii="Times New Roman" w:eastAsia="宋体" w:hAnsi="Times New Roman" w:cs="Times New Roman"/>
                <w:bCs/>
                <w:color w:val="auto"/>
                <w:highlight w:val="none"/>
              </w:rPr>
              <w:t>表</w:t>
            </w:r>
            <w:r>
              <w:rPr>
                <w:rFonts w:ascii="Times New Roman" w:eastAsia="宋体" w:hAnsi="Times New Roman" w:cs="Times New Roman" w:hint="eastAsia"/>
                <w:bCs/>
                <w:color w:val="auto"/>
                <w:highlight w:val="none"/>
              </w:rPr>
              <w:t>1-</w:t>
            </w:r>
            <w:r>
              <w:rPr>
                <w:rFonts w:ascii="Times New Roman" w:eastAsia="宋体" w:hAnsi="Times New Roman" w:cs="Times New Roman" w:hint="eastAsia"/>
                <w:bCs/>
                <w:color w:val="auto"/>
                <w:highlight w:val="none"/>
                <w:lang w:val="en-US" w:eastAsia="zh-CN"/>
              </w:rPr>
              <w:t>5</w:t>
            </w:r>
            <w:r>
              <w:rPr>
                <w:rFonts w:ascii="Times New Roman" w:eastAsia="宋体" w:hAnsi="Times New Roman" w:cs="Times New Roman"/>
                <w:bCs/>
                <w:color w:val="auto"/>
                <w:highlight w:val="none"/>
              </w:rPr>
              <w:t>与《江苏省长江经济带生态环境保护实施规划》相符性分析</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11"/>
              <w:gridCol w:w="4425"/>
              <w:gridCol w:w="2155"/>
              <w:gridCol w:w="1137"/>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序号</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管控条款</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本项目情况</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符合性说明</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禁止建设不符合国家港口布局规划以及港口总体规划的码头项目，禁止建设不符合《长江干线过奖通道布局规划》的过长江干线通道项目。</w:t>
                  </w:r>
                </w:p>
              </w:tc>
              <w:tc>
                <w:tcPr>
                  <w:tcW w:w="129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ind w:firstLine="0"/>
                    <w:jc w:val="center"/>
                    <w:rPr>
                      <w:rFonts w:hint="eastAsia"/>
                      <w:color w:val="auto"/>
                      <w:kern w:val="44"/>
                      <w:szCs w:val="20"/>
                      <w:highlight w:val="none"/>
                    </w:rPr>
                  </w:pPr>
                  <w:r>
                    <w:rPr>
                      <w:rFonts w:ascii="Times New Roman" w:eastAsia="宋体" w:hAnsi="Times New Roman" w:cs="Times New Roman" w:hint="eastAsia"/>
                      <w:color w:val="auto"/>
                      <w:kern w:val="44"/>
                      <w:sz w:val="21"/>
                      <w:szCs w:val="20"/>
                      <w:highlight w:val="none"/>
                      <w:lang w:val="en-US" w:eastAsia="zh-CN" w:bidi="ar-SA"/>
                    </w:rPr>
                    <w:t>本项目不属于码头及过长江干线通道项目。</w:t>
                  </w:r>
                </w:p>
              </w:tc>
              <w:tc>
                <w:tcPr>
                  <w:tcW w:w="68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ind w:firstLine="0"/>
                    <w:jc w:val="center"/>
                    <w:rPr>
                      <w:rFonts w:hint="eastAsia"/>
                      <w:color w:val="auto"/>
                      <w:kern w:val="44"/>
                      <w:szCs w:val="20"/>
                      <w:highlight w:val="none"/>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2</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禁止在自然保护区核心区、缓冲区的岸线和河段范围内投资建设旅游和生产经营项目。禁止在风景名胜区核心景区的岸线和河段范围内投资建设与风景名胜资源保护无关的项目。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本项目不涉及自然保护区核心区、缓冲区的岸线和河段，项目周边无风景名胜区。</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3</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0"/>
                    <w:ind w:firstLine="0"/>
                    <w:rPr>
                      <w:rFonts w:ascii="Times New Roman" w:eastAsia="宋体" w:hAnsi="Times New Roman" w:cs="Times New Roman" w:hint="eastAsia"/>
                      <w:color w:val="auto"/>
                      <w:kern w:val="44"/>
                      <w:sz w:val="21"/>
                      <w:highlight w:val="none"/>
                      <w:lang w:val="en-US" w:eastAsia="zh-CN" w:bidi="ar-SA"/>
                    </w:rPr>
                  </w:pP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0"/>
                    <w:ind w:firstLine="0"/>
                    <w:rPr>
                      <w:rFonts w:ascii="Times New Roman" w:eastAsia="宋体" w:hAnsi="Times New Roman" w:cs="Times New Roman" w:hint="eastAsia"/>
                      <w:color w:val="auto"/>
                      <w:kern w:val="44"/>
                      <w:sz w:val="21"/>
                      <w:highlight w:val="none"/>
                      <w:lang w:val="en-US" w:eastAsia="zh-CN" w:bidi="ar-SA"/>
                    </w:rPr>
                  </w:pP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bl>
          <w:p/>
        </w:tc>
      </w:tr>
    </w:tbl>
    <w:p>
      <w:pPr>
        <w:sectPr>
          <w:footerReference w:type="even" r:id="rId20"/>
          <w:footerReference w:type="default" r:id="rId21"/>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11"/>
              <w:gridCol w:w="4425"/>
              <w:gridCol w:w="2155"/>
              <w:gridCol w:w="1137"/>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0"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0"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本项目不在滨海县境内的饮用水源一级保护区范围内</w:t>
                  </w:r>
                </w:p>
              </w:tc>
              <w:tc>
                <w:tcPr>
                  <w:tcW w:w="682" w:type="pct"/>
                  <w:tcBorders>
                    <w:tl2br w:val="nil"/>
                    <w:tr2bl w:val="nil"/>
                  </w:tcBorders>
                  <w:noWrap w:val="0"/>
                  <w:vAlign w:val="center"/>
                </w:tcP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4</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项目所在地不涉及国家级和省级水产种质资源保护区、国家湿地公园。</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5</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保护区、保留区内投资建设不利于水资源及自然生态保护的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本项目所在位置不属于《全国重要江河湖泊水功能区划》划定的河段保护区、保留区。</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6</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禁止未经许可在长江干支流及湖泊新设、改设或扩大排污口。</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项目不在长江干支流及湖泊范围内，且不新设、改设或扩大排污口。</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7</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禁止在“一江一口两湖七河”和332个水生生物保护区开展生产性捕捞。</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本项目不属于化工项目。</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8</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不涉及</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9</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禁止在合规园区外新建、扩建钢铁、石化、化工、焦化、建材、有色、制浆造纸等高污染项目。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不涉及</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10</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禁止新建、扩建不符合国家石化、现代煤化工等产业布局规划的项目。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不涉及</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11</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新建、扩建法律法规和相关政策明令禁止的落后产能项目，以及明令淘汰的安全生产落后工艺及装备项目。禁止新建、扩建不符合国家产能置换要求的严重过剩产能行业的项目。禁止新建、扩建不符合要求的高能耗高排放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本项目使用先进工艺及装备，不属于高能耗高排放项目。</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bl>
          <w:p>
            <w:pPr>
              <w:spacing w:line="500" w:lineRule="exact"/>
              <w:ind w:firstLine="480" w:firstLineChars="200"/>
              <w:rPr>
                <w:color w:val="auto"/>
                <w:sz w:val="24"/>
                <w:highlight w:val="none"/>
              </w:rPr>
            </w:pPr>
            <w:r>
              <w:rPr>
                <w:rFonts w:ascii="Times New Roman" w:eastAsia="宋体" w:hAnsi="Times New Roman" w:cs="Times New Roman"/>
                <w:color w:val="auto"/>
                <w:sz w:val="24"/>
                <w:highlight w:val="none"/>
              </w:rPr>
              <w:t>项目与</w:t>
            </w:r>
            <w:r>
              <w:rPr>
                <w:rFonts w:ascii="Times New Roman" w:eastAsia="宋体" w:hAnsi="Times New Roman" w:cs="Times New Roman" w:hint="eastAsia"/>
                <w:color w:val="auto"/>
                <w:sz w:val="24"/>
                <w:highlight w:val="none"/>
                <w:lang w:val="zh-CN"/>
              </w:rPr>
              <w:t>关于印发《长江经济带发展负面清单指南</w:t>
            </w:r>
            <w:r>
              <w:rPr>
                <w:rFonts w:ascii="Times New Roman" w:eastAsia="宋体" w:hAnsi="Times New Roman" w:cs="Times New Roman" w:hint="eastAsia"/>
                <w:color w:val="auto"/>
                <w:sz w:val="24"/>
                <w:highlight w:val="none"/>
                <w:lang w:eastAsia="zh-CN"/>
              </w:rPr>
              <w:t>（试行，</w:t>
            </w:r>
            <w:r>
              <w:rPr>
                <w:rFonts w:ascii="Times New Roman" w:eastAsia="宋体" w:hAnsi="Times New Roman" w:cs="Times New Roman" w:hint="eastAsia"/>
                <w:color w:val="auto"/>
                <w:sz w:val="24"/>
                <w:highlight w:val="none"/>
                <w:lang w:val="en-US" w:eastAsia="zh-CN"/>
              </w:rPr>
              <w:t>2022版</w:t>
            </w:r>
            <w:r>
              <w:rPr>
                <w:rFonts w:ascii="Times New Roman" w:eastAsia="宋体" w:hAnsi="Times New Roman" w:cs="Times New Roman" w:hint="eastAsia"/>
                <w:color w:val="auto"/>
                <w:sz w:val="24"/>
                <w:highlight w:val="none"/>
                <w:lang w:eastAsia="zh-CN"/>
              </w:rPr>
              <w:t>）江苏省实施细则</w:t>
            </w:r>
            <w:r>
              <w:rPr>
                <w:rFonts w:ascii="Times New Roman" w:eastAsia="宋体" w:hAnsi="Times New Roman" w:cs="Times New Roman" w:hint="eastAsia"/>
                <w:color w:val="auto"/>
                <w:sz w:val="24"/>
                <w:highlight w:val="none"/>
              </w:rPr>
              <w:t>》的通知相符性分析详见</w:t>
            </w:r>
            <w:r>
              <w:rPr>
                <w:rFonts w:ascii="Times New Roman" w:eastAsia="宋体" w:hAnsi="Times New Roman" w:cs="Times New Roman"/>
                <w:color w:val="auto"/>
                <w:sz w:val="24"/>
                <w:highlight w:val="none"/>
              </w:rPr>
              <w:t>表</w:t>
            </w:r>
            <w:r>
              <w:rPr>
                <w:rFonts w:ascii="Times New Roman" w:eastAsia="宋体" w:hAnsi="Times New Roman" w:cs="Times New Roman" w:hint="eastAsia"/>
                <w:color w:val="auto"/>
                <w:sz w:val="24"/>
                <w:highlight w:val="none"/>
              </w:rPr>
              <w:t>1-</w:t>
            </w:r>
            <w:r>
              <w:rPr>
                <w:rFonts w:ascii="Times New Roman" w:eastAsia="宋体" w:hAnsi="Times New Roman" w:cs="Times New Roman" w:hint="eastAsia"/>
                <w:color w:val="auto"/>
                <w:sz w:val="24"/>
                <w:highlight w:val="none"/>
                <w:lang w:val="en-US" w:eastAsia="zh-CN"/>
              </w:rPr>
              <w:t>6</w:t>
            </w:r>
            <w:r>
              <w:rPr>
                <w:rFonts w:ascii="Times New Roman" w:eastAsia="宋体" w:hAnsi="Times New Roman" w:cs="Times New Roman"/>
                <w:color w:val="auto"/>
                <w:sz w:val="24"/>
                <w:highlight w:val="none"/>
              </w:rPr>
              <w:t>。</w:t>
            </w:r>
          </w:p>
          <w:p>
            <w:pPr>
              <w:pStyle w:val="Default"/>
              <w:spacing w:line="240" w:lineRule="auto"/>
              <w:ind w:left="0" w:firstLine="0" w:leftChars="0" w:firstLineChars="0"/>
              <w:jc w:val="center"/>
              <w:outlineLvl w:val="9"/>
              <w:rPr>
                <w:rFonts w:ascii="Times New Roman" w:eastAsia="宋体" w:hAnsi="Times New Roman" w:cs="Times New Roman"/>
                <w:bCs/>
                <w:color w:val="auto"/>
                <w:highlight w:val="none"/>
              </w:rPr>
            </w:pPr>
            <w:r>
              <w:rPr>
                <w:rFonts w:ascii="Times New Roman" w:eastAsia="宋体" w:hAnsi="Times New Roman" w:cs="Times New Roman"/>
                <w:bCs/>
                <w:color w:val="auto"/>
                <w:highlight w:val="none"/>
              </w:rPr>
              <w:t>表</w:t>
            </w:r>
            <w:r>
              <w:rPr>
                <w:rFonts w:ascii="Times New Roman" w:eastAsia="宋体" w:hAnsi="Times New Roman" w:cs="Times New Roman" w:hint="eastAsia"/>
                <w:bCs/>
                <w:color w:val="auto"/>
                <w:highlight w:val="none"/>
              </w:rPr>
              <w:t>1-</w:t>
            </w:r>
            <w:r>
              <w:rPr>
                <w:rFonts w:ascii="Times New Roman" w:eastAsia="宋体" w:hAnsi="Times New Roman" w:cs="Times New Roman" w:hint="eastAsia"/>
                <w:bCs/>
                <w:color w:val="auto"/>
                <w:highlight w:val="none"/>
                <w:lang w:val="en-US" w:eastAsia="zh-CN"/>
              </w:rPr>
              <w:t>6</w:t>
            </w:r>
            <w:r>
              <w:rPr>
                <w:rFonts w:ascii="Times New Roman" w:eastAsia="宋体" w:hAnsi="Times New Roman" w:cs="Times New Roman"/>
                <w:bCs/>
                <w:color w:val="auto"/>
                <w:highlight w:val="none"/>
              </w:rPr>
              <w:t xml:space="preserve"> </w:t>
            </w:r>
            <w:r>
              <w:rPr>
                <w:rFonts w:ascii="Times New Roman" w:eastAsia="宋体" w:hAnsi="Times New Roman" w:cs="Times New Roman" w:hint="eastAsia"/>
                <w:bCs/>
                <w:color w:val="auto"/>
                <w:highlight w:val="none"/>
              </w:rPr>
              <w:t>项目与关于印发</w:t>
            </w:r>
            <w:r>
              <w:rPr>
                <w:rFonts w:ascii="Times New Roman" w:eastAsia="宋体" w:hAnsi="Times New Roman" w:cs="Times New Roman" w:hint="eastAsia"/>
                <w:bCs/>
                <w:color w:val="auto"/>
                <w:highlight w:val="none"/>
                <w:lang w:val="zh-CN"/>
              </w:rPr>
              <w:t>《长江经济带发展负面清单指南</w:t>
            </w:r>
            <w:r>
              <w:rPr>
                <w:rFonts w:ascii="Times New Roman" w:eastAsia="宋体" w:hAnsi="Times New Roman" w:cs="Times New Roman" w:hint="eastAsia"/>
                <w:bCs/>
                <w:color w:val="auto"/>
                <w:highlight w:val="none"/>
                <w:lang w:eastAsia="zh-CN"/>
              </w:rPr>
              <w:t>（试行，</w:t>
            </w:r>
            <w:r>
              <w:rPr>
                <w:rFonts w:ascii="Times New Roman" w:eastAsia="宋体" w:hAnsi="Times New Roman" w:cs="Times New Roman" w:hint="eastAsia"/>
                <w:bCs/>
                <w:color w:val="auto"/>
                <w:highlight w:val="none"/>
                <w:lang w:val="en-US" w:eastAsia="zh-CN"/>
              </w:rPr>
              <w:t>2022版</w:t>
            </w:r>
            <w:r>
              <w:rPr>
                <w:rFonts w:ascii="Times New Roman" w:eastAsia="宋体" w:hAnsi="Times New Roman" w:cs="Times New Roman" w:hint="eastAsia"/>
                <w:bCs/>
                <w:color w:val="auto"/>
                <w:highlight w:val="none"/>
                <w:lang w:eastAsia="zh-CN"/>
              </w:rPr>
              <w:t>）江苏省实施细则</w:t>
            </w:r>
            <w:r>
              <w:rPr>
                <w:rFonts w:ascii="Times New Roman" w:eastAsia="宋体" w:hAnsi="Times New Roman" w:cs="Times New Roman" w:hint="eastAsia"/>
                <w:bCs/>
                <w:color w:val="auto"/>
                <w:highlight w:val="none"/>
              </w:rPr>
              <w:t>》的通知相符性分析表</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11"/>
              <w:gridCol w:w="4425"/>
              <w:gridCol w:w="2155"/>
              <w:gridCol w:w="1137"/>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序号</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管控条款</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本项目情况</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符合性说明</w:t>
                  </w:r>
                </w:p>
              </w:tc>
            </w:tr>
          </w:tbl>
          <w:p/>
        </w:tc>
      </w:tr>
    </w:tbl>
    <w:p>
      <w:pPr>
        <w:sectPr>
          <w:footerReference w:type="even" r:id="rId22"/>
          <w:footerReference w:type="default" r:id="rId23"/>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7"/>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11"/>
              <w:gridCol w:w="4425"/>
              <w:gridCol w:w="2155"/>
              <w:gridCol w:w="1137"/>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禁止建设不符合国家港口布局规划和《江苏省沿江沿海港口布局规划（2015-2030年）》《江苏省内河港口布局规划（2017-2035年）》以及我省有关港口总体规划的码头项目，禁止建设未纳入《长江干线过江通道布局规划》的过长江通道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本项目不属于码头及过长江干线通道项目</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2</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严格执行《中华人民共和国自然保护区条例》，禁止在自然保护区核心区、缓冲区的岸线和河段范围内投资建设旅游和生产经营项目。严格执行《风景名胜区条例》《江苏省风景名胜区管理条例》，禁止在国家级和省级风景名胜区核心景区的岸线和河段范围内投资建设与风景名胜资源保护无关的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本项目不涉及自然保护区核心区、缓冲区的岸线和河段，项目周边无风景名胜区</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3</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严格执行《中华人民共和国水污染防治法》《江苏省人民代表大会常务委员会关于加强饮用水源地保护的决定》《江苏省水污染防治条例》，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禁止在饮用水水源准保护区的岸线和河段范围内新建、扩建对水体污染严重的投资建设项目，改建项目应当消减排污量。</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本项目位于八巨镇民营园，不在滨海县境内的饮用水源保护区范围内。</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4</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严格执行《水产种质资源保护区管理暂行办法》，禁止在国家级和省级水产种质资源保护区的岸线和河段范围内新建围湖造田、围海造地或围填海等投资建设项目。严格执行《中华人民共和国湿地保护法》《江苏省湿地保护条例》，禁止在国家湿地公园的岸线和河段范围内挖沙、采矿，以及任何不符合主体功能定位的投资建设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项目所在地不涉及国家级和省级水产种质资源保护区、国家湿地公园。</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5</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长江干支流基础设施项目，应按照《长江岸线保护和开发利用总体规划》和生态环境保护、岸线保护等要求，按规定开展项目前期论证并办理相关手续。禁止在《全国重要江河湖泊水功能区划》划定的河段及湖泊保护区、保留区内投资建设不利于水资源及自然生态保护的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本项目所在位置不属于《长江岸线保护和开发利用总体规划》划定的岸线保护区和保留区内，不属于《全国重要江河湖泊水功能区划》划定的河段保护区、保留区内。</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6</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禁止未经许可在长江干支流及湖泊新设、改设或扩大排污口。</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本项目不在长江干支流及湖泊范围内，且不新设、改设或扩大排污口</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7</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0"/>
                    <w:ind w:firstLine="0"/>
                    <w:rPr>
                      <w:rFonts w:ascii="Times New Roman" w:eastAsia="宋体" w:hAnsi="Times New Roman" w:cs="Times New Roman" w:hint="eastAsia"/>
                      <w:color w:val="auto"/>
                      <w:kern w:val="44"/>
                      <w:sz w:val="21"/>
                      <w:highlight w:val="none"/>
                      <w:lang w:val="en-US" w:eastAsia="zh-CN" w:bidi="ar-SA"/>
                    </w:rPr>
                  </w:pP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本项目不涉及捕捞活动。</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bl>
          <w:p/>
        </w:tc>
      </w:tr>
    </w:tbl>
    <w:p>
      <w:pPr>
        <w:sectPr>
          <w:footerReference w:type="even" r:id="rId24"/>
          <w:footerReference w:type="default" r:id="rId25"/>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8"/>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11"/>
              <w:gridCol w:w="4425"/>
              <w:gridCol w:w="2155"/>
              <w:gridCol w:w="1137"/>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0"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禁止长江干流、长江口、34个列入《率先全面禁捕的长江流域水生生物保护区名录》的水生生物保护区以及省规定的其它禁渔水域开展生产性捕捞。</w:t>
                  </w:r>
                </w:p>
              </w:tc>
              <w:tc>
                <w:tcPr>
                  <w:tcW w:w="1293" w:type="pct"/>
                  <w:tcBorders>
                    <w:tl2br w:val="nil"/>
                    <w:tr2bl w:val="nil"/>
                  </w:tcBorders>
                  <w:noWrap w:val="0"/>
                  <w:vAlign w:val="center"/>
                </w:tcPr>
                <w:p/>
              </w:tc>
              <w:tc>
                <w:tcPr>
                  <w:tcW w:w="682" w:type="pct"/>
                  <w:tcBorders>
                    <w:tl2br w:val="nil"/>
                    <w:tr2bl w:val="nil"/>
                  </w:tcBorders>
                  <w:noWrap w:val="0"/>
                  <w:vAlign w:val="center"/>
                </w:tcP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8</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禁止在长江干支流岸线一公里范围内新建、扩建化工园区和化工项目。长江干支流一公里按照长江干支流岸线边界（即水利部门河道管理范围边界）向陆域纵深一公里执行。</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本项目不属于化工项目。</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9</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禁止在长江干流岸线三公里范围内新建、改建、扩建尾矿库、冶炼渣库和磷石膏库，以提升安全、生态环境保护水平为目的的改建除外。</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本项目不涉及尾矿库、冶炼渣库和磷石膏库。</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10</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禁止在太湖流域一、二、三级保护区内开展《江苏省太湖水污染防治条例》禁止的投资建设活动。</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本项目不在太湖流域保护区范围。</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11</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禁止在沿江地区新建、扩建未纳入国家和省布局规划的燃煤发电项目。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本项目不属于燃煤发电项目。</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12</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禁止在合规园区外新建、扩建钢铁、石化、化工、焦化、建材、有色、制浆造纸等高污染项目。合规园区名录按照《〈长江经济带发展负面清单指南（试行，2022年版）&gt;江苏省实施细则合规园区名录》执行。</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本项目不属于钢铁、石化、化工、焦化、建材、有色、制浆造纸等高污染项目</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13</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禁止在取消化工定位的园区（集中区）内新建化工项目。</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本项目不属于化工项目。</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r>
              <w:tblPrEx>
                <w:tblW w:w="5000" w:type="pct"/>
                <w:jc w:val="center"/>
                <w:tblCellMar>
                  <w:top w:w="0" w:type="dxa"/>
                  <w:left w:w="108" w:type="dxa"/>
                  <w:bottom w:w="0" w:type="dxa"/>
                  <w:right w:w="108" w:type="dxa"/>
                </w:tblCellMar>
              </w:tblPrEx>
              <w:trPr>
                <w:trHeight w:val="340"/>
                <w:jc w:val="center"/>
              </w:trPr>
              <w:tc>
                <w:tcPr>
                  <w:tcW w:w="367"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14</w:t>
                  </w:r>
                </w:p>
              </w:tc>
              <w:tc>
                <w:tcPr>
                  <w:tcW w:w="2656"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禁止在化工企业周边建设不符合安全距离规定的劳动。</w:t>
                  </w:r>
                </w:p>
              </w:tc>
              <w:tc>
                <w:tcPr>
                  <w:tcW w:w="1293"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本项目不属于化工项目，且周边无化工企业。</w:t>
                  </w:r>
                </w:p>
              </w:tc>
              <w:tc>
                <w:tcPr>
                  <w:tcW w:w="682" w:type="pct"/>
                  <w:tcBorders>
                    <w:tl2br w:val="nil"/>
                    <w:tr2bl w:val="nil"/>
                  </w:tcBorders>
                  <w:noWrap w:val="0"/>
                  <w:vAlign w:val="center"/>
                </w:tcPr>
                <w:p>
                  <w:pPr>
                    <w:pStyle w:val="a2"/>
                    <w:keepNext w:val="0"/>
                    <w:keepLines w:val="0"/>
                    <w:pageBreakBefore w:val="0"/>
                    <w:widowControl w:val="0"/>
                    <w:kinsoku/>
                    <w:wordWrap/>
                    <w:overflowPunct/>
                    <w:topLinePunct w:val="0"/>
                    <w:autoSpaceDE/>
                    <w:autoSpaceDN/>
                    <w:bidi w:val="0"/>
                    <w:adjustRightInd w:val="0"/>
                    <w:snapToGrid w:val="0"/>
                    <w:spacing w:before="24" w:after="24"/>
                    <w:ind w:firstLine="0"/>
                    <w:rPr>
                      <w:rFonts w:ascii="Times New Roman" w:eastAsia="宋体" w:hAnsi="Times New Roman" w:cs="Times New Roman" w:hint="eastAsia"/>
                      <w:color w:val="auto"/>
                      <w:kern w:val="44"/>
                      <w:sz w:val="21"/>
                      <w:highlight w:val="none"/>
                      <w:lang w:val="en-US" w:eastAsia="zh-CN" w:bidi="ar-SA"/>
                    </w:rPr>
                  </w:pPr>
                  <w:r>
                    <w:rPr>
                      <w:rFonts w:ascii="Times New Roman" w:eastAsia="宋体" w:hAnsi="Times New Roman" w:cs="Times New Roman" w:hint="eastAsia"/>
                      <w:color w:val="auto"/>
                      <w:kern w:val="44"/>
                      <w:sz w:val="21"/>
                      <w:szCs w:val="20"/>
                      <w:highlight w:val="none"/>
                      <w:lang w:val="en-US" w:eastAsia="zh-CN" w:bidi="ar-SA"/>
                    </w:rPr>
                    <w:t>符合</w:t>
                  </w:r>
                </w:p>
              </w:tc>
            </w:tr>
          </w:tbl>
          <w:p>
            <w:pPr>
              <w:pStyle w:val="Default"/>
              <w:keepNext w:val="0"/>
              <w:keepLines w:val="0"/>
              <w:pageBreakBefore w:val="0"/>
              <w:widowControl w:val="0"/>
              <w:kinsoku/>
              <w:wordWrap/>
              <w:overflowPunct/>
              <w:topLinePunct w:val="0"/>
              <w:autoSpaceDE w:val="0"/>
              <w:autoSpaceDN w:val="0"/>
              <w:bidi w:val="0"/>
              <w:adjustRightInd w:val="0"/>
              <w:snapToGrid/>
              <w:spacing w:line="500" w:lineRule="exact"/>
              <w:ind w:left="0" w:firstLine="0" w:leftChars="0" w:firstLineChars="0"/>
              <w:textAlignment w:val="auto"/>
              <w:rPr>
                <w:rFonts w:ascii="Times New Roman" w:eastAsia="宋体" w:hAnsi="Times New Roman" w:cs="Times New Roman" w:hint="default"/>
                <w:color w:val="auto"/>
                <w:highlight w:val="none"/>
              </w:rPr>
            </w:pPr>
            <w:r>
              <w:rPr>
                <w:rFonts w:ascii="Times New Roman" w:eastAsia="宋体" w:hAnsi="Times New Roman" w:cs="Times New Roman" w:hint="default"/>
                <w:bCs/>
                <w:color w:val="auto"/>
                <w:kern w:val="0"/>
                <w:highlight w:val="none"/>
                <w:lang w:bidi="ar"/>
              </w:rPr>
              <w:t>1.</w:t>
            </w:r>
            <w:r>
              <w:rPr>
                <w:rFonts w:ascii="Times New Roman" w:eastAsia="宋体" w:hAnsi="Times New Roman" w:cs="Times New Roman" w:hint="eastAsia"/>
                <w:bCs/>
                <w:color w:val="auto"/>
                <w:kern w:val="0"/>
                <w:highlight w:val="none"/>
                <w:lang w:val="en-US" w:eastAsia="zh-CN" w:bidi="ar"/>
              </w:rPr>
              <w:t>4</w:t>
            </w:r>
            <w:r>
              <w:rPr>
                <w:rFonts w:ascii="Times New Roman" w:eastAsia="宋体" w:hAnsi="Times New Roman" w:cs="Times New Roman" w:hint="default"/>
                <w:bCs/>
                <w:color w:val="auto"/>
                <w:kern w:val="0"/>
                <w:highlight w:val="none"/>
                <w:lang w:bidi="ar"/>
              </w:rPr>
              <w:t xml:space="preserve"> 项目与</w:t>
            </w:r>
            <w:r>
              <w:rPr>
                <w:rFonts w:ascii="Times New Roman" w:eastAsia="宋体" w:hAnsi="Times New Roman" w:cs="Times New Roman" w:hint="default"/>
                <w:bCs/>
                <w:color w:val="auto"/>
                <w:kern w:val="0"/>
                <w:highlight w:val="none"/>
                <w:lang w:val="en-US" w:eastAsia="zh-CN" w:bidi="ar"/>
              </w:rPr>
              <w:t>《江苏省颗粒物无组织排放深度整治实施方案》（苏大气办〔2018〕4号） 相符性分</w:t>
            </w:r>
            <w:r>
              <w:rPr>
                <w:rFonts w:ascii="Times New Roman" w:eastAsia="宋体" w:hAnsi="Times New Roman" w:cs="Times New Roman" w:hint="default"/>
                <w:bCs/>
                <w:color w:val="auto"/>
                <w:kern w:val="0"/>
                <w:highlight w:val="none"/>
                <w:lang w:bidi="ar"/>
              </w:rPr>
              <w:t>析</w:t>
            </w:r>
          </w:p>
          <w:p>
            <w:pPr>
              <w:pStyle w:val="Default"/>
              <w:keepNext w:val="0"/>
              <w:keepLines w:val="0"/>
              <w:pageBreakBefore w:val="0"/>
              <w:widowControl w:val="0"/>
              <w:kinsoku/>
              <w:wordWrap/>
              <w:overflowPunct/>
              <w:topLinePunct w:val="0"/>
              <w:autoSpaceDE w:val="0"/>
              <w:autoSpaceDN w:val="0"/>
              <w:bidi w:val="0"/>
              <w:adjustRightInd w:val="0"/>
              <w:snapToGrid/>
              <w:ind w:firstLine="480" w:firstLineChars="200"/>
              <w:textAlignment w:val="auto"/>
              <w:outlineLvl w:val="9"/>
              <w:rPr>
                <w:rFonts w:ascii="Times New Roman" w:eastAsia="宋体" w:hAnsi="Times New Roman" w:cs="Times New Roman" w:hint="default"/>
                <w:color w:val="auto"/>
                <w:highlight w:val="none"/>
              </w:rPr>
            </w:pPr>
            <w:r>
              <w:rPr>
                <w:rFonts w:ascii="Times New Roman" w:eastAsia="宋体" w:hAnsi="Times New Roman" w:cs="Times New Roman" w:hint="default"/>
                <w:b w:val="0"/>
                <w:bCs/>
                <w:color w:val="auto"/>
                <w:highlight w:val="none"/>
              </w:rPr>
              <w:t>根据方案中的其他行业重点企业的无组织深度整治要求，本项目完成情况具体见表</w:t>
            </w:r>
            <w:r>
              <w:rPr>
                <w:rFonts w:ascii="Times New Roman" w:eastAsia="宋体" w:hAnsi="Times New Roman" w:cs="Times New Roman" w:hint="default"/>
                <w:b w:val="0"/>
                <w:bCs/>
                <w:color w:val="auto"/>
                <w:sz w:val="24"/>
                <w:highlight w:val="none"/>
              </w:rPr>
              <w:t>1-</w:t>
            </w:r>
            <w:r>
              <w:rPr>
                <w:rFonts w:ascii="Times New Roman" w:eastAsia="宋体" w:hAnsi="Times New Roman" w:cs="Times New Roman" w:hint="eastAsia"/>
                <w:b w:val="0"/>
                <w:bCs/>
                <w:color w:val="auto"/>
                <w:sz w:val="24"/>
                <w:highlight w:val="none"/>
                <w:lang w:val="en-US" w:eastAsia="zh-CN"/>
              </w:rPr>
              <w:t>7</w:t>
            </w:r>
            <w:r>
              <w:rPr>
                <w:rFonts w:ascii="Times New Roman" w:eastAsia="宋体" w:hAnsi="Times New Roman" w:cs="Times New Roman" w:hint="default"/>
                <w:b w:val="0"/>
                <w:bCs/>
                <w:color w:val="auto"/>
                <w:sz w:val="24"/>
                <w:highlight w:val="none"/>
              </w:rPr>
              <w:t>。</w:t>
            </w:r>
          </w:p>
          <w:p>
            <w:pPr>
              <w:pStyle w:val="Default"/>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ascii="Times New Roman" w:eastAsia="宋体" w:hAnsi="Times New Roman" w:cs="Times New Roman"/>
                <w:b w:val="0"/>
                <w:color w:val="auto"/>
                <w:highlight w:val="yellow"/>
              </w:rPr>
            </w:pPr>
            <w:r>
              <w:rPr>
                <w:rFonts w:ascii="Times New Roman" w:eastAsia="宋体" w:hAnsi="Times New Roman" w:cs="Times New Roman"/>
                <w:bCs/>
                <w:color w:val="auto"/>
                <w:highlight w:val="none"/>
              </w:rPr>
              <w:t>表</w:t>
            </w:r>
            <w:r>
              <w:rPr>
                <w:rFonts w:ascii="Times New Roman" w:eastAsia="宋体" w:hAnsi="Times New Roman" w:cs="Times New Roman" w:hint="eastAsia"/>
                <w:bCs/>
                <w:color w:val="auto"/>
                <w:highlight w:val="none"/>
              </w:rPr>
              <w:t>1-</w:t>
            </w:r>
            <w:r>
              <w:rPr>
                <w:rFonts w:ascii="Times New Roman" w:eastAsia="宋体" w:hAnsi="Times New Roman" w:cs="Times New Roman" w:hint="eastAsia"/>
                <w:bCs/>
                <w:color w:val="auto"/>
                <w:highlight w:val="none"/>
                <w:lang w:val="en-US" w:eastAsia="zh-CN"/>
              </w:rPr>
              <w:t>7项目与《江苏省颗粒物无组织排放深度整治实施方案》（苏大气办〔2018〕4号）相符性分析</w:t>
            </w:r>
          </w:p>
          <w:tbl>
            <w:tblPr>
              <w:tblStyle w:val="TableNormal"/>
              <w:tblW w:w="5000" w:type="pct"/>
              <w:jc w:val="center"/>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CellMar>
                <w:top w:w="0" w:type="dxa"/>
                <w:left w:w="0" w:type="dxa"/>
                <w:bottom w:w="0" w:type="dxa"/>
                <w:right w:w="0" w:type="dxa"/>
              </w:tblCellMar>
            </w:tblPr>
            <w:tblGrid>
              <w:gridCol w:w="669"/>
              <w:gridCol w:w="3935"/>
              <w:gridCol w:w="3202"/>
              <w:gridCol w:w="522"/>
            </w:tblGrid>
            <w:tr>
              <w:tblPrEx>
                <w:tblW w:w="5000" w:type="pct"/>
                <w:jc w:val="center"/>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CellMar>
                  <w:top w:w="0" w:type="dxa"/>
                  <w:left w:w="0" w:type="dxa"/>
                  <w:bottom w:w="0" w:type="dxa"/>
                  <w:right w:w="0" w:type="dxa"/>
                </w:tblCellMar>
              </w:tblPrEx>
              <w:trPr>
                <w:trHeight w:val="1089"/>
                <w:jc w:val="center"/>
              </w:trPr>
              <w:tc>
                <w:tcPr>
                  <w:tcW w:w="402" w:type="pct"/>
                  <w:tcBorders>
                    <w:tl2br w:val="nil"/>
                    <w:tr2bl w:val="nil"/>
                  </w:tcBorders>
                  <w:vAlign w:val="center"/>
                </w:tcPr>
                <w:p>
                  <w:pPr>
                    <w:pStyle w:val="TableParagraph"/>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产尘过程</w:t>
                  </w:r>
                </w:p>
              </w:tc>
              <w:tc>
                <w:tcPr>
                  <w:tcW w:w="2361" w:type="pct"/>
                  <w:tcBorders>
                    <w:tl2br w:val="nil"/>
                    <w:tr2bl w:val="nil"/>
                  </w:tcBorders>
                  <w:vAlign w:val="center"/>
                </w:tcPr>
                <w:p>
                  <w:pPr>
                    <w:pStyle w:val="TableParagraph"/>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文件相关内容</w:t>
                  </w:r>
                </w:p>
              </w:tc>
              <w:tc>
                <w:tcPr>
                  <w:tcW w:w="1921" w:type="pct"/>
                  <w:tcBorders>
                    <w:tl2br w:val="nil"/>
                    <w:tr2bl w:val="nil"/>
                  </w:tcBorders>
                  <w:vAlign w:val="center"/>
                </w:tcPr>
                <w:p>
                  <w:pPr>
                    <w:pStyle w:val="TableParagraph"/>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本项目情况</w:t>
                  </w:r>
                </w:p>
              </w:tc>
              <w:tc>
                <w:tcPr>
                  <w:tcW w:w="313" w:type="pct"/>
                  <w:tcBorders>
                    <w:tl2br w:val="nil"/>
                    <w:tr2bl w:val="nil"/>
                  </w:tcBorders>
                  <w:vAlign w:val="center"/>
                </w:tcPr>
                <w:p>
                  <w:pPr>
                    <w:pStyle w:val="TableParagraph"/>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相符性</w:t>
                  </w:r>
                </w:p>
              </w:tc>
            </w:tr>
            <w:tr>
              <w:tblPrEx>
                <w:tblW w:w="5000" w:type="pct"/>
                <w:jc w:val="center"/>
                <w:tblCellMar>
                  <w:top w:w="0" w:type="dxa"/>
                  <w:left w:w="0" w:type="dxa"/>
                  <w:bottom w:w="0" w:type="dxa"/>
                  <w:right w:w="0" w:type="dxa"/>
                </w:tblCellMar>
              </w:tblPrEx>
              <w:trPr>
                <w:trHeight w:val="2451"/>
                <w:jc w:val="center"/>
              </w:trPr>
              <w:tc>
                <w:tcPr>
                  <w:tcW w:w="402" w:type="pct"/>
                  <w:tcBorders>
                    <w:tl2br w:val="nil"/>
                    <w:tr2bl w:val="nil"/>
                  </w:tcBorders>
                  <w:vAlign w:val="center"/>
                </w:tcPr>
                <w:p>
                  <w:pPr>
                    <w:pStyle w:val="TableParagraph"/>
                    <w:spacing w:before="1" w:line="242" w:lineRule="auto"/>
                    <w:ind w:left="130" w:right="12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物料运输</w:t>
                  </w:r>
                </w:p>
              </w:tc>
              <w:tc>
                <w:tcPr>
                  <w:tcW w:w="2361" w:type="pct"/>
                  <w:tcBorders>
                    <w:tl2br w:val="nil"/>
                    <w:tr2bl w:val="nil"/>
                  </w:tcBorders>
                  <w:vAlign w:val="center"/>
                </w:tcPr>
                <w:p>
                  <w:pPr>
                    <w:pStyle w:val="TableParagraph"/>
                    <w:numPr>
                      <w:ilvl w:val="0"/>
                      <w:numId w:val="0"/>
                    </w:numPr>
                    <w:tabs>
                      <w:tab w:val="left" w:pos="660"/>
                    </w:tabs>
                    <w:spacing w:before="0" w:after="0" w:line="242" w:lineRule="auto"/>
                    <w:ind w:left="106" w:right="86"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（1）运输散装粉状物料应采用密闭车厢或罐车。</w:t>
                  </w:r>
                </w:p>
                <w:p>
                  <w:pPr>
                    <w:pStyle w:val="TableParagraph"/>
                    <w:numPr>
                      <w:ilvl w:val="0"/>
                      <w:numId w:val="0"/>
                    </w:numPr>
                    <w:tabs>
                      <w:tab w:val="left" w:pos="634"/>
                    </w:tabs>
                    <w:spacing w:before="1" w:after="0" w:line="242" w:lineRule="auto"/>
                    <w:ind w:left="106" w:right="93"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（2）运输袋装粉状物料，以及粒状、块状等易散发粉尘的物料应采用密闭车厢，或使用防尘布、防尘网覆盖物料，捆扎紧密，不得有物料遗撒。</w:t>
                  </w:r>
                </w:p>
                <w:p>
                  <w:pPr>
                    <w:pStyle w:val="TableParagraph"/>
                    <w:numPr>
                      <w:ilvl w:val="0"/>
                      <w:numId w:val="0"/>
                    </w:numPr>
                    <w:tabs>
                      <w:tab w:val="left" w:pos="634"/>
                    </w:tabs>
                    <w:spacing w:before="2" w:after="0" w:line="242" w:lineRule="auto"/>
                    <w:ind w:left="106" w:right="93"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（3）厂区道路应硬化，并定期清扫、洒水保持清洁。车辆在驶离煤场、料场、储库、堆棚前应清洗车轮、清洁车身。</w:t>
                  </w:r>
                </w:p>
              </w:tc>
              <w:tc>
                <w:tcPr>
                  <w:tcW w:w="1921" w:type="pct"/>
                  <w:tcBorders>
                    <w:tl2br w:val="nil"/>
                    <w:tr2bl w:val="nil"/>
                  </w:tcBorders>
                  <w:vAlign w:val="center"/>
                </w:tcPr>
                <w:p>
                  <w:pPr>
                    <w:pStyle w:val="TableParagraph"/>
                    <w:spacing w:before="179" w:line="242" w:lineRule="auto"/>
                    <w:ind w:left="139" w:right="126"/>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本项目原料</w:t>
                  </w:r>
                  <w:r>
                    <w:rPr>
                      <w:rFonts w:ascii="Times New Roman" w:eastAsia="宋体" w:hAnsi="Times New Roman" w:cs="Times New Roman" w:hint="eastAsia"/>
                      <w:color w:val="auto"/>
                      <w:spacing w:val="-10"/>
                      <w:kern w:val="44"/>
                      <w:sz w:val="21"/>
                      <w:szCs w:val="20"/>
                      <w:highlight w:val="none"/>
                      <w:lang w:val="en-US" w:eastAsia="zh-CN" w:bidi="ar-SA"/>
                    </w:rPr>
                    <w:t>为纤维丝，</w:t>
                  </w:r>
                  <w:r>
                    <w:rPr>
                      <w:rFonts w:ascii="Times New Roman" w:eastAsia="宋体" w:hAnsi="Times New Roman" w:cs="Times New Roman" w:hint="default"/>
                      <w:color w:val="auto"/>
                      <w:spacing w:val="-10"/>
                      <w:kern w:val="44"/>
                      <w:sz w:val="21"/>
                      <w:szCs w:val="20"/>
                      <w:highlight w:val="none"/>
                      <w:lang w:val="en-US" w:eastAsia="zh-CN" w:bidi="ar-SA"/>
                    </w:rPr>
                    <w:t>产品为</w:t>
                  </w:r>
                  <w:r>
                    <w:rPr>
                      <w:rFonts w:ascii="Times New Roman" w:eastAsia="宋体" w:hAnsi="Times New Roman" w:cs="Times New Roman" w:hint="eastAsia"/>
                      <w:color w:val="auto"/>
                      <w:spacing w:val="-10"/>
                      <w:kern w:val="44"/>
                      <w:sz w:val="21"/>
                      <w:szCs w:val="20"/>
                      <w:highlight w:val="none"/>
                      <w:lang w:val="en-US" w:eastAsia="zh-CN" w:bidi="ar-SA"/>
                    </w:rPr>
                    <w:t>布匹</w:t>
                  </w:r>
                  <w:r>
                    <w:rPr>
                      <w:rFonts w:ascii="Times New Roman" w:eastAsia="宋体" w:hAnsi="Times New Roman" w:cs="Times New Roman" w:hint="default"/>
                      <w:color w:val="auto"/>
                      <w:spacing w:val="-10"/>
                      <w:kern w:val="44"/>
                      <w:sz w:val="21"/>
                      <w:szCs w:val="20"/>
                      <w:highlight w:val="none"/>
                      <w:lang w:val="en-US" w:eastAsia="zh-CN" w:bidi="ar-SA"/>
                    </w:rPr>
                    <w:t>，不属于粉状物料。本项目厂区道路硬化，并通过定期清扫、洒水保持清洁。</w:t>
                  </w:r>
                </w:p>
              </w:tc>
              <w:tc>
                <w:tcPr>
                  <w:tcW w:w="313" w:type="pct"/>
                  <w:tcBorders>
                    <w:tl2br w:val="nil"/>
                    <w:tr2bl w:val="nil"/>
                  </w:tcBorders>
                  <w:vAlign w:val="center"/>
                </w:tcPr>
                <w:p>
                  <w:pPr>
                    <w:pStyle w:val="TableParagraph"/>
                    <w:spacing w:before="169"/>
                    <w:ind w:right="10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符合</w:t>
                  </w:r>
                </w:p>
              </w:tc>
            </w:tr>
          </w:tbl>
          <w:p/>
        </w:tc>
      </w:tr>
    </w:tbl>
    <w:p>
      <w:pPr>
        <w:sectPr>
          <w:footerReference w:type="even" r:id="rId26"/>
          <w:footerReference w:type="default" r:id="rId27"/>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9"/>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tbl>
            <w:tblPr>
              <w:tblStyle w:val="TableNormal"/>
              <w:tblW w:w="5000" w:type="pct"/>
              <w:jc w:val="center"/>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CellMar>
                <w:top w:w="0" w:type="dxa"/>
                <w:left w:w="0" w:type="dxa"/>
                <w:bottom w:w="0" w:type="dxa"/>
                <w:right w:w="0" w:type="dxa"/>
              </w:tblCellMar>
            </w:tblPr>
            <w:tblGrid>
              <w:gridCol w:w="669"/>
              <w:gridCol w:w="3935"/>
              <w:gridCol w:w="3202"/>
              <w:gridCol w:w="522"/>
            </w:tblGrid>
            <w:tr>
              <w:tblPrEx>
                <w:tblW w:w="5000" w:type="pct"/>
                <w:jc w:val="center"/>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CellMar>
                  <w:top w:w="0" w:type="dxa"/>
                  <w:left w:w="0" w:type="dxa"/>
                  <w:bottom w:w="0" w:type="dxa"/>
                  <w:right w:w="0" w:type="dxa"/>
                </w:tblCellMar>
              </w:tblPrEx>
              <w:trPr>
                <w:trHeight w:val="1456"/>
                <w:jc w:val="center"/>
              </w:trPr>
              <w:tc>
                <w:tcPr>
                  <w:tcW w:w="402" w:type="pct"/>
                  <w:tcBorders>
                    <w:tl2br w:val="nil"/>
                    <w:tr2bl w:val="nil"/>
                  </w:tcBorders>
                  <w:vAlign w:val="center"/>
                </w:tcPr>
                <w:p>
                  <w:pPr>
                    <w:pStyle w:val="TableParagraph"/>
                    <w:spacing w:line="242" w:lineRule="auto"/>
                    <w:ind w:left="130" w:right="121"/>
                    <w:jc w:val="center"/>
                    <w:rPr>
                      <w:rFonts w:ascii="Times New Roman" w:eastAsia="宋体" w:hAnsi="Times New Roman" w:cs="Times New Roman" w:hint="default"/>
                      <w:i w:val="0"/>
                      <w:iCs w:val="0"/>
                      <w:color w:val="auto"/>
                      <w:spacing w:val="-10"/>
                      <w:kern w:val="44"/>
                      <w:sz w:val="21"/>
                      <w:szCs w:val="20"/>
                      <w:highlight w:val="none"/>
                      <w:lang w:val="en-US" w:eastAsia="zh-CN" w:bidi="ar-SA"/>
                    </w:rPr>
                  </w:pPr>
                  <w:r>
                    <w:rPr>
                      <w:rFonts w:ascii="Times New Roman" w:eastAsia="宋体" w:hAnsi="Times New Roman" w:cs="Times New Roman" w:hint="default"/>
                      <w:i w:val="0"/>
                      <w:iCs w:val="0"/>
                      <w:color w:val="auto"/>
                      <w:spacing w:val="-10"/>
                      <w:kern w:val="44"/>
                      <w:sz w:val="21"/>
                      <w:szCs w:val="20"/>
                      <w:highlight w:val="none"/>
                      <w:lang w:val="en-US" w:eastAsia="zh-CN" w:bidi="ar-SA"/>
                    </w:rPr>
                    <w:t>物料装卸</w:t>
                  </w:r>
                </w:p>
              </w:tc>
              <w:tc>
                <w:tcPr>
                  <w:tcW w:w="2361" w:type="pct"/>
                  <w:tcBorders>
                    <w:tl2br w:val="nil"/>
                    <w:tr2bl w:val="nil"/>
                  </w:tcBorders>
                  <w:vAlign w:val="center"/>
                </w:tcPr>
                <w:p>
                  <w:pPr>
                    <w:pStyle w:val="TableParagraph"/>
                    <w:numPr>
                      <w:ilvl w:val="0"/>
                      <w:numId w:val="0"/>
                    </w:numPr>
                    <w:tabs>
                      <w:tab w:val="left" w:pos="634"/>
                    </w:tabs>
                    <w:spacing w:before="4" w:after="0" w:line="240" w:lineRule="auto"/>
                    <w:ind w:left="105" w:right="0" w:leftChars="0" w:rightChars="0"/>
                    <w:jc w:val="center"/>
                    <w:rPr>
                      <w:rFonts w:ascii="Times New Roman" w:eastAsia="宋体" w:hAnsi="Times New Roman" w:cs="Times New Roman" w:hint="default"/>
                      <w:i w:val="0"/>
                      <w:iCs w:val="0"/>
                      <w:color w:val="auto"/>
                      <w:spacing w:val="-10"/>
                      <w:kern w:val="44"/>
                      <w:sz w:val="21"/>
                      <w:szCs w:val="20"/>
                      <w:highlight w:val="none"/>
                      <w:lang w:val="en-US" w:eastAsia="zh-CN" w:bidi="ar-SA"/>
                    </w:rPr>
                  </w:pPr>
                  <w:r>
                    <w:rPr>
                      <w:rFonts w:ascii="Times New Roman" w:eastAsia="宋体" w:hAnsi="Times New Roman" w:cs="Times New Roman" w:hint="default"/>
                      <w:i w:val="0"/>
                      <w:iCs w:val="0"/>
                      <w:color w:val="auto"/>
                      <w:spacing w:val="-10"/>
                      <w:kern w:val="44"/>
                      <w:sz w:val="21"/>
                      <w:szCs w:val="20"/>
                      <w:highlight w:val="none"/>
                      <w:lang w:val="en-US" w:eastAsia="zh-CN" w:bidi="ar-SA"/>
                    </w:rPr>
                    <w:t>（1）密闭操作</w:t>
                  </w:r>
                </w:p>
                <w:p>
                  <w:pPr>
                    <w:pStyle w:val="TableParagraph"/>
                    <w:numPr>
                      <w:ilvl w:val="0"/>
                      <w:numId w:val="0"/>
                    </w:numPr>
                    <w:tabs>
                      <w:tab w:val="left" w:pos="634"/>
                    </w:tabs>
                    <w:spacing w:before="3" w:after="0" w:line="240" w:lineRule="auto"/>
                    <w:ind w:left="105" w:right="0" w:leftChars="0" w:rightChars="0"/>
                    <w:jc w:val="center"/>
                    <w:rPr>
                      <w:rFonts w:ascii="Times New Roman" w:eastAsia="宋体" w:hAnsi="Times New Roman" w:cs="Times New Roman" w:hint="default"/>
                      <w:i w:val="0"/>
                      <w:iCs w:val="0"/>
                      <w:color w:val="auto"/>
                      <w:spacing w:val="-10"/>
                      <w:kern w:val="44"/>
                      <w:sz w:val="21"/>
                      <w:szCs w:val="20"/>
                      <w:highlight w:val="none"/>
                      <w:lang w:val="en-US" w:eastAsia="zh-CN" w:bidi="ar-SA"/>
                    </w:rPr>
                  </w:pPr>
                  <w:r>
                    <w:rPr>
                      <w:rFonts w:ascii="Times New Roman" w:eastAsia="宋体" w:hAnsi="Times New Roman" w:cs="Times New Roman" w:hint="default"/>
                      <w:i w:val="0"/>
                      <w:iCs w:val="0"/>
                      <w:color w:val="auto"/>
                      <w:spacing w:val="-10"/>
                      <w:kern w:val="44"/>
                      <w:sz w:val="21"/>
                      <w:szCs w:val="20"/>
                      <w:highlight w:val="none"/>
                      <w:lang w:val="en-US" w:eastAsia="zh-CN" w:bidi="ar-SA"/>
                    </w:rPr>
                    <w:t>（2）在封闭式建筑物内进行物料装卸</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i w:val="0"/>
                      <w:iCs w:val="0"/>
                      <w:color w:val="auto"/>
                      <w:spacing w:val="-10"/>
                      <w:kern w:val="44"/>
                      <w:sz w:val="21"/>
                      <w:szCs w:val="20"/>
                      <w:highlight w:val="none"/>
                      <w:lang w:val="en-US" w:eastAsia="zh-CN" w:bidi="ar-SA"/>
                    </w:rPr>
                  </w:pPr>
                  <w:r>
                    <w:rPr>
                      <w:rFonts w:ascii="Times New Roman" w:eastAsia="宋体" w:hAnsi="Times New Roman" w:cs="Times New Roman" w:hint="default"/>
                      <w:i w:val="0"/>
                      <w:iCs w:val="0"/>
                      <w:color w:val="auto"/>
                      <w:spacing w:val="-10"/>
                      <w:kern w:val="44"/>
                      <w:sz w:val="21"/>
                      <w:szCs w:val="20"/>
                      <w:highlight w:val="none"/>
                      <w:lang w:val="en-US" w:eastAsia="zh-CN" w:bidi="ar-SA"/>
                    </w:rPr>
                    <w:t>（3）在装卸位置采取局部气体收集处理、洒水增湿等控制措施。</w:t>
                  </w:r>
                </w:p>
              </w:tc>
              <w:tc>
                <w:tcPr>
                  <w:tcW w:w="1921" w:type="pct"/>
                  <w:tcBorders>
                    <w:tl2br w:val="nil"/>
                    <w:tr2bl w:val="nil"/>
                  </w:tcBorders>
                  <w:vAlign w:val="center"/>
                </w:tcPr>
                <w:p>
                  <w:pPr>
                    <w:pStyle w:val="TableParagraph"/>
                    <w:spacing w:line="242" w:lineRule="auto"/>
                    <w:ind w:left="139" w:right="126"/>
                    <w:jc w:val="center"/>
                    <w:rPr>
                      <w:rFonts w:ascii="Times New Roman" w:eastAsia="宋体" w:hAnsi="Times New Roman" w:cs="Times New Roman" w:hint="default"/>
                      <w:i w:val="0"/>
                      <w:iCs w:val="0"/>
                      <w:color w:val="auto"/>
                      <w:spacing w:val="-10"/>
                      <w:kern w:val="44"/>
                      <w:sz w:val="21"/>
                      <w:szCs w:val="20"/>
                      <w:highlight w:val="none"/>
                      <w:lang w:val="en-US" w:eastAsia="zh-CN" w:bidi="ar-SA"/>
                    </w:rPr>
                  </w:pPr>
                  <w:r>
                    <w:rPr>
                      <w:rFonts w:ascii="Times New Roman" w:eastAsia="宋体" w:hAnsi="Times New Roman" w:cs="Times New Roman" w:hint="default"/>
                      <w:i w:val="0"/>
                      <w:iCs w:val="0"/>
                      <w:color w:val="auto"/>
                      <w:spacing w:val="-10"/>
                      <w:kern w:val="44"/>
                      <w:sz w:val="21"/>
                      <w:szCs w:val="20"/>
                      <w:highlight w:val="none"/>
                      <w:lang w:val="en-US" w:eastAsia="zh-CN" w:bidi="ar-SA"/>
                    </w:rPr>
                    <w:t>本项目在封闭式建筑物内进行物料装卸</w:t>
                  </w:r>
                  <w:r>
                    <w:rPr>
                      <w:rFonts w:ascii="Times New Roman" w:eastAsia="宋体" w:hAnsi="Times New Roman" w:cs="Times New Roman" w:hint="eastAsia"/>
                      <w:i w:val="0"/>
                      <w:iCs w:val="0"/>
                      <w:color w:val="auto"/>
                      <w:spacing w:val="-10"/>
                      <w:kern w:val="44"/>
                      <w:sz w:val="21"/>
                      <w:szCs w:val="20"/>
                      <w:highlight w:val="none"/>
                      <w:lang w:val="en-US" w:eastAsia="zh-CN" w:bidi="ar-SA"/>
                    </w:rPr>
                    <w:t>。</w:t>
                  </w:r>
                </w:p>
              </w:tc>
              <w:tc>
                <w:tcPr>
                  <w:tcW w:w="313" w:type="pct"/>
                  <w:tcBorders>
                    <w:tl2br w:val="nil"/>
                    <w:tr2bl w:val="nil"/>
                  </w:tcBorders>
                  <w:vAlign w:val="center"/>
                </w:tcPr>
                <w:p>
                  <w:pPr>
                    <w:pStyle w:val="TableParagraph"/>
                    <w:spacing w:before="131"/>
                    <w:ind w:right="101"/>
                    <w:jc w:val="center"/>
                    <w:rPr>
                      <w:rFonts w:ascii="Times New Roman" w:eastAsia="宋体" w:hAnsi="Times New Roman" w:cs="Times New Roman" w:hint="default"/>
                      <w:i w:val="0"/>
                      <w:iCs w:val="0"/>
                      <w:color w:val="auto"/>
                      <w:spacing w:val="-10"/>
                      <w:kern w:val="44"/>
                      <w:sz w:val="21"/>
                      <w:szCs w:val="20"/>
                      <w:highlight w:val="none"/>
                      <w:lang w:val="en-US" w:eastAsia="zh-CN" w:bidi="ar-SA"/>
                    </w:rPr>
                  </w:pPr>
                  <w:r>
                    <w:rPr>
                      <w:rFonts w:ascii="Times New Roman" w:eastAsia="宋体" w:hAnsi="Times New Roman" w:cs="Times New Roman" w:hint="default"/>
                      <w:i w:val="0"/>
                      <w:iCs w:val="0"/>
                      <w:color w:val="auto"/>
                      <w:spacing w:val="-10"/>
                      <w:kern w:val="44"/>
                      <w:sz w:val="21"/>
                      <w:szCs w:val="20"/>
                      <w:highlight w:val="none"/>
                      <w:lang w:val="en-US" w:eastAsia="zh-CN" w:bidi="ar-SA"/>
                    </w:rPr>
                    <w:t>符合</w:t>
                  </w:r>
                </w:p>
              </w:tc>
            </w:tr>
            <w:tr>
              <w:tblPrEx>
                <w:tblW w:w="5000" w:type="pct"/>
                <w:jc w:val="center"/>
                <w:tblCellMar>
                  <w:top w:w="0" w:type="dxa"/>
                  <w:left w:w="0" w:type="dxa"/>
                  <w:bottom w:w="0" w:type="dxa"/>
                  <w:right w:w="0" w:type="dxa"/>
                </w:tblCellMar>
              </w:tblPrEx>
              <w:trPr>
                <w:trHeight w:val="1456"/>
                <w:jc w:val="center"/>
              </w:trPr>
              <w:tc>
                <w:tcPr>
                  <w:tcW w:w="402" w:type="pct"/>
                  <w:tcBorders>
                    <w:tl2br w:val="nil"/>
                    <w:tr2bl w:val="nil"/>
                  </w:tcBorders>
                  <w:vAlign w:val="center"/>
                </w:tcPr>
                <w:p>
                  <w:pPr>
                    <w:pStyle w:val="TableParagraph"/>
                    <w:spacing w:line="242" w:lineRule="auto"/>
                    <w:ind w:left="130" w:right="12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物料储存</w:t>
                  </w:r>
                </w:p>
              </w:tc>
              <w:tc>
                <w:tcPr>
                  <w:tcW w:w="2361" w:type="pct"/>
                  <w:tcBorders>
                    <w:tl2br w:val="nil"/>
                    <w:tr2bl w:val="nil"/>
                  </w:tcBorders>
                  <w:vAlign w:val="center"/>
                </w:tcPr>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（1）粉状物料应储存于密闭料仓或封闭式建筑物内</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（2）粒状、块状等易散发粉尘的物料储存于储库、堆棚中，或储存于密闭料仓中。储库、堆棚应至少三面有围墙（或围挡）及屋顶，敞开侧应避开常年主导风向的上风方位。</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（3）露天储存粒状、块状等易散发粉尘的物料，堆置区四周应以挡风墙、防风抑尘网等方式围挡（出入口除外），围挡高度应不低于堆存物料高度的 1.1 倍，同时采取洒水、覆盖防尘布（网）或喷洒化学稳定剂等控制措施。</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（4）临时露天堆存粒状、块状等易散发粉尘的物料，应使用防尘布、防尘网覆盖严密。</w:t>
                  </w:r>
                </w:p>
              </w:tc>
              <w:tc>
                <w:tcPr>
                  <w:tcW w:w="1921" w:type="pct"/>
                  <w:tcBorders>
                    <w:tl2br w:val="nil"/>
                    <w:tr2bl w:val="nil"/>
                  </w:tcBorders>
                  <w:vAlign w:val="center"/>
                </w:tcPr>
                <w:p>
                  <w:pPr>
                    <w:pStyle w:val="TableParagraph"/>
                    <w:spacing w:line="242" w:lineRule="auto"/>
                    <w:ind w:left="139" w:right="126"/>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 xml:space="preserve">本项目原料、成品均堆放在 </w:t>
                  </w:r>
                  <w:r>
                    <w:rPr>
                      <w:rFonts w:ascii="Times New Roman" w:eastAsia="宋体" w:hAnsi="Times New Roman" w:cs="Times New Roman" w:hint="eastAsia"/>
                      <w:color w:val="auto"/>
                      <w:spacing w:val="-10"/>
                      <w:kern w:val="44"/>
                      <w:sz w:val="21"/>
                      <w:szCs w:val="20"/>
                      <w:highlight w:val="none"/>
                      <w:lang w:val="en-US" w:eastAsia="zh-CN" w:bidi="ar-SA"/>
                    </w:rPr>
                    <w:t>仓库</w:t>
                  </w:r>
                  <w:r>
                    <w:rPr>
                      <w:rFonts w:ascii="Times New Roman" w:eastAsia="宋体" w:hAnsi="Times New Roman" w:cs="Times New Roman" w:hint="default"/>
                      <w:color w:val="auto"/>
                      <w:spacing w:val="-10"/>
                      <w:kern w:val="44"/>
                      <w:sz w:val="21"/>
                      <w:szCs w:val="20"/>
                      <w:highlight w:val="none"/>
                      <w:lang w:val="en-US" w:eastAsia="zh-CN" w:bidi="ar-SA"/>
                    </w:rPr>
                    <w:t>内，不进行露天堆放，从而能够有效减少无组织颗粒物产生</w:t>
                  </w:r>
                  <w:r>
                    <w:rPr>
                      <w:rFonts w:ascii="Times New Roman" w:eastAsia="宋体" w:hAnsi="Times New Roman" w:cs="Times New Roman" w:hint="eastAsia"/>
                      <w:color w:val="auto"/>
                      <w:spacing w:val="-10"/>
                      <w:kern w:val="44"/>
                      <w:sz w:val="21"/>
                      <w:szCs w:val="20"/>
                      <w:highlight w:val="none"/>
                      <w:lang w:val="en-US" w:eastAsia="zh-CN" w:bidi="ar-SA"/>
                    </w:rPr>
                    <w:t>。</w:t>
                  </w:r>
                </w:p>
              </w:tc>
              <w:tc>
                <w:tcPr>
                  <w:tcW w:w="313" w:type="pct"/>
                  <w:tcBorders>
                    <w:tl2br w:val="nil"/>
                    <w:tr2bl w:val="nil"/>
                  </w:tcBorders>
                  <w:vAlign w:val="center"/>
                </w:tcPr>
                <w:p>
                  <w:pPr>
                    <w:pStyle w:val="TableParagraph"/>
                    <w:spacing w:before="131"/>
                    <w:ind w:right="10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符合</w:t>
                  </w:r>
                </w:p>
              </w:tc>
            </w:tr>
            <w:tr>
              <w:tblPrEx>
                <w:tblW w:w="5000" w:type="pct"/>
                <w:jc w:val="center"/>
                <w:tblCellMar>
                  <w:top w:w="0" w:type="dxa"/>
                  <w:left w:w="0" w:type="dxa"/>
                  <w:bottom w:w="0" w:type="dxa"/>
                  <w:right w:w="0" w:type="dxa"/>
                </w:tblCellMar>
              </w:tblPrEx>
              <w:trPr>
                <w:trHeight w:val="1456"/>
                <w:jc w:val="center"/>
              </w:trPr>
              <w:tc>
                <w:tcPr>
                  <w:tcW w:w="402" w:type="pct"/>
                  <w:tcBorders>
                    <w:tl2br w:val="nil"/>
                    <w:tr2bl w:val="nil"/>
                  </w:tcBorders>
                  <w:vAlign w:val="center"/>
                </w:tcPr>
                <w:p>
                  <w:pPr>
                    <w:pStyle w:val="TableParagraph"/>
                    <w:spacing w:line="242" w:lineRule="auto"/>
                    <w:ind w:left="130" w:right="12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物料转移和输送</w:t>
                  </w:r>
                </w:p>
              </w:tc>
              <w:tc>
                <w:tcPr>
                  <w:tcW w:w="2361" w:type="pct"/>
                  <w:tcBorders>
                    <w:tl2br w:val="nil"/>
                    <w:tr2bl w:val="nil"/>
                  </w:tcBorders>
                  <w:vAlign w:val="center"/>
                </w:tcPr>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厂内转移和输送易散发粉尘的物料应采取以下方式之一：</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（1）采用密闭输送系统</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（2）在封闭式建筑物内进行物料转移和输送</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（3）在上料点、落料点、接驳点及其他易散发粉尘位置采取局部气体收集处理、洒水增湿等控制措施。</w:t>
                  </w:r>
                </w:p>
              </w:tc>
              <w:tc>
                <w:tcPr>
                  <w:tcW w:w="1921" w:type="pct"/>
                  <w:tcBorders>
                    <w:tl2br w:val="nil"/>
                    <w:tr2bl w:val="nil"/>
                  </w:tcBorders>
                  <w:vAlign w:val="center"/>
                </w:tcPr>
                <w:p>
                  <w:pPr>
                    <w:pStyle w:val="TableParagraph"/>
                    <w:spacing w:line="242" w:lineRule="auto"/>
                    <w:ind w:left="139" w:right="126"/>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本项目物料输送和转移采用封闭式廊道，且均位于室内，能够有效减少无组织颗粒物的产生与排放</w:t>
                  </w:r>
                </w:p>
              </w:tc>
              <w:tc>
                <w:tcPr>
                  <w:tcW w:w="313" w:type="pct"/>
                  <w:tcBorders>
                    <w:tl2br w:val="nil"/>
                    <w:tr2bl w:val="nil"/>
                  </w:tcBorders>
                  <w:vAlign w:val="center"/>
                </w:tcPr>
                <w:p>
                  <w:pPr>
                    <w:pStyle w:val="TableParagraph"/>
                    <w:spacing w:before="131"/>
                    <w:ind w:right="10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符合</w:t>
                  </w:r>
                </w:p>
              </w:tc>
            </w:tr>
            <w:tr>
              <w:tblPrEx>
                <w:tblW w:w="5000" w:type="pct"/>
                <w:jc w:val="center"/>
                <w:tblCellMar>
                  <w:top w:w="0" w:type="dxa"/>
                  <w:left w:w="0" w:type="dxa"/>
                  <w:bottom w:w="0" w:type="dxa"/>
                  <w:right w:w="0" w:type="dxa"/>
                </w:tblCellMar>
              </w:tblPrEx>
              <w:trPr>
                <w:trHeight w:val="1456"/>
                <w:jc w:val="center"/>
              </w:trPr>
              <w:tc>
                <w:tcPr>
                  <w:tcW w:w="402" w:type="pct"/>
                  <w:tcBorders>
                    <w:tl2br w:val="nil"/>
                    <w:tr2bl w:val="nil"/>
                  </w:tcBorders>
                  <w:vAlign w:val="center"/>
                </w:tcPr>
                <w:p>
                  <w:pPr>
                    <w:pStyle w:val="TableParagraph"/>
                    <w:spacing w:line="242" w:lineRule="auto"/>
                    <w:ind w:left="130" w:right="12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物料加工与处理</w:t>
                  </w:r>
                </w:p>
              </w:tc>
              <w:tc>
                <w:tcPr>
                  <w:tcW w:w="2361" w:type="pct"/>
                  <w:tcBorders>
                    <w:tl2br w:val="nil"/>
                    <w:tr2bl w:val="nil"/>
                  </w:tcBorders>
                  <w:vAlign w:val="center"/>
                </w:tcPr>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（1）物料加工与处理过程中易散发粉尘的工艺环节（如破碎、粉磨、筛分、混合、打磨、切割、投料、出料（渣）、包装等）应采用密闭设备，或在密闭空间内进行。不能密闭的， 应采取局部气体收集处理、洒水增湿等控制措施</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（2）密闭式生产工艺设备、废气收集系统、除尘设施等应密封良好，无粉尘外逸。</w:t>
                  </w:r>
                </w:p>
              </w:tc>
              <w:tc>
                <w:tcPr>
                  <w:tcW w:w="1921" w:type="pct"/>
                  <w:tcBorders>
                    <w:tl2br w:val="nil"/>
                    <w:tr2bl w:val="nil"/>
                  </w:tcBorders>
                  <w:vAlign w:val="center"/>
                </w:tcPr>
                <w:p>
                  <w:pPr>
                    <w:pStyle w:val="TableParagraph"/>
                    <w:spacing w:line="242" w:lineRule="auto"/>
                    <w:ind w:left="139" w:right="126"/>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eastAsia"/>
                      <w:color w:val="auto"/>
                      <w:spacing w:val="-10"/>
                      <w:kern w:val="44"/>
                      <w:sz w:val="21"/>
                      <w:szCs w:val="20"/>
                      <w:highlight w:val="none"/>
                      <w:lang w:val="en-US" w:eastAsia="zh-CN" w:bidi="ar-SA"/>
                    </w:rPr>
                    <w:t>本项目烘干工序在密闭设备内进行，并且已设置相应的收集、除尘设施。</w:t>
                  </w:r>
                </w:p>
              </w:tc>
              <w:tc>
                <w:tcPr>
                  <w:tcW w:w="313" w:type="pct"/>
                  <w:tcBorders>
                    <w:tl2br w:val="nil"/>
                    <w:tr2bl w:val="nil"/>
                  </w:tcBorders>
                  <w:vAlign w:val="center"/>
                </w:tcPr>
                <w:p>
                  <w:pPr>
                    <w:pStyle w:val="TableParagraph"/>
                    <w:spacing w:before="131"/>
                    <w:ind w:right="10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符合</w:t>
                  </w:r>
                </w:p>
              </w:tc>
            </w:tr>
            <w:tr>
              <w:tblPrEx>
                <w:tblW w:w="5000" w:type="pct"/>
                <w:jc w:val="center"/>
                <w:tblCellMar>
                  <w:top w:w="0" w:type="dxa"/>
                  <w:left w:w="0" w:type="dxa"/>
                  <w:bottom w:w="0" w:type="dxa"/>
                  <w:right w:w="0" w:type="dxa"/>
                </w:tblCellMar>
              </w:tblPrEx>
              <w:trPr>
                <w:trHeight w:val="90"/>
                <w:jc w:val="center"/>
              </w:trPr>
              <w:tc>
                <w:tcPr>
                  <w:tcW w:w="402" w:type="pct"/>
                  <w:tcBorders>
                    <w:tl2br w:val="nil"/>
                    <w:tr2bl w:val="nil"/>
                  </w:tcBorders>
                  <w:vAlign w:val="center"/>
                </w:tcPr>
                <w:p>
                  <w:pPr>
                    <w:pStyle w:val="TableParagraph"/>
                    <w:spacing w:line="242" w:lineRule="auto"/>
                    <w:ind w:left="130" w:right="12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运行与记录</w:t>
                  </w:r>
                </w:p>
              </w:tc>
              <w:tc>
                <w:tcPr>
                  <w:tcW w:w="2361" w:type="pct"/>
                  <w:tcBorders>
                    <w:tl2br w:val="nil"/>
                    <w:tr2bl w:val="nil"/>
                  </w:tcBorders>
                  <w:vAlign w:val="center"/>
                </w:tcPr>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（1）生产工艺设备、废气收集系统以及除尘设施应同步运行。废气收集系统或除尘设施发生故障或检修时，应停止运转对应的生产工艺设备，待检修完毕后共同投入使用。</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（2）封闭式建筑物除人员、车辆、设备进出时， 以及依法设立的排气筒、通风口外，门窗及其他开口（孔）部位应随时保持关闭状态。</w:t>
                  </w:r>
                </w:p>
                <w:p>
                  <w:pPr>
                    <w:pStyle w:val="TableParagraph"/>
                    <w:numPr>
                      <w:ilvl w:val="0"/>
                      <w:numId w:val="0"/>
                    </w:numPr>
                    <w:tabs>
                      <w:tab w:val="left" w:pos="634"/>
                    </w:tabs>
                    <w:spacing w:before="3" w:after="0" w:line="242" w:lineRule="auto"/>
                    <w:ind w:left="106" w:right="97" w:leftChars="0" w:rightChars="0"/>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（3）应记录废气收集系统、除尘设施及其他无组织排放控制措施的主要运行信息，如运行时间、废气处理量、洒水或喷洒化学稳定剂的作业周期、用量等。</w:t>
                  </w:r>
                </w:p>
              </w:tc>
              <w:tc>
                <w:tcPr>
                  <w:tcW w:w="1921" w:type="pct"/>
                  <w:tcBorders>
                    <w:tl2br w:val="nil"/>
                    <w:tr2bl w:val="nil"/>
                  </w:tcBorders>
                  <w:vAlign w:val="center"/>
                </w:tcPr>
                <w:p>
                  <w:pPr>
                    <w:pStyle w:val="TableParagraph"/>
                    <w:spacing w:line="242" w:lineRule="auto"/>
                    <w:ind w:left="130" w:right="12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本项目生产工艺设备与废气收集处理系统同步运行，废气收集系统或除尘设施发生故障或检修时，应停止运转对应的生产工艺设备，待检修完毕后共同投入使用；本项目排气筒检测孔保持关闭状态</w:t>
                  </w:r>
                </w:p>
              </w:tc>
              <w:tc>
                <w:tcPr>
                  <w:tcW w:w="313" w:type="pct"/>
                  <w:tcBorders>
                    <w:tl2br w:val="nil"/>
                    <w:tr2bl w:val="nil"/>
                  </w:tcBorders>
                  <w:vAlign w:val="center"/>
                </w:tcPr>
                <w:p>
                  <w:pPr>
                    <w:pStyle w:val="TableParagraph"/>
                    <w:spacing w:line="242" w:lineRule="auto"/>
                    <w:ind w:left="130" w:right="121"/>
                    <w:jc w:val="center"/>
                    <w:rPr>
                      <w:rFonts w:ascii="Times New Roman" w:eastAsia="宋体" w:hAnsi="Times New Roman" w:cs="Times New Roman" w:hint="default"/>
                      <w:color w:val="auto"/>
                      <w:spacing w:val="-10"/>
                      <w:kern w:val="44"/>
                      <w:sz w:val="21"/>
                      <w:szCs w:val="20"/>
                      <w:highlight w:val="none"/>
                      <w:lang w:val="en-US" w:eastAsia="zh-CN" w:bidi="ar-SA"/>
                    </w:rPr>
                  </w:pPr>
                  <w:r>
                    <w:rPr>
                      <w:rFonts w:ascii="Times New Roman" w:eastAsia="宋体" w:hAnsi="Times New Roman" w:cs="Times New Roman" w:hint="default"/>
                      <w:color w:val="auto"/>
                      <w:spacing w:val="-10"/>
                      <w:kern w:val="44"/>
                      <w:sz w:val="21"/>
                      <w:szCs w:val="20"/>
                      <w:highlight w:val="none"/>
                      <w:lang w:val="en-US" w:eastAsia="zh-CN" w:bidi="ar-SA"/>
                    </w:rPr>
                    <w:t>符合</w:t>
                  </w:r>
                </w:p>
              </w:tc>
            </w:tr>
          </w:tbl>
          <w:p>
            <w:pPr>
              <w:pStyle w:val="Default"/>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outlineLvl w:val="9"/>
              <w:rPr>
                <w:rFonts w:ascii="Times New Roman" w:eastAsia="宋体" w:hAnsi="Times New Roman" w:cs="Times New Roman" w:hint="eastAsia"/>
                <w:b w:val="0"/>
                <w:bCs/>
                <w:color w:val="auto"/>
                <w:highlight w:val="none"/>
                <w:lang w:eastAsia="zh-CN"/>
              </w:rPr>
            </w:pPr>
            <w:r>
              <w:rPr>
                <w:rFonts w:ascii="Times New Roman" w:eastAsia="宋体" w:hAnsi="Times New Roman" w:cs="Times New Roman" w:hint="eastAsia"/>
                <w:b w:val="0"/>
                <w:bCs/>
                <w:color w:val="auto"/>
                <w:highlight w:val="none"/>
                <w:lang w:val="zh-CN" w:eastAsia="zh-CN"/>
              </w:rPr>
              <w:t>通过上表分析，本项目符合《江苏省颗粒物无组织排放深度整治实施方案》（苏大气办〔2018〕4号）文件要求</w:t>
            </w:r>
            <w:r>
              <w:rPr>
                <w:rFonts w:ascii="Times New Roman" w:eastAsia="宋体" w:hAnsi="Times New Roman" w:cs="Times New Roman" w:hint="eastAsia"/>
                <w:b w:val="0"/>
                <w:bCs/>
                <w:color w:val="auto"/>
                <w:highlight w:val="none"/>
                <w:lang w:eastAsia="zh-CN"/>
              </w:rPr>
              <w:t>。</w:t>
            </w:r>
          </w:p>
        </w:tc>
      </w:tr>
    </w:tbl>
    <w:p>
      <w:pPr>
        <w:sectPr>
          <w:footerReference w:type="even" r:id="rId28"/>
          <w:footerReference w:type="default" r:id="rId29"/>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10"/>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p>
            <w:pPr>
              <w:pStyle w:val="Default"/>
              <w:keepNext w:val="0"/>
              <w:keepLines w:val="0"/>
              <w:pageBreakBefore w:val="0"/>
              <w:widowControl w:val="0"/>
              <w:kinsoku/>
              <w:wordWrap/>
              <w:overflowPunct/>
              <w:topLinePunct w:val="0"/>
              <w:autoSpaceDE w:val="0"/>
              <w:autoSpaceDN w:val="0"/>
              <w:bidi w:val="0"/>
              <w:adjustRightInd w:val="0"/>
              <w:snapToGrid/>
              <w:spacing w:line="360" w:lineRule="auto"/>
              <w:ind w:left="0" w:firstLine="0" w:leftChars="0" w:firstLineChars="0"/>
              <w:textAlignment w:val="auto"/>
              <w:outlineLvl w:val="9"/>
              <w:rPr>
                <w:rFonts w:ascii="Times New Roman" w:eastAsia="宋体" w:hAnsi="Times New Roman" w:cs="Times New Roman" w:hint="default"/>
                <w:color w:val="auto"/>
                <w:highlight w:val="none"/>
              </w:rPr>
            </w:pPr>
            <w:r>
              <w:rPr>
                <w:rFonts w:ascii="Times New Roman" w:eastAsia="宋体" w:hAnsi="Times New Roman" w:cs="Times New Roman" w:hint="default"/>
                <w:bCs/>
                <w:color w:val="auto"/>
                <w:kern w:val="0"/>
                <w:highlight w:val="none"/>
                <w:lang w:bidi="ar"/>
              </w:rPr>
              <w:t>1.</w:t>
            </w:r>
            <w:r>
              <w:rPr>
                <w:rFonts w:ascii="Times New Roman" w:eastAsia="宋体" w:hAnsi="Times New Roman" w:cs="Times New Roman" w:hint="eastAsia"/>
                <w:bCs/>
                <w:color w:val="auto"/>
                <w:kern w:val="0"/>
                <w:highlight w:val="none"/>
                <w:lang w:val="en-US" w:eastAsia="zh-CN" w:bidi="ar"/>
              </w:rPr>
              <w:t>5</w:t>
            </w:r>
            <w:r>
              <w:rPr>
                <w:rFonts w:ascii="Times New Roman" w:eastAsia="宋体" w:hAnsi="Times New Roman" w:cs="Times New Roman" w:hint="default"/>
                <w:bCs/>
                <w:color w:val="auto"/>
                <w:kern w:val="0"/>
                <w:highlight w:val="none"/>
                <w:lang w:bidi="ar"/>
              </w:rPr>
              <w:t xml:space="preserve"> 项目与《省生态环境厅关于进一步做好建设项目环评审批工作的通知》文件相符性分析</w:t>
            </w:r>
          </w:p>
          <w:p>
            <w:pPr>
              <w:adjustRightInd w:val="0"/>
              <w:snapToGrid w:val="0"/>
              <w:spacing w:line="240" w:lineRule="auto"/>
              <w:jc w:val="center"/>
              <w:rPr>
                <w:b/>
                <w:bCs/>
                <w:color w:val="auto"/>
                <w:sz w:val="24"/>
              </w:rPr>
            </w:pPr>
            <w:r>
              <w:rPr>
                <w:rFonts w:ascii="Times New Roman" w:eastAsia="宋体" w:hAnsi="Times New Roman" w:cs="Times New Roman" w:hint="eastAsia"/>
                <w:b/>
                <w:bCs/>
                <w:color w:val="auto"/>
                <w:sz w:val="24"/>
              </w:rPr>
              <w:t>表1-</w:t>
            </w:r>
            <w:r>
              <w:rPr>
                <w:rFonts w:ascii="Times New Roman" w:eastAsia="宋体" w:hAnsi="Times New Roman" w:cs="Times New Roman" w:hint="eastAsia"/>
                <w:b/>
                <w:bCs/>
                <w:color w:val="auto"/>
                <w:sz w:val="24"/>
                <w:lang w:val="en-US" w:eastAsia="zh-CN"/>
              </w:rPr>
              <w:t>8</w:t>
            </w:r>
            <w:r>
              <w:rPr>
                <w:rFonts w:ascii="Times New Roman" w:eastAsia="宋体" w:hAnsi="Times New Roman" w:cs="Times New Roman" w:hint="eastAsia"/>
                <w:b/>
                <w:bCs/>
                <w:color w:val="auto"/>
                <w:sz w:val="24"/>
              </w:rPr>
              <w:t xml:space="preserve"> 本项目与建设项目环评审批要点相符性分析</w:t>
            </w:r>
          </w:p>
          <w:tbl>
            <w:tblPr>
              <w:tblStyle w:val="TableNormal"/>
              <w:tblW w:w="4999" w:type="pct"/>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166"/>
              <w:gridCol w:w="2162"/>
            </w:tblGrid>
            <w:tr>
              <w:tblPrEx>
                <w:tblW w:w="4999" w:type="pct"/>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b/>
                      <w:bCs/>
                      <w:color w:val="auto"/>
                      <w:szCs w:val="21"/>
                    </w:rPr>
                  </w:pPr>
                  <w:r>
                    <w:rPr>
                      <w:rFonts w:ascii="Times New Roman" w:eastAsia="宋体" w:hAnsi="Times New Roman" w:cs="Times New Roman"/>
                      <w:b/>
                      <w:bCs/>
                      <w:color w:val="auto"/>
                      <w:szCs w:val="21"/>
                    </w:rPr>
                    <w:t>审批要点</w:t>
                  </w:r>
                </w:p>
              </w:tc>
              <w:tc>
                <w:tcPr>
                  <w:tcW w:w="1730" w:type="pct"/>
                  <w:tcBorders>
                    <w:tl2br w:val="nil"/>
                    <w:tr2bl w:val="nil"/>
                  </w:tcBorders>
                  <w:noWrap/>
                  <w:vAlign w:val="center"/>
                </w:tcPr>
                <w:p>
                  <w:pPr>
                    <w:adjustRightInd w:val="0"/>
                    <w:snapToGrid w:val="0"/>
                    <w:jc w:val="center"/>
                    <w:rPr>
                      <w:b/>
                      <w:bCs/>
                      <w:color w:val="auto"/>
                      <w:szCs w:val="21"/>
                    </w:rPr>
                  </w:pPr>
                  <w:r>
                    <w:rPr>
                      <w:rFonts w:ascii="Times New Roman" w:eastAsia="宋体" w:hAnsi="Times New Roman" w:cs="Times New Roman"/>
                      <w:b/>
                      <w:bCs/>
                      <w:color w:val="auto"/>
                      <w:szCs w:val="21"/>
                    </w:rPr>
                    <w:t>相符性分析</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rPr>
                      <w:color w:val="auto"/>
                      <w:szCs w:val="21"/>
                    </w:rPr>
                  </w:pPr>
                  <w:r>
                    <w:rPr>
                      <w:rFonts w:ascii="Times New Roman" w:eastAsia="宋体" w:hAnsi="Times New Roman" w:cs="Times New Roman" w:hint="eastAsia"/>
                      <w:color w:val="auto"/>
                      <w:szCs w:val="21"/>
                    </w:rPr>
                    <w:t>一、</w:t>
                  </w:r>
                  <w:r>
                    <w:rPr>
                      <w:rFonts w:ascii="Times New Roman" w:eastAsia="宋体" w:hAnsi="Times New Roman" w:cs="Times New Roman"/>
                      <w:color w:val="auto"/>
                      <w:szCs w:val="21"/>
                    </w:rPr>
                    <w:t>有下列情形之一的，不予批准：</w:t>
                  </w:r>
                </w:p>
                <w:p>
                  <w:pPr>
                    <w:adjustRightInd w:val="0"/>
                    <w:snapToGrid w:val="0"/>
                    <w:rPr>
                      <w:color w:val="auto"/>
                      <w:szCs w:val="21"/>
                    </w:rPr>
                  </w:pPr>
                  <w:r>
                    <w:rPr>
                      <w:rFonts w:ascii="Times New Roman" w:eastAsia="宋体" w:hAnsi="Times New Roman" w:cs="Times New Roman"/>
                      <w:color w:val="auto"/>
                      <w:szCs w:val="21"/>
                    </w:rPr>
                    <w:t>（1）建设项目类型及其选址、布局、规模等不符合环境保护法律法规和相关法定规划；</w:t>
                  </w:r>
                </w:p>
                <w:p>
                  <w:pPr>
                    <w:adjustRightInd w:val="0"/>
                    <w:snapToGrid w:val="0"/>
                    <w:rPr>
                      <w:color w:val="auto"/>
                      <w:szCs w:val="21"/>
                    </w:rPr>
                  </w:pPr>
                  <w:r>
                    <w:rPr>
                      <w:rFonts w:ascii="Times New Roman" w:eastAsia="宋体" w:hAnsi="Times New Roman" w:cs="Times New Roman"/>
                      <w:color w:val="auto"/>
                      <w:szCs w:val="21"/>
                    </w:rPr>
                    <w:t>（2）所在区域环境质量未达到国家或者地方环境质量标准，且建设项目拟采取的措施不能满足区域环境质量改善目标管理要求；</w:t>
                  </w:r>
                </w:p>
                <w:p>
                  <w:pPr>
                    <w:adjustRightInd w:val="0"/>
                    <w:snapToGrid w:val="0"/>
                    <w:rPr>
                      <w:color w:val="auto"/>
                      <w:szCs w:val="21"/>
                    </w:rPr>
                  </w:pPr>
                  <w:r>
                    <w:rPr>
                      <w:rFonts w:ascii="Times New Roman" w:eastAsia="宋体" w:hAnsi="Times New Roman" w:cs="Times New Roman"/>
                      <w:color w:val="auto"/>
                      <w:szCs w:val="21"/>
                    </w:rPr>
                    <w:t>（3）建设项目采取的污染防治措施无法确保污染物排放达到国家和地方排放标准，或者未采取必要措施预防和控制生态破坏；</w:t>
                  </w:r>
                </w:p>
                <w:p>
                  <w:pPr>
                    <w:adjustRightInd w:val="0"/>
                    <w:snapToGrid w:val="0"/>
                    <w:rPr>
                      <w:color w:val="auto"/>
                      <w:szCs w:val="21"/>
                    </w:rPr>
                  </w:pPr>
                  <w:r>
                    <w:rPr>
                      <w:rFonts w:ascii="Times New Roman" w:eastAsia="宋体" w:hAnsi="Times New Roman" w:cs="Times New Roman"/>
                      <w:color w:val="auto"/>
                      <w:szCs w:val="21"/>
                    </w:rPr>
                    <w:t>（4）改建、扩建和技术改造项目，未针对项目原有环境污染和生态破坏提出有效防止措施；</w:t>
                  </w:r>
                </w:p>
                <w:p>
                  <w:pPr>
                    <w:adjustRightInd w:val="0"/>
                    <w:snapToGrid w:val="0"/>
                    <w:rPr>
                      <w:color w:val="auto"/>
                      <w:szCs w:val="21"/>
                    </w:rPr>
                  </w:pPr>
                  <w:r>
                    <w:rPr>
                      <w:rFonts w:ascii="Times New Roman" w:eastAsia="宋体" w:hAnsi="Times New Roman" w:cs="Times New Roman"/>
                      <w:color w:val="auto"/>
                      <w:szCs w:val="21"/>
                    </w:rPr>
                    <w:t>（5）建设项目的环境影响报告书、环境影响报告表的基础资料数据明显不实，内容存在重大缺陷、遗漏，或者环境影响评价结论不明确、不合理。</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本项目属于</w:t>
                  </w:r>
                  <w:r>
                    <w:rPr>
                      <w:rFonts w:ascii="Times New Roman" w:eastAsia="宋体" w:hAnsi="Times New Roman" w:cs="Times New Roman" w:hint="eastAsia"/>
                      <w:color w:val="auto"/>
                      <w:szCs w:val="21"/>
                    </w:rPr>
                    <w:t>化纤织造</w:t>
                  </w:r>
                  <w:r>
                    <w:rPr>
                      <w:rFonts w:ascii="Times New Roman" w:eastAsia="宋体" w:hAnsi="Times New Roman" w:cs="Times New Roman" w:hint="eastAsia"/>
                      <w:bCs/>
                      <w:color w:val="auto"/>
                      <w:szCs w:val="21"/>
                      <w:lang w:eastAsia="zh-CN"/>
                    </w:rPr>
                    <w:t>项目</w:t>
                  </w:r>
                  <w:r>
                    <w:rPr>
                      <w:rFonts w:ascii="Times New Roman" w:eastAsia="宋体" w:hAnsi="Times New Roman" w:cs="Times New Roman"/>
                      <w:color w:val="auto"/>
                      <w:szCs w:val="21"/>
                    </w:rPr>
                    <w:t>，项目的建设符合相关法律法规和相关法定规划，不存在不予批准行为</w:t>
                  </w:r>
                  <w:r>
                    <w:rPr>
                      <w:rFonts w:ascii="Times New Roman" w:eastAsia="宋体" w:hAnsi="Times New Roman" w:cs="Times New Roman" w:hint="eastAsia"/>
                      <w:color w:val="auto"/>
                      <w:szCs w:val="21"/>
                    </w:rPr>
                    <w:t>。</w:t>
                  </w:r>
                </w:p>
              </w:tc>
            </w:tr>
            <w:tr>
              <w:tblPrEx>
                <w:tblW w:w="4999" w:type="pct"/>
                <w:tblInd w:w="0" w:type="dxa"/>
                <w:tblCellMar>
                  <w:top w:w="0" w:type="dxa"/>
                  <w:left w:w="108" w:type="dxa"/>
                  <w:bottom w:w="0" w:type="dxa"/>
                  <w:right w:w="108" w:type="dxa"/>
                </w:tblCellMar>
              </w:tblPrEx>
              <w:trPr>
                <w:trHeight w:val="90"/>
              </w:trPr>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二、严格控制在优先保护类耕地集中区域新建有色金属冶炼、石油加工、化工、焦化、电镀、制革等行业企业，有关环境保护主管部门依法不予审批可能造成耕地土壤污染的建设项目环境影响报告书或者报告表。</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本项目属于</w:t>
                  </w:r>
                  <w:r>
                    <w:rPr>
                      <w:rFonts w:ascii="Times New Roman" w:eastAsia="宋体" w:hAnsi="Times New Roman" w:cs="Times New Roman" w:hint="eastAsia"/>
                      <w:color w:val="auto"/>
                      <w:szCs w:val="21"/>
                    </w:rPr>
                    <w:t>化纤织造</w:t>
                  </w:r>
                  <w:r>
                    <w:rPr>
                      <w:rFonts w:ascii="Times New Roman" w:eastAsia="宋体" w:hAnsi="Times New Roman" w:cs="Times New Roman" w:hint="eastAsia"/>
                      <w:bCs/>
                      <w:color w:val="auto"/>
                      <w:szCs w:val="21"/>
                      <w:lang w:eastAsia="zh-CN"/>
                    </w:rPr>
                    <w:t>项目</w:t>
                  </w:r>
                  <w:r>
                    <w:rPr>
                      <w:rFonts w:ascii="Times New Roman" w:eastAsia="宋体" w:hAnsi="Times New Roman" w:cs="Times New Roman"/>
                      <w:color w:val="auto"/>
                      <w:szCs w:val="21"/>
                    </w:rPr>
                    <w:t>，不属于有色金属冶炼、石油加工、化工、焦化、电镀、制革等行业企业</w:t>
                  </w:r>
                  <w:r>
                    <w:rPr>
                      <w:rFonts w:ascii="Times New Roman" w:eastAsia="宋体" w:hAnsi="Times New Roman" w:cs="Times New Roman" w:hint="eastAsia"/>
                      <w:color w:val="auto"/>
                      <w:szCs w:val="21"/>
                    </w:rPr>
                    <w:t>。</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三、严格落实污染物排放总量控制制度，把主要污染物排放总量指标作为建设项目环境影响评价审批的前置条件。排放主要污染物的建设项目，在环境影响评价文件审批前，须取得主要污染物排放总量指标。</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hint="eastAsia"/>
                      <w:color w:val="auto"/>
                      <w:szCs w:val="21"/>
                    </w:rPr>
                    <w:t>本项目建成后向盐城市</w:t>
                  </w:r>
                  <w:r>
                    <w:rPr>
                      <w:rFonts w:ascii="Times New Roman" w:eastAsia="宋体" w:hAnsi="Times New Roman" w:cs="Times New Roman" w:hint="eastAsia"/>
                      <w:color w:val="auto"/>
                      <w:szCs w:val="21"/>
                      <w:lang w:val="en-US" w:eastAsia="zh-CN"/>
                    </w:rPr>
                    <w:t>滨海</w:t>
                  </w:r>
                  <w:r>
                    <w:rPr>
                      <w:rFonts w:ascii="Times New Roman" w:eastAsia="宋体" w:hAnsi="Times New Roman" w:cs="Times New Roman" w:hint="eastAsia"/>
                      <w:color w:val="auto"/>
                      <w:szCs w:val="21"/>
                    </w:rPr>
                    <w:t>生态环境局申请总量控制指标，由盐城市</w:t>
                  </w:r>
                  <w:r>
                    <w:rPr>
                      <w:rFonts w:ascii="Times New Roman" w:eastAsia="宋体" w:hAnsi="Times New Roman" w:cs="Times New Roman" w:hint="eastAsia"/>
                      <w:color w:val="auto"/>
                      <w:szCs w:val="21"/>
                      <w:lang w:val="en-US" w:eastAsia="zh-CN"/>
                    </w:rPr>
                    <w:t>滨海</w:t>
                  </w:r>
                  <w:r>
                    <w:rPr>
                      <w:rFonts w:ascii="Times New Roman" w:eastAsia="宋体" w:hAnsi="Times New Roman" w:cs="Times New Roman" w:hint="eastAsia"/>
                      <w:color w:val="auto"/>
                      <w:szCs w:val="21"/>
                    </w:rPr>
                    <w:t>生态环境局在区域内平衡。</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四、（1）规划环评要作为规划所包含项目环评的重要依据，对于不符合规划环评结论及审查意见的项目环评，依法不予审批。</w:t>
                  </w:r>
                </w:p>
                <w:p>
                  <w:pPr>
                    <w:adjustRightInd w:val="0"/>
                    <w:snapToGrid w:val="0"/>
                    <w:jc w:val="center"/>
                    <w:rPr>
                      <w:color w:val="auto"/>
                      <w:szCs w:val="21"/>
                    </w:rPr>
                  </w:pPr>
                  <w:r>
                    <w:rPr>
                      <w:rFonts w:ascii="Times New Roman" w:eastAsia="宋体" w:hAnsi="Times New Roman" w:cs="Times New Roman"/>
                      <w:color w:val="auto"/>
                      <w:szCs w:val="21"/>
                    </w:rPr>
                    <w:t>（2）对于现有同类型项目环境污染或生态破坏严重、环境违法违规现象多发，致使环境容量接近或超过承载能力的地区，在现有问题整改到位前，依法暂停审批该地区同类行业的项目环评文件。</w:t>
                  </w:r>
                </w:p>
                <w:p>
                  <w:pPr>
                    <w:adjustRightInd w:val="0"/>
                    <w:snapToGrid w:val="0"/>
                    <w:jc w:val="center"/>
                    <w:rPr>
                      <w:color w:val="auto"/>
                      <w:szCs w:val="21"/>
                    </w:rPr>
                  </w:pPr>
                  <w:r>
                    <w:rPr>
                      <w:rFonts w:ascii="Times New Roman" w:eastAsia="宋体" w:hAnsi="Times New Roman" w:cs="Times New Roman"/>
                      <w:color w:val="auto"/>
                      <w:szCs w:val="21"/>
                    </w:rPr>
                    <w:t>（3）对环境质量现状超标的地区，项目拟采取的措施不能满足区域环境质量改善目标管理要求的，依法不予审批其环评文件。对未达到环境质量目标考核要求的地区，除民生项目与节能减排项目外，依法暂停审批该地区新增排放相应重点污染物的项目环评文件。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hint="eastAsia"/>
                      <w:color w:val="auto"/>
                      <w:szCs w:val="21"/>
                    </w:rPr>
                    <w:t>本项目符合区域规划</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五、严禁在长江干流及主要支流岸线1公里范围内新建布局化工园区和化工企业。严格化工项目环评审批，提高准入门槛，新建化工项目原则上投资额不得低于10亿元，不得新建、改建、扩建三类中间体项目。</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本项目</w:t>
                  </w:r>
                  <w:r>
                    <w:rPr>
                      <w:rFonts w:ascii="Times New Roman" w:eastAsia="宋体" w:hAnsi="Times New Roman" w:cs="Times New Roman" w:hint="eastAsia"/>
                      <w:color w:val="auto"/>
                      <w:szCs w:val="21"/>
                    </w:rPr>
                    <w:t>不属于化工行业，不属于</w:t>
                  </w:r>
                  <w:r>
                    <w:rPr>
                      <w:rFonts w:ascii="Times New Roman" w:eastAsia="宋体" w:hAnsi="Times New Roman" w:cs="Times New Roman"/>
                      <w:color w:val="auto"/>
                      <w:szCs w:val="21"/>
                    </w:rPr>
                    <w:t>新建、改建、扩建三类中间体项目</w:t>
                  </w:r>
                  <w:r>
                    <w:rPr>
                      <w:rFonts w:ascii="Times New Roman" w:eastAsia="宋体" w:hAnsi="Times New Roman" w:cs="Times New Roman" w:hint="eastAsia"/>
                      <w:color w:val="auto"/>
                      <w:szCs w:val="21"/>
                    </w:rPr>
                    <w:t>。</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六、禁止新建燃煤自备电厂。在重点地区执行《江苏省化工钢铁煤电行业环境准入和排放标准》。燃煤电厂2019年底前全部实行超低排放。</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本项目不新建燃煤自备电厂</w:t>
                  </w:r>
                  <w:r>
                    <w:rPr>
                      <w:rFonts w:ascii="Times New Roman" w:eastAsia="宋体" w:hAnsi="Times New Roman" w:cs="Times New Roman" w:hint="eastAsia"/>
                      <w:color w:val="auto"/>
                      <w:szCs w:val="21"/>
                    </w:rPr>
                    <w:t>。</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spacing w:after="0"/>
                    <w:jc w:val="center"/>
                    <w:rPr>
                      <w:color w:val="auto"/>
                      <w:szCs w:val="21"/>
                    </w:rPr>
                  </w:pPr>
                </w:p>
              </w:tc>
              <w:tc>
                <w:tcPr>
                  <w:tcW w:w="1730" w:type="pct"/>
                  <w:tcBorders>
                    <w:tl2br w:val="nil"/>
                    <w:tr2bl w:val="nil"/>
                  </w:tcBorders>
                  <w:noWrap/>
                  <w:vAlign w:val="center"/>
                </w:tcPr>
                <w:p>
                  <w:pPr>
                    <w:adjustRightInd w:val="0"/>
                    <w:snapToGrid w:val="0"/>
                    <w:spacing w:after="0"/>
                    <w:jc w:val="center"/>
                    <w:rPr>
                      <w:color w:val="auto"/>
                      <w:szCs w:val="21"/>
                    </w:rPr>
                  </w:pPr>
                </w:p>
              </w:tc>
            </w:tr>
          </w:tbl>
          <w:p/>
        </w:tc>
      </w:tr>
    </w:tbl>
    <w:p>
      <w:pPr>
        <w:sectPr>
          <w:footerReference w:type="even" r:id="rId30"/>
          <w:footerReference w:type="default" r:id="rId31"/>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11"/>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tbl>
            <w:tblPr>
              <w:tblStyle w:val="TableNormal"/>
              <w:tblW w:w="4999" w:type="pct"/>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6166"/>
              <w:gridCol w:w="2162"/>
            </w:tblGrid>
            <w:tr>
              <w:tblPrEx>
                <w:tblW w:w="4999" w:type="pct"/>
                <w:tblInd w:w="0"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spacing w:before="0"/>
                    <w:jc w:val="center"/>
                    <w:rPr>
                      <w:color w:val="auto"/>
                      <w:szCs w:val="21"/>
                    </w:rPr>
                  </w:pPr>
                  <w:r>
                    <w:rPr>
                      <w:rFonts w:ascii="Times New Roman" w:eastAsia="宋体" w:hAnsi="Times New Roman" w:cs="Times New Roman"/>
                      <w:color w:val="auto"/>
                      <w:szCs w:val="21"/>
                    </w:rPr>
                    <w:t>七、禁止建设生产和使用高VOCs含量的溶剂型涂料、油墨、胶粘剂等项目。</w:t>
                  </w:r>
                </w:p>
              </w:tc>
              <w:tc>
                <w:tcPr>
                  <w:tcW w:w="1730" w:type="pct"/>
                  <w:tcBorders>
                    <w:tl2br w:val="nil"/>
                    <w:tr2bl w:val="nil"/>
                  </w:tcBorders>
                  <w:noWrap/>
                  <w:vAlign w:val="center"/>
                </w:tcPr>
                <w:p>
                  <w:pPr>
                    <w:adjustRightInd w:val="0"/>
                    <w:snapToGrid w:val="0"/>
                    <w:spacing w:before="0"/>
                    <w:jc w:val="center"/>
                    <w:rPr>
                      <w:color w:val="auto"/>
                      <w:szCs w:val="21"/>
                    </w:rPr>
                  </w:pPr>
                  <w:r>
                    <w:rPr>
                      <w:rFonts w:ascii="Times New Roman" w:eastAsia="宋体" w:hAnsi="Times New Roman" w:cs="Times New Roman"/>
                      <w:color w:val="auto"/>
                      <w:szCs w:val="21"/>
                    </w:rPr>
                    <w:t>本项目不使用高VOCs含量的溶剂型涂料、油墨、胶粘剂等</w:t>
                  </w:r>
                  <w:r>
                    <w:rPr>
                      <w:rFonts w:ascii="Times New Roman" w:eastAsia="宋体" w:hAnsi="Times New Roman" w:cs="Times New Roman" w:hint="eastAsia"/>
                      <w:color w:val="auto"/>
                      <w:szCs w:val="21"/>
                    </w:rPr>
                    <w:t>。</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八、一律不批新的化工园区，一律不批化工园区外化工企业（除化工重点监测点和提升安全、环保、节能水平及油品质量升级、结构调整以外的改扩建项目），一律不批化工园区内环境基础设施不完善或长期不能稳定运行企业的新改扩建化工项目。新建（含搬迁）化工项目必须进入已经依法完成规划环评审查的化工园区。</w:t>
                  </w:r>
                </w:p>
                <w:p>
                  <w:pPr>
                    <w:adjustRightInd w:val="0"/>
                    <w:snapToGrid w:val="0"/>
                    <w:jc w:val="center"/>
                    <w:rPr>
                      <w:color w:val="auto"/>
                      <w:szCs w:val="21"/>
                    </w:rPr>
                  </w:pPr>
                  <w:r>
                    <w:rPr>
                      <w:rFonts w:ascii="Times New Roman" w:eastAsia="宋体" w:hAnsi="Times New Roman" w:cs="Times New Roman"/>
                      <w:color w:val="auto"/>
                      <w:szCs w:val="21"/>
                    </w:rPr>
                    <w:t>严禁在长江干流及主要支流岸线1公里范围内新建危化品码头。</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本项目为</w:t>
                  </w:r>
                  <w:r>
                    <w:rPr>
                      <w:rFonts w:ascii="Times New Roman" w:eastAsia="宋体" w:hAnsi="Times New Roman" w:cs="Times New Roman" w:hint="eastAsia"/>
                      <w:color w:val="auto"/>
                      <w:szCs w:val="21"/>
                    </w:rPr>
                    <w:t>化纤织造</w:t>
                  </w:r>
                  <w:r>
                    <w:rPr>
                      <w:rFonts w:ascii="Times New Roman" w:eastAsia="宋体" w:hAnsi="Times New Roman" w:cs="Times New Roman" w:hint="eastAsia"/>
                      <w:bCs/>
                      <w:color w:val="auto"/>
                      <w:szCs w:val="21"/>
                      <w:lang w:eastAsia="zh-CN"/>
                    </w:rPr>
                    <w:t>项目</w:t>
                  </w:r>
                  <w:r>
                    <w:rPr>
                      <w:rFonts w:ascii="Times New Roman" w:eastAsia="宋体" w:hAnsi="Times New Roman" w:cs="Times New Roman" w:hint="eastAsia"/>
                      <w:color w:val="auto"/>
                      <w:szCs w:val="21"/>
                    </w:rPr>
                    <w:t>，不属于</w:t>
                  </w:r>
                  <w:r>
                    <w:rPr>
                      <w:rFonts w:ascii="Times New Roman" w:eastAsia="宋体" w:hAnsi="Times New Roman" w:cs="Times New Roman"/>
                      <w:color w:val="auto"/>
                      <w:szCs w:val="21"/>
                    </w:rPr>
                    <w:t>化工园区内环境基础设施不完善或长期不能稳定运行企业的新改扩建化工项目</w:t>
                  </w:r>
                  <w:r>
                    <w:rPr>
                      <w:rFonts w:ascii="Times New Roman" w:eastAsia="宋体" w:hAnsi="Times New Roman" w:cs="Times New Roman" w:hint="eastAsia"/>
                      <w:color w:val="auto"/>
                      <w:szCs w:val="21"/>
                    </w:rPr>
                    <w:t>。</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九、生态保护红线原则上按禁止开发区域的要求进行管理，严禁不符合主体功能定位的各类开发活动，严禁任意改变用途。</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本项目建设范围内不涉及生态红线区</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十、禁止审批无法落实危险废物利用、处置途径的项目，从严审批危险废物产生量大、本地无配套利用处置能力、且需设区市统筹解决的项目。</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hint="eastAsia"/>
                      <w:color w:val="auto"/>
                      <w:szCs w:val="21"/>
                    </w:rPr>
                    <w:t>本项目产生的危险废物产量小，均交由有资质的单位处理</w:t>
                  </w:r>
                </w:p>
              </w:tc>
            </w:tr>
            <w:tr>
              <w:tblPrEx>
                <w:tblW w:w="4999" w:type="pct"/>
                <w:tblInd w:w="0" w:type="dxa"/>
                <w:tblCellMar>
                  <w:top w:w="0" w:type="dxa"/>
                  <w:left w:w="108" w:type="dxa"/>
                  <w:bottom w:w="0" w:type="dxa"/>
                  <w:right w:w="108" w:type="dxa"/>
                </w:tblCellMar>
              </w:tblPrEx>
              <w:tc>
                <w:tcPr>
                  <w:tcW w:w="3269"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十一、（1）禁止建设不符合全国和省级港口布局规划以及港口总体规划的码头项目，禁止建设不符合《长江干线过江通道布局规划》的过长江通道项目。（2）禁止在自然保护区核心区、缓冲区的岸线和河段范围内投资建设旅游和生产经营项目。禁止在风景名胜区核心景区的岸线和河段范围内投资建设与风景名胜资源保护无关的项目。（3）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4）禁止在水产种质资源保护区的岸线和河段范围内新建排污口，以及围湖造田、围海造地或围填海等投资建设项目。禁止在国家湿地公园的岸线和河段范围内挖沙、采矿，以及任何不符合主体功能定位的投资建设项目。（5）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6）禁止在生态保护红线和永久基本农田范围内投资建设除国家重大战略资源勘查项目、生态保护修复和环境治理项目、重大基础设施项目、军事国防项目以及农牧民基本生产生活等必要的民生项目以外的项目。（7）禁止在长江干支流1公里范围内新建、扩建化工园区和化工项目。禁止在合规园区外新建、扩建钢铁、石化、化工、焦化、建材、有色等高污染项目。（8）禁止新建、扩建不符合国家石化、现代煤化工等产业布局规划的项目。（9）禁止新建、扩建法律法规和相关政策明令禁止的落后产能项目。（10）禁止新建、扩建不符合国家产能置换要求的严重过剩产能行业的项目。</w:t>
                  </w:r>
                </w:p>
              </w:tc>
              <w:tc>
                <w:tcPr>
                  <w:tcW w:w="1730" w:type="pct"/>
                  <w:tcBorders>
                    <w:tl2br w:val="nil"/>
                    <w:tr2bl w:val="nil"/>
                  </w:tcBorders>
                  <w:noWrap/>
                  <w:vAlign w:val="center"/>
                </w:tcPr>
                <w:p>
                  <w:pPr>
                    <w:adjustRightInd w:val="0"/>
                    <w:snapToGrid w:val="0"/>
                    <w:jc w:val="center"/>
                    <w:rPr>
                      <w:color w:val="auto"/>
                      <w:szCs w:val="21"/>
                    </w:rPr>
                  </w:pPr>
                  <w:r>
                    <w:rPr>
                      <w:rFonts w:ascii="Times New Roman" w:eastAsia="宋体" w:hAnsi="Times New Roman" w:cs="Times New Roman"/>
                      <w:color w:val="auto"/>
                      <w:szCs w:val="21"/>
                    </w:rPr>
                    <w:t>本项目为</w:t>
                  </w:r>
                  <w:r>
                    <w:rPr>
                      <w:rFonts w:ascii="Times New Roman" w:eastAsia="宋体" w:hAnsi="Times New Roman" w:cs="Times New Roman" w:hint="eastAsia"/>
                      <w:color w:val="auto"/>
                      <w:szCs w:val="21"/>
                    </w:rPr>
                    <w:t>化纤织造</w:t>
                  </w:r>
                  <w:r>
                    <w:rPr>
                      <w:rFonts w:ascii="Times New Roman" w:eastAsia="宋体" w:hAnsi="Times New Roman" w:cs="Times New Roman" w:hint="eastAsia"/>
                      <w:bCs/>
                      <w:color w:val="auto"/>
                      <w:szCs w:val="21"/>
                      <w:lang w:eastAsia="zh-CN"/>
                    </w:rPr>
                    <w:t>项目</w:t>
                  </w:r>
                  <w:r>
                    <w:rPr>
                      <w:rFonts w:ascii="Times New Roman" w:eastAsia="宋体" w:hAnsi="Times New Roman" w:cs="Times New Roman"/>
                      <w:color w:val="auto"/>
                      <w:szCs w:val="21"/>
                    </w:rPr>
                    <w:t>，不属于禁止类项目。</w:t>
                  </w:r>
                </w:p>
              </w:tc>
            </w:tr>
          </w:tbl>
          <w:p>
            <w:pPr>
              <w:pStyle w:val="Default"/>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outlineLvl w:val="9"/>
              <w:rPr>
                <w:rFonts w:ascii="Times New Roman" w:eastAsia="宋体" w:hAnsi="Times New Roman" w:cs="Times New Roman"/>
                <w:color w:val="auto"/>
                <w:highlight w:val="yellow"/>
              </w:rPr>
            </w:pPr>
            <w:r>
              <w:rPr>
                <w:rFonts w:ascii="Times New Roman" w:eastAsia="宋体" w:hAnsi="Times New Roman" w:cs="Times New Roman" w:hint="eastAsia"/>
                <w:b w:val="0"/>
                <w:bCs/>
                <w:color w:val="auto"/>
                <w:sz w:val="24"/>
                <w:highlight w:val="none"/>
                <w:lang w:val="en-US" w:eastAsia="zh-CN"/>
              </w:rPr>
              <w:t>由上表可知，本项目符合《省生态环境厅关于进一步做好建设项目环评审批工作的通知》要求。</w:t>
            </w:r>
          </w:p>
          <w:p>
            <w:pPr>
              <w:pStyle w:val="Default"/>
              <w:rPr>
                <w:rFonts w:ascii="Times New Roman" w:eastAsia="宋体" w:hAnsi="Times New Roman" w:cs="Times New Roman"/>
                <w:color w:val="auto"/>
                <w:highlight w:val="yellow"/>
              </w:rPr>
            </w:pPr>
          </w:p>
        </w:tc>
      </w:tr>
    </w:tbl>
    <w:p>
      <w:pPr>
        <w:sectPr>
          <w:footerReference w:type="even" r:id="rId32"/>
          <w:footerReference w:type="default" r:id="rId33"/>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1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326"/>
        <w:gridCol w:w="8544"/>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7911"/>
          <w:jc w:val="center"/>
        </w:trPr>
        <w:tc>
          <w:tcPr>
            <w:tcW w:w="1019" w:type="dxa"/>
            <w:vAlign w:val="center"/>
          </w:tcPr>
          <w:p/>
        </w:tc>
        <w:tc>
          <w:tcPr>
            <w:tcW w:w="7851" w:type="dxa"/>
            <w:vAlign w:val="center"/>
          </w:tcPr>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tc>
      </w:tr>
    </w:tbl>
    <w:p>
      <w:pPr>
        <w:spacing w:line="360" w:lineRule="auto"/>
        <w:outlineLvl w:val="0"/>
        <w:rPr>
          <w:color w:val="auto"/>
          <w:sz w:val="30"/>
          <w:highlight w:val="yellow"/>
        </w:rPr>
        <w:sectPr>
          <w:footerReference w:type="even" r:id="rId34"/>
          <w:footerReference w:type="default" r:id="rId35"/>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13"/>
          <w:cols w:num="1" w:space="720"/>
          <w:titlePg w:val="0"/>
          <w:docGrid w:linePitch="312" w:charSpace="0"/>
        </w:sectPr>
      </w:pPr>
    </w:p>
    <w:p>
      <w:pPr>
        <w:pStyle w:val="NormalWeb"/>
        <w:jc w:val="center"/>
        <w:outlineLvl w:val="0"/>
        <w:rPr>
          <w:rFonts w:ascii="Times New Roman" w:eastAsia="宋体" w:hAnsi="Times New Roman" w:cs="Times New Roman"/>
          <w:snapToGrid w:val="0"/>
          <w:color w:val="auto"/>
          <w:sz w:val="30"/>
          <w:szCs w:val="30"/>
          <w:highlight w:val="none"/>
        </w:rPr>
      </w:pPr>
      <w:bookmarkStart w:id="4" w:name="_Toc13081"/>
      <w:r>
        <w:rPr>
          <w:rFonts w:ascii="Times New Roman" w:eastAsia="宋体" w:hAnsi="Times New Roman" w:cs="Times New Roman" w:hint="eastAsia"/>
          <w:snapToGrid w:val="0"/>
          <w:color w:val="auto"/>
          <w:sz w:val="30"/>
          <w:szCs w:val="30"/>
          <w:highlight w:val="none"/>
        </w:rPr>
        <w:t>二、建设项目工程分析</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01"/>
          <w:jc w:val="center"/>
        </w:trPr>
        <w:tc>
          <w:tcPr>
            <w:tcW w:w="823" w:type="dxa"/>
            <w:vAlign w:val="center"/>
          </w:tcPr>
          <w:p>
            <w:pPr>
              <w:pStyle w:val="NormalWeb"/>
              <w:adjustRightInd w:val="0"/>
              <w:snapToGrid w:val="0"/>
              <w:spacing w:before="0" w:beforeAutospacing="0" w:after="0" w:afterAutospacing="0"/>
              <w:jc w:val="center"/>
              <w:rPr>
                <w:rFonts w:ascii="Times New Roman" w:eastAsia="宋体" w:hAnsi="Times New Roman" w:cs="Times New Roman"/>
                <w:color w:val="auto"/>
                <w:szCs w:val="24"/>
                <w:highlight w:val="yellow"/>
              </w:rPr>
            </w:pPr>
            <w:bookmarkEnd w:id="4"/>
            <w:r>
              <w:rPr>
                <w:rFonts w:ascii="Times New Roman" w:eastAsia="宋体" w:hAnsi="Times New Roman" w:cs="Times New Roman"/>
                <w:color w:val="auto"/>
                <w:szCs w:val="24"/>
                <w:highlight w:val="none"/>
              </w:rPr>
              <w:t>建设内容</w:t>
            </w:r>
          </w:p>
        </w:tc>
        <w:tc>
          <w:tcPr>
            <w:tcW w:w="8161" w:type="dxa"/>
          </w:tcPr>
          <w:p>
            <w:pPr>
              <w:adjustRightInd w:val="0"/>
              <w:snapToGrid w:val="0"/>
              <w:spacing w:line="360" w:lineRule="auto"/>
              <w:rPr>
                <w:b/>
                <w:color w:val="auto"/>
                <w:sz w:val="24"/>
                <w:highlight w:val="none"/>
              </w:rPr>
            </w:pPr>
            <w:r>
              <w:rPr>
                <w:rFonts w:ascii="Times New Roman" w:eastAsia="宋体" w:hAnsi="Times New Roman" w:cs="Times New Roman" w:hint="eastAsia"/>
                <w:b/>
                <w:color w:val="auto"/>
                <w:sz w:val="24"/>
                <w:highlight w:val="none"/>
              </w:rPr>
              <w:t>2项目基本情况</w:t>
            </w:r>
          </w:p>
          <w:p>
            <w:pPr>
              <w:pStyle w:val="BodyText"/>
              <w:snapToGrid/>
              <w:spacing w:before="0" w:after="0" w:line="360" w:lineRule="auto"/>
              <w:ind w:firstLine="480" w:firstLineChars="200"/>
              <w:rPr>
                <w:rFonts w:ascii="Times New Roman" w:eastAsia="宋体" w:hAnsi="Times New Roman" w:cs="Times New Roman"/>
                <w:color w:val="auto"/>
                <w:sz w:val="24"/>
                <w:highlight w:val="none"/>
              </w:rPr>
            </w:pPr>
            <w:r>
              <w:rPr>
                <w:rFonts w:ascii="Times New Roman" w:eastAsia="宋体" w:hAnsi="Times New Roman" w:cs="Times New Roman" w:hint="eastAsia"/>
                <w:color w:val="auto"/>
                <w:sz w:val="24"/>
                <w:highlight w:val="none"/>
                <w:lang w:eastAsia="zh-CN"/>
              </w:rPr>
              <w:t>滨海亚峰纺织品有限公司</w:t>
            </w:r>
            <w:r>
              <w:rPr>
                <w:rFonts w:ascii="Times New Roman" w:eastAsia="宋体" w:hAnsi="Times New Roman" w:cs="Times New Roman" w:hint="eastAsia"/>
                <w:color w:val="auto"/>
                <w:sz w:val="24"/>
                <w:highlight w:val="none"/>
              </w:rPr>
              <w:t>成立于2018年3月，公司现有《新建年产</w:t>
            </w:r>
            <w:r>
              <w:rPr>
                <w:rFonts w:ascii="Times New Roman" w:eastAsia="宋体" w:hAnsi="Times New Roman" w:cs="Times New Roman" w:hint="eastAsia"/>
                <w:color w:val="auto"/>
                <w:sz w:val="24"/>
                <w:highlight w:val="none"/>
                <w:lang w:val="en-US" w:eastAsia="zh-CN"/>
              </w:rPr>
              <w:t>1</w:t>
            </w:r>
            <w:r>
              <w:rPr>
                <w:rFonts w:ascii="Times New Roman" w:eastAsia="宋体" w:hAnsi="Times New Roman" w:cs="Times New Roman" w:hint="eastAsia"/>
                <w:color w:val="auto"/>
                <w:sz w:val="24"/>
                <w:highlight w:val="none"/>
              </w:rPr>
              <w:t>亿米涤纶布项目环境影响报告表》于2020年5月20日通过盐城市滨海生态环境局审批（盐环表复</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2020</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2203</w:t>
            </w:r>
            <w:r>
              <w:rPr>
                <w:rFonts w:ascii="Times New Roman" w:eastAsia="宋体" w:hAnsi="Times New Roman" w:cs="Times New Roman" w:hint="eastAsia"/>
                <w:color w:val="auto"/>
                <w:sz w:val="24"/>
                <w:highlight w:val="none"/>
                <w:lang w:val="en-US" w:eastAsia="zh-CN"/>
              </w:rPr>
              <w:t>3</w:t>
            </w:r>
            <w:r>
              <w:rPr>
                <w:rFonts w:ascii="Times New Roman" w:eastAsia="宋体" w:hAnsi="Times New Roman" w:cs="Times New Roman" w:hint="eastAsia"/>
                <w:color w:val="auto"/>
                <w:sz w:val="24"/>
                <w:highlight w:val="none"/>
              </w:rPr>
              <w:t>号），现有项目未进行验收，现由于市场经济较好，</w:t>
            </w:r>
            <w:r>
              <w:rPr>
                <w:rFonts w:ascii="Times New Roman" w:eastAsia="宋体" w:hAnsi="Times New Roman" w:cs="Times New Roman" w:hint="eastAsia"/>
                <w:color w:val="auto"/>
                <w:sz w:val="24"/>
                <w:highlight w:val="none"/>
                <w:lang w:eastAsia="zh-CN"/>
              </w:rPr>
              <w:t>亚峰公司</w:t>
            </w:r>
            <w:r>
              <w:rPr>
                <w:rFonts w:ascii="Times New Roman" w:eastAsia="宋体" w:hAnsi="Times New Roman" w:cs="Times New Roman" w:hint="eastAsia"/>
                <w:color w:val="auto"/>
                <w:sz w:val="24"/>
                <w:highlight w:val="none"/>
              </w:rPr>
              <w:t>为提升企业形象，改善员工工作环境，故拟搬迁至滨海县八巨镇工业园（滨海天扬生态农业有限公司内），仍从事涤纶布生产</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2023年5月26日环境执法人员现场检查时发现生产设备正在安装，未生产。盐城市生态环境局于2023年8月4日出具行政处罚决定书（盐环滨罚字[2023]30号），企业已履行该处罚决定，详见附件十五</w:t>
            </w:r>
            <w:r>
              <w:rPr>
                <w:rFonts w:ascii="Times New Roman" w:eastAsia="宋体" w:hAnsi="Times New Roman" w:cs="Times New Roman" w:hint="eastAsia"/>
                <w:color w:val="auto"/>
                <w:sz w:val="24"/>
                <w:highlight w:val="none"/>
              </w:rPr>
              <w:t>。</w:t>
            </w:r>
          </w:p>
          <w:p>
            <w:pPr>
              <w:pStyle w:val="BodyText"/>
              <w:snapToGrid/>
              <w:spacing w:before="0" w:after="0" w:line="360" w:lineRule="auto"/>
              <w:ind w:firstLine="480" w:firstLineChars="200"/>
              <w:rPr>
                <w:rFonts w:ascii="Times New Roman" w:eastAsia="宋体" w:hAnsi="Times New Roman" w:cs="Times New Roman"/>
                <w:color w:val="auto"/>
                <w:highlight w:val="none"/>
              </w:rPr>
            </w:pPr>
            <w:r>
              <w:rPr>
                <w:rFonts w:ascii="Times New Roman" w:eastAsia="宋体" w:hAnsi="Times New Roman" w:cs="Times New Roman" w:hint="eastAsia"/>
                <w:color w:val="auto"/>
                <w:sz w:val="24"/>
                <w:highlight w:val="none"/>
              </w:rPr>
              <w:t>迁建项目已于202</w:t>
            </w:r>
            <w:r>
              <w:rPr>
                <w:rFonts w:ascii="Times New Roman" w:eastAsia="宋体" w:hAnsi="Times New Roman" w:cs="Times New Roman" w:hint="eastAsia"/>
                <w:color w:val="auto"/>
                <w:sz w:val="24"/>
                <w:highlight w:val="none"/>
                <w:lang w:val="en-US" w:eastAsia="zh-CN"/>
              </w:rPr>
              <w:t>3</w:t>
            </w:r>
            <w:r>
              <w:rPr>
                <w:rFonts w:ascii="Times New Roman" w:eastAsia="宋体" w:hAnsi="Times New Roman" w:cs="Times New Roman" w:hint="eastAsia"/>
                <w:color w:val="auto"/>
                <w:sz w:val="24"/>
                <w:highlight w:val="none"/>
              </w:rPr>
              <w:t>年4月取得了滨海县行政审批局备案文件（项目代码：2304-320922-89-05-605718）。根据《中华人民共和国环境保护法》、《中华人民共和国环境影响评价法》以及《建设项目环境保护管理条例》中的有关规定和要求，查《建设项目环境影响评价分类管理名录》（2021年1月1日起施行），本项目涤纶布属于</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十四、纺织业17</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中</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化纤织造及印染精加工175*</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中</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化纤织造及印染精加工175</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有喷水织造工艺的，应该编制环境影响报告表，因此本项目应编制环境影响报告表。</w:t>
            </w:r>
          </w:p>
          <w:p>
            <w:pPr>
              <w:adjustRightInd w:val="0"/>
              <w:snapToGrid w:val="0"/>
              <w:spacing w:line="360" w:lineRule="auto"/>
              <w:rPr>
                <w:b/>
                <w:bCs/>
                <w:color w:val="auto"/>
                <w:sz w:val="24"/>
                <w:highlight w:val="none"/>
              </w:rPr>
            </w:pPr>
            <w:r>
              <w:rPr>
                <w:rFonts w:ascii="Times New Roman" w:eastAsia="宋体" w:hAnsi="Times New Roman" w:cs="Times New Roman"/>
                <w:b/>
                <w:color w:val="auto"/>
                <w:sz w:val="24"/>
                <w:highlight w:val="none"/>
              </w:rPr>
              <w:t xml:space="preserve">2.1 </w:t>
            </w:r>
            <w:r>
              <w:rPr>
                <w:rFonts w:ascii="Times New Roman" w:eastAsia="宋体" w:hAnsi="Times New Roman" w:cs="Times New Roman"/>
                <w:b/>
                <w:bCs/>
                <w:color w:val="auto"/>
                <w:sz w:val="24"/>
                <w:highlight w:val="none"/>
              </w:rPr>
              <w:t>工程概况</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项目名称：</w:t>
            </w:r>
            <w:r>
              <w:rPr>
                <w:rFonts w:ascii="Times New Roman" w:eastAsia="宋体" w:hAnsi="Times New Roman" w:cs="Times New Roman" w:hint="eastAsia"/>
                <w:color w:val="auto"/>
                <w:sz w:val="24"/>
                <w:highlight w:val="none"/>
                <w:lang w:eastAsia="zh-CN"/>
              </w:rPr>
              <w:t>年产1亿米涤纶布搬迁项目</w:t>
            </w:r>
            <w:r>
              <w:rPr>
                <w:rFonts w:ascii="Times New Roman" w:eastAsia="宋体" w:hAnsi="Times New Roman" w:cs="Times New Roman"/>
                <w:color w:val="auto"/>
                <w:sz w:val="24"/>
                <w:highlight w:val="none"/>
              </w:rPr>
              <w:t>；</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单位名称：</w:t>
            </w:r>
            <w:r>
              <w:rPr>
                <w:rFonts w:ascii="Times New Roman" w:eastAsia="宋体" w:hAnsi="Times New Roman" w:cs="Times New Roman" w:hint="eastAsia"/>
                <w:color w:val="auto"/>
                <w:sz w:val="24"/>
                <w:highlight w:val="none"/>
                <w:lang w:eastAsia="zh-CN"/>
              </w:rPr>
              <w:t>滨海亚峰纺织品有限公司</w:t>
            </w:r>
            <w:r>
              <w:rPr>
                <w:rFonts w:ascii="Times New Roman" w:eastAsia="宋体" w:hAnsi="Times New Roman" w:cs="Times New Roman"/>
                <w:color w:val="auto"/>
                <w:sz w:val="24"/>
                <w:highlight w:val="none"/>
              </w:rPr>
              <w:t>；</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项目性质：</w:t>
            </w:r>
            <w:r>
              <w:rPr>
                <w:rFonts w:ascii="Times New Roman" w:eastAsia="宋体" w:hAnsi="Times New Roman" w:cs="Times New Roman" w:hint="eastAsia"/>
                <w:color w:val="auto"/>
                <w:sz w:val="24"/>
                <w:highlight w:val="none"/>
              </w:rPr>
              <w:t>迁建</w:t>
            </w:r>
            <w:r>
              <w:rPr>
                <w:rFonts w:ascii="Times New Roman" w:eastAsia="宋体" w:hAnsi="Times New Roman" w:cs="Times New Roman"/>
                <w:color w:val="auto"/>
                <w:sz w:val="24"/>
                <w:highlight w:val="none"/>
              </w:rPr>
              <w:t>；</w:t>
            </w:r>
          </w:p>
          <w:p>
            <w:pPr>
              <w:adjustRightInd w:val="0"/>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投资总额：</w:t>
            </w:r>
            <w:r>
              <w:rPr>
                <w:rFonts w:ascii="Times New Roman" w:eastAsia="宋体" w:hAnsi="Times New Roman" w:cs="Times New Roman" w:hint="eastAsia"/>
                <w:color w:val="auto"/>
                <w:sz w:val="24"/>
                <w:highlight w:val="none"/>
                <w:lang w:val="en-US" w:eastAsia="zh-CN"/>
              </w:rPr>
              <w:t>1</w:t>
            </w:r>
            <w:r>
              <w:rPr>
                <w:rFonts w:ascii="Times New Roman" w:eastAsia="宋体" w:hAnsi="Times New Roman" w:cs="Times New Roman" w:hint="eastAsia"/>
                <w:color w:val="auto"/>
                <w:sz w:val="24"/>
                <w:highlight w:val="none"/>
              </w:rPr>
              <w:t>000</w:t>
            </w:r>
            <w:r>
              <w:rPr>
                <w:rFonts w:ascii="Times New Roman" w:eastAsia="宋体" w:hAnsi="Times New Roman" w:cs="Times New Roman"/>
                <w:color w:val="auto"/>
                <w:sz w:val="24"/>
                <w:highlight w:val="none"/>
              </w:rPr>
              <w:t>万元；</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建设地点：</w:t>
            </w:r>
            <w:r>
              <w:rPr>
                <w:rFonts w:ascii="Times New Roman" w:eastAsia="宋体" w:hAnsi="Times New Roman" w:cs="Times New Roman" w:hint="eastAsia"/>
                <w:color w:val="auto"/>
                <w:sz w:val="24"/>
                <w:highlight w:val="none"/>
              </w:rPr>
              <w:t>滨海县八巨镇工业园（滨海天扬生态农业有限公司内）</w:t>
            </w:r>
            <w:r>
              <w:rPr>
                <w:rFonts w:ascii="Times New Roman" w:eastAsia="宋体" w:hAnsi="Times New Roman" w:cs="Times New Roman"/>
                <w:color w:val="auto"/>
                <w:sz w:val="24"/>
                <w:highlight w:val="none"/>
              </w:rPr>
              <w:t>；</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占地面积：</w:t>
            </w:r>
            <w:r>
              <w:rPr>
                <w:rFonts w:ascii="Times New Roman" w:eastAsia="宋体" w:hAnsi="Times New Roman" w:cs="Times New Roman" w:hint="eastAsia"/>
                <w:color w:val="auto"/>
                <w:sz w:val="24"/>
                <w:highlight w:val="none"/>
              </w:rPr>
              <w:t>15836</w:t>
            </w:r>
            <w:r>
              <w:rPr>
                <w:rFonts w:ascii="Times New Roman" w:eastAsia="宋体" w:hAnsi="Times New Roman" w:cs="Times New Roman"/>
                <w:color w:val="auto"/>
                <w:sz w:val="24"/>
                <w:highlight w:val="none"/>
              </w:rPr>
              <w:t>平方米；</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本项目所在地经纬度</w:t>
            </w:r>
            <w:r>
              <w:rPr>
                <w:rFonts w:ascii="Times New Roman" w:eastAsia="宋体" w:hAnsi="Times New Roman" w:cs="Times New Roman" w:hint="eastAsia"/>
                <w:color w:val="auto"/>
                <w:sz w:val="24"/>
                <w:highlight w:val="none"/>
              </w:rPr>
              <w:t>：</w:t>
            </w:r>
          </w:p>
          <w:p>
            <w:pPr>
              <w:jc w:val="center"/>
              <w:rPr>
                <w:b/>
                <w:color w:val="auto"/>
                <w:sz w:val="24"/>
                <w:highlight w:val="none"/>
              </w:rPr>
            </w:pPr>
            <w:r>
              <w:rPr>
                <w:rFonts w:ascii="Times New Roman" w:eastAsia="宋体" w:hAnsi="Times New Roman" w:cs="Times New Roman"/>
                <w:b/>
                <w:color w:val="auto"/>
                <w:sz w:val="24"/>
                <w:highlight w:val="none"/>
              </w:rPr>
              <w:t>表2-1  本项目所在地经纬度</w:t>
            </w:r>
          </w:p>
          <w:tbl>
            <w:tblPr>
              <w:tblStyle w:val="TableNormal"/>
              <w:tblW w:w="4996"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1664"/>
              <w:gridCol w:w="6275"/>
            </w:tblGrid>
            <w:tr>
              <w:tblPrEx>
                <w:tblW w:w="4996"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453"/>
              </w:trPr>
              <w:tc>
                <w:tcPr>
                  <w:tcW w:w="1048"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厂区中心</w:t>
                  </w:r>
                </w:p>
              </w:tc>
              <w:tc>
                <w:tcPr>
                  <w:tcW w:w="3951"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东经120.002054522°；北纬34.128594256°</w:t>
                  </w:r>
                </w:p>
              </w:tc>
            </w:tr>
          </w:tbl>
          <w:p/>
        </w:tc>
      </w:tr>
    </w:tbl>
    <w:p>
      <w:pPr>
        <w:sectPr>
          <w:footerReference w:type="even" r:id="rId36"/>
          <w:footerReference w:type="default" r:id="rId37"/>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14"/>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01"/>
          <w:jc w:val="center"/>
        </w:trPr>
        <w:tc>
          <w:tcPr>
            <w:tcW w:w="823" w:type="dxa"/>
            <w:vAlign w:val="center"/>
          </w:tcPr>
          <w:p/>
        </w:tc>
        <w:tc>
          <w:tcPr>
            <w:tcW w:w="8161" w:type="dxa"/>
          </w:tcPr>
          <w:p>
            <w:pPr>
              <w:snapToGrid w:val="0"/>
              <w:spacing w:line="360" w:lineRule="auto"/>
              <w:rPr>
                <w:b/>
                <w:color w:val="auto"/>
                <w:sz w:val="24"/>
                <w:highlight w:val="none"/>
              </w:rPr>
            </w:pPr>
            <w:r>
              <w:rPr>
                <w:rFonts w:ascii="Times New Roman" w:eastAsia="宋体" w:hAnsi="Times New Roman" w:cs="Times New Roman"/>
                <w:b/>
                <w:color w:val="auto"/>
                <w:sz w:val="24"/>
                <w:highlight w:val="none"/>
              </w:rPr>
              <w:t>2.2 建设内容</w:t>
            </w:r>
          </w:p>
          <w:p>
            <w:pPr>
              <w:snapToGrid w:val="0"/>
              <w:spacing w:line="360" w:lineRule="auto"/>
              <w:rPr>
                <w:b/>
                <w:bCs/>
                <w:color w:val="auto"/>
                <w:sz w:val="24"/>
                <w:highlight w:val="none"/>
              </w:rPr>
            </w:pPr>
            <w:r>
              <w:rPr>
                <w:rFonts w:ascii="Times New Roman" w:eastAsia="宋体" w:hAnsi="Times New Roman" w:cs="Times New Roman"/>
                <w:b/>
                <w:color w:val="auto"/>
                <w:sz w:val="24"/>
                <w:highlight w:val="none"/>
              </w:rPr>
              <w:t xml:space="preserve">2.2.1 </w:t>
            </w:r>
            <w:r>
              <w:rPr>
                <w:rFonts w:ascii="Times New Roman" w:eastAsia="宋体" w:hAnsi="Times New Roman" w:cs="Times New Roman"/>
                <w:b/>
                <w:bCs/>
                <w:color w:val="auto"/>
                <w:sz w:val="24"/>
                <w:highlight w:val="none"/>
              </w:rPr>
              <w:t>主体工程及产品</w:t>
            </w:r>
            <w:r>
              <w:rPr>
                <w:rFonts w:ascii="Times New Roman" w:eastAsia="宋体" w:hAnsi="Times New Roman" w:cs="Times New Roman" w:hint="eastAsia"/>
                <w:b/>
                <w:bCs/>
                <w:color w:val="auto"/>
                <w:sz w:val="24"/>
                <w:highlight w:val="none"/>
                <w:lang w:eastAsia="zh-CN"/>
              </w:rPr>
              <w:t>（</w:t>
            </w:r>
            <w:r>
              <w:rPr>
                <w:rFonts w:ascii="Times New Roman" w:eastAsia="宋体" w:hAnsi="Times New Roman" w:cs="Times New Roman"/>
                <w:b/>
                <w:bCs/>
                <w:color w:val="auto"/>
                <w:sz w:val="24"/>
                <w:highlight w:val="none"/>
              </w:rPr>
              <w:t>含副产品</w:t>
            </w:r>
            <w:r>
              <w:rPr>
                <w:rFonts w:ascii="Times New Roman" w:eastAsia="宋体" w:hAnsi="Times New Roman" w:cs="Times New Roman" w:hint="eastAsia"/>
                <w:b/>
                <w:bCs/>
                <w:color w:val="auto"/>
                <w:sz w:val="24"/>
                <w:highlight w:val="none"/>
                <w:lang w:eastAsia="zh-CN"/>
              </w:rPr>
              <w:t>）</w:t>
            </w:r>
            <w:r>
              <w:rPr>
                <w:rFonts w:ascii="Times New Roman" w:eastAsia="宋体" w:hAnsi="Times New Roman" w:cs="Times New Roman"/>
                <w:b/>
                <w:bCs/>
                <w:color w:val="auto"/>
                <w:sz w:val="24"/>
                <w:highlight w:val="none"/>
              </w:rPr>
              <w:t>方案</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本项目为</w:t>
            </w:r>
            <w:r>
              <w:rPr>
                <w:rFonts w:ascii="Times New Roman" w:eastAsia="宋体" w:hAnsi="Times New Roman" w:cs="Times New Roman" w:hint="eastAsia"/>
                <w:color w:val="auto"/>
                <w:sz w:val="24"/>
                <w:highlight w:val="none"/>
              </w:rPr>
              <w:t>涤纶布</w:t>
            </w:r>
            <w:r>
              <w:rPr>
                <w:rFonts w:ascii="Times New Roman" w:eastAsia="宋体" w:hAnsi="Times New Roman" w:cs="Times New Roman"/>
                <w:color w:val="auto"/>
                <w:sz w:val="24"/>
                <w:highlight w:val="none"/>
              </w:rPr>
              <w:t>项目，本项目产品方案见表2-2，本项目主体工程见表2-3。</w:t>
            </w:r>
          </w:p>
          <w:p>
            <w:pPr>
              <w:pStyle w:val="a8"/>
              <w:spacing w:line="240" w:lineRule="auto"/>
              <w:jc w:val="center"/>
              <w:rPr>
                <w:rFonts w:ascii="Times New Roman" w:eastAsia="宋体" w:hAnsi="Times New Roman" w:cs="Times New Roman"/>
                <w:color w:val="auto"/>
                <w:highlight w:val="none"/>
              </w:rPr>
            </w:pPr>
            <w:r>
              <w:rPr>
                <w:rFonts w:ascii="Times New Roman" w:eastAsia="宋体" w:hAnsi="Times New Roman" w:cs="Times New Roman"/>
                <w:color w:val="auto"/>
                <w:highlight w:val="none"/>
              </w:rPr>
              <w:t>表2-2  本项目产品方案一览表</w:t>
            </w:r>
          </w:p>
          <w:tbl>
            <w:tblPr>
              <w:tblStyle w:val="TableNormal"/>
              <w:tblW w:w="5000"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00"/>
              <w:gridCol w:w="1223"/>
              <w:gridCol w:w="915"/>
              <w:gridCol w:w="793"/>
              <w:gridCol w:w="926"/>
              <w:gridCol w:w="903"/>
              <w:gridCol w:w="1150"/>
              <w:gridCol w:w="1335"/>
            </w:tblGrid>
            <w:tr>
              <w:tblPrEx>
                <w:tblW w:w="5000"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99"/>
              </w:trPr>
              <w:tc>
                <w:tcPr>
                  <w:tcW w:w="440" w:type="pct"/>
                  <w:vMerge w:val="restart"/>
                  <w:tcBorders>
                    <w:tl2br w:val="nil"/>
                    <w:tr2bl w:val="nil"/>
                  </w:tcBorders>
                  <w:vAlign w:val="center"/>
                </w:tcPr>
                <w:p>
                  <w:pPr>
                    <w:adjustRightInd w:val="0"/>
                    <w:snapToGrid w:val="0"/>
                    <w:jc w:val="center"/>
                    <w:rPr>
                      <w:b/>
                      <w:bCs/>
                      <w:color w:val="auto"/>
                      <w:szCs w:val="21"/>
                      <w:highlight w:val="none"/>
                    </w:rPr>
                  </w:pPr>
                  <w:r>
                    <w:rPr>
                      <w:rFonts w:ascii="Times New Roman" w:eastAsia="宋体" w:hAnsi="Times New Roman" w:cs="Times New Roman"/>
                      <w:b/>
                      <w:bCs/>
                      <w:color w:val="auto"/>
                      <w:szCs w:val="21"/>
                      <w:highlight w:val="none"/>
                    </w:rPr>
                    <w:t>序号</w:t>
                  </w:r>
                </w:p>
              </w:tc>
              <w:tc>
                <w:tcPr>
                  <w:tcW w:w="769" w:type="pct"/>
                  <w:vMerge w:val="restart"/>
                  <w:tcBorders>
                    <w:tl2br w:val="nil"/>
                    <w:tr2bl w:val="nil"/>
                  </w:tcBorders>
                  <w:vAlign w:val="center"/>
                </w:tcPr>
                <w:p>
                  <w:pPr>
                    <w:adjustRightInd w:val="0"/>
                    <w:snapToGrid w:val="0"/>
                    <w:jc w:val="center"/>
                    <w:rPr>
                      <w:b/>
                      <w:bCs/>
                      <w:color w:val="auto"/>
                      <w:szCs w:val="21"/>
                      <w:highlight w:val="none"/>
                    </w:rPr>
                  </w:pPr>
                  <w:r>
                    <w:rPr>
                      <w:rFonts w:ascii="Times New Roman" w:eastAsia="宋体" w:hAnsi="Times New Roman" w:cs="Times New Roman"/>
                      <w:b/>
                      <w:bCs/>
                      <w:color w:val="auto"/>
                      <w:szCs w:val="21"/>
                      <w:highlight w:val="none"/>
                    </w:rPr>
                    <w:t>工程名称</w:t>
                  </w:r>
                </w:p>
              </w:tc>
              <w:tc>
                <w:tcPr>
                  <w:tcW w:w="575" w:type="pct"/>
                  <w:vMerge w:val="restart"/>
                  <w:tcBorders>
                    <w:tl2br w:val="nil"/>
                    <w:tr2bl w:val="nil"/>
                  </w:tcBorders>
                  <w:vAlign w:val="center"/>
                </w:tcPr>
                <w:p>
                  <w:pPr>
                    <w:adjustRightInd w:val="0"/>
                    <w:snapToGrid w:val="0"/>
                    <w:jc w:val="center"/>
                    <w:rPr>
                      <w:b/>
                      <w:bCs/>
                      <w:color w:val="auto"/>
                      <w:szCs w:val="21"/>
                      <w:highlight w:val="none"/>
                    </w:rPr>
                  </w:pPr>
                  <w:r>
                    <w:rPr>
                      <w:rFonts w:ascii="Times New Roman" w:eastAsia="宋体" w:hAnsi="Times New Roman" w:cs="Times New Roman"/>
                      <w:b/>
                      <w:bCs/>
                      <w:color w:val="auto"/>
                      <w:szCs w:val="21"/>
                      <w:highlight w:val="none"/>
                    </w:rPr>
                    <w:t>产品名称</w:t>
                  </w:r>
                </w:p>
              </w:tc>
              <w:tc>
                <w:tcPr>
                  <w:tcW w:w="499" w:type="pct"/>
                  <w:vMerge w:val="restart"/>
                  <w:tcBorders>
                    <w:tl2br w:val="nil"/>
                    <w:tr2bl w:val="nil"/>
                  </w:tcBorders>
                  <w:vAlign w:val="center"/>
                </w:tcPr>
                <w:p>
                  <w:pPr>
                    <w:adjustRightInd w:val="0"/>
                    <w:snapToGrid w:val="0"/>
                    <w:jc w:val="center"/>
                    <w:rPr>
                      <w:rFonts w:hint="eastAsia"/>
                      <w:b/>
                      <w:bCs/>
                      <w:color w:val="auto"/>
                      <w:szCs w:val="21"/>
                      <w:highlight w:val="none"/>
                    </w:rPr>
                  </w:pPr>
                  <w:r>
                    <w:rPr>
                      <w:rFonts w:ascii="Times New Roman" w:eastAsia="宋体" w:hAnsi="Times New Roman" w:cs="Times New Roman"/>
                      <w:b/>
                      <w:bCs/>
                      <w:color w:val="auto"/>
                      <w:szCs w:val="21"/>
                      <w:highlight w:val="none"/>
                    </w:rPr>
                    <w:t>规格</w:t>
                  </w:r>
                  <w:r>
                    <w:rPr>
                      <w:rFonts w:ascii="Times New Roman" w:eastAsia="宋体" w:hAnsi="Times New Roman" w:cs="Times New Roman" w:hint="eastAsia"/>
                      <w:b/>
                      <w:bCs/>
                      <w:color w:val="auto"/>
                      <w:szCs w:val="21"/>
                      <w:highlight w:val="none"/>
                      <w:lang w:eastAsia="zh-CN"/>
                    </w:rPr>
                    <w:t>（</w:t>
                  </w:r>
                  <w:r>
                    <w:rPr>
                      <w:rFonts w:ascii="Times New Roman" w:eastAsia="宋体" w:hAnsi="Times New Roman" w:cs="Times New Roman"/>
                      <w:b/>
                      <w:bCs/>
                      <w:color w:val="auto"/>
                      <w:szCs w:val="21"/>
                      <w:highlight w:val="none"/>
                    </w:rPr>
                    <w:t>宽度</w:t>
                  </w:r>
                  <w:r>
                    <w:rPr>
                      <w:rFonts w:ascii="Times New Roman" w:eastAsia="宋体" w:hAnsi="Times New Roman" w:cs="Times New Roman" w:hint="eastAsia"/>
                      <w:b/>
                      <w:bCs/>
                      <w:color w:val="auto"/>
                      <w:szCs w:val="21"/>
                      <w:highlight w:val="none"/>
                      <w:lang w:eastAsia="zh-CN"/>
                    </w:rPr>
                    <w:t>）</w:t>
                  </w:r>
                </w:p>
              </w:tc>
              <w:tc>
                <w:tcPr>
                  <w:tcW w:w="1875" w:type="pct"/>
                  <w:gridSpan w:val="3"/>
                  <w:tcBorders>
                    <w:tl2br w:val="nil"/>
                    <w:tr2bl w:val="nil"/>
                  </w:tcBorders>
                  <w:vAlign w:val="center"/>
                </w:tcPr>
                <w:p>
                  <w:pPr>
                    <w:adjustRightInd w:val="0"/>
                    <w:snapToGrid w:val="0"/>
                    <w:jc w:val="center"/>
                    <w:rPr>
                      <w:b/>
                      <w:bCs/>
                      <w:color w:val="auto"/>
                      <w:szCs w:val="21"/>
                      <w:highlight w:val="none"/>
                    </w:rPr>
                  </w:pPr>
                  <w:r>
                    <w:rPr>
                      <w:rFonts w:ascii="Times New Roman" w:eastAsia="宋体" w:hAnsi="Times New Roman" w:cs="Times New Roman"/>
                      <w:b/>
                      <w:bCs/>
                      <w:color w:val="auto"/>
                      <w:szCs w:val="21"/>
                      <w:highlight w:val="none"/>
                    </w:rPr>
                    <w:t>年产量</w:t>
                  </w:r>
                  <w:r>
                    <w:rPr>
                      <w:rFonts w:ascii="Times New Roman" w:eastAsia="宋体" w:hAnsi="Times New Roman" w:cs="Times New Roman" w:hint="eastAsia"/>
                      <w:b/>
                      <w:bCs/>
                      <w:color w:val="auto"/>
                      <w:szCs w:val="21"/>
                      <w:highlight w:val="none"/>
                    </w:rPr>
                    <w:t>（亿米）</w:t>
                  </w:r>
                </w:p>
              </w:tc>
              <w:tc>
                <w:tcPr>
                  <w:tcW w:w="839" w:type="pct"/>
                  <w:vMerge w:val="restart"/>
                  <w:tcBorders>
                    <w:tl2br w:val="nil"/>
                    <w:tr2bl w:val="nil"/>
                  </w:tcBorders>
                  <w:vAlign w:val="center"/>
                </w:tcPr>
                <w:p>
                  <w:pPr>
                    <w:adjustRightInd w:val="0"/>
                    <w:snapToGrid w:val="0"/>
                    <w:jc w:val="center"/>
                    <w:rPr>
                      <w:b/>
                      <w:bCs/>
                      <w:color w:val="auto"/>
                      <w:szCs w:val="21"/>
                      <w:highlight w:val="none"/>
                    </w:rPr>
                  </w:pPr>
                  <w:r>
                    <w:rPr>
                      <w:rFonts w:ascii="Times New Roman" w:eastAsia="宋体" w:hAnsi="Times New Roman" w:cs="Times New Roman"/>
                      <w:b/>
                      <w:bCs/>
                      <w:color w:val="auto"/>
                      <w:szCs w:val="21"/>
                      <w:highlight w:val="none"/>
                    </w:rPr>
                    <w:t>年运行时数</w:t>
                  </w:r>
                </w:p>
                <w:p>
                  <w:pPr>
                    <w:adjustRightInd w:val="0"/>
                    <w:snapToGrid w:val="0"/>
                    <w:jc w:val="center"/>
                    <w:rPr>
                      <w:rFonts w:hint="eastAsia"/>
                      <w:b/>
                      <w:bCs/>
                      <w:color w:val="auto"/>
                      <w:szCs w:val="21"/>
                      <w:highlight w:val="none"/>
                    </w:rPr>
                  </w:pPr>
                  <w:r>
                    <w:rPr>
                      <w:rFonts w:ascii="Times New Roman" w:eastAsia="宋体" w:hAnsi="Times New Roman" w:cs="Times New Roman" w:hint="eastAsia"/>
                      <w:b/>
                      <w:bCs/>
                      <w:color w:val="auto"/>
                      <w:szCs w:val="21"/>
                      <w:highlight w:val="none"/>
                      <w:lang w:eastAsia="zh-CN"/>
                    </w:rPr>
                    <w:t>（</w:t>
                  </w:r>
                  <w:r>
                    <w:rPr>
                      <w:rFonts w:ascii="Times New Roman" w:eastAsia="宋体" w:hAnsi="Times New Roman" w:cs="Times New Roman"/>
                      <w:b/>
                      <w:bCs/>
                      <w:color w:val="auto"/>
                      <w:szCs w:val="21"/>
                      <w:highlight w:val="none"/>
                    </w:rPr>
                    <w:t>小时/年</w:t>
                  </w:r>
                  <w:r>
                    <w:rPr>
                      <w:rFonts w:ascii="Times New Roman" w:eastAsia="宋体" w:hAnsi="Times New Roman" w:cs="Times New Roman" w:hint="eastAsia"/>
                      <w:b/>
                      <w:bCs/>
                      <w:color w:val="auto"/>
                      <w:szCs w:val="21"/>
                      <w:highlight w:val="none"/>
                      <w:lang w:eastAsia="zh-CN"/>
                    </w:rPr>
                    <w:t>）</w:t>
                  </w:r>
                </w:p>
              </w:tc>
            </w:tr>
            <w:tr>
              <w:tblPrEx>
                <w:tblW w:w="5000" w:type="pct"/>
                <w:tblInd w:w="5" w:type="dxa"/>
                <w:tblLayout w:type="fixed"/>
                <w:tblCellMar>
                  <w:top w:w="0" w:type="dxa"/>
                  <w:left w:w="108" w:type="dxa"/>
                  <w:bottom w:w="0" w:type="dxa"/>
                  <w:right w:w="108" w:type="dxa"/>
                </w:tblCellMar>
              </w:tblPrEx>
              <w:trPr>
                <w:trHeight w:val="255"/>
              </w:trPr>
              <w:tc>
                <w:tcPr>
                  <w:tcW w:w="440" w:type="pct"/>
                  <w:vMerge/>
                  <w:tcBorders>
                    <w:tl2br w:val="nil"/>
                    <w:tr2bl w:val="nil"/>
                  </w:tcBorders>
                  <w:vAlign w:val="center"/>
                </w:tcPr>
                <w:p>
                  <w:pPr>
                    <w:adjustRightInd w:val="0"/>
                    <w:snapToGrid w:val="0"/>
                    <w:jc w:val="center"/>
                    <w:rPr>
                      <w:b/>
                      <w:bCs/>
                      <w:color w:val="auto"/>
                      <w:szCs w:val="21"/>
                      <w:highlight w:val="none"/>
                    </w:rPr>
                  </w:pPr>
                </w:p>
              </w:tc>
              <w:tc>
                <w:tcPr>
                  <w:tcW w:w="769" w:type="pct"/>
                  <w:vMerge/>
                  <w:tcBorders>
                    <w:tl2br w:val="nil"/>
                    <w:tr2bl w:val="nil"/>
                  </w:tcBorders>
                  <w:vAlign w:val="center"/>
                </w:tcPr>
                <w:p>
                  <w:pPr>
                    <w:adjustRightInd w:val="0"/>
                    <w:snapToGrid w:val="0"/>
                    <w:jc w:val="center"/>
                    <w:rPr>
                      <w:b/>
                      <w:bCs/>
                      <w:color w:val="auto"/>
                      <w:szCs w:val="21"/>
                      <w:highlight w:val="none"/>
                    </w:rPr>
                  </w:pPr>
                </w:p>
              </w:tc>
              <w:tc>
                <w:tcPr>
                  <w:tcW w:w="575" w:type="pct"/>
                  <w:vMerge/>
                  <w:tcBorders>
                    <w:tl2br w:val="nil"/>
                    <w:tr2bl w:val="nil"/>
                  </w:tcBorders>
                  <w:vAlign w:val="center"/>
                </w:tcPr>
                <w:p>
                  <w:pPr>
                    <w:adjustRightInd w:val="0"/>
                    <w:snapToGrid w:val="0"/>
                    <w:jc w:val="center"/>
                    <w:rPr>
                      <w:b/>
                      <w:bCs/>
                      <w:color w:val="auto"/>
                      <w:szCs w:val="21"/>
                      <w:highlight w:val="none"/>
                    </w:rPr>
                  </w:pPr>
                </w:p>
              </w:tc>
              <w:tc>
                <w:tcPr>
                  <w:tcW w:w="499" w:type="pct"/>
                  <w:vMerge/>
                  <w:tcBorders>
                    <w:tl2br w:val="nil"/>
                    <w:tr2bl w:val="nil"/>
                  </w:tcBorders>
                  <w:vAlign w:val="center"/>
                </w:tcPr>
                <w:p>
                  <w:pPr>
                    <w:adjustRightInd w:val="0"/>
                    <w:snapToGrid w:val="0"/>
                    <w:jc w:val="center"/>
                    <w:rPr>
                      <w:b/>
                      <w:bCs/>
                      <w:color w:val="auto"/>
                      <w:szCs w:val="21"/>
                      <w:highlight w:val="none"/>
                    </w:rPr>
                  </w:pPr>
                </w:p>
              </w:tc>
              <w:tc>
                <w:tcPr>
                  <w:tcW w:w="583" w:type="pct"/>
                  <w:tcBorders>
                    <w:tl2br w:val="nil"/>
                    <w:tr2bl w:val="nil"/>
                  </w:tcBorders>
                  <w:vAlign w:val="center"/>
                </w:tcPr>
                <w:p>
                  <w:pPr>
                    <w:adjustRightInd w:val="0"/>
                    <w:snapToGrid w:val="0"/>
                    <w:jc w:val="center"/>
                    <w:rPr>
                      <w:b/>
                      <w:bCs/>
                      <w:color w:val="auto"/>
                      <w:szCs w:val="21"/>
                      <w:highlight w:val="none"/>
                    </w:rPr>
                  </w:pPr>
                  <w:r>
                    <w:rPr>
                      <w:rFonts w:ascii="Times New Roman" w:eastAsia="宋体" w:hAnsi="Times New Roman" w:cs="Times New Roman" w:hint="eastAsia"/>
                      <w:b/>
                      <w:bCs/>
                      <w:color w:val="auto"/>
                      <w:szCs w:val="21"/>
                      <w:highlight w:val="none"/>
                    </w:rPr>
                    <w:t>迁建前</w:t>
                  </w:r>
                </w:p>
              </w:tc>
              <w:tc>
                <w:tcPr>
                  <w:tcW w:w="568" w:type="pct"/>
                  <w:tcBorders>
                    <w:tl2br w:val="nil"/>
                    <w:tr2bl w:val="nil"/>
                  </w:tcBorders>
                  <w:vAlign w:val="center"/>
                </w:tcPr>
                <w:p>
                  <w:pPr>
                    <w:adjustRightInd w:val="0"/>
                    <w:snapToGrid w:val="0"/>
                    <w:jc w:val="center"/>
                    <w:rPr>
                      <w:b/>
                      <w:bCs/>
                      <w:color w:val="auto"/>
                      <w:szCs w:val="21"/>
                      <w:highlight w:val="none"/>
                    </w:rPr>
                  </w:pPr>
                  <w:r>
                    <w:rPr>
                      <w:rFonts w:ascii="Times New Roman" w:eastAsia="宋体" w:hAnsi="Times New Roman" w:cs="Times New Roman" w:hint="eastAsia"/>
                      <w:b/>
                      <w:bCs/>
                      <w:color w:val="auto"/>
                      <w:szCs w:val="21"/>
                      <w:highlight w:val="none"/>
                    </w:rPr>
                    <w:t>迁建后</w:t>
                  </w:r>
                </w:p>
              </w:tc>
              <w:tc>
                <w:tcPr>
                  <w:tcW w:w="724" w:type="pct"/>
                  <w:tcBorders>
                    <w:tl2br w:val="nil"/>
                    <w:tr2bl w:val="nil"/>
                  </w:tcBorders>
                  <w:vAlign w:val="center"/>
                </w:tcPr>
                <w:p>
                  <w:pPr>
                    <w:adjustRightInd w:val="0"/>
                    <w:snapToGrid w:val="0"/>
                    <w:jc w:val="center"/>
                    <w:rPr>
                      <w:b/>
                      <w:bCs/>
                      <w:color w:val="auto"/>
                      <w:szCs w:val="21"/>
                      <w:highlight w:val="none"/>
                    </w:rPr>
                  </w:pPr>
                  <w:r>
                    <w:rPr>
                      <w:rFonts w:ascii="Times New Roman" w:eastAsia="宋体" w:hAnsi="Times New Roman" w:cs="Times New Roman" w:hint="eastAsia"/>
                      <w:b/>
                      <w:bCs/>
                      <w:color w:val="auto"/>
                      <w:szCs w:val="21"/>
                      <w:highlight w:val="none"/>
                    </w:rPr>
                    <w:t>变化情况</w:t>
                  </w:r>
                </w:p>
              </w:tc>
              <w:tc>
                <w:tcPr>
                  <w:tcW w:w="839" w:type="pct"/>
                  <w:vMerge/>
                  <w:tcBorders>
                    <w:tl2br w:val="nil"/>
                    <w:tr2bl w:val="nil"/>
                  </w:tcBorders>
                  <w:vAlign w:val="center"/>
                </w:tcPr>
                <w:p>
                  <w:pPr>
                    <w:adjustRightInd w:val="0"/>
                    <w:snapToGrid w:val="0"/>
                    <w:jc w:val="center"/>
                    <w:rPr>
                      <w:b/>
                      <w:bCs/>
                      <w:color w:val="auto"/>
                      <w:szCs w:val="21"/>
                      <w:highlight w:val="none"/>
                    </w:rPr>
                  </w:pPr>
                </w:p>
              </w:tc>
            </w:tr>
            <w:tr>
              <w:tblPrEx>
                <w:tblW w:w="5000" w:type="pct"/>
                <w:tblInd w:w="5" w:type="dxa"/>
                <w:tblLayout w:type="fixed"/>
                <w:tblCellMar>
                  <w:top w:w="0" w:type="dxa"/>
                  <w:left w:w="108" w:type="dxa"/>
                  <w:bottom w:w="0" w:type="dxa"/>
                  <w:right w:w="108" w:type="dxa"/>
                </w:tblCellMar>
              </w:tblPrEx>
              <w:trPr>
                <w:trHeight w:val="283"/>
              </w:trPr>
              <w:tc>
                <w:tcPr>
                  <w:tcW w:w="440"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1</w:t>
                  </w:r>
                </w:p>
              </w:tc>
              <w:tc>
                <w:tcPr>
                  <w:tcW w:w="769"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涤纶布生产项目</w:t>
                  </w:r>
                </w:p>
              </w:tc>
              <w:tc>
                <w:tcPr>
                  <w:tcW w:w="575"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涤纶布</w:t>
                  </w:r>
                </w:p>
              </w:tc>
              <w:tc>
                <w:tcPr>
                  <w:tcW w:w="499" w:type="pct"/>
                  <w:tcBorders>
                    <w:tl2br w:val="nil"/>
                    <w:tr2bl w:val="nil"/>
                  </w:tcBorders>
                  <w:vAlign w:val="center"/>
                </w:tcPr>
                <w:p>
                  <w:pPr>
                    <w:pStyle w:val="a11"/>
                    <w:adjustRightInd w:val="0"/>
                    <w:snapToGrid w:val="0"/>
                    <w:spacing w:line="240" w:lineRule="auto"/>
                    <w:rPr>
                      <w:rFonts w:ascii="Times New Roman" w:eastAsia="宋体" w:hAnsi="Times New Roman" w:cs="Times New Roman" w:hint="default"/>
                      <w:color w:val="auto"/>
                      <w:kern w:val="2"/>
                      <w:szCs w:val="21"/>
                      <w:highlight w:val="none"/>
                      <w:lang w:val="en-US" w:eastAsia="zh-CN"/>
                    </w:rPr>
                  </w:pPr>
                  <w:r>
                    <w:rPr>
                      <w:rFonts w:ascii="Times New Roman" w:eastAsia="宋体" w:hAnsi="Times New Roman" w:cs="Times New Roman" w:hint="eastAsia"/>
                      <w:color w:val="auto"/>
                      <w:kern w:val="2"/>
                      <w:szCs w:val="21"/>
                      <w:highlight w:val="none"/>
                      <w:lang w:val="en-US" w:eastAsia="zh-CN"/>
                    </w:rPr>
                    <w:t>1.6m-1.85m</w:t>
                  </w:r>
                </w:p>
              </w:tc>
              <w:tc>
                <w:tcPr>
                  <w:tcW w:w="583" w:type="pct"/>
                  <w:tcBorders>
                    <w:tl2br w:val="nil"/>
                    <w:tr2bl w:val="nil"/>
                  </w:tcBorders>
                  <w:vAlign w:val="center"/>
                </w:tcPr>
                <w:p>
                  <w:pPr>
                    <w:pStyle w:val="a11"/>
                    <w:adjustRightInd w:val="0"/>
                    <w:snapToGrid w:val="0"/>
                    <w:spacing w:line="240" w:lineRule="auto"/>
                    <w:rPr>
                      <w:rFonts w:ascii="Times New Roman" w:eastAsia="宋体" w:hAnsi="Times New Roman" w:cs="Times New Roman" w:hint="eastAsia"/>
                      <w:color w:val="auto"/>
                      <w:kern w:val="2"/>
                      <w:szCs w:val="21"/>
                      <w:highlight w:val="none"/>
                      <w:lang w:eastAsia="zh-CN"/>
                    </w:rPr>
                  </w:pPr>
                  <w:r>
                    <w:rPr>
                      <w:rFonts w:ascii="Times New Roman" w:eastAsia="宋体" w:hAnsi="Times New Roman" w:cs="Times New Roman" w:hint="eastAsia"/>
                      <w:color w:val="auto"/>
                      <w:szCs w:val="21"/>
                      <w:highlight w:val="none"/>
                      <w:lang w:val="en-US" w:eastAsia="zh-CN"/>
                    </w:rPr>
                    <w:t>1</w:t>
                  </w:r>
                </w:p>
              </w:tc>
              <w:tc>
                <w:tcPr>
                  <w:tcW w:w="568" w:type="pct"/>
                  <w:tcBorders>
                    <w:tl2br w:val="nil"/>
                    <w:tr2bl w:val="nil"/>
                  </w:tcBorders>
                  <w:vAlign w:val="center"/>
                </w:tcPr>
                <w:p>
                  <w:pPr>
                    <w:pStyle w:val="a11"/>
                    <w:adjustRightInd w:val="0"/>
                    <w:snapToGrid w:val="0"/>
                    <w:spacing w:line="240" w:lineRule="auto"/>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lang w:val="en-US" w:eastAsia="zh-CN"/>
                    </w:rPr>
                    <w:t>1</w:t>
                  </w:r>
                </w:p>
              </w:tc>
              <w:tc>
                <w:tcPr>
                  <w:tcW w:w="724"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0</w:t>
                  </w:r>
                </w:p>
              </w:tc>
              <w:tc>
                <w:tcPr>
                  <w:tcW w:w="839"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7200</w:t>
                  </w:r>
                </w:p>
              </w:tc>
            </w:tr>
          </w:tbl>
          <w:p>
            <w:pPr>
              <w:snapToGrid w:val="0"/>
              <w:spacing w:line="360" w:lineRule="auto"/>
              <w:ind w:firstLine="480" w:firstLineChars="200"/>
              <w:rPr>
                <w:b/>
                <w:bCs/>
                <w:color w:val="auto"/>
                <w:sz w:val="24"/>
                <w:highlight w:val="none"/>
              </w:rPr>
            </w:pPr>
            <w:r>
              <w:rPr>
                <w:rFonts w:ascii="Times New Roman" w:eastAsia="宋体" w:hAnsi="Times New Roman" w:cs="Times New Roman" w:hint="eastAsia"/>
                <w:b/>
                <w:bCs/>
                <w:color w:val="auto"/>
                <w:sz w:val="24"/>
                <w:highlight w:val="none"/>
              </w:rPr>
              <w:t>产能匹配性分析：</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本项目</w:t>
            </w:r>
            <w:r>
              <w:rPr>
                <w:rFonts w:ascii="Times New Roman" w:eastAsia="宋体" w:hAnsi="Times New Roman" w:cs="Times New Roman"/>
                <w:color w:val="auto"/>
                <w:sz w:val="24"/>
                <w:highlight w:val="none"/>
              </w:rPr>
              <w:t>喷水织机</w:t>
            </w:r>
            <w:r>
              <w:rPr>
                <w:rFonts w:ascii="Times New Roman" w:eastAsia="宋体" w:hAnsi="Times New Roman" w:cs="Times New Roman" w:hint="eastAsia"/>
                <w:color w:val="auto"/>
                <w:sz w:val="24"/>
                <w:highlight w:val="none"/>
              </w:rPr>
              <w:t>为</w:t>
            </w:r>
            <w:r>
              <w:rPr>
                <w:rFonts w:ascii="Times New Roman" w:eastAsia="宋体" w:hAnsi="Times New Roman" w:cs="Times New Roman" w:hint="eastAsia"/>
                <w:color w:val="auto"/>
                <w:sz w:val="24"/>
                <w:highlight w:val="none"/>
                <w:lang w:val="en-US" w:eastAsia="zh-CN"/>
              </w:rPr>
              <w:t>1000</w:t>
            </w:r>
            <w:r>
              <w:rPr>
                <w:rFonts w:ascii="Times New Roman" w:eastAsia="宋体" w:hAnsi="Times New Roman" w:cs="Times New Roman" w:hint="eastAsia"/>
                <w:color w:val="auto"/>
                <w:sz w:val="24"/>
                <w:highlight w:val="none"/>
              </w:rPr>
              <w:t>台，其</w:t>
            </w:r>
            <w:r>
              <w:rPr>
                <w:rFonts w:ascii="Times New Roman" w:eastAsia="宋体" w:hAnsi="Times New Roman" w:cs="Times New Roman"/>
                <w:color w:val="auto"/>
                <w:sz w:val="24"/>
                <w:highlight w:val="none"/>
              </w:rPr>
              <w:t>入纬率为</w:t>
            </w:r>
            <w:r>
              <w:rPr>
                <w:rFonts w:ascii="Times New Roman" w:eastAsia="宋体" w:hAnsi="Times New Roman" w:cs="Times New Roman" w:hint="eastAsia"/>
                <w:color w:val="auto"/>
                <w:sz w:val="24"/>
                <w:highlight w:val="none"/>
                <w:lang w:val="en-US" w:eastAsia="zh-CN"/>
              </w:rPr>
              <w:t>140</w:t>
            </w:r>
            <w:r>
              <w:rPr>
                <w:rFonts w:ascii="Times New Roman" w:eastAsia="宋体" w:hAnsi="Times New Roman" w:cs="Times New Roman"/>
                <w:color w:val="auto"/>
                <w:sz w:val="24"/>
                <w:highlight w:val="none"/>
              </w:rPr>
              <w:t>0米/分钟</w:t>
            </w:r>
            <w:r>
              <w:rPr>
                <w:rFonts w:ascii="Times New Roman" w:eastAsia="宋体" w:hAnsi="Times New Roman" w:cs="Times New Roman" w:hint="eastAsia"/>
                <w:color w:val="auto"/>
                <w:sz w:val="24"/>
                <w:highlight w:val="none"/>
              </w:rPr>
              <w:t>，设备最大运转时间为</w:t>
            </w:r>
            <w:r>
              <w:rPr>
                <w:rFonts w:ascii="Times New Roman" w:eastAsia="宋体" w:hAnsi="Times New Roman" w:cs="Times New Roman" w:hint="eastAsia"/>
                <w:color w:val="auto"/>
                <w:sz w:val="24"/>
                <w:highlight w:val="none"/>
                <w:lang w:val="en-US" w:eastAsia="zh-CN"/>
              </w:rPr>
              <w:t>72</w:t>
            </w:r>
            <w:r>
              <w:rPr>
                <w:rFonts w:ascii="Times New Roman" w:eastAsia="宋体" w:hAnsi="Times New Roman" w:cs="Times New Roman" w:hint="eastAsia"/>
                <w:color w:val="auto"/>
                <w:sz w:val="24"/>
                <w:highlight w:val="none"/>
              </w:rPr>
              <w:t>00h/a，因此本项目</w:t>
            </w:r>
            <w:r>
              <w:rPr>
                <w:rFonts w:ascii="Times New Roman" w:eastAsia="宋体" w:hAnsi="Times New Roman" w:cs="Times New Roman"/>
                <w:color w:val="auto"/>
                <w:sz w:val="24"/>
                <w:highlight w:val="none"/>
              </w:rPr>
              <w:t>喷水织机</w:t>
            </w:r>
            <w:r>
              <w:rPr>
                <w:rFonts w:ascii="Times New Roman" w:eastAsia="宋体" w:hAnsi="Times New Roman" w:cs="Times New Roman" w:hint="eastAsia"/>
                <w:color w:val="auto"/>
                <w:sz w:val="24"/>
                <w:highlight w:val="none"/>
              </w:rPr>
              <w:t>设计产能能够满足</w:t>
            </w:r>
            <w:r>
              <w:rPr>
                <w:rFonts w:ascii="Times New Roman" w:eastAsia="宋体" w:hAnsi="Times New Roman" w:cs="Times New Roman"/>
                <w:color w:val="auto"/>
                <w:spacing w:val="-6"/>
                <w:sz w:val="24"/>
                <w:highlight w:val="none"/>
              </w:rPr>
              <w:t>年产</w:t>
            </w:r>
            <w:r>
              <w:rPr>
                <w:rFonts w:ascii="Times New Roman" w:eastAsia="宋体" w:hAnsi="Times New Roman" w:cs="Times New Roman" w:hint="eastAsia"/>
                <w:color w:val="auto"/>
                <w:spacing w:val="-6"/>
                <w:sz w:val="24"/>
                <w:highlight w:val="none"/>
                <w:lang w:val="en-US" w:eastAsia="zh-CN"/>
              </w:rPr>
              <w:t>1</w:t>
            </w:r>
            <w:r>
              <w:rPr>
                <w:rFonts w:ascii="Times New Roman" w:eastAsia="宋体" w:hAnsi="Times New Roman" w:cs="Times New Roman"/>
                <w:color w:val="auto"/>
                <w:spacing w:val="-6"/>
                <w:sz w:val="24"/>
                <w:highlight w:val="none"/>
              </w:rPr>
              <w:t>亿米涤纶布</w:t>
            </w:r>
            <w:r>
              <w:rPr>
                <w:rFonts w:ascii="Times New Roman" w:eastAsia="宋体" w:hAnsi="Times New Roman" w:cs="Times New Roman" w:hint="eastAsia"/>
                <w:color w:val="auto"/>
                <w:spacing w:val="-6"/>
                <w:sz w:val="24"/>
                <w:highlight w:val="none"/>
              </w:rPr>
              <w:t>的要求。</w:t>
            </w:r>
          </w:p>
          <w:p>
            <w:pPr>
              <w:pStyle w:val="a8"/>
              <w:spacing w:line="240" w:lineRule="auto"/>
              <w:jc w:val="center"/>
              <w:rPr>
                <w:rFonts w:ascii="Times New Roman" w:eastAsia="宋体" w:hAnsi="Times New Roman" w:cs="Times New Roman"/>
                <w:color w:val="auto"/>
                <w:highlight w:val="none"/>
              </w:rPr>
            </w:pPr>
            <w:r>
              <w:rPr>
                <w:rFonts w:ascii="Times New Roman" w:eastAsia="宋体" w:hAnsi="Times New Roman" w:cs="Times New Roman"/>
                <w:color w:val="auto"/>
                <w:highlight w:val="none"/>
              </w:rPr>
              <w:t>表2-3  本项目主体工程构筑物一览表</w:t>
            </w:r>
          </w:p>
          <w:tbl>
            <w:tblPr>
              <w:tblStyle w:val="TableNormal"/>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427"/>
              <w:gridCol w:w="1580"/>
              <w:gridCol w:w="965"/>
              <w:gridCol w:w="966"/>
              <w:gridCol w:w="627"/>
              <w:gridCol w:w="761"/>
              <w:gridCol w:w="1395"/>
              <w:gridCol w:w="1221"/>
            </w:tblGrid>
            <w:tr>
              <w:tblPrEx>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jc w:val="center"/>
              </w:trPr>
              <w:tc>
                <w:tcPr>
                  <w:tcW w:w="268" w:type="pct"/>
                  <w:vMerge w:val="restart"/>
                  <w:tcBorders>
                    <w:tl2br w:val="nil"/>
                    <w:tr2bl w:val="nil"/>
                  </w:tcBorders>
                  <w:vAlign w:val="center"/>
                </w:tcPr>
                <w:p>
                  <w:pPr>
                    <w:adjustRightInd w:val="0"/>
                    <w:snapToGrid w:val="0"/>
                    <w:jc w:val="center"/>
                    <w:rPr>
                      <w:b/>
                      <w:color w:val="auto"/>
                      <w:szCs w:val="21"/>
                      <w:highlight w:val="none"/>
                    </w:rPr>
                  </w:pPr>
                  <w:r>
                    <w:rPr>
                      <w:rFonts w:ascii="Times New Roman" w:eastAsia="宋体" w:hAnsi="Times New Roman" w:cs="Times New Roman"/>
                      <w:b/>
                      <w:color w:val="auto"/>
                      <w:szCs w:val="21"/>
                      <w:highlight w:val="none"/>
                    </w:rPr>
                    <w:t>序号</w:t>
                  </w:r>
                </w:p>
              </w:tc>
              <w:tc>
                <w:tcPr>
                  <w:tcW w:w="994" w:type="pct"/>
                  <w:vMerge w:val="restart"/>
                  <w:tcBorders>
                    <w:tl2br w:val="nil"/>
                    <w:tr2bl w:val="nil"/>
                  </w:tcBorders>
                  <w:vAlign w:val="center"/>
                </w:tcPr>
                <w:p>
                  <w:pPr>
                    <w:adjustRightInd w:val="0"/>
                    <w:snapToGrid w:val="0"/>
                    <w:jc w:val="center"/>
                    <w:rPr>
                      <w:b/>
                      <w:color w:val="auto"/>
                      <w:szCs w:val="21"/>
                      <w:highlight w:val="none"/>
                    </w:rPr>
                  </w:pPr>
                  <w:r>
                    <w:rPr>
                      <w:rFonts w:ascii="Times New Roman" w:eastAsia="宋体" w:hAnsi="Times New Roman" w:cs="Times New Roman"/>
                      <w:b/>
                      <w:color w:val="auto"/>
                      <w:szCs w:val="21"/>
                      <w:highlight w:val="none"/>
                    </w:rPr>
                    <w:t>建设名称</w:t>
                  </w:r>
                </w:p>
              </w:tc>
              <w:tc>
                <w:tcPr>
                  <w:tcW w:w="2089" w:type="pct"/>
                  <w:gridSpan w:val="4"/>
                  <w:tcBorders>
                    <w:tl2br w:val="nil"/>
                    <w:tr2bl w:val="nil"/>
                  </w:tcBorders>
                  <w:vAlign w:val="center"/>
                </w:tcPr>
                <w:p>
                  <w:pPr>
                    <w:adjustRightInd w:val="0"/>
                    <w:snapToGrid w:val="0"/>
                    <w:jc w:val="center"/>
                    <w:rPr>
                      <w:b/>
                      <w:color w:val="auto"/>
                      <w:szCs w:val="21"/>
                      <w:highlight w:val="none"/>
                    </w:rPr>
                  </w:pPr>
                  <w:r>
                    <w:rPr>
                      <w:rFonts w:ascii="Times New Roman" w:eastAsia="宋体" w:hAnsi="Times New Roman" w:cs="Times New Roman"/>
                      <w:b/>
                      <w:color w:val="auto"/>
                      <w:szCs w:val="21"/>
                      <w:highlight w:val="none"/>
                    </w:rPr>
                    <w:t>设计能力</w:t>
                  </w:r>
                </w:p>
              </w:tc>
              <w:tc>
                <w:tcPr>
                  <w:tcW w:w="878" w:type="pct"/>
                  <w:vMerge w:val="restart"/>
                  <w:tcBorders>
                    <w:tl2br w:val="nil"/>
                    <w:tr2bl w:val="nil"/>
                  </w:tcBorders>
                  <w:vAlign w:val="center"/>
                </w:tcPr>
                <w:p>
                  <w:pPr>
                    <w:adjustRightInd w:val="0"/>
                    <w:snapToGrid w:val="0"/>
                    <w:jc w:val="center"/>
                    <w:rPr>
                      <w:b/>
                      <w:color w:val="auto"/>
                      <w:szCs w:val="21"/>
                      <w:highlight w:val="none"/>
                    </w:rPr>
                  </w:pPr>
                  <w:r>
                    <w:rPr>
                      <w:rFonts w:ascii="Times New Roman" w:eastAsia="宋体" w:hAnsi="Times New Roman" w:cs="Times New Roman"/>
                      <w:b/>
                      <w:color w:val="auto"/>
                      <w:szCs w:val="21"/>
                      <w:highlight w:val="none"/>
                    </w:rPr>
                    <w:t>包含工序</w:t>
                  </w:r>
                </w:p>
              </w:tc>
              <w:tc>
                <w:tcPr>
                  <w:tcW w:w="769" w:type="pct"/>
                  <w:vMerge w:val="restart"/>
                  <w:tcBorders>
                    <w:tl2br w:val="nil"/>
                    <w:tr2bl w:val="nil"/>
                  </w:tcBorders>
                  <w:vAlign w:val="center"/>
                </w:tcPr>
                <w:p>
                  <w:pPr>
                    <w:adjustRightInd w:val="0"/>
                    <w:snapToGrid w:val="0"/>
                    <w:jc w:val="center"/>
                    <w:rPr>
                      <w:b/>
                      <w:color w:val="auto"/>
                      <w:szCs w:val="21"/>
                      <w:highlight w:val="none"/>
                    </w:rPr>
                  </w:pPr>
                  <w:r>
                    <w:rPr>
                      <w:rFonts w:ascii="Times New Roman" w:eastAsia="宋体" w:hAnsi="Times New Roman" w:cs="Times New Roman" w:hint="eastAsia"/>
                      <w:b/>
                      <w:color w:val="auto"/>
                      <w:szCs w:val="21"/>
                      <w:highlight w:val="none"/>
                    </w:rPr>
                    <w:t>备注</w:t>
                  </w:r>
                </w:p>
              </w:tc>
            </w:tr>
            <w:tr>
              <w:tblPrEx>
                <w:tblW w:w="4998" w:type="pct"/>
                <w:jc w:val="center"/>
                <w:tblLayout w:type="fixed"/>
                <w:tblCellMar>
                  <w:top w:w="0" w:type="dxa"/>
                  <w:left w:w="108" w:type="dxa"/>
                  <w:bottom w:w="0" w:type="dxa"/>
                  <w:right w:w="108" w:type="dxa"/>
                </w:tblCellMar>
              </w:tblPrEx>
              <w:trPr>
                <w:trHeight w:val="283"/>
                <w:jc w:val="center"/>
              </w:trPr>
              <w:tc>
                <w:tcPr>
                  <w:tcW w:w="268" w:type="pct"/>
                  <w:vMerge/>
                  <w:tcBorders>
                    <w:tl2br w:val="nil"/>
                    <w:tr2bl w:val="nil"/>
                  </w:tcBorders>
                  <w:vAlign w:val="center"/>
                </w:tcPr>
                <w:p>
                  <w:pPr>
                    <w:adjustRightInd w:val="0"/>
                    <w:snapToGrid w:val="0"/>
                    <w:jc w:val="center"/>
                    <w:rPr>
                      <w:b/>
                      <w:color w:val="auto"/>
                      <w:szCs w:val="21"/>
                      <w:highlight w:val="none"/>
                    </w:rPr>
                  </w:pPr>
                </w:p>
              </w:tc>
              <w:tc>
                <w:tcPr>
                  <w:tcW w:w="994" w:type="pct"/>
                  <w:vMerge/>
                  <w:tcBorders>
                    <w:tl2br w:val="nil"/>
                    <w:tr2bl w:val="nil"/>
                  </w:tcBorders>
                  <w:vAlign w:val="center"/>
                </w:tcPr>
                <w:p>
                  <w:pPr>
                    <w:adjustRightInd w:val="0"/>
                    <w:snapToGrid w:val="0"/>
                    <w:jc w:val="center"/>
                    <w:rPr>
                      <w:b/>
                      <w:color w:val="auto"/>
                      <w:szCs w:val="21"/>
                      <w:highlight w:val="none"/>
                    </w:rPr>
                  </w:pPr>
                </w:p>
              </w:tc>
              <w:tc>
                <w:tcPr>
                  <w:tcW w:w="607" w:type="pct"/>
                  <w:tcBorders>
                    <w:tl2br w:val="nil"/>
                    <w:tr2bl w:val="nil"/>
                  </w:tcBorders>
                  <w:vAlign w:val="center"/>
                </w:tcPr>
                <w:p>
                  <w:pPr>
                    <w:jc w:val="center"/>
                    <w:rPr>
                      <w:rFonts w:hint="eastAsia"/>
                      <w:b/>
                      <w:bCs/>
                      <w:color w:val="auto"/>
                      <w:szCs w:val="21"/>
                      <w:highlight w:val="none"/>
                    </w:rPr>
                  </w:pPr>
                  <w:r>
                    <w:rPr>
                      <w:rFonts w:ascii="Times New Roman" w:eastAsia="宋体" w:hAnsi="Times New Roman" w:cs="Times New Roman"/>
                      <w:b/>
                      <w:bCs/>
                      <w:color w:val="auto"/>
                      <w:szCs w:val="21"/>
                      <w:highlight w:val="none"/>
                    </w:rPr>
                    <w:t>占地面积</w:t>
                  </w:r>
                  <w:r>
                    <w:rPr>
                      <w:rFonts w:ascii="Times New Roman" w:eastAsia="宋体" w:hAnsi="Times New Roman" w:cs="Times New Roman" w:hint="eastAsia"/>
                      <w:b/>
                      <w:bCs/>
                      <w:color w:val="auto"/>
                      <w:szCs w:val="21"/>
                      <w:highlight w:val="none"/>
                      <w:lang w:eastAsia="zh-CN"/>
                    </w:rPr>
                    <w:t>（</w:t>
                  </w:r>
                  <w:r>
                    <w:rPr>
                      <w:rFonts w:ascii="Times New Roman" w:eastAsia="宋体" w:hAnsi="Times New Roman" w:cs="Times New Roman"/>
                      <w:b/>
                      <w:bCs/>
                      <w:color w:val="auto"/>
                      <w:szCs w:val="21"/>
                      <w:highlight w:val="none"/>
                    </w:rPr>
                    <w:t>m</w:t>
                  </w:r>
                  <w:r>
                    <w:rPr>
                      <w:rFonts w:ascii="Times New Roman" w:eastAsia="宋体" w:hAnsi="Times New Roman" w:cs="Times New Roman"/>
                      <w:b/>
                      <w:bCs/>
                      <w:color w:val="auto"/>
                      <w:szCs w:val="21"/>
                      <w:highlight w:val="none"/>
                      <w:vertAlign w:val="superscript"/>
                    </w:rPr>
                    <w:t>2</w:t>
                  </w:r>
                  <w:r>
                    <w:rPr>
                      <w:rFonts w:ascii="Times New Roman" w:eastAsia="宋体" w:hAnsi="Times New Roman" w:cs="Times New Roman" w:hint="eastAsia"/>
                      <w:b/>
                      <w:bCs/>
                      <w:color w:val="auto"/>
                      <w:szCs w:val="21"/>
                      <w:highlight w:val="none"/>
                      <w:lang w:eastAsia="zh-CN"/>
                    </w:rPr>
                    <w:t>）</w:t>
                  </w:r>
                </w:p>
              </w:tc>
              <w:tc>
                <w:tcPr>
                  <w:tcW w:w="608" w:type="pct"/>
                  <w:tcBorders>
                    <w:tl2br w:val="nil"/>
                    <w:tr2bl w:val="nil"/>
                  </w:tcBorders>
                  <w:vAlign w:val="center"/>
                </w:tcPr>
                <w:p>
                  <w:pPr>
                    <w:jc w:val="center"/>
                    <w:rPr>
                      <w:rFonts w:hint="eastAsia"/>
                      <w:b/>
                      <w:bCs/>
                      <w:color w:val="auto"/>
                      <w:szCs w:val="21"/>
                      <w:highlight w:val="none"/>
                    </w:rPr>
                  </w:pPr>
                  <w:r>
                    <w:rPr>
                      <w:rFonts w:ascii="Times New Roman" w:eastAsia="宋体" w:hAnsi="Times New Roman" w:cs="Times New Roman"/>
                      <w:b/>
                      <w:bCs/>
                      <w:color w:val="auto"/>
                      <w:szCs w:val="21"/>
                      <w:highlight w:val="none"/>
                    </w:rPr>
                    <w:t>建筑面积</w:t>
                  </w:r>
                  <w:r>
                    <w:rPr>
                      <w:rFonts w:ascii="Times New Roman" w:eastAsia="宋体" w:hAnsi="Times New Roman" w:cs="Times New Roman" w:hint="eastAsia"/>
                      <w:b/>
                      <w:bCs/>
                      <w:color w:val="auto"/>
                      <w:szCs w:val="21"/>
                      <w:highlight w:val="none"/>
                      <w:lang w:eastAsia="zh-CN"/>
                    </w:rPr>
                    <w:t>（</w:t>
                  </w:r>
                  <w:r>
                    <w:rPr>
                      <w:rFonts w:ascii="Times New Roman" w:eastAsia="宋体" w:hAnsi="Times New Roman" w:cs="Times New Roman"/>
                      <w:b/>
                      <w:bCs/>
                      <w:color w:val="auto"/>
                      <w:szCs w:val="21"/>
                      <w:highlight w:val="none"/>
                    </w:rPr>
                    <w:t>m</w:t>
                  </w:r>
                  <w:r>
                    <w:rPr>
                      <w:rFonts w:ascii="Times New Roman" w:eastAsia="宋体" w:hAnsi="Times New Roman" w:cs="Times New Roman"/>
                      <w:b/>
                      <w:bCs/>
                      <w:color w:val="auto"/>
                      <w:szCs w:val="21"/>
                      <w:highlight w:val="none"/>
                      <w:vertAlign w:val="superscript"/>
                    </w:rPr>
                    <w:t>2</w:t>
                  </w:r>
                  <w:r>
                    <w:rPr>
                      <w:rFonts w:ascii="Times New Roman" w:eastAsia="宋体" w:hAnsi="Times New Roman" w:cs="Times New Roman" w:hint="eastAsia"/>
                      <w:b/>
                      <w:bCs/>
                      <w:color w:val="auto"/>
                      <w:szCs w:val="21"/>
                      <w:highlight w:val="none"/>
                      <w:lang w:eastAsia="zh-CN"/>
                    </w:rPr>
                    <w:t>）</w:t>
                  </w:r>
                </w:p>
              </w:tc>
              <w:tc>
                <w:tcPr>
                  <w:tcW w:w="395"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层数</w:t>
                  </w:r>
                </w:p>
              </w:tc>
              <w:tc>
                <w:tcPr>
                  <w:tcW w:w="478" w:type="pct"/>
                  <w:tcBorders>
                    <w:tl2br w:val="nil"/>
                    <w:tr2bl w:val="nil"/>
                  </w:tcBorders>
                  <w:vAlign w:val="center"/>
                </w:tcPr>
                <w:p>
                  <w:pPr>
                    <w:adjustRightInd w:val="0"/>
                    <w:snapToGrid w:val="0"/>
                    <w:jc w:val="center"/>
                    <w:rPr>
                      <w:rFonts w:hint="eastAsia"/>
                      <w:b/>
                      <w:color w:val="auto"/>
                      <w:szCs w:val="21"/>
                      <w:highlight w:val="none"/>
                    </w:rPr>
                  </w:pPr>
                  <w:r>
                    <w:rPr>
                      <w:rFonts w:ascii="Times New Roman" w:eastAsia="宋体" w:hAnsi="Times New Roman" w:cs="Times New Roman"/>
                      <w:b/>
                      <w:color w:val="auto"/>
                      <w:szCs w:val="21"/>
                      <w:highlight w:val="none"/>
                    </w:rPr>
                    <w:t>层高</w:t>
                  </w:r>
                  <w:r>
                    <w:rPr>
                      <w:rFonts w:ascii="Times New Roman" w:eastAsia="宋体" w:hAnsi="Times New Roman" w:cs="Times New Roman" w:hint="eastAsia"/>
                      <w:b/>
                      <w:color w:val="auto"/>
                      <w:szCs w:val="21"/>
                      <w:highlight w:val="none"/>
                      <w:lang w:eastAsia="zh-CN"/>
                    </w:rPr>
                    <w:t>（</w:t>
                  </w:r>
                  <w:r>
                    <w:rPr>
                      <w:rFonts w:ascii="Times New Roman" w:eastAsia="宋体" w:hAnsi="Times New Roman" w:cs="Times New Roman"/>
                      <w:b/>
                      <w:color w:val="auto"/>
                      <w:szCs w:val="21"/>
                      <w:highlight w:val="none"/>
                    </w:rPr>
                    <w:t>m</w:t>
                  </w:r>
                  <w:r>
                    <w:rPr>
                      <w:rFonts w:ascii="Times New Roman" w:eastAsia="宋体" w:hAnsi="Times New Roman" w:cs="Times New Roman" w:hint="eastAsia"/>
                      <w:b/>
                      <w:color w:val="auto"/>
                      <w:szCs w:val="21"/>
                      <w:highlight w:val="none"/>
                      <w:lang w:eastAsia="zh-CN"/>
                    </w:rPr>
                    <w:t>）</w:t>
                  </w:r>
                </w:p>
              </w:tc>
              <w:tc>
                <w:tcPr>
                  <w:tcW w:w="878" w:type="pct"/>
                  <w:vMerge/>
                  <w:tcBorders>
                    <w:tl2br w:val="nil"/>
                    <w:tr2bl w:val="nil"/>
                  </w:tcBorders>
                  <w:vAlign w:val="center"/>
                </w:tcPr>
                <w:p>
                  <w:pPr>
                    <w:adjustRightInd w:val="0"/>
                    <w:snapToGrid w:val="0"/>
                    <w:jc w:val="center"/>
                    <w:rPr>
                      <w:b/>
                      <w:color w:val="auto"/>
                      <w:szCs w:val="21"/>
                      <w:highlight w:val="none"/>
                    </w:rPr>
                  </w:pPr>
                </w:p>
              </w:tc>
              <w:tc>
                <w:tcPr>
                  <w:tcW w:w="769" w:type="pct"/>
                  <w:vMerge/>
                  <w:tcBorders>
                    <w:tl2br w:val="nil"/>
                    <w:tr2bl w:val="nil"/>
                  </w:tcBorders>
                  <w:vAlign w:val="center"/>
                </w:tcPr>
                <w:p>
                  <w:pPr>
                    <w:adjustRightInd w:val="0"/>
                    <w:snapToGrid w:val="0"/>
                    <w:jc w:val="center"/>
                    <w:rPr>
                      <w:b/>
                      <w:color w:val="auto"/>
                      <w:szCs w:val="21"/>
                      <w:highlight w:val="none"/>
                    </w:rPr>
                  </w:pPr>
                </w:p>
              </w:tc>
            </w:tr>
            <w:tr>
              <w:tblPrEx>
                <w:tblW w:w="4998" w:type="pct"/>
                <w:jc w:val="center"/>
                <w:tblLayout w:type="fixed"/>
                <w:tblCellMar>
                  <w:top w:w="0" w:type="dxa"/>
                  <w:left w:w="108" w:type="dxa"/>
                  <w:bottom w:w="0" w:type="dxa"/>
                  <w:right w:w="108" w:type="dxa"/>
                </w:tblCellMar>
              </w:tblPrEx>
              <w:trPr>
                <w:cantSplit/>
                <w:trHeight w:val="283"/>
                <w:jc w:val="center"/>
              </w:trPr>
              <w:tc>
                <w:tcPr>
                  <w:tcW w:w="268"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1</w:t>
                  </w:r>
                </w:p>
              </w:tc>
              <w:tc>
                <w:tcPr>
                  <w:tcW w:w="994"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检验打包车间</w:t>
                  </w:r>
                </w:p>
              </w:tc>
              <w:tc>
                <w:tcPr>
                  <w:tcW w:w="607"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color w:val="auto"/>
                      <w:szCs w:val="21"/>
                      <w:highlight w:val="none"/>
                    </w:rPr>
                    <w:t>4500</w:t>
                  </w:r>
                </w:p>
              </w:tc>
              <w:tc>
                <w:tcPr>
                  <w:tcW w:w="608" w:type="pct"/>
                  <w:tcBorders>
                    <w:tl2br w:val="nil"/>
                    <w:tr2bl w:val="nil"/>
                  </w:tcBorders>
                  <w:vAlign w:val="center"/>
                </w:tcPr>
                <w:p>
                  <w:pPr>
                    <w:adjustRightInd w:val="0"/>
                    <w:snapToGrid w:val="0"/>
                    <w:jc w:val="center"/>
                    <w:rPr>
                      <w:bCs/>
                      <w:color w:val="auto"/>
                      <w:szCs w:val="21"/>
                      <w:highlight w:val="none"/>
                      <w:vertAlign w:val="superscript"/>
                    </w:rPr>
                  </w:pPr>
                  <w:r>
                    <w:rPr>
                      <w:rFonts w:ascii="Times New Roman" w:eastAsia="宋体" w:hAnsi="Times New Roman" w:cs="Times New Roman" w:hint="eastAsia"/>
                      <w:color w:val="auto"/>
                      <w:szCs w:val="21"/>
                      <w:highlight w:val="none"/>
                    </w:rPr>
                    <w:t>4500</w:t>
                  </w:r>
                </w:p>
              </w:tc>
              <w:tc>
                <w:tcPr>
                  <w:tcW w:w="395"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bCs/>
                      <w:color w:val="auto"/>
                      <w:szCs w:val="21"/>
                      <w:highlight w:val="none"/>
                    </w:rPr>
                    <w:t>1F</w:t>
                  </w:r>
                </w:p>
              </w:tc>
              <w:tc>
                <w:tcPr>
                  <w:tcW w:w="478"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8</w:t>
                  </w:r>
                </w:p>
              </w:tc>
              <w:tc>
                <w:tcPr>
                  <w:tcW w:w="878"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检验、打包</w:t>
                  </w:r>
                </w:p>
              </w:tc>
              <w:tc>
                <w:tcPr>
                  <w:tcW w:w="769" w:type="pct"/>
                  <w:vMerge w:val="restar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租赁现有车间</w:t>
                  </w:r>
                  <w:r>
                    <w:rPr>
                      <w:rFonts w:ascii="Times New Roman" w:eastAsia="宋体" w:hAnsi="Times New Roman" w:cs="Times New Roman" w:hint="eastAsia"/>
                      <w:bCs/>
                      <w:color w:val="auto"/>
                      <w:szCs w:val="21"/>
                      <w:highlight w:val="none"/>
                      <w:lang w:eastAsia="zh-CN"/>
                    </w:rPr>
                    <w:t>并进行适应性改造</w:t>
                  </w:r>
                </w:p>
              </w:tc>
            </w:tr>
            <w:tr>
              <w:tblPrEx>
                <w:tblW w:w="4998" w:type="pct"/>
                <w:jc w:val="center"/>
                <w:tblLayout w:type="fixed"/>
                <w:tblCellMar>
                  <w:top w:w="0" w:type="dxa"/>
                  <w:left w:w="108" w:type="dxa"/>
                  <w:bottom w:w="0" w:type="dxa"/>
                  <w:right w:w="108" w:type="dxa"/>
                </w:tblCellMar>
              </w:tblPrEx>
              <w:trPr>
                <w:cantSplit/>
                <w:trHeight w:val="283"/>
                <w:jc w:val="center"/>
              </w:trPr>
              <w:tc>
                <w:tcPr>
                  <w:tcW w:w="268"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2</w:t>
                  </w:r>
                </w:p>
              </w:tc>
              <w:tc>
                <w:tcPr>
                  <w:tcW w:w="994"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1#</w:t>
                  </w:r>
                  <w:r>
                    <w:rPr>
                      <w:rFonts w:ascii="Times New Roman" w:eastAsia="宋体" w:hAnsi="Times New Roman" w:cs="Times New Roman" w:hint="eastAsia"/>
                      <w:color w:val="auto"/>
                      <w:szCs w:val="21"/>
                      <w:highlight w:val="none"/>
                    </w:rPr>
                    <w:t>织布</w:t>
                  </w:r>
                  <w:r>
                    <w:rPr>
                      <w:rFonts w:ascii="Times New Roman" w:eastAsia="宋体" w:hAnsi="Times New Roman" w:cs="Times New Roman"/>
                      <w:color w:val="auto"/>
                      <w:szCs w:val="21"/>
                      <w:highlight w:val="none"/>
                    </w:rPr>
                    <w:t>车间</w:t>
                  </w:r>
                </w:p>
              </w:tc>
              <w:tc>
                <w:tcPr>
                  <w:tcW w:w="607"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1100</w:t>
                  </w:r>
                </w:p>
              </w:tc>
              <w:tc>
                <w:tcPr>
                  <w:tcW w:w="608"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1100</w:t>
                  </w:r>
                </w:p>
              </w:tc>
              <w:tc>
                <w:tcPr>
                  <w:tcW w:w="395"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bCs/>
                      <w:color w:val="auto"/>
                      <w:szCs w:val="21"/>
                      <w:highlight w:val="none"/>
                    </w:rPr>
                    <w:t>1F</w:t>
                  </w:r>
                </w:p>
              </w:tc>
              <w:tc>
                <w:tcPr>
                  <w:tcW w:w="478"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8</w:t>
                  </w:r>
                </w:p>
              </w:tc>
              <w:tc>
                <w:tcPr>
                  <w:tcW w:w="878"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织布</w:t>
                  </w:r>
                </w:p>
              </w:tc>
              <w:tc>
                <w:tcPr>
                  <w:tcW w:w="769" w:type="pct"/>
                  <w:vMerge/>
                  <w:tcBorders>
                    <w:tl2br w:val="nil"/>
                    <w:tr2bl w:val="nil"/>
                  </w:tcBorders>
                  <w:vAlign w:val="center"/>
                </w:tcPr>
                <w:p>
                  <w:pPr>
                    <w:adjustRightInd w:val="0"/>
                    <w:snapToGrid w:val="0"/>
                    <w:jc w:val="center"/>
                    <w:rPr>
                      <w:bCs/>
                      <w:color w:val="auto"/>
                      <w:szCs w:val="21"/>
                      <w:highlight w:val="none"/>
                    </w:rPr>
                  </w:pPr>
                </w:p>
              </w:tc>
            </w:tr>
            <w:tr>
              <w:tblPrEx>
                <w:tblW w:w="4998" w:type="pct"/>
                <w:jc w:val="center"/>
                <w:tblLayout w:type="fixed"/>
                <w:tblCellMar>
                  <w:top w:w="0" w:type="dxa"/>
                  <w:left w:w="108" w:type="dxa"/>
                  <w:bottom w:w="0" w:type="dxa"/>
                  <w:right w:w="108" w:type="dxa"/>
                </w:tblCellMar>
              </w:tblPrEx>
              <w:trPr>
                <w:cantSplit/>
                <w:trHeight w:val="283"/>
                <w:jc w:val="center"/>
              </w:trPr>
              <w:tc>
                <w:tcPr>
                  <w:tcW w:w="268"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3</w:t>
                  </w:r>
                </w:p>
              </w:tc>
              <w:tc>
                <w:tcPr>
                  <w:tcW w:w="994"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lang w:val="en-US" w:eastAsia="zh-CN"/>
                    </w:rPr>
                    <w:t>2</w:t>
                  </w:r>
                  <w:r>
                    <w:rPr>
                      <w:rFonts w:ascii="Times New Roman" w:eastAsia="宋体" w:hAnsi="Times New Roman" w:cs="Times New Roman" w:hint="eastAsia"/>
                      <w:color w:val="auto"/>
                      <w:szCs w:val="21"/>
                      <w:highlight w:val="none"/>
                    </w:rPr>
                    <w:t>#整经车间</w:t>
                  </w:r>
                </w:p>
              </w:tc>
              <w:tc>
                <w:tcPr>
                  <w:tcW w:w="607"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432</w:t>
                  </w:r>
                </w:p>
              </w:tc>
              <w:tc>
                <w:tcPr>
                  <w:tcW w:w="608"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432</w:t>
                  </w:r>
                </w:p>
              </w:tc>
              <w:tc>
                <w:tcPr>
                  <w:tcW w:w="395"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bCs/>
                      <w:color w:val="auto"/>
                      <w:szCs w:val="21"/>
                      <w:highlight w:val="none"/>
                    </w:rPr>
                    <w:t>1F</w:t>
                  </w:r>
                </w:p>
              </w:tc>
              <w:tc>
                <w:tcPr>
                  <w:tcW w:w="478"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6</w:t>
                  </w:r>
                </w:p>
              </w:tc>
              <w:tc>
                <w:tcPr>
                  <w:tcW w:w="878"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整经</w:t>
                  </w:r>
                </w:p>
              </w:tc>
              <w:tc>
                <w:tcPr>
                  <w:tcW w:w="769" w:type="pct"/>
                  <w:vMerge/>
                  <w:tcBorders>
                    <w:tl2br w:val="nil"/>
                    <w:tr2bl w:val="nil"/>
                  </w:tcBorders>
                  <w:vAlign w:val="center"/>
                </w:tcPr>
                <w:p>
                  <w:pPr>
                    <w:adjustRightInd w:val="0"/>
                    <w:snapToGrid w:val="0"/>
                    <w:jc w:val="center"/>
                    <w:rPr>
                      <w:bCs/>
                      <w:color w:val="auto"/>
                      <w:szCs w:val="21"/>
                      <w:highlight w:val="none"/>
                    </w:rPr>
                  </w:pPr>
                </w:p>
              </w:tc>
            </w:tr>
            <w:tr>
              <w:tblPrEx>
                <w:tblW w:w="4998" w:type="pct"/>
                <w:jc w:val="center"/>
                <w:tblLayout w:type="fixed"/>
                <w:tblCellMar>
                  <w:top w:w="0" w:type="dxa"/>
                  <w:left w:w="108" w:type="dxa"/>
                  <w:bottom w:w="0" w:type="dxa"/>
                  <w:right w:w="108" w:type="dxa"/>
                </w:tblCellMar>
              </w:tblPrEx>
              <w:trPr>
                <w:cantSplit/>
                <w:trHeight w:val="283"/>
                <w:jc w:val="center"/>
              </w:trPr>
              <w:tc>
                <w:tcPr>
                  <w:tcW w:w="268"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4</w:t>
                  </w:r>
                </w:p>
              </w:tc>
              <w:tc>
                <w:tcPr>
                  <w:tcW w:w="994"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lang w:val="en-US" w:eastAsia="zh-CN"/>
                    </w:rPr>
                    <w:t>3</w:t>
                  </w:r>
                  <w:r>
                    <w:rPr>
                      <w:rFonts w:ascii="Times New Roman" w:eastAsia="宋体" w:hAnsi="Times New Roman" w:cs="Times New Roman" w:hint="eastAsia"/>
                      <w:color w:val="auto"/>
                      <w:szCs w:val="21"/>
                      <w:highlight w:val="none"/>
                    </w:rPr>
                    <w:t>#织布车间</w:t>
                  </w:r>
                </w:p>
              </w:tc>
              <w:tc>
                <w:tcPr>
                  <w:tcW w:w="607"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lang w:val="en-US" w:eastAsia="zh-CN"/>
                    </w:rPr>
                    <w:t>4050</w:t>
                  </w:r>
                </w:p>
              </w:tc>
              <w:tc>
                <w:tcPr>
                  <w:tcW w:w="608"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lang w:val="en-US" w:eastAsia="zh-CN"/>
                    </w:rPr>
                    <w:t>12210</w:t>
                  </w:r>
                </w:p>
              </w:tc>
              <w:tc>
                <w:tcPr>
                  <w:tcW w:w="395"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3F</w:t>
                  </w:r>
                </w:p>
              </w:tc>
              <w:tc>
                <w:tcPr>
                  <w:tcW w:w="478"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10</w:t>
                  </w:r>
                </w:p>
              </w:tc>
              <w:tc>
                <w:tcPr>
                  <w:tcW w:w="878" w:type="pct"/>
                  <w:tcBorders>
                    <w:tl2br w:val="nil"/>
                    <w:tr2bl w:val="nil"/>
                  </w:tcBorders>
                  <w:vAlign w:val="center"/>
                </w:tcPr>
                <w:p>
                  <w:pPr>
                    <w:adjustRightInd w:val="0"/>
                    <w:snapToGrid w:val="0"/>
                    <w:jc w:val="center"/>
                    <w:rPr>
                      <w:bCs/>
                      <w:color w:val="auto"/>
                      <w:szCs w:val="21"/>
                      <w:highlight w:val="none"/>
                    </w:rPr>
                  </w:pPr>
                  <w:r>
                    <w:rPr>
                      <w:rFonts w:ascii="Times New Roman" w:eastAsia="宋体" w:hAnsi="Times New Roman" w:cs="Times New Roman" w:hint="eastAsia"/>
                      <w:bCs/>
                      <w:color w:val="auto"/>
                      <w:szCs w:val="21"/>
                      <w:highlight w:val="none"/>
                    </w:rPr>
                    <w:t>1F织布；2F加弹整经；3F打包、检验</w:t>
                  </w:r>
                </w:p>
              </w:tc>
              <w:tc>
                <w:tcPr>
                  <w:tcW w:w="769" w:type="pct"/>
                  <w:tcBorders>
                    <w:tl2br w:val="nil"/>
                    <w:tr2bl w:val="nil"/>
                  </w:tcBorders>
                  <w:vAlign w:val="center"/>
                </w:tcPr>
                <w:p>
                  <w:pPr>
                    <w:adjustRightInd w:val="0"/>
                    <w:snapToGrid w:val="0"/>
                    <w:jc w:val="center"/>
                    <w:rPr>
                      <w:rFonts w:hint="eastAsia"/>
                      <w:bCs/>
                      <w:color w:val="auto"/>
                      <w:szCs w:val="21"/>
                      <w:highlight w:val="none"/>
                    </w:rPr>
                  </w:pPr>
                  <w:r>
                    <w:rPr>
                      <w:rFonts w:ascii="Times New Roman" w:eastAsia="宋体" w:hAnsi="Times New Roman" w:cs="Times New Roman" w:hint="eastAsia"/>
                      <w:bCs/>
                      <w:color w:val="auto"/>
                      <w:szCs w:val="21"/>
                      <w:highlight w:val="none"/>
                    </w:rPr>
                    <w:t>新建车间</w:t>
                  </w:r>
                  <w:r>
                    <w:rPr>
                      <w:rFonts w:ascii="Times New Roman" w:eastAsia="宋体" w:hAnsi="Times New Roman" w:cs="Times New Roman" w:hint="eastAsia"/>
                      <w:color w:val="auto"/>
                      <w:lang w:eastAsia="zh-CN"/>
                    </w:rPr>
                    <w:t>，</w:t>
                  </w:r>
                  <w:r>
                    <w:rPr>
                      <w:rFonts w:ascii="Times New Roman" w:eastAsia="宋体" w:hAnsi="Times New Roman" w:cs="Times New Roman" w:hint="eastAsia"/>
                      <w:bCs/>
                      <w:color w:val="auto"/>
                      <w:szCs w:val="21"/>
                      <w:highlight w:val="none"/>
                      <w:lang w:eastAsia="zh-CN"/>
                    </w:rPr>
                    <w:t>目前尚未建设</w:t>
                  </w:r>
                </w:p>
              </w:tc>
            </w:tr>
          </w:tbl>
          <w:p>
            <w:pPr>
              <w:snapToGrid w:val="0"/>
              <w:spacing w:line="360" w:lineRule="auto"/>
              <w:rPr>
                <w:b/>
                <w:color w:val="auto"/>
                <w:sz w:val="24"/>
                <w:highlight w:val="none"/>
              </w:rPr>
            </w:pPr>
            <w:r>
              <w:rPr>
                <w:rFonts w:ascii="Times New Roman" w:eastAsia="宋体" w:hAnsi="Times New Roman" w:cs="Times New Roman"/>
                <w:b/>
                <w:color w:val="auto"/>
                <w:sz w:val="24"/>
                <w:highlight w:val="none"/>
              </w:rPr>
              <w:t>2.2.2 公用及辅助工程</w:t>
            </w:r>
          </w:p>
          <w:p>
            <w:pPr>
              <w:snapToGrid w:val="0"/>
              <w:spacing w:line="360" w:lineRule="auto"/>
              <w:ind w:firstLine="480" w:firstLineChars="200"/>
              <w:rPr>
                <w:b/>
                <w:color w:val="auto"/>
                <w:sz w:val="24"/>
                <w:highlight w:val="none"/>
              </w:rPr>
            </w:pPr>
            <w:r>
              <w:rPr>
                <w:rFonts w:ascii="Times New Roman" w:eastAsia="宋体" w:hAnsi="Times New Roman" w:cs="Times New Roman"/>
                <w:bCs/>
                <w:color w:val="auto"/>
                <w:sz w:val="24"/>
                <w:highlight w:val="none"/>
              </w:rPr>
              <w:t>本项目公用及辅助工程情况见表2-4。</w:t>
            </w:r>
          </w:p>
          <w:p>
            <w:pPr>
              <w:adjustRightInd w:val="0"/>
              <w:snapToGrid w:val="0"/>
              <w:jc w:val="center"/>
              <w:textAlignment w:val="baseline"/>
              <w:rPr>
                <w:b/>
                <w:color w:val="auto"/>
                <w:sz w:val="24"/>
                <w:highlight w:val="none"/>
              </w:rPr>
            </w:pPr>
            <w:r>
              <w:rPr>
                <w:rFonts w:ascii="Times New Roman" w:eastAsia="宋体" w:hAnsi="Times New Roman" w:cs="Times New Roman"/>
                <w:b/>
                <w:color w:val="auto"/>
                <w:sz w:val="24"/>
                <w:highlight w:val="none"/>
              </w:rPr>
              <w:t>表2-4  本项目公用及辅助工程情况表</w:t>
            </w:r>
          </w:p>
          <w:tbl>
            <w:tblPr>
              <w:tblStyle w:val="TableNormal"/>
              <w:tblW w:w="4996"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1160"/>
              <w:gridCol w:w="1244"/>
              <w:gridCol w:w="999"/>
              <w:gridCol w:w="1003"/>
              <w:gridCol w:w="3533"/>
            </w:tblGrid>
            <w:tr>
              <w:tblPrEx>
                <w:tblW w:w="4996"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283"/>
                <w:jc w:val="center"/>
              </w:trPr>
              <w:tc>
                <w:tcPr>
                  <w:tcW w:w="730"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b/>
                      <w:bCs/>
                      <w:color w:val="auto"/>
                      <w:szCs w:val="21"/>
                      <w:highlight w:val="none"/>
                    </w:rPr>
                  </w:pPr>
                  <w:r>
                    <w:rPr>
                      <w:rFonts w:ascii="Times New Roman" w:eastAsia="宋体" w:hAnsi="Times New Roman" w:cs="Times New Roman"/>
                      <w:b/>
                      <w:bCs/>
                      <w:color w:val="auto"/>
                      <w:szCs w:val="21"/>
                      <w:highlight w:val="none"/>
                    </w:rPr>
                    <w:t>工程名称</w:t>
                  </w: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b/>
                      <w:bCs/>
                      <w:color w:val="auto"/>
                      <w:szCs w:val="21"/>
                      <w:highlight w:val="none"/>
                    </w:rPr>
                  </w:pPr>
                  <w:r>
                    <w:rPr>
                      <w:rFonts w:ascii="Times New Roman" w:eastAsia="宋体" w:hAnsi="Times New Roman" w:cs="Times New Roman"/>
                      <w:b/>
                      <w:bCs/>
                      <w:color w:val="auto"/>
                      <w:szCs w:val="21"/>
                      <w:highlight w:val="none"/>
                    </w:rPr>
                    <w:t>建设名称</w:t>
                  </w:r>
                </w:p>
              </w:tc>
              <w:tc>
                <w:tcPr>
                  <w:tcW w:w="1261" w:type="pct"/>
                  <w:gridSpan w:val="2"/>
                  <w:tcBorders>
                    <w:tl2br w:val="nil"/>
                    <w:tr2bl w:val="nil"/>
                  </w:tcBorders>
                  <w:vAlign w:val="center"/>
                </w:tcPr>
                <w:p>
                  <w:pPr>
                    <w:pStyle w:val="a12"/>
                    <w:widowControl/>
                    <w:adjustRightInd w:val="0"/>
                    <w:snapToGrid w:val="0"/>
                    <w:textAlignment w:val="baseline"/>
                    <w:rPr>
                      <w:rFonts w:ascii="Times New Roman" w:eastAsia="宋体" w:hAnsi="Times New Roman" w:cs="Times New Roman"/>
                      <w:b/>
                      <w:bCs/>
                      <w:color w:val="auto"/>
                      <w:szCs w:val="21"/>
                      <w:highlight w:val="none"/>
                    </w:rPr>
                  </w:pPr>
                  <w:r>
                    <w:rPr>
                      <w:rFonts w:ascii="Times New Roman" w:eastAsia="宋体" w:hAnsi="Times New Roman" w:cs="Times New Roman"/>
                      <w:b/>
                      <w:bCs/>
                      <w:color w:val="auto"/>
                      <w:szCs w:val="21"/>
                      <w:highlight w:val="none"/>
                    </w:rPr>
                    <w:t>设计能力</w:t>
                  </w:r>
                </w:p>
              </w:tc>
              <w:tc>
                <w:tcPr>
                  <w:tcW w:w="2225"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b/>
                      <w:bCs/>
                      <w:color w:val="auto"/>
                      <w:szCs w:val="21"/>
                      <w:highlight w:val="none"/>
                    </w:rPr>
                  </w:pPr>
                  <w:r>
                    <w:rPr>
                      <w:rFonts w:ascii="Times New Roman" w:eastAsia="宋体" w:hAnsi="Times New Roman" w:cs="Times New Roman"/>
                      <w:b/>
                      <w:bCs/>
                      <w:color w:val="auto"/>
                      <w:szCs w:val="21"/>
                      <w:highlight w:val="none"/>
                    </w:rPr>
                    <w:t>备注</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val="restar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公用工程</w:t>
                  </w: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给水</w:t>
                  </w:r>
                </w:p>
              </w:tc>
              <w:tc>
                <w:tcPr>
                  <w:tcW w:w="1261" w:type="pct"/>
                  <w:gridSpan w:val="2"/>
                  <w:tcBorders>
                    <w:tl2br w:val="nil"/>
                    <w:tr2bl w:val="nil"/>
                  </w:tcBorders>
                  <w:vAlign w:val="center"/>
                </w:tcPr>
                <w:p>
                  <w:pPr>
                    <w:widowControl/>
                    <w:jc w:val="center"/>
                    <w:rPr>
                      <w:color w:val="auto"/>
                      <w:szCs w:val="21"/>
                      <w:highlight w:val="none"/>
                    </w:rPr>
                  </w:pPr>
                  <w:r>
                    <w:rPr>
                      <w:rFonts w:ascii="Times New Roman" w:eastAsia="宋体" w:hAnsi="Times New Roman" w:cs="Times New Roman" w:hint="eastAsia"/>
                      <w:color w:val="auto"/>
                      <w:szCs w:val="21"/>
                      <w:highlight w:val="none"/>
                      <w:lang w:val="en-US" w:eastAsia="zh-CN"/>
                    </w:rPr>
                    <w:t>38836</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3</w:t>
                  </w:r>
                  <w:r>
                    <w:rPr>
                      <w:rFonts w:ascii="Times New Roman" w:eastAsia="宋体" w:hAnsi="Times New Roman" w:cs="Times New Roman"/>
                      <w:color w:val="auto"/>
                      <w:szCs w:val="21"/>
                      <w:highlight w:val="none"/>
                    </w:rPr>
                    <w:t>/a</w:t>
                  </w:r>
                </w:p>
              </w:tc>
              <w:tc>
                <w:tcPr>
                  <w:tcW w:w="2225"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szCs w:val="21"/>
                      <w:highlight w:val="none"/>
                    </w:rPr>
                    <w:t>来自市政管网</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排水</w:t>
                  </w:r>
                </w:p>
              </w:tc>
              <w:tc>
                <w:tcPr>
                  <w:tcW w:w="629"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生活污水</w:t>
                  </w:r>
                </w:p>
              </w:tc>
              <w:tc>
                <w:tcPr>
                  <w:tcW w:w="631"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lang w:val="en-US" w:eastAsia="zh-CN"/>
                    </w:rPr>
                    <w:t>960</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3</w:t>
                  </w:r>
                  <w:r>
                    <w:rPr>
                      <w:rFonts w:ascii="Times New Roman" w:eastAsia="宋体" w:hAnsi="Times New Roman" w:cs="Times New Roman"/>
                      <w:color w:val="auto"/>
                      <w:szCs w:val="21"/>
                      <w:highlight w:val="none"/>
                    </w:rPr>
                    <w:t>/a</w:t>
                  </w:r>
                </w:p>
              </w:tc>
              <w:tc>
                <w:tcPr>
                  <w:tcW w:w="2225"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hint="eastAsia"/>
                      <w:color w:val="auto"/>
                      <w:szCs w:val="21"/>
                      <w:highlight w:val="none"/>
                      <w:lang w:val="en-US" w:eastAsia="zh-CN"/>
                    </w:rPr>
                    <w:t>近期</w:t>
                  </w:r>
                  <w:r>
                    <w:rPr>
                      <w:rFonts w:ascii="Times New Roman" w:eastAsia="宋体" w:hAnsi="Times New Roman" w:cs="Times New Roman"/>
                      <w:color w:val="auto"/>
                      <w:szCs w:val="21"/>
                      <w:highlight w:val="none"/>
                    </w:rPr>
                    <w:t>经</w:t>
                  </w:r>
                  <w:r>
                    <w:rPr>
                      <w:rFonts w:ascii="Times New Roman" w:eastAsia="宋体" w:hAnsi="Times New Roman" w:cs="Times New Roman" w:hint="eastAsia"/>
                      <w:color w:val="auto"/>
                      <w:szCs w:val="21"/>
                      <w:highlight w:val="none"/>
                    </w:rPr>
                    <w:t>地埋一体化污水处理设施</w:t>
                  </w:r>
                  <w:r>
                    <w:rPr>
                      <w:rFonts w:ascii="Times New Roman" w:eastAsia="宋体" w:hAnsi="Times New Roman" w:cs="Times New Roman"/>
                      <w:color w:val="auto"/>
                      <w:szCs w:val="21"/>
                      <w:highlight w:val="none"/>
                    </w:rPr>
                    <w:t>处理后通过槽罐车运至</w:t>
                  </w:r>
                  <w:r>
                    <w:rPr>
                      <w:rFonts w:ascii="Times New Roman" w:eastAsia="宋体" w:hAnsi="Times New Roman" w:cs="Times New Roman" w:hint="eastAsia"/>
                      <w:color w:val="auto"/>
                      <w:szCs w:val="21"/>
                      <w:highlight w:val="none"/>
                      <w:lang w:val="en-US" w:eastAsia="zh-CN"/>
                    </w:rPr>
                    <w:t>八巨</w:t>
                  </w:r>
                  <w:r>
                    <w:rPr>
                      <w:rFonts w:ascii="Times New Roman" w:eastAsia="宋体" w:hAnsi="Times New Roman" w:cs="Times New Roman"/>
                      <w:color w:val="auto"/>
                      <w:szCs w:val="21"/>
                      <w:highlight w:val="none"/>
                    </w:rPr>
                    <w:t>镇污水处理厂处理，远期接管至</w:t>
                  </w:r>
                  <w:r>
                    <w:rPr>
                      <w:rFonts w:ascii="Times New Roman" w:eastAsia="宋体" w:hAnsi="Times New Roman" w:cs="Times New Roman" w:hint="eastAsia"/>
                      <w:color w:val="auto"/>
                      <w:szCs w:val="21"/>
                      <w:highlight w:val="none"/>
                      <w:lang w:val="en-US" w:eastAsia="zh-CN"/>
                    </w:rPr>
                    <w:t>八巨</w:t>
                  </w:r>
                  <w:r>
                    <w:rPr>
                      <w:rFonts w:ascii="Times New Roman" w:eastAsia="宋体" w:hAnsi="Times New Roman" w:cs="Times New Roman"/>
                      <w:color w:val="auto"/>
                      <w:szCs w:val="21"/>
                      <w:highlight w:val="none"/>
                    </w:rPr>
                    <w:t>镇污水处理厂</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供电</w:t>
                  </w:r>
                </w:p>
              </w:tc>
              <w:tc>
                <w:tcPr>
                  <w:tcW w:w="1261" w:type="pct"/>
                  <w:gridSpan w:val="2"/>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yellow"/>
                    </w:rPr>
                  </w:pPr>
                  <w:r>
                    <w:rPr>
                      <w:rFonts w:ascii="Times New Roman" w:eastAsia="宋体" w:hAnsi="Times New Roman" w:cs="Times New Roman" w:hint="eastAsia"/>
                      <w:color w:val="auto"/>
                      <w:kern w:val="0"/>
                      <w:szCs w:val="21"/>
                      <w:highlight w:val="none"/>
                      <w:lang w:val="en-US" w:eastAsia="zh-CN"/>
                    </w:rPr>
                    <w:t>15</w:t>
                  </w:r>
                  <w:r>
                    <w:rPr>
                      <w:rFonts w:ascii="Times New Roman" w:eastAsia="宋体" w:hAnsi="Times New Roman" w:cs="Times New Roman"/>
                      <w:color w:val="auto"/>
                      <w:kern w:val="0"/>
                      <w:szCs w:val="21"/>
                      <w:highlight w:val="none"/>
                    </w:rPr>
                    <w:t>0万kWh/a</w:t>
                  </w:r>
                </w:p>
              </w:tc>
              <w:tc>
                <w:tcPr>
                  <w:tcW w:w="2225"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由市政电网提供</w:t>
                  </w:r>
                </w:p>
              </w:tc>
            </w:tr>
            <w:tr>
              <w:tblPrEx>
                <w:tblW w:w="4996" w:type="pct"/>
                <w:jc w:val="center"/>
                <w:tblLayout w:type="fixed"/>
                <w:tblCellMar>
                  <w:top w:w="0" w:type="dxa"/>
                  <w:left w:w="0" w:type="dxa"/>
                  <w:bottom w:w="0" w:type="dxa"/>
                  <w:right w:w="0" w:type="dxa"/>
                </w:tblCellMar>
              </w:tblPrEx>
              <w:trPr>
                <w:trHeight w:val="568"/>
                <w:jc w:val="center"/>
              </w:trPr>
              <w:tc>
                <w:tcPr>
                  <w:tcW w:w="730" w:type="pct"/>
                  <w:vMerge w:val="restar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储运工程</w:t>
                  </w: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原料仓库</w:t>
                  </w:r>
                </w:p>
              </w:tc>
              <w:tc>
                <w:tcPr>
                  <w:tcW w:w="1261" w:type="pct"/>
                  <w:gridSpan w:val="2"/>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225</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2</w:t>
                  </w:r>
                </w:p>
              </w:tc>
              <w:tc>
                <w:tcPr>
                  <w:tcW w:w="222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在</w:t>
                  </w:r>
                  <w:r>
                    <w:rPr>
                      <w:rFonts w:ascii="Times New Roman" w:eastAsia="宋体" w:hAnsi="Times New Roman" w:cs="Times New Roman" w:hint="eastAsia"/>
                      <w:color w:val="auto"/>
                      <w:szCs w:val="21"/>
                      <w:highlight w:val="none"/>
                    </w:rPr>
                    <w:t>检验、打包车间</w:t>
                  </w:r>
                  <w:r>
                    <w:rPr>
                      <w:rFonts w:ascii="Times New Roman" w:eastAsia="宋体" w:hAnsi="Times New Roman" w:cs="Times New Roman"/>
                      <w:color w:val="auto"/>
                      <w:szCs w:val="21"/>
                      <w:highlight w:val="none"/>
                    </w:rPr>
                    <w:t>内划出作为</w:t>
                  </w:r>
                  <w:r>
                    <w:rPr>
                      <w:rFonts w:ascii="Times New Roman" w:eastAsia="宋体" w:hAnsi="Times New Roman" w:cs="Times New Roman" w:hint="eastAsia"/>
                      <w:color w:val="auto"/>
                      <w:szCs w:val="21"/>
                      <w:highlight w:val="none"/>
                    </w:rPr>
                    <w:t>原料仓库</w:t>
                  </w:r>
                </w:p>
              </w:tc>
            </w:tr>
            <w:tr>
              <w:tblPrEx>
                <w:tblW w:w="4996" w:type="pct"/>
                <w:jc w:val="center"/>
                <w:tblLayout w:type="fixed"/>
                <w:tblCellMar>
                  <w:top w:w="0" w:type="dxa"/>
                  <w:left w:w="0" w:type="dxa"/>
                  <w:bottom w:w="0" w:type="dxa"/>
                  <w:right w:w="0" w:type="dxa"/>
                </w:tblCellMar>
              </w:tblPrEx>
              <w:trPr>
                <w:trHeight w:val="568"/>
                <w:jc w:val="center"/>
              </w:trPr>
              <w:tc>
                <w:tcPr>
                  <w:tcW w:w="730"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成品仓库</w:t>
                  </w:r>
                </w:p>
              </w:tc>
              <w:tc>
                <w:tcPr>
                  <w:tcW w:w="1261" w:type="pct"/>
                  <w:gridSpan w:val="2"/>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225</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2</w:t>
                  </w:r>
                </w:p>
              </w:tc>
              <w:tc>
                <w:tcPr>
                  <w:tcW w:w="222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在</w:t>
                  </w:r>
                  <w:r>
                    <w:rPr>
                      <w:rFonts w:ascii="Times New Roman" w:eastAsia="宋体" w:hAnsi="Times New Roman" w:cs="Times New Roman" w:hint="eastAsia"/>
                      <w:color w:val="auto"/>
                      <w:szCs w:val="21"/>
                      <w:highlight w:val="none"/>
                    </w:rPr>
                    <w:t>检验、打包车间</w:t>
                  </w:r>
                  <w:r>
                    <w:rPr>
                      <w:rFonts w:ascii="Times New Roman" w:eastAsia="宋体" w:hAnsi="Times New Roman" w:cs="Times New Roman"/>
                      <w:color w:val="auto"/>
                      <w:szCs w:val="21"/>
                      <w:highlight w:val="none"/>
                    </w:rPr>
                    <w:t>内划出作为</w:t>
                  </w:r>
                  <w:r>
                    <w:rPr>
                      <w:rFonts w:ascii="Times New Roman" w:eastAsia="宋体" w:hAnsi="Times New Roman" w:cs="Times New Roman" w:hint="eastAsia"/>
                      <w:color w:val="auto"/>
                      <w:szCs w:val="21"/>
                      <w:highlight w:val="none"/>
                      <w:lang w:val="en-US" w:eastAsia="zh-CN"/>
                    </w:rPr>
                    <w:t>成品</w:t>
                  </w:r>
                  <w:r>
                    <w:rPr>
                      <w:rFonts w:ascii="Times New Roman" w:eastAsia="宋体" w:hAnsi="Times New Roman" w:cs="Times New Roman" w:hint="eastAsia"/>
                      <w:color w:val="auto"/>
                      <w:szCs w:val="21"/>
                      <w:highlight w:val="none"/>
                    </w:rPr>
                    <w:t>仓库</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val="restar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环保工程</w:t>
                  </w: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废气处理</w:t>
                  </w:r>
                </w:p>
              </w:tc>
              <w:tc>
                <w:tcPr>
                  <w:tcW w:w="1261" w:type="pct"/>
                  <w:gridSpan w:val="2"/>
                  <w:tcBorders>
                    <w:tl2br w:val="nil"/>
                    <w:tr2bl w:val="nil"/>
                  </w:tcBorders>
                  <w:vAlign w:val="center"/>
                </w:tcPr>
                <w:p>
                  <w:pPr>
                    <w:pStyle w:val="a12"/>
                    <w:widowControl/>
                    <w:adjustRightInd w:val="0"/>
                    <w:snapToGrid w:val="0"/>
                    <w:textAlignment w:val="baseline"/>
                    <w:rPr>
                      <w:rFonts w:ascii="Times New Roman" w:eastAsia="宋体" w:hAnsi="Times New Roman" w:cs="Times New Roman" w:hint="default"/>
                      <w:color w:val="auto"/>
                      <w:szCs w:val="21"/>
                      <w:highlight w:val="none"/>
                      <w:lang w:val="en-US" w:eastAsia="zh-CN"/>
                    </w:rPr>
                  </w:pPr>
                  <w:r>
                    <w:rPr>
                      <w:rFonts w:ascii="Times New Roman" w:eastAsia="宋体" w:hAnsi="Times New Roman" w:cs="Times New Roman" w:hint="eastAsia"/>
                      <w:color w:val="auto"/>
                      <w:szCs w:val="21"/>
                      <w:highlight w:val="none"/>
                      <w:lang w:val="en-US" w:eastAsia="zh-CN"/>
                    </w:rPr>
                    <w:t>锅炉废气</w:t>
                  </w:r>
                </w:p>
              </w:tc>
              <w:tc>
                <w:tcPr>
                  <w:tcW w:w="2225"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hint="default"/>
                      <w:color w:val="auto"/>
                      <w:szCs w:val="21"/>
                      <w:highlight w:val="none"/>
                      <w:lang w:val="en-US" w:eastAsia="zh-CN"/>
                    </w:rPr>
                  </w:pPr>
                  <w:r>
                    <w:rPr>
                      <w:rFonts w:ascii="Times New Roman" w:eastAsia="宋体" w:hAnsi="Times New Roman" w:cs="Times New Roman" w:hint="eastAsia"/>
                      <w:color w:val="auto"/>
                      <w:szCs w:val="21"/>
                      <w:highlight w:val="none"/>
                      <w:lang w:val="en-US" w:eastAsia="zh-CN"/>
                    </w:rPr>
                    <w:t>低氮燃烧</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yellow"/>
                    </w:rPr>
                  </w:pP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废水处理</w:t>
                  </w:r>
                </w:p>
              </w:tc>
              <w:tc>
                <w:tcPr>
                  <w:tcW w:w="1261" w:type="pct"/>
                  <w:gridSpan w:val="2"/>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szCs w:val="21"/>
                      <w:highlight w:val="none"/>
                    </w:rPr>
                    <w:t>职工生活废水</w:t>
                  </w:r>
                </w:p>
              </w:tc>
              <w:tc>
                <w:tcPr>
                  <w:tcW w:w="2225"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hint="eastAsia"/>
                      <w:color w:val="auto"/>
                      <w:szCs w:val="21"/>
                      <w:highlight w:val="none"/>
                    </w:rPr>
                    <w:t>地埋一体化污水处理设施</w:t>
                  </w:r>
                </w:p>
              </w:tc>
            </w:tr>
          </w:tbl>
          <w:p/>
        </w:tc>
      </w:tr>
    </w:tbl>
    <w:p>
      <w:pPr>
        <w:sectPr>
          <w:footerReference w:type="even" r:id="rId38"/>
          <w:footerReference w:type="default" r:id="rId39"/>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1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01"/>
          <w:jc w:val="center"/>
        </w:trPr>
        <w:tc>
          <w:tcPr>
            <w:tcW w:w="823" w:type="dxa"/>
            <w:vAlign w:val="center"/>
          </w:tcPr>
          <w:p/>
        </w:tc>
        <w:tc>
          <w:tcPr>
            <w:tcW w:w="8161" w:type="dxa"/>
          </w:tcPr>
          <w:tbl>
            <w:tblPr>
              <w:tblStyle w:val="TableNormal"/>
              <w:tblW w:w="4996"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1160"/>
              <w:gridCol w:w="1244"/>
              <w:gridCol w:w="2002"/>
              <w:gridCol w:w="3533"/>
            </w:tblGrid>
            <w:tr>
              <w:tblPrEx>
                <w:tblW w:w="4996"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283"/>
                <w:jc w:val="center"/>
              </w:trPr>
              <w:tc>
                <w:tcPr>
                  <w:tcW w:w="730" w:type="pct"/>
                  <w:vMerge w:val="restar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yellow"/>
                    </w:rPr>
                  </w:pPr>
                </w:p>
              </w:tc>
              <w:tc>
                <w:tcPr>
                  <w:tcW w:w="783" w:type="pct"/>
                  <w:vMerge w:val="restar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p>
              </w:tc>
              <w:tc>
                <w:tcPr>
                  <w:tcW w:w="1261"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hint="eastAsia"/>
                      <w:color w:val="auto"/>
                      <w:szCs w:val="21"/>
                      <w:highlight w:val="none"/>
                    </w:rPr>
                    <w:t>生产废水</w:t>
                  </w:r>
                </w:p>
              </w:tc>
              <w:tc>
                <w:tcPr>
                  <w:tcW w:w="2225"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hint="eastAsia"/>
                      <w:color w:val="auto"/>
                      <w:szCs w:val="21"/>
                      <w:highlight w:val="none"/>
                    </w:rPr>
                    <w:t>新建厂区污水处理站2500m</w:t>
                  </w:r>
                  <w:r>
                    <w:rPr>
                      <w:rFonts w:ascii="Times New Roman" w:eastAsia="宋体" w:hAnsi="Times New Roman" w:cs="Times New Roman" w:hint="eastAsia"/>
                      <w:color w:val="auto"/>
                      <w:szCs w:val="21"/>
                      <w:highlight w:val="none"/>
                      <w:vertAlign w:val="superscript"/>
                    </w:rPr>
                    <w:t>3</w:t>
                  </w:r>
                  <w:r>
                    <w:rPr>
                      <w:rFonts w:ascii="Times New Roman" w:eastAsia="宋体" w:hAnsi="Times New Roman" w:cs="Times New Roman" w:hint="eastAsia"/>
                      <w:color w:val="auto"/>
                      <w:szCs w:val="21"/>
                      <w:highlight w:val="none"/>
                    </w:rPr>
                    <w:t>/d，主要处理工艺为絮凝+气浮+高效过滤（纤维过滤+活性炭吸附）+过滤+反渗透</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yellow"/>
                    </w:rPr>
                  </w:pPr>
                </w:p>
              </w:tc>
              <w:tc>
                <w:tcPr>
                  <w:tcW w:w="783" w:type="pct"/>
                  <w:vMerge w:val="restar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固废处置</w:t>
                  </w:r>
                </w:p>
              </w:tc>
              <w:tc>
                <w:tcPr>
                  <w:tcW w:w="1261"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szCs w:val="21"/>
                      <w:highlight w:val="none"/>
                    </w:rPr>
                    <w:t>一般固废仓库：</w:t>
                  </w:r>
                  <w:r>
                    <w:rPr>
                      <w:rFonts w:ascii="Times New Roman" w:eastAsia="宋体" w:hAnsi="Times New Roman" w:cs="Times New Roman" w:hint="eastAsia"/>
                      <w:color w:val="auto"/>
                      <w:szCs w:val="21"/>
                      <w:highlight w:val="none"/>
                    </w:rPr>
                    <w:t>100</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2</w:t>
                  </w:r>
                </w:p>
              </w:tc>
              <w:tc>
                <w:tcPr>
                  <w:tcW w:w="222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厂区东南角</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yellow"/>
                    </w:rPr>
                  </w:pPr>
                </w:p>
              </w:tc>
              <w:tc>
                <w:tcPr>
                  <w:tcW w:w="783"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p>
              </w:tc>
              <w:tc>
                <w:tcPr>
                  <w:tcW w:w="1261"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szCs w:val="21"/>
                      <w:highlight w:val="none"/>
                    </w:rPr>
                    <w:t>危废仓库：</w:t>
                  </w:r>
                  <w:r>
                    <w:rPr>
                      <w:rFonts w:ascii="Times New Roman" w:eastAsia="宋体" w:hAnsi="Times New Roman" w:cs="Times New Roman" w:hint="eastAsia"/>
                      <w:color w:val="auto"/>
                      <w:szCs w:val="21"/>
                      <w:highlight w:val="none"/>
                    </w:rPr>
                    <w:t>30</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2</w:t>
                  </w:r>
                </w:p>
              </w:tc>
              <w:tc>
                <w:tcPr>
                  <w:tcW w:w="222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厂区东南角</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val="restar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辅助工程</w:t>
                  </w: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门卫</w:t>
                  </w:r>
                </w:p>
              </w:tc>
              <w:tc>
                <w:tcPr>
                  <w:tcW w:w="1261"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hint="eastAsia"/>
                      <w:color w:val="auto"/>
                      <w:szCs w:val="21"/>
                      <w:highlight w:val="none"/>
                    </w:rPr>
                    <w:t>25</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2</w:t>
                  </w:r>
                </w:p>
              </w:tc>
              <w:tc>
                <w:tcPr>
                  <w:tcW w:w="222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租赁厂区现有</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p>
              </w:tc>
              <w:tc>
                <w:tcPr>
                  <w:tcW w:w="783" w:type="pc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办公楼</w:t>
                  </w:r>
                </w:p>
              </w:tc>
              <w:tc>
                <w:tcPr>
                  <w:tcW w:w="1261"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hint="eastAsia"/>
                      <w:color w:val="auto"/>
                      <w:szCs w:val="21"/>
                      <w:highlight w:val="none"/>
                    </w:rPr>
                    <w:t>811</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2</w:t>
                  </w:r>
                </w:p>
              </w:tc>
              <w:tc>
                <w:tcPr>
                  <w:tcW w:w="222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租赁厂房现有</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val="restart"/>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依托工程</w:t>
                  </w:r>
                </w:p>
              </w:tc>
              <w:tc>
                <w:tcPr>
                  <w:tcW w:w="783"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color w:val="auto"/>
                      <w:szCs w:val="21"/>
                      <w:highlight w:val="none"/>
                    </w:rPr>
                    <w:t>绿化</w:t>
                  </w:r>
                </w:p>
              </w:tc>
              <w:tc>
                <w:tcPr>
                  <w:tcW w:w="3486" w:type="pct"/>
                  <w:gridSpan w:val="2"/>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依托现有</w:t>
                  </w:r>
                </w:p>
              </w:tc>
            </w:tr>
            <w:tr>
              <w:tblPrEx>
                <w:tblW w:w="4996" w:type="pct"/>
                <w:jc w:val="center"/>
                <w:tblLayout w:type="fixed"/>
                <w:tblCellMar>
                  <w:top w:w="0" w:type="dxa"/>
                  <w:left w:w="0" w:type="dxa"/>
                  <w:bottom w:w="0" w:type="dxa"/>
                  <w:right w:w="0" w:type="dxa"/>
                </w:tblCellMar>
              </w:tblPrEx>
              <w:trPr>
                <w:trHeight w:val="283"/>
                <w:jc w:val="center"/>
              </w:trPr>
              <w:tc>
                <w:tcPr>
                  <w:tcW w:w="730" w:type="pct"/>
                  <w:vMerge/>
                  <w:tcBorders>
                    <w:tl2br w:val="nil"/>
                    <w:tr2bl w:val="nil"/>
                  </w:tcBorders>
                  <w:vAlign w:val="center"/>
                </w:tcPr>
                <w:p>
                  <w:pPr>
                    <w:pStyle w:val="a12"/>
                    <w:widowControl/>
                    <w:adjustRightInd w:val="0"/>
                    <w:snapToGrid w:val="0"/>
                    <w:textAlignment w:val="baseline"/>
                    <w:rPr>
                      <w:rFonts w:ascii="Times New Roman" w:eastAsia="宋体" w:hAnsi="Times New Roman" w:cs="Times New Roman"/>
                      <w:color w:val="auto"/>
                      <w:szCs w:val="21"/>
                      <w:highlight w:val="none"/>
                    </w:rPr>
                  </w:pPr>
                </w:p>
              </w:tc>
              <w:tc>
                <w:tcPr>
                  <w:tcW w:w="783" w:type="pct"/>
                  <w:tcBorders>
                    <w:tl2br w:val="nil"/>
                    <w:tr2bl w:val="nil"/>
                  </w:tcBorders>
                  <w:vAlign w:val="center"/>
                </w:tcPr>
                <w:p>
                  <w:pPr>
                    <w:widowControl/>
                    <w:jc w:val="center"/>
                    <w:rPr>
                      <w:color w:val="auto"/>
                      <w:szCs w:val="21"/>
                      <w:highlight w:val="none"/>
                    </w:rPr>
                  </w:pPr>
                  <w:r>
                    <w:rPr>
                      <w:rFonts w:ascii="Times New Roman" w:eastAsia="宋体" w:hAnsi="Times New Roman" w:cs="Times New Roman" w:hint="eastAsia"/>
                      <w:color w:val="auto"/>
                      <w:szCs w:val="21"/>
                      <w:highlight w:val="none"/>
                    </w:rPr>
                    <w:t>地埋一体化污水处理设施</w:t>
                  </w:r>
                </w:p>
              </w:tc>
              <w:tc>
                <w:tcPr>
                  <w:tcW w:w="3486" w:type="pct"/>
                  <w:gridSpan w:val="2"/>
                  <w:tcBorders>
                    <w:tl2br w:val="nil"/>
                    <w:tr2bl w:val="nil"/>
                  </w:tcBorders>
                  <w:vAlign w:val="center"/>
                </w:tcPr>
                <w:p>
                  <w:pPr>
                    <w:pStyle w:val="a12"/>
                    <w:widowControl/>
                    <w:adjustRightInd w:val="0"/>
                    <w:snapToGrid w:val="0"/>
                    <w:textAlignment w:val="baseline"/>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rPr>
                    <w:t>地埋一体化污水处理设施日处理能力为</w:t>
                  </w:r>
                  <w:r>
                    <w:rPr>
                      <w:rFonts w:ascii="Times New Roman" w:eastAsia="宋体" w:hAnsi="Times New Roman" w:cs="Times New Roman"/>
                      <w:color w:val="auto"/>
                      <w:szCs w:val="21"/>
                      <w:highlight w:val="none"/>
                    </w:rPr>
                    <w:t>10m</w:t>
                  </w:r>
                  <w:r>
                    <w:rPr>
                      <w:rFonts w:ascii="Times New Roman" w:eastAsia="宋体" w:hAnsi="Times New Roman" w:cs="Times New Roman"/>
                      <w:color w:val="auto"/>
                      <w:szCs w:val="21"/>
                      <w:highlight w:val="none"/>
                      <w:vertAlign w:val="superscript"/>
                    </w:rPr>
                    <w:t>3</w:t>
                  </w:r>
                  <w:r>
                    <w:rPr>
                      <w:rFonts w:ascii="Times New Roman" w:eastAsia="宋体" w:hAnsi="Times New Roman" w:cs="Times New Roman"/>
                      <w:color w:val="auto"/>
                      <w:szCs w:val="21"/>
                      <w:highlight w:val="none"/>
                    </w:rPr>
                    <w:t>/d</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依托现有</w:t>
                  </w:r>
                  <w:r>
                    <w:rPr>
                      <w:rFonts w:ascii="Times New Roman" w:eastAsia="宋体" w:hAnsi="Times New Roman" w:cs="Times New Roman" w:hint="eastAsia"/>
                      <w:color w:val="auto"/>
                      <w:szCs w:val="21"/>
                      <w:highlight w:val="none"/>
                      <w:lang w:eastAsia="zh-CN"/>
                    </w:rPr>
                    <w:t>）</w:t>
                  </w:r>
                </w:p>
              </w:tc>
            </w:tr>
          </w:tbl>
          <w:p>
            <w:pPr>
              <w:spacing w:line="360" w:lineRule="auto"/>
              <w:rPr>
                <w:b/>
                <w:color w:val="auto"/>
                <w:sz w:val="24"/>
                <w:highlight w:val="none"/>
              </w:rPr>
            </w:pPr>
            <w:r>
              <w:rPr>
                <w:rFonts w:ascii="Times New Roman" w:eastAsia="宋体" w:hAnsi="Times New Roman" w:cs="Times New Roman"/>
                <w:b/>
                <w:color w:val="auto"/>
                <w:sz w:val="24"/>
                <w:highlight w:val="none"/>
              </w:rPr>
              <w:t>2.2.3 主要生产单元、主要工艺及生产设施</w:t>
            </w:r>
          </w:p>
          <w:p>
            <w:pPr>
              <w:spacing w:line="360" w:lineRule="auto"/>
              <w:ind w:firstLine="480" w:firstLineChars="200"/>
              <w:rPr>
                <w:color w:val="auto"/>
                <w:highlight w:val="none"/>
              </w:rPr>
            </w:pPr>
            <w:r>
              <w:rPr>
                <w:rFonts w:ascii="Times New Roman" w:eastAsia="宋体" w:hAnsi="Times New Roman" w:cs="Times New Roman"/>
                <w:bCs/>
                <w:color w:val="auto"/>
                <w:sz w:val="24"/>
                <w:highlight w:val="none"/>
              </w:rPr>
              <w:t>本项目主要生产单元、主要工艺及生产设施详见表2-5。</w:t>
            </w:r>
          </w:p>
          <w:p>
            <w:pPr>
              <w:jc w:val="center"/>
              <w:rPr>
                <w:b/>
                <w:color w:val="auto"/>
                <w:sz w:val="24"/>
                <w:highlight w:val="none"/>
              </w:rPr>
            </w:pPr>
            <w:r>
              <w:rPr>
                <w:rFonts w:ascii="Times New Roman" w:eastAsia="宋体" w:hAnsi="Times New Roman" w:cs="Times New Roman"/>
                <w:b/>
                <w:color w:val="auto"/>
                <w:sz w:val="24"/>
                <w:highlight w:val="none"/>
              </w:rPr>
              <w:t>表2-5  本项目主要生产单元、主要工艺及生产设施一览表</w:t>
            </w:r>
          </w:p>
          <w:tbl>
            <w:tblPr>
              <w:tblStyle w:val="TableNormal"/>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248"/>
              <w:gridCol w:w="1885"/>
              <w:gridCol w:w="1252"/>
              <w:gridCol w:w="863"/>
              <w:gridCol w:w="785"/>
              <w:gridCol w:w="1909"/>
            </w:tblGrid>
            <w:tr>
              <w:tblPrEx>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jc w:val="center"/>
              </w:trPr>
              <w:tc>
                <w:tcPr>
                  <w:tcW w:w="785"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主要生产单元名称</w:t>
                  </w:r>
                </w:p>
              </w:tc>
              <w:tc>
                <w:tcPr>
                  <w:tcW w:w="1186"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生产设施名称</w:t>
                  </w:r>
                </w:p>
              </w:tc>
              <w:tc>
                <w:tcPr>
                  <w:tcW w:w="787"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规格型号</w:t>
                  </w:r>
                </w:p>
              </w:tc>
              <w:tc>
                <w:tcPr>
                  <w:tcW w:w="543"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数量</w:t>
                  </w:r>
                </w:p>
              </w:tc>
              <w:tc>
                <w:tcPr>
                  <w:tcW w:w="494"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单位</w:t>
                  </w:r>
                </w:p>
              </w:tc>
              <w:tc>
                <w:tcPr>
                  <w:tcW w:w="1201" w:type="pct"/>
                  <w:tcBorders>
                    <w:tl2br w:val="nil"/>
                    <w:tr2bl w:val="nil"/>
                  </w:tcBorders>
                  <w:vAlign w:val="center"/>
                </w:tcPr>
                <w:p>
                  <w:pPr>
                    <w:jc w:val="center"/>
                    <w:rPr>
                      <w:b/>
                      <w:bCs/>
                      <w:color w:val="auto"/>
                      <w:szCs w:val="21"/>
                      <w:highlight w:val="none"/>
                    </w:rPr>
                  </w:pPr>
                  <w:r>
                    <w:rPr>
                      <w:rFonts w:ascii="Times New Roman" w:eastAsia="宋体" w:hAnsi="Times New Roman" w:cs="Times New Roman" w:hint="eastAsia"/>
                      <w:b/>
                      <w:bCs/>
                      <w:color w:val="auto"/>
                      <w:szCs w:val="21"/>
                      <w:highlight w:val="none"/>
                    </w:rPr>
                    <w:t>备注</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vMerge w:val="restar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织造单元</w:t>
                  </w: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喷水织机</w:t>
                  </w:r>
                </w:p>
              </w:tc>
              <w:tc>
                <w:tcPr>
                  <w:tcW w:w="787"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LWT710</w:t>
                  </w:r>
                </w:p>
              </w:tc>
              <w:tc>
                <w:tcPr>
                  <w:tcW w:w="543"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bCs/>
                      <w:color w:val="auto"/>
                      <w:szCs w:val="21"/>
                      <w:highlight w:val="none"/>
                      <w:lang w:val="en-US" w:eastAsia="zh-CN"/>
                    </w:rPr>
                    <w:t>10</w:t>
                  </w:r>
                  <w:r>
                    <w:rPr>
                      <w:rFonts w:ascii="Times New Roman" w:eastAsia="宋体" w:hAnsi="Times New Roman" w:cs="Times New Roman"/>
                      <w:bCs/>
                      <w:color w:val="auto"/>
                      <w:szCs w:val="21"/>
                      <w:highlight w:val="none"/>
                    </w:rPr>
                    <w:t>00</w:t>
                  </w:r>
                </w:p>
              </w:tc>
              <w:tc>
                <w:tcPr>
                  <w:tcW w:w="49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台</w:t>
                  </w:r>
                </w:p>
              </w:tc>
              <w:tc>
                <w:tcPr>
                  <w:tcW w:w="1201"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利用现有</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vMerge/>
                  <w:tcBorders>
                    <w:tl2br w:val="nil"/>
                    <w:tr2bl w:val="nil"/>
                  </w:tcBorders>
                  <w:vAlign w:val="center"/>
                </w:tcPr>
                <w:p>
                  <w:pPr>
                    <w:jc w:val="center"/>
                    <w:rPr>
                      <w:rFonts w:hint="eastAsia"/>
                      <w:color w:val="auto"/>
                      <w:szCs w:val="21"/>
                      <w:highlight w:val="none"/>
                    </w:rPr>
                  </w:pP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lang w:eastAsia="zh-CN"/>
                    </w:rPr>
                    <w:t>加弹机</w:t>
                  </w:r>
                </w:p>
              </w:tc>
              <w:tc>
                <w:tcPr>
                  <w:tcW w:w="787"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lang w:eastAsia="zh-CN"/>
                    </w:rPr>
                    <w:t>定制</w:t>
                  </w:r>
                </w:p>
              </w:tc>
              <w:tc>
                <w:tcPr>
                  <w:tcW w:w="543"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default"/>
                      <w:bCs/>
                      <w:color w:val="auto"/>
                      <w:szCs w:val="21"/>
                      <w:highlight w:val="none"/>
                      <w:lang w:val="en-US" w:eastAsia="zh-CN"/>
                    </w:rPr>
                  </w:pPr>
                  <w:r>
                    <w:rPr>
                      <w:rFonts w:ascii="Times New Roman" w:eastAsia="宋体" w:hAnsi="Times New Roman" w:cs="Times New Roman" w:hint="eastAsia"/>
                      <w:bCs/>
                      <w:color w:val="auto"/>
                      <w:szCs w:val="21"/>
                      <w:highlight w:val="none"/>
                      <w:lang w:val="en-US" w:eastAsia="zh-CN"/>
                    </w:rPr>
                    <w:t>4</w:t>
                  </w:r>
                </w:p>
              </w:tc>
              <w:tc>
                <w:tcPr>
                  <w:tcW w:w="494"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lang w:eastAsia="zh-CN"/>
                    </w:rPr>
                    <w:t>台</w:t>
                  </w:r>
                </w:p>
              </w:tc>
              <w:tc>
                <w:tcPr>
                  <w:tcW w:w="1201"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lang w:eastAsia="zh-CN"/>
                    </w:rPr>
                    <w:t>拟新增</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vMerge/>
                  <w:tcBorders>
                    <w:tl2br w:val="nil"/>
                    <w:tr2bl w:val="nil"/>
                  </w:tcBorders>
                  <w:vAlign w:val="center"/>
                </w:tcPr>
                <w:p>
                  <w:pPr>
                    <w:jc w:val="center"/>
                    <w:rPr>
                      <w:color w:val="auto"/>
                      <w:szCs w:val="21"/>
                      <w:highlight w:val="none"/>
                    </w:rPr>
                  </w:pP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bookmarkStart w:id="5" w:name="OLE_LINK2"/>
                  <w:r>
                    <w:rPr>
                      <w:rFonts w:ascii="Times New Roman" w:eastAsia="宋体" w:hAnsi="Times New Roman" w:cs="Times New Roman"/>
                      <w:color w:val="auto"/>
                      <w:szCs w:val="21"/>
                      <w:highlight w:val="none"/>
                    </w:rPr>
                    <w:t>整经机</w:t>
                  </w:r>
                  <w:bookmarkEnd w:id="5"/>
                </w:p>
              </w:tc>
              <w:tc>
                <w:tcPr>
                  <w:tcW w:w="787"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TW10F</w:t>
                  </w:r>
                </w:p>
              </w:tc>
              <w:tc>
                <w:tcPr>
                  <w:tcW w:w="543"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lang w:val="en-US" w:eastAsia="zh-CN"/>
                    </w:rPr>
                    <w:t>3</w:t>
                  </w:r>
                </w:p>
              </w:tc>
              <w:tc>
                <w:tcPr>
                  <w:tcW w:w="49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台</w:t>
                  </w:r>
                </w:p>
              </w:tc>
              <w:tc>
                <w:tcPr>
                  <w:tcW w:w="1201"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利用现有</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vMerge/>
                  <w:tcBorders>
                    <w:tl2br w:val="nil"/>
                    <w:tr2bl w:val="nil"/>
                  </w:tcBorders>
                  <w:vAlign w:val="center"/>
                </w:tcPr>
                <w:p>
                  <w:pPr>
                    <w:jc w:val="center"/>
                    <w:rPr>
                      <w:color w:val="auto"/>
                      <w:szCs w:val="21"/>
                      <w:highlight w:val="none"/>
                    </w:rPr>
                  </w:pP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default"/>
                      <w:color w:val="auto"/>
                      <w:szCs w:val="21"/>
                      <w:highlight w:val="none"/>
                      <w:lang w:val="en-US" w:eastAsia="zh-CN"/>
                    </w:rPr>
                  </w:pPr>
                  <w:r>
                    <w:rPr>
                      <w:rFonts w:ascii="Times New Roman" w:eastAsia="宋体" w:hAnsi="Times New Roman" w:cs="Times New Roman" w:hint="eastAsia"/>
                      <w:color w:val="auto"/>
                      <w:szCs w:val="21"/>
                      <w:highlight w:val="none"/>
                      <w:lang w:val="en-US" w:eastAsia="zh-CN"/>
                    </w:rPr>
                    <w:t>烘干机</w:t>
                  </w:r>
                </w:p>
              </w:tc>
              <w:tc>
                <w:tcPr>
                  <w:tcW w:w="787"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eastAsia"/>
                      <w:color w:val="auto"/>
                      <w:szCs w:val="21"/>
                      <w:highlight w:val="none"/>
                      <w:lang w:val="en-US" w:eastAsia="zh-CN"/>
                    </w:rPr>
                  </w:pPr>
                  <w:r>
                    <w:rPr>
                      <w:rFonts w:ascii="Times New Roman" w:eastAsia="宋体" w:hAnsi="Times New Roman" w:cs="Times New Roman" w:hint="eastAsia"/>
                      <w:color w:val="auto"/>
                      <w:szCs w:val="21"/>
                      <w:highlight w:val="none"/>
                      <w:lang w:val="en-US" w:eastAsia="zh-CN"/>
                    </w:rPr>
                    <w:t>/</w:t>
                  </w:r>
                </w:p>
              </w:tc>
              <w:tc>
                <w:tcPr>
                  <w:tcW w:w="543"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default"/>
                      <w:color w:val="auto"/>
                      <w:szCs w:val="21"/>
                      <w:highlight w:val="none"/>
                      <w:lang w:val="en-US" w:eastAsia="zh-CN"/>
                    </w:rPr>
                  </w:pPr>
                  <w:r>
                    <w:rPr>
                      <w:rFonts w:ascii="Times New Roman" w:eastAsia="宋体" w:hAnsi="Times New Roman" w:cs="Times New Roman" w:hint="eastAsia"/>
                      <w:color w:val="auto"/>
                      <w:szCs w:val="21"/>
                      <w:highlight w:val="none"/>
                      <w:lang w:val="en-US" w:eastAsia="zh-CN"/>
                    </w:rPr>
                    <w:t>2</w:t>
                  </w:r>
                </w:p>
              </w:tc>
              <w:tc>
                <w:tcPr>
                  <w:tcW w:w="494"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lang w:val="en-US" w:eastAsia="zh-CN"/>
                    </w:rPr>
                    <w:t>台</w:t>
                  </w:r>
                </w:p>
              </w:tc>
              <w:tc>
                <w:tcPr>
                  <w:tcW w:w="1201"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rPr>
                    <w:t>利用现有</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vMerge/>
                  <w:tcBorders>
                    <w:tl2br w:val="nil"/>
                    <w:tr2bl w:val="nil"/>
                  </w:tcBorders>
                  <w:vAlign w:val="center"/>
                </w:tcPr>
                <w:p>
                  <w:pPr>
                    <w:jc w:val="center"/>
                    <w:rPr>
                      <w:color w:val="auto"/>
                      <w:szCs w:val="21"/>
                      <w:highlight w:val="none"/>
                    </w:rPr>
                  </w:pP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打包机</w:t>
                  </w:r>
                </w:p>
              </w:tc>
              <w:tc>
                <w:tcPr>
                  <w:tcW w:w="787"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定制</w:t>
                  </w:r>
                </w:p>
              </w:tc>
              <w:tc>
                <w:tcPr>
                  <w:tcW w:w="543"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lang w:val="en-US" w:eastAsia="zh-CN"/>
                    </w:rPr>
                    <w:t>1</w:t>
                  </w:r>
                  <w:r>
                    <w:rPr>
                      <w:rFonts w:ascii="Times New Roman" w:eastAsia="宋体" w:hAnsi="Times New Roman" w:cs="Times New Roman"/>
                      <w:color w:val="auto"/>
                      <w:szCs w:val="21"/>
                      <w:highlight w:val="none"/>
                    </w:rPr>
                    <w:t>0</w:t>
                  </w:r>
                </w:p>
              </w:tc>
              <w:tc>
                <w:tcPr>
                  <w:tcW w:w="49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台</w:t>
                  </w:r>
                </w:p>
              </w:tc>
              <w:tc>
                <w:tcPr>
                  <w:tcW w:w="1201"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利用现有</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vMerge/>
                  <w:tcBorders>
                    <w:tl2br w:val="nil"/>
                    <w:tr2bl w:val="nil"/>
                  </w:tcBorders>
                  <w:vAlign w:val="center"/>
                </w:tcPr>
                <w:p>
                  <w:pPr>
                    <w:jc w:val="center"/>
                    <w:rPr>
                      <w:color w:val="auto"/>
                      <w:szCs w:val="21"/>
                      <w:highlight w:val="none"/>
                    </w:rPr>
                  </w:pP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lang w:eastAsia="zh-CN"/>
                    </w:rPr>
                    <w:t>预缩机</w:t>
                  </w:r>
                </w:p>
              </w:tc>
              <w:tc>
                <w:tcPr>
                  <w:tcW w:w="787"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lang w:val="en-US" w:eastAsia="zh-CN"/>
                    </w:rPr>
                    <w:t>/</w:t>
                  </w:r>
                </w:p>
              </w:tc>
              <w:tc>
                <w:tcPr>
                  <w:tcW w:w="543"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default"/>
                      <w:color w:val="auto"/>
                      <w:szCs w:val="21"/>
                      <w:highlight w:val="none"/>
                      <w:lang w:val="en-US" w:eastAsia="zh-CN"/>
                    </w:rPr>
                  </w:pPr>
                  <w:r>
                    <w:rPr>
                      <w:rFonts w:ascii="Times New Roman" w:eastAsia="宋体" w:hAnsi="Times New Roman" w:cs="Times New Roman" w:hint="eastAsia"/>
                      <w:color w:val="auto"/>
                      <w:szCs w:val="21"/>
                      <w:highlight w:val="none"/>
                      <w:lang w:val="en-US" w:eastAsia="zh-CN"/>
                    </w:rPr>
                    <w:t>1</w:t>
                  </w:r>
                </w:p>
              </w:tc>
              <w:tc>
                <w:tcPr>
                  <w:tcW w:w="49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台</w:t>
                  </w:r>
                </w:p>
              </w:tc>
              <w:tc>
                <w:tcPr>
                  <w:tcW w:w="1201"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lang w:eastAsia="zh-CN"/>
                    </w:rPr>
                    <w:t>新增</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vMerge/>
                  <w:tcBorders>
                    <w:tl2br w:val="nil"/>
                    <w:tr2bl w:val="nil"/>
                  </w:tcBorders>
                  <w:vAlign w:val="center"/>
                </w:tcPr>
                <w:p>
                  <w:pPr>
                    <w:jc w:val="center"/>
                    <w:rPr>
                      <w:color w:val="auto"/>
                      <w:szCs w:val="21"/>
                      <w:highlight w:val="none"/>
                    </w:rPr>
                  </w:pP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lang w:eastAsia="zh-CN"/>
                    </w:rPr>
                    <w:t>退卷机</w:t>
                  </w:r>
                </w:p>
              </w:tc>
              <w:tc>
                <w:tcPr>
                  <w:tcW w:w="787"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lang w:val="en-US" w:eastAsia="zh-CN"/>
                    </w:rPr>
                    <w:t>/</w:t>
                  </w:r>
                </w:p>
              </w:tc>
              <w:tc>
                <w:tcPr>
                  <w:tcW w:w="543"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default"/>
                      <w:color w:val="auto"/>
                      <w:szCs w:val="21"/>
                      <w:highlight w:val="none"/>
                      <w:lang w:val="en-US" w:eastAsia="zh-CN"/>
                    </w:rPr>
                  </w:pPr>
                  <w:r>
                    <w:rPr>
                      <w:rFonts w:ascii="Times New Roman" w:eastAsia="宋体" w:hAnsi="Times New Roman" w:cs="Times New Roman" w:hint="eastAsia"/>
                      <w:color w:val="auto"/>
                      <w:szCs w:val="21"/>
                      <w:highlight w:val="none"/>
                      <w:lang w:val="en-US" w:eastAsia="zh-CN"/>
                    </w:rPr>
                    <w:t>3</w:t>
                  </w:r>
                </w:p>
              </w:tc>
              <w:tc>
                <w:tcPr>
                  <w:tcW w:w="49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台</w:t>
                  </w:r>
                </w:p>
              </w:tc>
              <w:tc>
                <w:tcPr>
                  <w:tcW w:w="1201"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rPr>
                    <w:t>利用现有</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vMerge/>
                  <w:tcBorders>
                    <w:tl2br w:val="nil"/>
                    <w:tr2bl w:val="nil"/>
                  </w:tcBorders>
                  <w:vAlign w:val="center"/>
                </w:tcPr>
                <w:p>
                  <w:pPr>
                    <w:jc w:val="center"/>
                    <w:rPr>
                      <w:color w:val="auto"/>
                      <w:szCs w:val="21"/>
                      <w:highlight w:val="none"/>
                    </w:rPr>
                  </w:pP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检测设备</w:t>
                  </w:r>
                </w:p>
              </w:tc>
              <w:tc>
                <w:tcPr>
                  <w:tcW w:w="787"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定制</w:t>
                  </w:r>
                </w:p>
              </w:tc>
              <w:tc>
                <w:tcPr>
                  <w:tcW w:w="543"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lang w:val="en-US" w:eastAsia="zh-CN"/>
                    </w:rPr>
                    <w:t>1</w:t>
                  </w:r>
                </w:p>
              </w:tc>
              <w:tc>
                <w:tcPr>
                  <w:tcW w:w="49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台</w:t>
                  </w:r>
                </w:p>
              </w:tc>
              <w:tc>
                <w:tcPr>
                  <w:tcW w:w="1201"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利用现有</w:t>
                  </w:r>
                </w:p>
              </w:tc>
            </w:tr>
            <w:tr>
              <w:tblPrEx>
                <w:tblW w:w="4998" w:type="pct"/>
                <w:jc w:val="center"/>
                <w:tblLayout w:type="fixed"/>
                <w:tblCellMar>
                  <w:top w:w="0" w:type="dxa"/>
                  <w:left w:w="108" w:type="dxa"/>
                  <w:bottom w:w="0" w:type="dxa"/>
                  <w:right w:w="108" w:type="dxa"/>
                </w:tblCellMar>
              </w:tblPrEx>
              <w:trPr>
                <w:trHeight w:val="283"/>
                <w:jc w:val="center"/>
              </w:trPr>
              <w:tc>
                <w:tcPr>
                  <w:tcW w:w="785"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公用单元</w:t>
                  </w:r>
                </w:p>
              </w:tc>
              <w:tc>
                <w:tcPr>
                  <w:tcW w:w="1186" w:type="pct"/>
                  <w:tcBorders>
                    <w:tl2br w:val="nil"/>
                    <w:tr2bl w:val="nil"/>
                  </w:tcBorders>
                  <w:vAlign w:val="center"/>
                </w:tcPr>
                <w:p>
                  <w:pPr>
                    <w:pStyle w:val="a11"/>
                    <w:adjustRightInd w:val="0"/>
                    <w:snapToGrid w:val="0"/>
                    <w:spacing w:line="240" w:lineRule="auto"/>
                    <w:textAlignment w:val="baseline"/>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lang w:val="en-US" w:eastAsia="zh-CN"/>
                    </w:rPr>
                    <w:t>天然气</w:t>
                  </w:r>
                  <w:r>
                    <w:rPr>
                      <w:rFonts w:ascii="Times New Roman" w:eastAsia="宋体" w:hAnsi="Times New Roman" w:cs="Times New Roman" w:hint="eastAsia"/>
                      <w:color w:val="auto"/>
                      <w:szCs w:val="21"/>
                      <w:highlight w:val="none"/>
                    </w:rPr>
                    <w:t>锅炉</w:t>
                  </w:r>
                </w:p>
              </w:tc>
              <w:tc>
                <w:tcPr>
                  <w:tcW w:w="787"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lang w:val="en-US" w:eastAsia="zh-CN"/>
                    </w:rPr>
                    <w:t>2</w:t>
                  </w:r>
                  <w:r>
                    <w:rPr>
                      <w:rFonts w:ascii="Times New Roman" w:eastAsia="宋体" w:hAnsi="Times New Roman" w:cs="Times New Roman" w:hint="eastAsia"/>
                      <w:color w:val="auto"/>
                      <w:szCs w:val="21"/>
                      <w:highlight w:val="none"/>
                    </w:rPr>
                    <w:t>t/h</w:t>
                  </w:r>
                </w:p>
              </w:tc>
              <w:tc>
                <w:tcPr>
                  <w:tcW w:w="543"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lang w:val="en-US" w:eastAsia="zh-CN"/>
                    </w:rPr>
                    <w:t>1</w:t>
                  </w:r>
                </w:p>
              </w:tc>
              <w:tc>
                <w:tcPr>
                  <w:tcW w:w="494"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hint="eastAsia"/>
                      <w:color w:val="auto"/>
                      <w:szCs w:val="21"/>
                      <w:highlight w:val="none"/>
                    </w:rPr>
                    <w:t>台</w:t>
                  </w:r>
                </w:p>
              </w:tc>
              <w:tc>
                <w:tcPr>
                  <w:tcW w:w="1201" w:type="pct"/>
                  <w:tcBorders>
                    <w:tl2br w:val="nil"/>
                    <w:tr2bl w:val="nil"/>
                  </w:tcBorders>
                  <w:vAlign w:val="center"/>
                </w:tcPr>
                <w:p>
                  <w:pPr>
                    <w:jc w:val="center"/>
                    <w:rPr>
                      <w:rFonts w:hint="default"/>
                      <w:color w:val="auto"/>
                      <w:szCs w:val="21"/>
                      <w:highlight w:val="none"/>
                    </w:rPr>
                  </w:pPr>
                  <w:r>
                    <w:rPr>
                      <w:rFonts w:ascii="Times New Roman" w:eastAsia="宋体" w:hAnsi="Times New Roman" w:cs="Times New Roman" w:hint="eastAsia"/>
                      <w:color w:val="auto"/>
                      <w:szCs w:val="21"/>
                      <w:highlight w:val="none"/>
                      <w:lang w:val="en-US" w:eastAsia="zh-CN"/>
                    </w:rPr>
                    <w:t>新增</w:t>
                  </w:r>
                </w:p>
              </w:tc>
            </w:tr>
          </w:tbl>
          <w:p>
            <w:pPr>
              <w:spacing w:line="240" w:lineRule="auto"/>
              <w:rPr>
                <w:rFonts w:hint="default"/>
                <w:b/>
                <w:bCs w:val="0"/>
                <w:color w:val="auto"/>
                <w:kern w:val="0"/>
                <w:szCs w:val="21"/>
                <w:highlight w:val="none"/>
              </w:rPr>
            </w:pPr>
            <w:r>
              <w:rPr>
                <w:rFonts w:ascii="Times New Roman" w:eastAsia="宋体" w:hAnsi="Times New Roman" w:cs="Times New Roman" w:hint="eastAsia"/>
                <w:b/>
                <w:bCs w:val="0"/>
                <w:color w:val="auto"/>
                <w:kern w:val="0"/>
                <w:sz w:val="21"/>
                <w:szCs w:val="21"/>
                <w:highlight w:val="none"/>
                <w:lang w:val="en-US" w:eastAsia="zh-CN"/>
              </w:rPr>
              <w:t>注：由于项目所在园区无集中供热，因此本项目新增一台天然气锅炉。</w:t>
            </w:r>
          </w:p>
          <w:p>
            <w:pPr>
              <w:spacing w:line="360" w:lineRule="auto"/>
              <w:ind w:firstLine="480" w:firstLineChars="200"/>
              <w:rPr>
                <w:bCs/>
                <w:color w:val="auto"/>
                <w:kern w:val="0"/>
                <w:sz w:val="24"/>
                <w:highlight w:val="none"/>
              </w:rPr>
            </w:pPr>
            <w:r>
              <w:rPr>
                <w:rFonts w:ascii="Times New Roman" w:eastAsia="宋体" w:hAnsi="Times New Roman" w:cs="Times New Roman"/>
                <w:bCs/>
                <w:color w:val="auto"/>
                <w:kern w:val="0"/>
                <w:sz w:val="24"/>
                <w:highlight w:val="none"/>
              </w:rPr>
              <w:t>对照《工业和信息化部高耗能落后机电设备（产品）淘汰目录》（第一批-第四批）、《部分工业行业淘汰落后生产工艺装备和产品指导目录》（2010年本），</w:t>
            </w:r>
            <w:r>
              <w:rPr>
                <w:rFonts w:ascii="Times New Roman" w:eastAsia="宋体" w:hAnsi="Times New Roman" w:cs="Times New Roman" w:hint="eastAsia"/>
                <w:bCs/>
                <w:color w:val="auto"/>
                <w:kern w:val="0"/>
                <w:sz w:val="24"/>
                <w:highlight w:val="none"/>
              </w:rPr>
              <w:t>本项目不涉及淘汰类项目。</w:t>
            </w:r>
          </w:p>
          <w:p>
            <w:pPr>
              <w:spacing w:line="360" w:lineRule="auto"/>
              <w:rPr>
                <w:b/>
                <w:color w:val="auto"/>
                <w:sz w:val="24"/>
                <w:highlight w:val="none"/>
              </w:rPr>
            </w:pPr>
            <w:r>
              <w:rPr>
                <w:rFonts w:ascii="Times New Roman" w:eastAsia="宋体" w:hAnsi="Times New Roman" w:cs="Times New Roman"/>
                <w:b/>
                <w:color w:val="auto"/>
                <w:sz w:val="24"/>
                <w:highlight w:val="none"/>
              </w:rPr>
              <w:t>2.2.4 主要原辅材料及燃料</w:t>
            </w:r>
          </w:p>
          <w:p>
            <w:pPr>
              <w:spacing w:line="360" w:lineRule="auto"/>
              <w:ind w:firstLine="480"/>
              <w:rPr>
                <w:bCs/>
                <w:color w:val="auto"/>
                <w:sz w:val="24"/>
                <w:highlight w:val="none"/>
              </w:rPr>
            </w:pPr>
            <w:r>
              <w:rPr>
                <w:rFonts w:ascii="Times New Roman" w:eastAsia="宋体" w:hAnsi="Times New Roman" w:cs="Times New Roman" w:hint="eastAsia"/>
                <w:bCs/>
                <w:color w:val="auto"/>
                <w:sz w:val="24"/>
                <w:highlight w:val="none"/>
              </w:rPr>
              <w:t>迁建项目设备、工艺、原辅材料均不发生变化，迁建</w:t>
            </w:r>
            <w:r>
              <w:rPr>
                <w:rFonts w:ascii="Times New Roman" w:eastAsia="宋体" w:hAnsi="Times New Roman" w:cs="Times New Roman"/>
                <w:bCs/>
                <w:color w:val="auto"/>
                <w:sz w:val="24"/>
                <w:highlight w:val="none"/>
              </w:rPr>
              <w:t>项目主要原辅材料及燃料详见表2-6。</w:t>
            </w:r>
          </w:p>
          <w:p>
            <w:pPr>
              <w:jc w:val="center"/>
              <w:rPr>
                <w:b/>
                <w:color w:val="auto"/>
                <w:sz w:val="24"/>
                <w:highlight w:val="none"/>
              </w:rPr>
            </w:pPr>
            <w:r>
              <w:rPr>
                <w:rFonts w:ascii="Times New Roman" w:eastAsia="宋体" w:hAnsi="Times New Roman" w:cs="Times New Roman"/>
                <w:b/>
                <w:color w:val="auto"/>
                <w:sz w:val="24"/>
                <w:highlight w:val="none"/>
              </w:rPr>
              <w:t xml:space="preserve">表2-6  </w:t>
            </w:r>
            <w:r>
              <w:rPr>
                <w:rFonts w:ascii="Times New Roman" w:eastAsia="宋体" w:hAnsi="Times New Roman" w:cs="Times New Roman" w:hint="eastAsia"/>
                <w:b/>
                <w:color w:val="auto"/>
                <w:sz w:val="24"/>
                <w:highlight w:val="none"/>
              </w:rPr>
              <w:t>迁建</w:t>
            </w:r>
            <w:r>
              <w:rPr>
                <w:rFonts w:ascii="Times New Roman" w:eastAsia="宋体" w:hAnsi="Times New Roman" w:cs="Times New Roman"/>
                <w:b/>
                <w:color w:val="auto"/>
                <w:sz w:val="24"/>
                <w:highlight w:val="none"/>
              </w:rPr>
              <w:t>项目主要原辅材料</w:t>
            </w:r>
            <w:r>
              <w:rPr>
                <w:rFonts w:ascii="Times New Roman" w:eastAsia="宋体" w:hAnsi="Times New Roman" w:cs="Times New Roman" w:hint="eastAsia"/>
                <w:b/>
                <w:color w:val="auto"/>
                <w:sz w:val="24"/>
                <w:highlight w:val="none"/>
              </w:rPr>
              <w:t>表</w:t>
            </w:r>
          </w:p>
          <w:tbl>
            <w:tblPr>
              <w:tblStyle w:val="TableNormal"/>
              <w:tblW w:w="8048" w:type="dxa"/>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420"/>
              <w:gridCol w:w="1079"/>
              <w:gridCol w:w="504"/>
              <w:gridCol w:w="833"/>
              <w:gridCol w:w="854"/>
              <w:gridCol w:w="1000"/>
              <w:gridCol w:w="639"/>
              <w:gridCol w:w="762"/>
              <w:gridCol w:w="1082"/>
              <w:gridCol w:w="875"/>
            </w:tblGrid>
            <w:tr>
              <w:tblPrEx>
                <w:tblW w:w="8048" w:type="dxa"/>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b/>
                      <w:color w:val="auto"/>
                      <w:kern w:val="0"/>
                      <w:szCs w:val="21"/>
                      <w:highlight w:val="none"/>
                    </w:rPr>
                    <w:t>序号</w:t>
                  </w:r>
                </w:p>
              </w:tc>
              <w:tc>
                <w:tcPr>
                  <w:tcW w:w="1079"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b/>
                      <w:color w:val="auto"/>
                      <w:kern w:val="0"/>
                      <w:szCs w:val="21"/>
                      <w:highlight w:val="none"/>
                    </w:rPr>
                    <w:t>名称</w:t>
                  </w:r>
                </w:p>
              </w:tc>
              <w:tc>
                <w:tcPr>
                  <w:tcW w:w="504"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b/>
                      <w:color w:val="auto"/>
                      <w:kern w:val="0"/>
                      <w:szCs w:val="21"/>
                      <w:highlight w:val="none"/>
                    </w:rPr>
                    <w:t>规格</w:t>
                  </w:r>
                </w:p>
              </w:tc>
              <w:tc>
                <w:tcPr>
                  <w:tcW w:w="833"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b/>
                      <w:color w:val="auto"/>
                      <w:kern w:val="0"/>
                      <w:szCs w:val="21"/>
                      <w:highlight w:val="none"/>
                    </w:rPr>
                    <w:t>单位</w:t>
                  </w:r>
                </w:p>
              </w:tc>
              <w:tc>
                <w:tcPr>
                  <w:tcW w:w="854"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hint="eastAsia"/>
                      <w:b/>
                      <w:color w:val="auto"/>
                      <w:kern w:val="0"/>
                      <w:szCs w:val="21"/>
                      <w:highlight w:val="none"/>
                    </w:rPr>
                    <w:t>迁建前项目原料用量</w:t>
                  </w:r>
                </w:p>
              </w:tc>
              <w:tc>
                <w:tcPr>
                  <w:tcW w:w="1000"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hint="eastAsia"/>
                      <w:b/>
                      <w:color w:val="auto"/>
                      <w:kern w:val="0"/>
                      <w:szCs w:val="21"/>
                      <w:highlight w:val="none"/>
                    </w:rPr>
                    <w:t>本项目原料用量</w:t>
                  </w:r>
                </w:p>
              </w:tc>
              <w:tc>
                <w:tcPr>
                  <w:tcW w:w="639"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hint="eastAsia"/>
                      <w:b/>
                      <w:color w:val="auto"/>
                      <w:kern w:val="0"/>
                      <w:szCs w:val="21"/>
                      <w:highlight w:val="none"/>
                    </w:rPr>
                    <w:t>迁建前后变化量</w:t>
                  </w:r>
                </w:p>
              </w:tc>
              <w:tc>
                <w:tcPr>
                  <w:tcW w:w="762"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hint="eastAsia"/>
                      <w:b/>
                      <w:color w:val="auto"/>
                      <w:kern w:val="0"/>
                      <w:szCs w:val="21"/>
                      <w:highlight w:val="none"/>
                    </w:rPr>
                    <w:t>全厂最大储存量</w:t>
                  </w:r>
                </w:p>
              </w:tc>
              <w:tc>
                <w:tcPr>
                  <w:tcW w:w="1082"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hint="eastAsia"/>
                      <w:b/>
                      <w:color w:val="auto"/>
                      <w:kern w:val="0"/>
                      <w:szCs w:val="21"/>
                      <w:highlight w:val="none"/>
                    </w:rPr>
                    <w:t>储存位置</w:t>
                  </w:r>
                </w:p>
              </w:tc>
              <w:tc>
                <w:tcPr>
                  <w:tcW w:w="875" w:type="dxa"/>
                  <w:tcBorders>
                    <w:tl2br w:val="nil"/>
                    <w:tr2bl w:val="nil"/>
                  </w:tcBorders>
                  <w:vAlign w:val="center"/>
                </w:tcPr>
                <w:p>
                  <w:pPr>
                    <w:pStyle w:val="CharCharCharChar1"/>
                    <w:jc w:val="center"/>
                    <w:rPr>
                      <w:rFonts w:ascii="Times New Roman" w:eastAsia="宋体" w:hAnsi="Times New Roman" w:cs="Times New Roman"/>
                      <w:b/>
                      <w:color w:val="auto"/>
                      <w:kern w:val="0"/>
                      <w:szCs w:val="21"/>
                      <w:highlight w:val="none"/>
                    </w:rPr>
                  </w:pPr>
                  <w:r>
                    <w:rPr>
                      <w:rFonts w:ascii="Times New Roman" w:eastAsia="宋体" w:hAnsi="Times New Roman" w:cs="Times New Roman" w:hint="eastAsia"/>
                      <w:b/>
                      <w:color w:val="auto"/>
                      <w:kern w:val="0"/>
                      <w:szCs w:val="21"/>
                      <w:highlight w:val="none"/>
                    </w:rPr>
                    <w:t>使用位置</w:t>
                  </w:r>
                </w:p>
              </w:tc>
            </w:tr>
            <w:tr>
              <w:tblPrEx>
                <w:tblW w:w="8048" w:type="dxa"/>
                <w:tblInd w:w="5" w:type="dxa"/>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1</w:t>
                  </w:r>
                </w:p>
              </w:tc>
              <w:tc>
                <w:tcPr>
                  <w:tcW w:w="1079"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color w:val="auto"/>
                      <w:szCs w:val="21"/>
                      <w:highlight w:val="none"/>
                    </w:rPr>
                    <w:t>涤纶长丝</w:t>
                  </w:r>
                </w:p>
              </w:tc>
              <w:tc>
                <w:tcPr>
                  <w:tcW w:w="50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833"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t/a</w:t>
                  </w:r>
                </w:p>
              </w:tc>
              <w:tc>
                <w:tcPr>
                  <w:tcW w:w="85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2</w:t>
                  </w:r>
                  <w:r>
                    <w:rPr>
                      <w:rFonts w:ascii="Times New Roman" w:eastAsia="宋体" w:hAnsi="Times New Roman" w:cs="Times New Roman" w:hint="eastAsia"/>
                      <w:bCs/>
                      <w:color w:val="auto"/>
                      <w:kern w:val="0"/>
                      <w:szCs w:val="21"/>
                      <w:highlight w:val="none"/>
                    </w:rPr>
                    <w:t>000</w:t>
                  </w:r>
                </w:p>
              </w:tc>
              <w:tc>
                <w:tcPr>
                  <w:tcW w:w="100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2</w:t>
                  </w:r>
                  <w:r>
                    <w:rPr>
                      <w:rFonts w:ascii="Times New Roman" w:eastAsia="宋体" w:hAnsi="Times New Roman" w:cs="Times New Roman" w:hint="eastAsia"/>
                      <w:bCs/>
                      <w:color w:val="auto"/>
                      <w:kern w:val="0"/>
                      <w:szCs w:val="21"/>
                      <w:highlight w:val="none"/>
                    </w:rPr>
                    <w:t>000</w:t>
                  </w:r>
                </w:p>
              </w:tc>
              <w:tc>
                <w:tcPr>
                  <w:tcW w:w="639"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762"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75</w:t>
                  </w:r>
                </w:p>
              </w:tc>
              <w:tc>
                <w:tcPr>
                  <w:tcW w:w="1082"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原料仓库</w:t>
                  </w:r>
                </w:p>
              </w:tc>
              <w:tc>
                <w:tcPr>
                  <w:tcW w:w="875"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原料</w:t>
                  </w:r>
                </w:p>
              </w:tc>
            </w:tr>
            <w:tr>
              <w:tblPrEx>
                <w:tblW w:w="8048" w:type="dxa"/>
                <w:tblInd w:w="5" w:type="dxa"/>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2</w:t>
                  </w:r>
                </w:p>
              </w:tc>
              <w:tc>
                <w:tcPr>
                  <w:tcW w:w="1079" w:type="dxa"/>
                  <w:tcBorders>
                    <w:tl2br w:val="nil"/>
                    <w:tr2bl w:val="nil"/>
                  </w:tcBorders>
                  <w:vAlign w:val="center"/>
                </w:tcPr>
                <w:p>
                  <w:pPr>
                    <w:pStyle w:val="CharCharCharChar1"/>
                    <w:jc w:val="center"/>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涤纶低弹丝</w:t>
                  </w:r>
                </w:p>
              </w:tc>
              <w:tc>
                <w:tcPr>
                  <w:tcW w:w="50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833"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t/a</w:t>
                  </w:r>
                </w:p>
              </w:tc>
              <w:tc>
                <w:tcPr>
                  <w:tcW w:w="85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1</w:t>
                  </w:r>
                  <w:r>
                    <w:rPr>
                      <w:rFonts w:ascii="Times New Roman" w:eastAsia="宋体" w:hAnsi="Times New Roman" w:cs="Times New Roman" w:hint="eastAsia"/>
                      <w:bCs/>
                      <w:color w:val="auto"/>
                      <w:kern w:val="0"/>
                      <w:szCs w:val="21"/>
                      <w:highlight w:val="none"/>
                    </w:rPr>
                    <w:t>000</w:t>
                  </w:r>
                </w:p>
              </w:tc>
              <w:tc>
                <w:tcPr>
                  <w:tcW w:w="100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1</w:t>
                  </w:r>
                  <w:r>
                    <w:rPr>
                      <w:rFonts w:ascii="Times New Roman" w:eastAsia="宋体" w:hAnsi="Times New Roman" w:cs="Times New Roman" w:hint="eastAsia"/>
                      <w:bCs/>
                      <w:color w:val="auto"/>
                      <w:kern w:val="0"/>
                      <w:szCs w:val="21"/>
                      <w:highlight w:val="none"/>
                    </w:rPr>
                    <w:t>000</w:t>
                  </w:r>
                </w:p>
              </w:tc>
              <w:tc>
                <w:tcPr>
                  <w:tcW w:w="639"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762"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4</w:t>
                  </w:r>
                  <w:r>
                    <w:rPr>
                      <w:rFonts w:ascii="Times New Roman" w:eastAsia="宋体" w:hAnsi="Times New Roman" w:cs="Times New Roman" w:hint="eastAsia"/>
                      <w:bCs/>
                      <w:color w:val="auto"/>
                      <w:kern w:val="0"/>
                      <w:szCs w:val="21"/>
                      <w:highlight w:val="none"/>
                    </w:rPr>
                    <w:t>0</w:t>
                  </w:r>
                </w:p>
              </w:tc>
              <w:tc>
                <w:tcPr>
                  <w:tcW w:w="1082"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原料仓库</w:t>
                  </w:r>
                </w:p>
              </w:tc>
              <w:tc>
                <w:tcPr>
                  <w:tcW w:w="875"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原料</w:t>
                  </w:r>
                </w:p>
              </w:tc>
            </w:tr>
            <w:tr>
              <w:tblPrEx>
                <w:tblW w:w="8048" w:type="dxa"/>
                <w:tblInd w:w="5" w:type="dxa"/>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3</w:t>
                  </w:r>
                </w:p>
              </w:tc>
              <w:tc>
                <w:tcPr>
                  <w:tcW w:w="1079" w:type="dxa"/>
                  <w:tcBorders>
                    <w:tl2br w:val="nil"/>
                    <w:tr2bl w:val="nil"/>
                  </w:tcBorders>
                  <w:vAlign w:val="center"/>
                </w:tcPr>
                <w:p>
                  <w:pPr>
                    <w:pStyle w:val="CharCharCharChar1"/>
                    <w:jc w:val="center"/>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纸箱</w:t>
                  </w:r>
                </w:p>
              </w:tc>
              <w:tc>
                <w:tcPr>
                  <w:tcW w:w="50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833"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万只/a</w:t>
                  </w:r>
                </w:p>
              </w:tc>
              <w:tc>
                <w:tcPr>
                  <w:tcW w:w="85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5</w:t>
                  </w:r>
                  <w:r>
                    <w:rPr>
                      <w:rFonts w:ascii="Times New Roman" w:eastAsia="宋体" w:hAnsi="Times New Roman" w:cs="Times New Roman" w:hint="eastAsia"/>
                      <w:bCs/>
                      <w:color w:val="auto"/>
                      <w:kern w:val="0"/>
                      <w:szCs w:val="21"/>
                      <w:highlight w:val="none"/>
                    </w:rPr>
                    <w:t>00</w:t>
                  </w:r>
                </w:p>
              </w:tc>
              <w:tc>
                <w:tcPr>
                  <w:tcW w:w="100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5</w:t>
                  </w:r>
                  <w:r>
                    <w:rPr>
                      <w:rFonts w:ascii="Times New Roman" w:eastAsia="宋体" w:hAnsi="Times New Roman" w:cs="Times New Roman" w:hint="eastAsia"/>
                      <w:bCs/>
                      <w:color w:val="auto"/>
                      <w:kern w:val="0"/>
                      <w:szCs w:val="21"/>
                      <w:highlight w:val="none"/>
                    </w:rPr>
                    <w:t>00</w:t>
                  </w:r>
                </w:p>
              </w:tc>
              <w:tc>
                <w:tcPr>
                  <w:tcW w:w="639"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762"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1</w:t>
                  </w:r>
                  <w:r>
                    <w:rPr>
                      <w:rFonts w:ascii="Times New Roman" w:eastAsia="宋体" w:hAnsi="Times New Roman" w:cs="Times New Roman" w:hint="eastAsia"/>
                      <w:bCs/>
                      <w:color w:val="auto"/>
                      <w:kern w:val="0"/>
                      <w:szCs w:val="21"/>
                      <w:highlight w:val="none"/>
                    </w:rPr>
                    <w:t>0</w:t>
                  </w:r>
                </w:p>
              </w:tc>
              <w:tc>
                <w:tcPr>
                  <w:tcW w:w="1082"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原料仓库</w:t>
                  </w:r>
                </w:p>
              </w:tc>
              <w:tc>
                <w:tcPr>
                  <w:tcW w:w="875" w:type="dxa"/>
                  <w:tcBorders>
                    <w:tl2br w:val="nil"/>
                    <w:tr2bl w:val="nil"/>
                  </w:tcBorders>
                  <w:vAlign w:val="center"/>
                </w:tcPr>
                <w:p>
                  <w:pPr>
                    <w:pStyle w:val="CharCharCharChar1"/>
                    <w:spacing w:after="0"/>
                    <w:jc w:val="center"/>
                    <w:rPr>
                      <w:rFonts w:ascii="Times New Roman" w:eastAsia="宋体" w:hAnsi="Times New Roman" w:cs="Times New Roman"/>
                      <w:bCs/>
                      <w:color w:val="auto"/>
                      <w:kern w:val="0"/>
                      <w:szCs w:val="21"/>
                      <w:highlight w:val="none"/>
                    </w:rPr>
                  </w:pPr>
                </w:p>
              </w:tc>
            </w:tr>
          </w:tbl>
          <w:p/>
        </w:tc>
      </w:tr>
    </w:tbl>
    <w:p>
      <w:pPr>
        <w:sectPr>
          <w:footerReference w:type="even" r:id="rId40"/>
          <w:footerReference w:type="default" r:id="rId41"/>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1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901"/>
          <w:jc w:val="center"/>
        </w:trPr>
        <w:tc>
          <w:tcPr>
            <w:tcW w:w="823" w:type="dxa"/>
            <w:vAlign w:val="center"/>
          </w:tcPr>
          <w:p/>
        </w:tc>
        <w:tc>
          <w:tcPr>
            <w:tcW w:w="8161" w:type="dxa"/>
          </w:tcPr>
          <w:tbl>
            <w:tblPr>
              <w:tblStyle w:val="TableNormal"/>
              <w:tblW w:w="8048" w:type="dxa"/>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420"/>
              <w:gridCol w:w="1079"/>
              <w:gridCol w:w="504"/>
              <w:gridCol w:w="833"/>
              <w:gridCol w:w="854"/>
              <w:gridCol w:w="1000"/>
              <w:gridCol w:w="639"/>
              <w:gridCol w:w="762"/>
              <w:gridCol w:w="1082"/>
              <w:gridCol w:w="875"/>
            </w:tblGrid>
            <w:tr>
              <w:tblPrEx>
                <w:tblW w:w="8048" w:type="dxa"/>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trPr>
              <w:tc>
                <w:tcPr>
                  <w:tcW w:w="420" w:type="dxa"/>
                  <w:tcBorders>
                    <w:tl2br w:val="nil"/>
                    <w:tr2bl w:val="nil"/>
                  </w:tcBorders>
                  <w:vAlign w:val="center"/>
                </w:tcPr>
                <w:p/>
              </w:tc>
              <w:tc>
                <w:tcPr>
                  <w:tcW w:w="1079" w:type="dxa"/>
                  <w:tcBorders>
                    <w:tl2br w:val="nil"/>
                    <w:tr2bl w:val="nil"/>
                  </w:tcBorders>
                  <w:vAlign w:val="center"/>
                </w:tcPr>
                <w:p/>
              </w:tc>
              <w:tc>
                <w:tcPr>
                  <w:tcW w:w="504" w:type="dxa"/>
                  <w:tcBorders>
                    <w:tl2br w:val="nil"/>
                    <w:tr2bl w:val="nil"/>
                  </w:tcBorders>
                  <w:vAlign w:val="center"/>
                </w:tcPr>
                <w:p/>
              </w:tc>
              <w:tc>
                <w:tcPr>
                  <w:tcW w:w="833" w:type="dxa"/>
                  <w:tcBorders>
                    <w:tl2br w:val="nil"/>
                    <w:tr2bl w:val="nil"/>
                  </w:tcBorders>
                  <w:vAlign w:val="center"/>
                </w:tcPr>
                <w:p/>
              </w:tc>
              <w:tc>
                <w:tcPr>
                  <w:tcW w:w="854" w:type="dxa"/>
                  <w:tcBorders>
                    <w:tl2br w:val="nil"/>
                    <w:tr2bl w:val="nil"/>
                  </w:tcBorders>
                  <w:vAlign w:val="center"/>
                </w:tcPr>
                <w:p/>
              </w:tc>
              <w:tc>
                <w:tcPr>
                  <w:tcW w:w="1000" w:type="dxa"/>
                  <w:tcBorders>
                    <w:tl2br w:val="nil"/>
                    <w:tr2bl w:val="nil"/>
                  </w:tcBorders>
                  <w:vAlign w:val="center"/>
                </w:tcPr>
                <w:p/>
              </w:tc>
              <w:tc>
                <w:tcPr>
                  <w:tcW w:w="639" w:type="dxa"/>
                  <w:tcBorders>
                    <w:tl2br w:val="nil"/>
                    <w:tr2bl w:val="nil"/>
                  </w:tcBorders>
                  <w:vAlign w:val="center"/>
                </w:tcPr>
                <w:p/>
              </w:tc>
              <w:tc>
                <w:tcPr>
                  <w:tcW w:w="762" w:type="dxa"/>
                  <w:tcBorders>
                    <w:tl2br w:val="nil"/>
                    <w:tr2bl w:val="nil"/>
                  </w:tcBorders>
                  <w:vAlign w:val="center"/>
                </w:tcPr>
                <w:p/>
              </w:tc>
              <w:tc>
                <w:tcPr>
                  <w:tcW w:w="1082" w:type="dxa"/>
                  <w:tcBorders>
                    <w:tl2br w:val="nil"/>
                    <w:tr2bl w:val="nil"/>
                  </w:tcBorders>
                  <w:vAlign w:val="center"/>
                </w:tcPr>
                <w:p/>
              </w:tc>
              <w:tc>
                <w:tcPr>
                  <w:tcW w:w="875" w:type="dxa"/>
                  <w:tcBorders>
                    <w:tl2br w:val="nil"/>
                    <w:tr2bl w:val="nil"/>
                  </w:tcBorders>
                  <w:vAlign w:val="center"/>
                </w:tcPr>
                <w:p>
                  <w:pPr>
                    <w:pStyle w:val="CharCharCharChar1"/>
                    <w:spacing w:before="0"/>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成品包装</w:t>
                  </w:r>
                </w:p>
              </w:tc>
            </w:tr>
            <w:tr>
              <w:tblPrEx>
                <w:tblW w:w="8048" w:type="dxa"/>
                <w:tblInd w:w="5" w:type="dxa"/>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4</w:t>
                  </w:r>
                </w:p>
              </w:tc>
              <w:tc>
                <w:tcPr>
                  <w:tcW w:w="1079" w:type="dxa"/>
                  <w:tcBorders>
                    <w:tl2br w:val="nil"/>
                    <w:tr2bl w:val="nil"/>
                  </w:tcBorders>
                  <w:vAlign w:val="center"/>
                </w:tcPr>
                <w:p>
                  <w:pPr>
                    <w:pStyle w:val="CharCharCharChar1"/>
                    <w:jc w:val="center"/>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包装材料</w:t>
                  </w:r>
                </w:p>
              </w:tc>
              <w:tc>
                <w:tcPr>
                  <w:tcW w:w="50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833"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t/a</w:t>
                  </w:r>
                </w:p>
              </w:tc>
              <w:tc>
                <w:tcPr>
                  <w:tcW w:w="85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26</w:t>
                  </w:r>
                  <w:r>
                    <w:rPr>
                      <w:rFonts w:ascii="Times New Roman" w:eastAsia="宋体" w:hAnsi="Times New Roman" w:cs="Times New Roman" w:hint="eastAsia"/>
                      <w:bCs/>
                      <w:color w:val="auto"/>
                      <w:kern w:val="0"/>
                      <w:szCs w:val="21"/>
                      <w:highlight w:val="none"/>
                    </w:rPr>
                    <w:t>000</w:t>
                  </w:r>
                </w:p>
              </w:tc>
              <w:tc>
                <w:tcPr>
                  <w:tcW w:w="1000"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26</w:t>
                  </w:r>
                </w:p>
              </w:tc>
              <w:tc>
                <w:tcPr>
                  <w:tcW w:w="639"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rPr>
                    <w:t>-</w:t>
                  </w:r>
                  <w:r>
                    <w:rPr>
                      <w:rFonts w:ascii="Times New Roman" w:eastAsia="宋体" w:hAnsi="Times New Roman" w:cs="Times New Roman" w:hint="eastAsia"/>
                      <w:bCs/>
                      <w:color w:val="auto"/>
                      <w:kern w:val="0"/>
                      <w:szCs w:val="21"/>
                      <w:highlight w:val="none"/>
                      <w:lang w:val="en-US" w:eastAsia="zh-CN"/>
                    </w:rPr>
                    <w:t>25974</w:t>
                  </w:r>
                </w:p>
              </w:tc>
              <w:tc>
                <w:tcPr>
                  <w:tcW w:w="762"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eastAsia="zh-CN"/>
                    </w:rPr>
                  </w:pPr>
                  <w:r>
                    <w:rPr>
                      <w:rFonts w:ascii="Times New Roman" w:eastAsia="宋体" w:hAnsi="Times New Roman" w:cs="Times New Roman" w:hint="eastAsia"/>
                      <w:bCs/>
                      <w:color w:val="auto"/>
                      <w:kern w:val="0"/>
                      <w:szCs w:val="21"/>
                      <w:highlight w:val="none"/>
                      <w:lang w:val="en-US" w:eastAsia="zh-CN"/>
                    </w:rPr>
                    <w:t>2</w:t>
                  </w:r>
                </w:p>
              </w:tc>
              <w:tc>
                <w:tcPr>
                  <w:tcW w:w="1082"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原料仓库</w:t>
                  </w:r>
                </w:p>
              </w:tc>
              <w:tc>
                <w:tcPr>
                  <w:tcW w:w="875"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成品包装</w:t>
                  </w:r>
                </w:p>
              </w:tc>
            </w:tr>
            <w:tr>
              <w:tblPrEx>
                <w:tblW w:w="8048" w:type="dxa"/>
                <w:tblInd w:w="5" w:type="dxa"/>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5</w:t>
                  </w:r>
                </w:p>
              </w:tc>
              <w:tc>
                <w:tcPr>
                  <w:tcW w:w="1079" w:type="dxa"/>
                  <w:tcBorders>
                    <w:tl2br w:val="nil"/>
                    <w:tr2bl w:val="nil"/>
                  </w:tcBorders>
                  <w:vAlign w:val="center"/>
                </w:tcPr>
                <w:p>
                  <w:pPr>
                    <w:pStyle w:val="40"/>
                    <w:jc w:val="center"/>
                    <w:rPr>
                      <w:rFonts w:ascii="Times New Roman" w:hAnsi="Times New Roman"/>
                      <w:color w:val="auto"/>
                      <w:szCs w:val="21"/>
                      <w:highlight w:val="none"/>
                    </w:rPr>
                  </w:pPr>
                  <w:r>
                    <w:rPr>
                      <w:rFonts w:ascii="Times New Roman" w:eastAsia="宋体" w:hAnsi="Times New Roman" w:cs="Times New Roman" w:hint="eastAsia"/>
                      <w:color w:val="auto"/>
                      <w:szCs w:val="21"/>
                      <w:highlight w:val="none"/>
                    </w:rPr>
                    <w:t>机油</w:t>
                  </w:r>
                </w:p>
              </w:tc>
              <w:tc>
                <w:tcPr>
                  <w:tcW w:w="50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833"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t/a</w:t>
                  </w:r>
                </w:p>
              </w:tc>
              <w:tc>
                <w:tcPr>
                  <w:tcW w:w="85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1000"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eastAsia="zh-CN"/>
                    </w:rPr>
                  </w:pPr>
                  <w:r>
                    <w:rPr>
                      <w:rFonts w:ascii="Times New Roman" w:eastAsia="宋体" w:hAnsi="Times New Roman" w:cs="Times New Roman" w:hint="eastAsia"/>
                      <w:bCs/>
                      <w:color w:val="auto"/>
                      <w:kern w:val="0"/>
                      <w:szCs w:val="21"/>
                      <w:highlight w:val="none"/>
                      <w:lang w:val="en-US" w:eastAsia="zh-CN"/>
                    </w:rPr>
                    <w:t>3</w:t>
                  </w:r>
                </w:p>
              </w:tc>
              <w:tc>
                <w:tcPr>
                  <w:tcW w:w="639"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rPr>
                    <w:t>+</w:t>
                  </w:r>
                  <w:r>
                    <w:rPr>
                      <w:rFonts w:ascii="Times New Roman" w:eastAsia="宋体" w:hAnsi="Times New Roman" w:cs="Times New Roman" w:hint="eastAsia"/>
                      <w:bCs/>
                      <w:color w:val="auto"/>
                      <w:kern w:val="0"/>
                      <w:szCs w:val="21"/>
                      <w:highlight w:val="none"/>
                      <w:lang w:val="en-US" w:eastAsia="zh-CN"/>
                    </w:rPr>
                    <w:t>3</w:t>
                  </w:r>
                </w:p>
              </w:tc>
              <w:tc>
                <w:tcPr>
                  <w:tcW w:w="762"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rPr>
                    <w:t>0.</w:t>
                  </w:r>
                  <w:r>
                    <w:rPr>
                      <w:rFonts w:ascii="Times New Roman" w:eastAsia="宋体" w:hAnsi="Times New Roman" w:cs="Times New Roman" w:hint="eastAsia"/>
                      <w:bCs/>
                      <w:color w:val="auto"/>
                      <w:kern w:val="0"/>
                      <w:szCs w:val="21"/>
                      <w:highlight w:val="none"/>
                      <w:lang w:val="en-US" w:eastAsia="zh-CN"/>
                    </w:rPr>
                    <w:t>2</w:t>
                  </w:r>
                </w:p>
              </w:tc>
              <w:tc>
                <w:tcPr>
                  <w:tcW w:w="1082" w:type="dxa"/>
                  <w:tcBorders>
                    <w:tl2br w:val="nil"/>
                    <w:tr2bl w:val="nil"/>
                  </w:tcBorders>
                  <w:vAlign w:val="center"/>
                </w:tcPr>
                <w:p>
                  <w:pPr>
                    <w:jc w:val="center"/>
                    <w:rPr>
                      <w:bCs/>
                      <w:color w:val="auto"/>
                      <w:kern w:val="0"/>
                      <w:szCs w:val="21"/>
                      <w:highlight w:val="none"/>
                    </w:rPr>
                  </w:pPr>
                  <w:r>
                    <w:rPr>
                      <w:rFonts w:ascii="Times New Roman" w:eastAsia="宋体" w:hAnsi="Times New Roman" w:cs="Times New Roman" w:hint="eastAsia"/>
                      <w:bCs/>
                      <w:color w:val="auto"/>
                      <w:kern w:val="0"/>
                      <w:szCs w:val="21"/>
                      <w:highlight w:val="none"/>
                    </w:rPr>
                    <w:t>原料仓库</w:t>
                  </w:r>
                </w:p>
              </w:tc>
              <w:tc>
                <w:tcPr>
                  <w:tcW w:w="875" w:type="dxa"/>
                  <w:tcBorders>
                    <w:tl2br w:val="nil"/>
                    <w:tr2bl w:val="nil"/>
                  </w:tcBorders>
                  <w:vAlign w:val="center"/>
                </w:tcPr>
                <w:p>
                  <w:pPr>
                    <w:jc w:val="center"/>
                    <w:rPr>
                      <w:bCs/>
                      <w:color w:val="auto"/>
                      <w:kern w:val="0"/>
                      <w:szCs w:val="21"/>
                      <w:highlight w:val="none"/>
                    </w:rPr>
                  </w:pPr>
                  <w:r>
                    <w:rPr>
                      <w:rFonts w:ascii="Times New Roman" w:eastAsia="宋体" w:hAnsi="Times New Roman" w:cs="Times New Roman" w:hint="eastAsia"/>
                      <w:bCs/>
                      <w:color w:val="auto"/>
                      <w:kern w:val="0"/>
                      <w:szCs w:val="21"/>
                      <w:highlight w:val="none"/>
                    </w:rPr>
                    <w:t>设备维修</w:t>
                  </w:r>
                </w:p>
              </w:tc>
            </w:tr>
            <w:tr>
              <w:tblPrEx>
                <w:tblW w:w="8048" w:type="dxa"/>
                <w:tblInd w:w="5" w:type="dxa"/>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6</w:t>
                  </w:r>
                </w:p>
              </w:tc>
              <w:tc>
                <w:tcPr>
                  <w:tcW w:w="1079" w:type="dxa"/>
                  <w:tcBorders>
                    <w:tl2br w:val="nil"/>
                    <w:tr2bl w:val="nil"/>
                  </w:tcBorders>
                  <w:vAlign w:val="center"/>
                </w:tcPr>
                <w:p>
                  <w:pPr>
                    <w:pStyle w:val="40"/>
                    <w:jc w:val="center"/>
                    <w:rPr>
                      <w:rFonts w:ascii="Times New Roman" w:hAnsi="Times New Roman"/>
                      <w:color w:val="auto"/>
                      <w:szCs w:val="21"/>
                      <w:highlight w:val="none"/>
                    </w:rPr>
                  </w:pPr>
                  <w:r>
                    <w:rPr>
                      <w:rFonts w:ascii="Times New Roman" w:eastAsia="宋体" w:hAnsi="Times New Roman" w:cs="Times New Roman" w:hint="eastAsia"/>
                      <w:color w:val="auto"/>
                      <w:szCs w:val="21"/>
                      <w:highlight w:val="none"/>
                    </w:rPr>
                    <w:t>高分子絮凝剂</w:t>
                  </w:r>
                </w:p>
              </w:tc>
              <w:tc>
                <w:tcPr>
                  <w:tcW w:w="50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833"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t/a</w:t>
                  </w:r>
                </w:p>
              </w:tc>
              <w:tc>
                <w:tcPr>
                  <w:tcW w:w="85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1000"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0.5</w:t>
                  </w:r>
                </w:p>
              </w:tc>
              <w:tc>
                <w:tcPr>
                  <w:tcW w:w="639"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rPr>
                    <w:t>+</w:t>
                  </w:r>
                  <w:r>
                    <w:rPr>
                      <w:rFonts w:ascii="Times New Roman" w:eastAsia="宋体" w:hAnsi="Times New Roman" w:cs="Times New Roman" w:hint="eastAsia"/>
                      <w:bCs/>
                      <w:color w:val="auto"/>
                      <w:kern w:val="0"/>
                      <w:szCs w:val="21"/>
                      <w:highlight w:val="none"/>
                      <w:lang w:val="en-US" w:eastAsia="zh-CN"/>
                    </w:rPr>
                    <w:t>0.5</w:t>
                  </w:r>
                </w:p>
              </w:tc>
              <w:tc>
                <w:tcPr>
                  <w:tcW w:w="762"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eastAsia="zh-CN"/>
                    </w:rPr>
                  </w:pPr>
                  <w:r>
                    <w:rPr>
                      <w:rFonts w:ascii="Times New Roman" w:eastAsia="宋体" w:hAnsi="Times New Roman" w:cs="Times New Roman" w:hint="eastAsia"/>
                      <w:bCs/>
                      <w:color w:val="auto"/>
                      <w:kern w:val="0"/>
                      <w:szCs w:val="21"/>
                      <w:highlight w:val="none"/>
                    </w:rPr>
                    <w:t>0.</w:t>
                  </w:r>
                  <w:r>
                    <w:rPr>
                      <w:rFonts w:ascii="Times New Roman" w:eastAsia="宋体" w:hAnsi="Times New Roman" w:cs="Times New Roman" w:hint="eastAsia"/>
                      <w:bCs/>
                      <w:color w:val="auto"/>
                      <w:kern w:val="0"/>
                      <w:szCs w:val="21"/>
                      <w:highlight w:val="none"/>
                      <w:lang w:val="en-US" w:eastAsia="zh-CN"/>
                    </w:rPr>
                    <w:t>1</w:t>
                  </w:r>
                </w:p>
              </w:tc>
              <w:tc>
                <w:tcPr>
                  <w:tcW w:w="1082" w:type="dxa"/>
                  <w:tcBorders>
                    <w:tl2br w:val="nil"/>
                    <w:tr2bl w:val="nil"/>
                  </w:tcBorders>
                  <w:vAlign w:val="center"/>
                </w:tcPr>
                <w:p>
                  <w:pPr>
                    <w:jc w:val="center"/>
                    <w:rPr>
                      <w:bCs/>
                      <w:color w:val="auto"/>
                      <w:kern w:val="0"/>
                      <w:szCs w:val="21"/>
                      <w:highlight w:val="none"/>
                    </w:rPr>
                  </w:pPr>
                  <w:r>
                    <w:rPr>
                      <w:rFonts w:ascii="Times New Roman" w:eastAsia="宋体" w:hAnsi="Times New Roman" w:cs="Times New Roman" w:hint="eastAsia"/>
                      <w:bCs/>
                      <w:color w:val="auto"/>
                      <w:kern w:val="0"/>
                      <w:szCs w:val="21"/>
                      <w:highlight w:val="none"/>
                    </w:rPr>
                    <w:t>原料仓库</w:t>
                  </w:r>
                </w:p>
              </w:tc>
              <w:tc>
                <w:tcPr>
                  <w:tcW w:w="875" w:type="dxa"/>
                  <w:tcBorders>
                    <w:tl2br w:val="nil"/>
                    <w:tr2bl w:val="nil"/>
                  </w:tcBorders>
                  <w:vAlign w:val="center"/>
                </w:tcPr>
                <w:p>
                  <w:pPr>
                    <w:jc w:val="center"/>
                    <w:rPr>
                      <w:bCs/>
                      <w:color w:val="auto"/>
                      <w:kern w:val="0"/>
                      <w:szCs w:val="21"/>
                      <w:highlight w:val="none"/>
                    </w:rPr>
                  </w:pPr>
                  <w:r>
                    <w:rPr>
                      <w:rFonts w:ascii="Times New Roman" w:eastAsia="宋体" w:hAnsi="Times New Roman" w:cs="Times New Roman" w:hint="eastAsia"/>
                      <w:bCs/>
                      <w:color w:val="auto"/>
                      <w:kern w:val="0"/>
                      <w:szCs w:val="21"/>
                      <w:highlight w:val="none"/>
                    </w:rPr>
                    <w:t>污水处理区</w:t>
                  </w:r>
                </w:p>
              </w:tc>
            </w:tr>
            <w:tr>
              <w:tblPrEx>
                <w:tblW w:w="8048" w:type="dxa"/>
                <w:tblInd w:w="5" w:type="dxa"/>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7</w:t>
                  </w:r>
                </w:p>
              </w:tc>
              <w:tc>
                <w:tcPr>
                  <w:tcW w:w="1079" w:type="dxa"/>
                  <w:tcBorders>
                    <w:tl2br w:val="nil"/>
                    <w:tr2bl w:val="nil"/>
                  </w:tcBorders>
                  <w:vAlign w:val="center"/>
                </w:tcPr>
                <w:p>
                  <w:pPr>
                    <w:pStyle w:val="40"/>
                    <w:jc w:val="center"/>
                    <w:rPr>
                      <w:rFonts w:ascii="Times New Roman" w:hAnsi="Times New Roman"/>
                      <w:color w:val="auto"/>
                      <w:szCs w:val="21"/>
                      <w:highlight w:val="none"/>
                    </w:rPr>
                  </w:pPr>
                  <w:r>
                    <w:rPr>
                      <w:rFonts w:ascii="Times New Roman" w:eastAsia="宋体" w:hAnsi="Times New Roman" w:cs="Times New Roman" w:hint="eastAsia"/>
                      <w:color w:val="auto"/>
                      <w:szCs w:val="21"/>
                      <w:highlight w:val="none"/>
                    </w:rPr>
                    <w:t>聚合氯化铝</w:t>
                  </w:r>
                </w:p>
              </w:tc>
              <w:tc>
                <w:tcPr>
                  <w:tcW w:w="50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833"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t/a</w:t>
                  </w:r>
                </w:p>
              </w:tc>
              <w:tc>
                <w:tcPr>
                  <w:tcW w:w="854" w:type="dxa"/>
                  <w:tcBorders>
                    <w:tl2br w:val="nil"/>
                    <w:tr2bl w:val="nil"/>
                  </w:tcBorders>
                  <w:vAlign w:val="center"/>
                </w:tcPr>
                <w:p>
                  <w:pPr>
                    <w:pStyle w:val="CharCharCharChar1"/>
                    <w:jc w:val="center"/>
                    <w:rPr>
                      <w:rFonts w:ascii="Times New Roman" w:eastAsia="宋体" w:hAnsi="Times New Roman" w:cs="Times New Roman"/>
                      <w:bCs/>
                      <w:color w:val="auto"/>
                      <w:kern w:val="0"/>
                      <w:szCs w:val="21"/>
                      <w:highlight w:val="none"/>
                    </w:rPr>
                  </w:pPr>
                  <w:r>
                    <w:rPr>
                      <w:rFonts w:ascii="Times New Roman" w:eastAsia="宋体" w:hAnsi="Times New Roman" w:cs="Times New Roman" w:hint="eastAsia"/>
                      <w:bCs/>
                      <w:color w:val="auto"/>
                      <w:kern w:val="0"/>
                      <w:szCs w:val="21"/>
                      <w:highlight w:val="none"/>
                    </w:rPr>
                    <w:t>/</w:t>
                  </w:r>
                </w:p>
              </w:tc>
              <w:tc>
                <w:tcPr>
                  <w:tcW w:w="1000"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0.5</w:t>
                  </w:r>
                </w:p>
              </w:tc>
              <w:tc>
                <w:tcPr>
                  <w:tcW w:w="639"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rPr>
                    <w:t>+</w:t>
                  </w:r>
                  <w:r>
                    <w:rPr>
                      <w:rFonts w:ascii="Times New Roman" w:eastAsia="宋体" w:hAnsi="Times New Roman" w:cs="Times New Roman" w:hint="eastAsia"/>
                      <w:bCs/>
                      <w:color w:val="auto"/>
                      <w:kern w:val="0"/>
                      <w:szCs w:val="21"/>
                      <w:highlight w:val="none"/>
                      <w:lang w:val="en-US" w:eastAsia="zh-CN"/>
                    </w:rPr>
                    <w:t>0.5</w:t>
                  </w:r>
                </w:p>
              </w:tc>
              <w:tc>
                <w:tcPr>
                  <w:tcW w:w="762"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eastAsia="zh-CN"/>
                    </w:rPr>
                  </w:pPr>
                  <w:r>
                    <w:rPr>
                      <w:rFonts w:ascii="Times New Roman" w:eastAsia="宋体" w:hAnsi="Times New Roman" w:cs="Times New Roman" w:hint="eastAsia"/>
                      <w:bCs/>
                      <w:color w:val="auto"/>
                      <w:kern w:val="0"/>
                      <w:szCs w:val="21"/>
                      <w:highlight w:val="none"/>
                    </w:rPr>
                    <w:t>0.</w:t>
                  </w:r>
                  <w:r>
                    <w:rPr>
                      <w:rFonts w:ascii="Times New Roman" w:eastAsia="宋体" w:hAnsi="Times New Roman" w:cs="Times New Roman" w:hint="eastAsia"/>
                      <w:bCs/>
                      <w:color w:val="auto"/>
                      <w:kern w:val="0"/>
                      <w:szCs w:val="21"/>
                      <w:highlight w:val="none"/>
                      <w:lang w:val="en-US" w:eastAsia="zh-CN"/>
                    </w:rPr>
                    <w:t>1</w:t>
                  </w:r>
                </w:p>
              </w:tc>
              <w:tc>
                <w:tcPr>
                  <w:tcW w:w="1082" w:type="dxa"/>
                  <w:tcBorders>
                    <w:tl2br w:val="nil"/>
                    <w:tr2bl w:val="nil"/>
                  </w:tcBorders>
                  <w:vAlign w:val="center"/>
                </w:tcPr>
                <w:p>
                  <w:pPr>
                    <w:jc w:val="center"/>
                    <w:rPr>
                      <w:bCs/>
                      <w:color w:val="auto"/>
                      <w:kern w:val="0"/>
                      <w:szCs w:val="21"/>
                      <w:highlight w:val="none"/>
                    </w:rPr>
                  </w:pPr>
                  <w:r>
                    <w:rPr>
                      <w:rFonts w:ascii="Times New Roman" w:eastAsia="宋体" w:hAnsi="Times New Roman" w:cs="Times New Roman" w:hint="eastAsia"/>
                      <w:bCs/>
                      <w:color w:val="auto"/>
                      <w:kern w:val="0"/>
                      <w:szCs w:val="21"/>
                      <w:highlight w:val="none"/>
                    </w:rPr>
                    <w:t>原料仓库</w:t>
                  </w:r>
                </w:p>
              </w:tc>
              <w:tc>
                <w:tcPr>
                  <w:tcW w:w="875" w:type="dxa"/>
                  <w:tcBorders>
                    <w:tl2br w:val="nil"/>
                    <w:tr2bl w:val="nil"/>
                  </w:tcBorders>
                  <w:vAlign w:val="center"/>
                </w:tcPr>
                <w:p>
                  <w:pPr>
                    <w:jc w:val="center"/>
                    <w:rPr>
                      <w:bCs/>
                      <w:color w:val="auto"/>
                      <w:kern w:val="0"/>
                      <w:szCs w:val="21"/>
                      <w:highlight w:val="none"/>
                    </w:rPr>
                  </w:pPr>
                  <w:r>
                    <w:rPr>
                      <w:rFonts w:ascii="Times New Roman" w:eastAsia="宋体" w:hAnsi="Times New Roman" w:cs="Times New Roman" w:hint="eastAsia"/>
                      <w:bCs/>
                      <w:color w:val="auto"/>
                      <w:kern w:val="0"/>
                      <w:szCs w:val="21"/>
                      <w:highlight w:val="none"/>
                    </w:rPr>
                    <w:t>污水处理区</w:t>
                  </w:r>
                </w:p>
              </w:tc>
            </w:tr>
            <w:tr>
              <w:tblPrEx>
                <w:tblW w:w="8048" w:type="dxa"/>
                <w:tblInd w:w="5" w:type="dxa"/>
                <w:tblLayout w:type="fixed"/>
                <w:tblCellMar>
                  <w:top w:w="0" w:type="dxa"/>
                  <w:left w:w="108" w:type="dxa"/>
                  <w:bottom w:w="0" w:type="dxa"/>
                  <w:right w:w="108" w:type="dxa"/>
                </w:tblCellMar>
              </w:tblPrEx>
              <w:trPr>
                <w:trHeight w:val="283"/>
              </w:trPr>
              <w:tc>
                <w:tcPr>
                  <w:tcW w:w="420"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8</w:t>
                  </w:r>
                </w:p>
              </w:tc>
              <w:tc>
                <w:tcPr>
                  <w:tcW w:w="1079" w:type="dxa"/>
                  <w:tcBorders>
                    <w:tl2br w:val="nil"/>
                    <w:tr2bl w:val="nil"/>
                  </w:tcBorders>
                  <w:vAlign w:val="center"/>
                </w:tcPr>
                <w:p>
                  <w:pPr>
                    <w:pStyle w:val="40"/>
                    <w:jc w:val="center"/>
                    <w:rPr>
                      <w:rFonts w:ascii="Times New Roman" w:hAnsi="Times New Roman" w:hint="default"/>
                      <w:color w:val="auto"/>
                      <w:szCs w:val="21"/>
                      <w:highlight w:val="none"/>
                    </w:rPr>
                  </w:pPr>
                  <w:r>
                    <w:rPr>
                      <w:rFonts w:ascii="Times New Roman" w:eastAsia="宋体" w:hAnsi="Times New Roman" w:cs="Times New Roman" w:hint="eastAsia"/>
                      <w:color w:val="auto"/>
                      <w:szCs w:val="21"/>
                      <w:highlight w:val="none"/>
                      <w:lang w:val="en-US" w:eastAsia="zh-CN"/>
                    </w:rPr>
                    <w:t>天然气</w:t>
                  </w:r>
                </w:p>
              </w:tc>
              <w:tc>
                <w:tcPr>
                  <w:tcW w:w="504"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w:t>
                  </w:r>
                </w:p>
              </w:tc>
              <w:tc>
                <w:tcPr>
                  <w:tcW w:w="833"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万m</w:t>
                  </w:r>
                  <w:r>
                    <w:rPr>
                      <w:rFonts w:ascii="Times New Roman" w:eastAsia="宋体" w:hAnsi="Times New Roman" w:cs="Times New Roman" w:hint="eastAsia"/>
                      <w:bCs/>
                      <w:color w:val="auto"/>
                      <w:kern w:val="0"/>
                      <w:szCs w:val="21"/>
                      <w:highlight w:val="none"/>
                      <w:vertAlign w:val="superscript"/>
                      <w:lang w:val="en-US" w:eastAsia="zh-CN"/>
                    </w:rPr>
                    <w:t>3</w:t>
                  </w:r>
                  <w:r>
                    <w:rPr>
                      <w:rFonts w:ascii="Times New Roman" w:eastAsia="宋体" w:hAnsi="Times New Roman" w:cs="Times New Roman" w:hint="eastAsia"/>
                      <w:bCs/>
                      <w:color w:val="auto"/>
                      <w:kern w:val="0"/>
                      <w:szCs w:val="21"/>
                      <w:highlight w:val="none"/>
                    </w:rPr>
                    <w:t>/a</w:t>
                  </w:r>
                </w:p>
              </w:tc>
              <w:tc>
                <w:tcPr>
                  <w:tcW w:w="854" w:type="dxa"/>
                  <w:tcBorders>
                    <w:tl2br w:val="nil"/>
                    <w:tr2bl w:val="nil"/>
                  </w:tcBorders>
                  <w:vAlign w:val="center"/>
                </w:tcPr>
                <w:p>
                  <w:pPr>
                    <w:pStyle w:val="CharCharCharChar1"/>
                    <w:jc w:val="center"/>
                    <w:rPr>
                      <w:rFonts w:ascii="Times New Roman" w:eastAsia="宋体" w:hAnsi="Times New Roman" w:cs="Times New Roman" w:hint="eastAsia"/>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w:t>
                  </w:r>
                </w:p>
              </w:tc>
              <w:tc>
                <w:tcPr>
                  <w:tcW w:w="1000"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24</w:t>
                  </w:r>
                </w:p>
              </w:tc>
              <w:tc>
                <w:tcPr>
                  <w:tcW w:w="639"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+24</w:t>
                  </w:r>
                </w:p>
              </w:tc>
              <w:tc>
                <w:tcPr>
                  <w:tcW w:w="762" w:type="dxa"/>
                  <w:tcBorders>
                    <w:tl2br w:val="nil"/>
                    <w:tr2bl w:val="nil"/>
                  </w:tcBorders>
                  <w:vAlign w:val="center"/>
                </w:tcPr>
                <w:p>
                  <w:pPr>
                    <w:pStyle w:val="CharCharCharChar1"/>
                    <w:jc w:val="center"/>
                    <w:rPr>
                      <w:rFonts w:ascii="Times New Roman" w:eastAsia="宋体" w:hAnsi="Times New Roman" w:cs="Times New Roman" w:hint="default"/>
                      <w:bCs/>
                      <w:color w:val="auto"/>
                      <w:kern w:val="0"/>
                      <w:szCs w:val="21"/>
                      <w:highlight w:val="none"/>
                      <w:lang w:val="en-US" w:eastAsia="zh-CN"/>
                    </w:rPr>
                  </w:pPr>
                  <w:r>
                    <w:rPr>
                      <w:rFonts w:ascii="Times New Roman" w:eastAsia="宋体" w:hAnsi="Times New Roman" w:cs="Times New Roman" w:hint="eastAsia"/>
                      <w:bCs/>
                      <w:color w:val="auto"/>
                      <w:kern w:val="0"/>
                      <w:szCs w:val="21"/>
                      <w:highlight w:val="none"/>
                      <w:lang w:val="en-US" w:eastAsia="zh-CN"/>
                    </w:rPr>
                    <w:t>2</w:t>
                  </w:r>
                </w:p>
              </w:tc>
              <w:tc>
                <w:tcPr>
                  <w:tcW w:w="1082" w:type="dxa"/>
                  <w:tcBorders>
                    <w:tl2br w:val="nil"/>
                    <w:tr2bl w:val="nil"/>
                  </w:tcBorders>
                  <w:vAlign w:val="center"/>
                </w:tcPr>
                <w:p>
                  <w:pPr>
                    <w:jc w:val="center"/>
                    <w:rPr>
                      <w:rFonts w:hint="eastAsia"/>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管道</w:t>
                  </w:r>
                </w:p>
              </w:tc>
              <w:tc>
                <w:tcPr>
                  <w:tcW w:w="875" w:type="dxa"/>
                  <w:tcBorders>
                    <w:tl2br w:val="nil"/>
                    <w:tr2bl w:val="nil"/>
                  </w:tcBorders>
                  <w:vAlign w:val="center"/>
                </w:tcPr>
                <w:p>
                  <w:pPr>
                    <w:jc w:val="center"/>
                    <w:rPr>
                      <w:rFonts w:hint="eastAsia"/>
                      <w:bCs/>
                      <w:color w:val="auto"/>
                      <w:kern w:val="0"/>
                      <w:szCs w:val="21"/>
                      <w:highlight w:val="none"/>
                    </w:rPr>
                  </w:pPr>
                  <w:r>
                    <w:rPr>
                      <w:rFonts w:ascii="Times New Roman" w:eastAsia="宋体" w:hAnsi="Times New Roman" w:cs="Times New Roman" w:hint="eastAsia"/>
                      <w:bCs/>
                      <w:color w:val="auto"/>
                      <w:kern w:val="0"/>
                      <w:szCs w:val="21"/>
                      <w:highlight w:val="none"/>
                      <w:lang w:val="en-US" w:eastAsia="zh-CN"/>
                    </w:rPr>
                    <w:t>锅炉房</w:t>
                  </w:r>
                </w:p>
              </w:tc>
            </w:tr>
          </w:tbl>
          <w:p>
            <w:pPr>
              <w:snapToGrid w:val="0"/>
              <w:spacing w:line="240" w:lineRule="auto"/>
              <w:rPr>
                <w:rFonts w:hint="default"/>
                <w:b/>
                <w:bCs/>
                <w:color w:val="auto"/>
                <w:szCs w:val="21"/>
                <w:highlight w:val="none"/>
              </w:rPr>
            </w:pPr>
            <w:r>
              <w:rPr>
                <w:rFonts w:ascii="Times New Roman" w:eastAsia="宋体" w:hAnsi="Times New Roman" w:cs="Times New Roman" w:hint="eastAsia"/>
                <w:b/>
                <w:bCs/>
                <w:color w:val="auto"/>
                <w:sz w:val="21"/>
                <w:szCs w:val="21"/>
                <w:highlight w:val="none"/>
                <w:lang w:val="en-US" w:eastAsia="zh-CN"/>
              </w:rPr>
              <w:t>注：部分成品包装方式由原布匹使用包装材料包装改为布匹直接成卷，因此包装材料用量减少。</w:t>
            </w:r>
          </w:p>
          <w:p>
            <w:pPr>
              <w:snapToGrid w:val="0"/>
              <w:spacing w:line="360" w:lineRule="auto"/>
              <w:rPr>
                <w:b/>
                <w:bCs/>
                <w:color w:val="auto"/>
                <w:sz w:val="24"/>
                <w:highlight w:val="yellow"/>
              </w:rPr>
            </w:pPr>
            <w:r>
              <w:rPr>
                <w:rFonts w:ascii="Times New Roman" w:eastAsia="宋体" w:hAnsi="Times New Roman" w:cs="Times New Roman"/>
                <w:b/>
                <w:bCs/>
                <w:color w:val="auto"/>
                <w:sz w:val="24"/>
                <w:highlight w:val="none"/>
              </w:rPr>
              <w:t>2.3 选址</w:t>
            </w:r>
          </w:p>
          <w:p>
            <w:pPr>
              <w:spacing w:line="360" w:lineRule="auto"/>
              <w:ind w:firstLine="480" w:firstLineChars="200"/>
              <w:rPr>
                <w:color w:val="auto"/>
                <w:highlight w:val="none"/>
              </w:rPr>
            </w:pPr>
            <w:r>
              <w:rPr>
                <w:rFonts w:ascii="Times New Roman" w:eastAsia="宋体" w:hAnsi="Times New Roman" w:cs="Times New Roman"/>
                <w:color w:val="auto"/>
                <w:sz w:val="24"/>
                <w:highlight w:val="none"/>
              </w:rPr>
              <w:t>本项目租赁</w:t>
            </w:r>
            <w:r>
              <w:rPr>
                <w:rFonts w:ascii="Times New Roman" w:eastAsia="宋体" w:hAnsi="Times New Roman" w:cs="Times New Roman" w:hint="eastAsia"/>
                <w:color w:val="auto"/>
                <w:sz w:val="24"/>
                <w:highlight w:val="none"/>
              </w:rPr>
              <w:t>滨海天扬生态农业有限公司</w:t>
            </w:r>
            <w:r>
              <w:rPr>
                <w:rFonts w:ascii="Times New Roman" w:eastAsia="宋体" w:hAnsi="Times New Roman" w:cs="Times New Roman"/>
                <w:color w:val="auto"/>
                <w:sz w:val="24"/>
                <w:highlight w:val="none"/>
              </w:rPr>
              <w:t>位于</w:t>
            </w:r>
            <w:r>
              <w:rPr>
                <w:rFonts w:ascii="Times New Roman" w:eastAsia="宋体" w:hAnsi="Times New Roman" w:cs="Times New Roman" w:hint="eastAsia"/>
                <w:color w:val="auto"/>
                <w:sz w:val="24"/>
                <w:highlight w:val="none"/>
              </w:rPr>
              <w:t>盐城市滨海县八巨镇工业园内现有厂房</w:t>
            </w:r>
            <w:r>
              <w:rPr>
                <w:rFonts w:ascii="Times New Roman" w:eastAsia="宋体" w:hAnsi="Times New Roman" w:cs="Times New Roman"/>
                <w:color w:val="auto"/>
                <w:sz w:val="24"/>
                <w:highlight w:val="none"/>
              </w:rPr>
              <w:t>，厂区北侧</w:t>
            </w:r>
            <w:r>
              <w:rPr>
                <w:rFonts w:ascii="Times New Roman" w:eastAsia="宋体" w:hAnsi="Times New Roman" w:cs="Times New Roman" w:hint="eastAsia"/>
                <w:color w:val="auto"/>
                <w:sz w:val="24"/>
                <w:highlight w:val="none"/>
              </w:rPr>
              <w:t>为S327、空地</w:t>
            </w:r>
            <w:r>
              <w:rPr>
                <w:rFonts w:ascii="Times New Roman" w:eastAsia="宋体" w:hAnsi="Times New Roman" w:cs="Times New Roman"/>
                <w:color w:val="auto"/>
                <w:sz w:val="24"/>
                <w:highlight w:val="none"/>
              </w:rPr>
              <w:t>，南侧为</w:t>
            </w:r>
            <w:r>
              <w:rPr>
                <w:rFonts w:ascii="Times New Roman" w:eastAsia="宋体" w:hAnsi="Times New Roman" w:cs="Times New Roman" w:hint="eastAsia"/>
                <w:color w:val="auto"/>
                <w:sz w:val="24"/>
                <w:highlight w:val="none"/>
              </w:rPr>
              <w:t>周边企业</w:t>
            </w:r>
            <w:r>
              <w:rPr>
                <w:rFonts w:ascii="Times New Roman" w:eastAsia="宋体" w:hAnsi="Times New Roman" w:cs="Times New Roman"/>
                <w:color w:val="auto"/>
                <w:sz w:val="24"/>
                <w:highlight w:val="none"/>
              </w:rPr>
              <w:t>，西侧为</w:t>
            </w:r>
            <w:r>
              <w:rPr>
                <w:rFonts w:ascii="Times New Roman" w:eastAsia="宋体" w:hAnsi="Times New Roman" w:cs="Times New Roman" w:hint="eastAsia"/>
                <w:color w:val="auto"/>
                <w:sz w:val="24"/>
                <w:highlight w:val="none"/>
              </w:rPr>
              <w:t>空地</w:t>
            </w:r>
            <w:r>
              <w:rPr>
                <w:rFonts w:ascii="Times New Roman" w:eastAsia="宋体" w:hAnsi="Times New Roman" w:cs="Times New Roman"/>
                <w:color w:val="auto"/>
                <w:sz w:val="24"/>
                <w:highlight w:val="none"/>
              </w:rPr>
              <w:t>，东侧为</w:t>
            </w:r>
            <w:r>
              <w:rPr>
                <w:rFonts w:ascii="Times New Roman" w:eastAsia="宋体" w:hAnsi="Times New Roman" w:cs="Times New Roman" w:hint="eastAsia"/>
                <w:color w:val="auto"/>
                <w:sz w:val="24"/>
                <w:highlight w:val="none"/>
              </w:rPr>
              <w:t>八巨敬老院</w:t>
            </w:r>
            <w:r>
              <w:rPr>
                <w:rFonts w:ascii="Times New Roman" w:eastAsia="宋体" w:hAnsi="Times New Roman" w:cs="Times New Roman"/>
                <w:color w:val="auto"/>
                <w:sz w:val="24"/>
                <w:highlight w:val="none"/>
              </w:rPr>
              <w:t>。经现场勘查，</w:t>
            </w:r>
            <w:r>
              <w:rPr>
                <w:rFonts w:ascii="Times New Roman" w:eastAsia="宋体" w:hAnsi="Times New Roman" w:cs="Times New Roman" w:hint="eastAsia"/>
                <w:color w:val="auto"/>
                <w:sz w:val="24"/>
                <w:highlight w:val="none"/>
              </w:rPr>
              <w:t>本项目1#织布车间距离八巨镇敬老院最近距离为</w:t>
            </w:r>
            <w:r>
              <w:rPr>
                <w:rFonts w:ascii="Times New Roman" w:eastAsia="宋体" w:hAnsi="Times New Roman" w:cs="Times New Roman" w:hint="eastAsia"/>
                <w:color w:val="auto"/>
                <w:sz w:val="24"/>
                <w:highlight w:val="none"/>
                <w:lang w:val="en-US" w:eastAsia="zh-CN"/>
              </w:rPr>
              <w:t>70</w:t>
            </w:r>
            <w:r>
              <w:rPr>
                <w:rFonts w:ascii="Times New Roman" w:eastAsia="宋体" w:hAnsi="Times New Roman" w:cs="Times New Roman" w:hint="eastAsia"/>
                <w:color w:val="auto"/>
                <w:sz w:val="24"/>
                <w:highlight w:val="none"/>
              </w:rPr>
              <w:t>m，</w:t>
            </w:r>
            <w:r>
              <w:rPr>
                <w:rFonts w:ascii="Times New Roman" w:eastAsia="宋体" w:hAnsi="Times New Roman" w:cs="Times New Roman"/>
                <w:color w:val="auto"/>
                <w:sz w:val="24"/>
                <w:highlight w:val="none"/>
              </w:rPr>
              <w:t>本项目</w:t>
            </w:r>
            <w:r>
              <w:rPr>
                <w:rFonts w:ascii="Times New Roman" w:eastAsia="宋体" w:hAnsi="Times New Roman" w:cs="Times New Roman" w:hint="eastAsia"/>
                <w:color w:val="auto"/>
                <w:sz w:val="24"/>
                <w:highlight w:val="none"/>
              </w:rPr>
              <w:t>噪声</w:t>
            </w:r>
            <w:r>
              <w:rPr>
                <w:rFonts w:ascii="Times New Roman" w:eastAsia="宋体" w:hAnsi="Times New Roman" w:cs="Times New Roman"/>
                <w:color w:val="auto"/>
                <w:sz w:val="24"/>
                <w:highlight w:val="none"/>
              </w:rPr>
              <w:t>卫生防护距离内无居民等环境敏感目标；项目用地性质为工业用地，本项目为</w:t>
            </w:r>
            <w:r>
              <w:rPr>
                <w:rFonts w:ascii="Times New Roman" w:eastAsia="宋体" w:hAnsi="Times New Roman" w:cs="Times New Roman" w:hint="eastAsia"/>
                <w:color w:val="auto"/>
                <w:sz w:val="24"/>
                <w:highlight w:val="none"/>
              </w:rPr>
              <w:t>涤纶布生产项目</w:t>
            </w:r>
            <w:r>
              <w:rPr>
                <w:rFonts w:ascii="Times New Roman" w:eastAsia="宋体" w:hAnsi="Times New Roman" w:cs="Times New Roman"/>
                <w:color w:val="auto"/>
                <w:sz w:val="24"/>
                <w:highlight w:val="none"/>
              </w:rPr>
              <w:t>，</w:t>
            </w:r>
            <w:r>
              <w:rPr>
                <w:rFonts w:ascii="Times New Roman" w:eastAsia="宋体" w:hAnsi="Times New Roman" w:cs="Times New Roman" w:hint="eastAsia"/>
                <w:color w:val="auto"/>
                <w:sz w:val="24"/>
                <w:highlight w:val="none"/>
              </w:rPr>
              <w:t>根据八巨镇人民政府的证明材料，本项目建设</w:t>
            </w:r>
            <w:r>
              <w:rPr>
                <w:rFonts w:ascii="Times New Roman" w:eastAsia="宋体" w:hAnsi="Times New Roman" w:cs="Times New Roman"/>
                <w:color w:val="auto"/>
                <w:sz w:val="24"/>
                <w:highlight w:val="none"/>
              </w:rPr>
              <w:t>符</w:t>
            </w:r>
            <w:r>
              <w:rPr>
                <w:rFonts w:ascii="Times New Roman" w:eastAsia="宋体" w:hAnsi="Times New Roman" w:cs="Times New Roman" w:hint="eastAsia"/>
                <w:color w:val="auto"/>
                <w:sz w:val="24"/>
                <w:highlight w:val="none"/>
              </w:rPr>
              <w:t>当地</w:t>
            </w:r>
            <w:r>
              <w:rPr>
                <w:rFonts w:ascii="Times New Roman" w:eastAsia="宋体" w:hAnsi="Times New Roman" w:cs="Times New Roman"/>
                <w:color w:val="auto"/>
                <w:sz w:val="24"/>
                <w:highlight w:val="none"/>
              </w:rPr>
              <w:t>的产业定位</w:t>
            </w:r>
            <w:r>
              <w:rPr>
                <w:rFonts w:ascii="Times New Roman" w:eastAsia="宋体" w:hAnsi="Times New Roman" w:cs="Times New Roman" w:hint="eastAsia"/>
                <w:color w:val="auto"/>
                <w:sz w:val="24"/>
                <w:highlight w:val="none"/>
              </w:rPr>
              <w:t>及用地规划</w:t>
            </w:r>
            <w:r>
              <w:rPr>
                <w:rFonts w:ascii="Times New Roman" w:eastAsia="宋体" w:hAnsi="Times New Roman" w:cs="Times New Roman"/>
                <w:color w:val="auto"/>
                <w:sz w:val="24"/>
                <w:highlight w:val="none"/>
              </w:rPr>
              <w:t>要求；本项目不在江苏省生态空间管控区域范围内；对照《盐城市主体功能区实施规划》，本项目不涉及重要生态功能保护区，能够满足盐城市主体功能区的要求，故本项目选址合理可行。本项目地理位置见附图一，周边现状见附图二。</w:t>
            </w:r>
          </w:p>
          <w:p>
            <w:pPr>
              <w:adjustRightInd w:val="0"/>
              <w:snapToGrid w:val="0"/>
              <w:spacing w:line="360" w:lineRule="auto"/>
              <w:rPr>
                <w:b/>
                <w:bCs/>
                <w:color w:val="auto"/>
                <w:sz w:val="24"/>
                <w:highlight w:val="none"/>
              </w:rPr>
            </w:pPr>
            <w:r>
              <w:rPr>
                <w:rFonts w:ascii="Times New Roman" w:eastAsia="宋体" w:hAnsi="Times New Roman" w:cs="Times New Roman"/>
                <w:b/>
                <w:bCs/>
                <w:color w:val="auto"/>
                <w:sz w:val="24"/>
                <w:highlight w:val="none"/>
              </w:rPr>
              <w:t>2.4 劳动定员及工作制度</w:t>
            </w:r>
          </w:p>
          <w:p>
            <w:pPr>
              <w:adjustRightInd w:val="0"/>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本项目劳动定员为</w:t>
            </w:r>
            <w:r>
              <w:rPr>
                <w:rFonts w:ascii="Times New Roman" w:eastAsia="宋体" w:hAnsi="Times New Roman" w:cs="Times New Roman" w:hint="eastAsia"/>
                <w:color w:val="auto"/>
                <w:sz w:val="24"/>
                <w:highlight w:val="none"/>
              </w:rPr>
              <w:t>40</w:t>
            </w:r>
            <w:r>
              <w:rPr>
                <w:rFonts w:ascii="Times New Roman" w:eastAsia="宋体" w:hAnsi="Times New Roman" w:cs="Times New Roman"/>
                <w:color w:val="auto"/>
                <w:sz w:val="24"/>
                <w:highlight w:val="none"/>
              </w:rPr>
              <w:t>人，实行</w:t>
            </w:r>
            <w:r>
              <w:rPr>
                <w:rFonts w:ascii="Times New Roman" w:eastAsia="宋体" w:hAnsi="Times New Roman" w:cs="Times New Roman" w:hint="eastAsia"/>
                <w:color w:val="auto"/>
                <w:sz w:val="24"/>
                <w:highlight w:val="none"/>
                <w:lang w:val="en-US" w:eastAsia="zh-CN"/>
              </w:rPr>
              <w:t>三</w:t>
            </w:r>
            <w:r>
              <w:rPr>
                <w:rFonts w:ascii="Times New Roman" w:eastAsia="宋体" w:hAnsi="Times New Roman" w:cs="Times New Roman"/>
                <w:color w:val="auto"/>
                <w:sz w:val="24"/>
                <w:highlight w:val="none"/>
              </w:rPr>
              <w:t>班制，每班工作</w:t>
            </w:r>
            <w:r>
              <w:rPr>
                <w:rFonts w:ascii="Times New Roman" w:eastAsia="宋体" w:hAnsi="Times New Roman" w:cs="Times New Roman" w:hint="eastAsia"/>
                <w:color w:val="auto"/>
                <w:sz w:val="24"/>
                <w:highlight w:val="none"/>
                <w:lang w:val="en-US" w:eastAsia="zh-CN"/>
              </w:rPr>
              <w:t>8</w:t>
            </w:r>
            <w:r>
              <w:rPr>
                <w:rFonts w:ascii="Times New Roman" w:eastAsia="宋体" w:hAnsi="Times New Roman" w:cs="Times New Roman"/>
                <w:color w:val="auto"/>
                <w:sz w:val="24"/>
                <w:highlight w:val="none"/>
              </w:rPr>
              <w:t>小时，年工作300天，厂区内不设员工宿舍、食堂。</w:t>
            </w:r>
          </w:p>
          <w:p>
            <w:pPr>
              <w:adjustRightInd w:val="0"/>
              <w:snapToGrid w:val="0"/>
              <w:spacing w:line="360" w:lineRule="auto"/>
              <w:rPr>
                <w:b/>
                <w:bCs/>
                <w:color w:val="auto"/>
                <w:sz w:val="24"/>
                <w:highlight w:val="none"/>
              </w:rPr>
            </w:pPr>
            <w:r>
              <w:rPr>
                <w:rFonts w:ascii="Times New Roman" w:eastAsia="宋体" w:hAnsi="Times New Roman" w:cs="Times New Roman"/>
                <w:b/>
                <w:bCs/>
                <w:color w:val="auto"/>
                <w:sz w:val="24"/>
                <w:highlight w:val="none"/>
              </w:rPr>
              <w:t>2.5 厂区平面布置</w:t>
            </w:r>
          </w:p>
          <w:p>
            <w:pPr>
              <w:adjustRightInd w:val="0"/>
              <w:snapToGrid w:val="0"/>
              <w:spacing w:line="360" w:lineRule="auto"/>
              <w:ind w:firstLine="480" w:firstLineChars="200"/>
              <w:rPr>
                <w:bCs/>
                <w:color w:val="auto"/>
                <w:sz w:val="24"/>
                <w:highlight w:val="yellow"/>
              </w:rPr>
            </w:pPr>
            <w:r>
              <w:rPr>
                <w:rFonts w:ascii="Times New Roman" w:eastAsia="宋体" w:hAnsi="Times New Roman" w:cs="Times New Roman"/>
                <w:color w:val="auto"/>
                <w:sz w:val="24"/>
                <w:highlight w:val="none"/>
              </w:rPr>
              <w:t>本项目租赁</w:t>
            </w:r>
            <w:r>
              <w:rPr>
                <w:rFonts w:ascii="Times New Roman" w:eastAsia="宋体" w:hAnsi="Times New Roman" w:cs="Times New Roman" w:hint="eastAsia"/>
                <w:color w:val="auto"/>
                <w:sz w:val="24"/>
                <w:highlight w:val="none"/>
              </w:rPr>
              <w:t>滨海天扬生态农业有限公司</w:t>
            </w:r>
            <w:r>
              <w:rPr>
                <w:rFonts w:ascii="Times New Roman" w:eastAsia="宋体" w:hAnsi="Times New Roman" w:cs="Times New Roman"/>
                <w:color w:val="auto"/>
                <w:sz w:val="24"/>
                <w:highlight w:val="none"/>
              </w:rPr>
              <w:t>位于</w:t>
            </w:r>
            <w:r>
              <w:rPr>
                <w:rFonts w:ascii="Times New Roman" w:eastAsia="宋体" w:hAnsi="Times New Roman" w:cs="Times New Roman" w:hint="eastAsia"/>
                <w:color w:val="auto"/>
                <w:sz w:val="24"/>
                <w:highlight w:val="none"/>
              </w:rPr>
              <w:t>盐城市滨海县八巨镇工业园内现有厂房</w:t>
            </w:r>
            <w:r>
              <w:rPr>
                <w:rFonts w:ascii="Times New Roman" w:eastAsia="宋体" w:hAnsi="Times New Roman" w:cs="Times New Roman"/>
                <w:bCs/>
                <w:color w:val="auto"/>
                <w:sz w:val="24"/>
                <w:highlight w:val="none"/>
              </w:rPr>
              <w:t>作为本项目的生产车间</w:t>
            </w:r>
            <w:r>
              <w:rPr>
                <w:rFonts w:ascii="Times New Roman" w:eastAsia="宋体" w:hAnsi="Times New Roman" w:cs="Times New Roman" w:hint="eastAsia"/>
                <w:bCs/>
                <w:color w:val="auto"/>
                <w:sz w:val="24"/>
                <w:highlight w:val="none"/>
              </w:rPr>
              <w:t>，同时新建一个</w:t>
            </w:r>
            <w:r>
              <w:rPr>
                <w:rFonts w:ascii="Times New Roman" w:eastAsia="宋体" w:hAnsi="Times New Roman" w:cs="Times New Roman" w:hint="eastAsia"/>
                <w:bCs/>
                <w:color w:val="auto"/>
                <w:sz w:val="24"/>
                <w:highlight w:val="none"/>
                <w:lang w:val="en-US" w:eastAsia="zh-CN"/>
              </w:rPr>
              <w:t>3</w:t>
            </w:r>
            <w:r>
              <w:rPr>
                <w:rFonts w:ascii="Times New Roman" w:eastAsia="宋体" w:hAnsi="Times New Roman" w:cs="Times New Roman" w:hint="eastAsia"/>
                <w:bCs/>
                <w:color w:val="auto"/>
                <w:sz w:val="24"/>
                <w:highlight w:val="none"/>
              </w:rPr>
              <w:t>#织布车间</w:t>
            </w:r>
            <w:r>
              <w:rPr>
                <w:rFonts w:ascii="Times New Roman" w:eastAsia="宋体" w:hAnsi="Times New Roman" w:cs="Times New Roman"/>
                <w:bCs/>
                <w:color w:val="auto"/>
                <w:sz w:val="24"/>
                <w:highlight w:val="none"/>
              </w:rPr>
              <w:t>，主入口位于厂区</w:t>
            </w:r>
            <w:r>
              <w:rPr>
                <w:rFonts w:ascii="Times New Roman" w:eastAsia="宋体" w:hAnsi="Times New Roman" w:cs="Times New Roman" w:hint="eastAsia"/>
                <w:bCs/>
                <w:color w:val="auto"/>
                <w:sz w:val="24"/>
                <w:highlight w:val="none"/>
              </w:rPr>
              <w:t>北</w:t>
            </w:r>
            <w:r>
              <w:rPr>
                <w:rFonts w:ascii="Times New Roman" w:eastAsia="宋体" w:hAnsi="Times New Roman" w:cs="Times New Roman"/>
                <w:bCs/>
                <w:color w:val="auto"/>
                <w:sz w:val="24"/>
                <w:highlight w:val="none"/>
              </w:rPr>
              <w:t>侧，办公区位于厂区</w:t>
            </w:r>
            <w:r>
              <w:rPr>
                <w:rFonts w:ascii="Times New Roman" w:eastAsia="宋体" w:hAnsi="Times New Roman" w:cs="Times New Roman" w:hint="eastAsia"/>
                <w:bCs/>
                <w:color w:val="auto"/>
                <w:sz w:val="24"/>
                <w:highlight w:val="none"/>
              </w:rPr>
              <w:t>北侧</w:t>
            </w:r>
            <w:r>
              <w:rPr>
                <w:rFonts w:ascii="Times New Roman" w:eastAsia="宋体" w:hAnsi="Times New Roman" w:cs="Times New Roman"/>
                <w:bCs/>
                <w:color w:val="auto"/>
                <w:sz w:val="24"/>
                <w:highlight w:val="none"/>
              </w:rPr>
              <w:t>，生产车间与办公区隔开，生产区不会对办公区造成影响，故厂区内平面布置合理，本项目厂区平面布置见附图三。</w:t>
            </w:r>
          </w:p>
        </w:tc>
      </w:tr>
    </w:tbl>
    <w:p>
      <w:pPr>
        <w:sectPr>
          <w:footerReference w:type="even" r:id="rId42"/>
          <w:footerReference w:type="default" r:id="rId43"/>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17"/>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2030"/>
          <w:jc w:val="center"/>
        </w:trPr>
        <w:tc>
          <w:tcPr>
            <w:tcW w:w="823" w:type="dxa"/>
            <w:vAlign w:val="center"/>
          </w:tcPr>
          <w:p>
            <w:pPr>
              <w:pStyle w:val="NormalWeb"/>
              <w:adjustRightInd w:val="0"/>
              <w:snapToGrid w:val="0"/>
              <w:spacing w:before="0" w:beforeAutospacing="0" w:after="0" w:afterAutospacing="0"/>
              <w:jc w:val="center"/>
              <w:rPr>
                <w:rFonts w:ascii="Times New Roman" w:eastAsia="宋体" w:hAnsi="Times New Roman" w:cs="Times New Roman"/>
                <w:color w:val="auto"/>
                <w:szCs w:val="24"/>
                <w:highlight w:val="yellow"/>
              </w:rPr>
            </w:pPr>
            <w:r>
              <w:rPr>
                <w:rFonts w:ascii="Times New Roman" w:eastAsia="宋体" w:hAnsi="Times New Roman" w:cs="Times New Roman"/>
                <w:color w:val="auto"/>
                <w:szCs w:val="24"/>
                <w:highlight w:val="none"/>
              </w:rPr>
              <w:t>工艺流程和产排污环节</w:t>
            </w:r>
          </w:p>
        </w:tc>
        <w:tc>
          <w:tcPr>
            <w:tcW w:w="8161" w:type="dxa"/>
          </w:tcPr>
          <w:p>
            <w:pPr>
              <w:spacing w:line="360" w:lineRule="auto"/>
              <w:rPr>
                <w:b/>
                <w:bCs/>
                <w:color w:val="auto"/>
                <w:sz w:val="24"/>
                <w:highlight w:val="none"/>
              </w:rPr>
            </w:pPr>
            <w:r>
              <w:rPr>
                <w:rFonts w:ascii="Times New Roman" w:eastAsia="宋体" w:hAnsi="Times New Roman" w:cs="Times New Roman" w:hint="eastAsia"/>
                <w:b/>
                <w:bCs/>
                <w:color w:val="auto"/>
                <w:sz w:val="24"/>
                <w:highlight w:val="none"/>
              </w:rPr>
              <w:t>2.6.1施工期项目工艺流程</w:t>
            </w:r>
          </w:p>
          <w:p>
            <w:pPr>
              <w:pStyle w:val="BodyText"/>
              <w:spacing w:before="0" w:after="0" w:line="260" w:lineRule="auto"/>
              <w:ind w:right="0" w:firstLine="391"/>
              <w:rPr>
                <w:rFonts w:ascii="Times New Roman" w:eastAsia="宋体" w:hAnsi="Times New Roman" w:cs="Times New Roman"/>
                <w:color w:val="auto"/>
                <w:sz w:val="24"/>
                <w:szCs w:val="24"/>
                <w:highlight w:val="none"/>
              </w:rPr>
            </w:pPr>
            <w:r>
              <w:rPr>
                <w:rFonts w:ascii="Times New Roman" w:eastAsia="宋体" w:hAnsi="Times New Roman" w:cs="Times New Roman"/>
                <w:color w:val="auto"/>
                <w:sz w:val="24"/>
                <w:szCs w:val="24"/>
                <w:highlight w:val="none"/>
              </w:rPr>
              <w:t>迁建项目</w:t>
            </w:r>
            <w:r>
              <w:rPr>
                <w:rFonts w:ascii="Times New Roman" w:eastAsia="宋体" w:hAnsi="Times New Roman" w:cs="Times New Roman" w:hint="eastAsia"/>
                <w:color w:val="auto"/>
                <w:sz w:val="24"/>
                <w:szCs w:val="24"/>
                <w:highlight w:val="none"/>
                <w:lang w:val="en-US" w:eastAsia="zh-CN"/>
              </w:rPr>
              <w:t>已基本建成</w:t>
            </w:r>
            <w:r>
              <w:rPr>
                <w:rFonts w:ascii="Times New Roman" w:eastAsia="宋体" w:hAnsi="Times New Roman" w:cs="Times New Roman"/>
                <w:color w:val="auto"/>
                <w:sz w:val="24"/>
                <w:szCs w:val="24"/>
                <w:highlight w:val="none"/>
              </w:rPr>
              <w:t>，故施工期影响不作分析。</w:t>
            </w:r>
          </w:p>
          <w:p>
            <w:pPr>
              <w:spacing w:line="360" w:lineRule="auto"/>
              <w:rPr>
                <w:b/>
                <w:bCs/>
                <w:color w:val="auto"/>
                <w:sz w:val="24"/>
                <w:highlight w:val="none"/>
              </w:rPr>
            </w:pPr>
            <w:r>
              <w:rPr>
                <w:rFonts w:ascii="Times New Roman" w:eastAsia="宋体" w:hAnsi="Times New Roman" w:cs="Times New Roman" w:hint="eastAsia"/>
                <w:b/>
                <w:bCs/>
                <w:color w:val="auto"/>
                <w:sz w:val="24"/>
                <w:highlight w:val="none"/>
              </w:rPr>
              <w:t>2.6.2 运营期项目工艺流程</w:t>
            </w:r>
          </w:p>
          <w:p>
            <w:pPr>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本项目运营期工艺流程详见图2-</w:t>
            </w:r>
            <w:r>
              <w:rPr>
                <w:rFonts w:ascii="Times New Roman" w:eastAsia="宋体" w:hAnsi="Times New Roman" w:cs="Times New Roman" w:hint="eastAsia"/>
                <w:color w:val="auto"/>
                <w:sz w:val="24"/>
                <w:highlight w:val="none"/>
                <w:lang w:val="en-US" w:eastAsia="zh-CN"/>
              </w:rPr>
              <w:t>1</w:t>
            </w:r>
            <w:r>
              <w:rPr>
                <w:rFonts w:ascii="Times New Roman" w:eastAsia="宋体" w:hAnsi="Times New Roman" w:cs="Times New Roman"/>
                <w:color w:val="auto"/>
                <w:sz w:val="24"/>
                <w:highlight w:val="none"/>
              </w:rPr>
              <w:t>。</w:t>
            </w:r>
          </w:p>
          <w:p>
            <w:pPr>
              <w:pStyle w:val="Default"/>
              <w:rPr>
                <w:rFonts w:ascii="Times New Roman" w:eastAsia="宋体" w:hAnsi="Times New Roman" w:cs="Times New Roman"/>
                <w:color w:val="auto"/>
                <w:highlight w:val="yellow"/>
              </w:rPr>
            </w:pPr>
          </w:p>
          <w:p>
            <w:pPr>
              <w:pStyle w:val="Default"/>
              <w:rPr>
                <w:rFonts w:ascii="Times New Roman" w:eastAsia="宋体" w:hAnsi="Times New Roman" w:cs="Times New Roman"/>
                <w:color w:val="auto"/>
                <w:highlight w:val="yellow"/>
              </w:rPr>
            </w:pPr>
          </w:p>
          <w:p>
            <w:pPr>
              <w:pStyle w:val="Default"/>
              <w:rPr>
                <w:rFonts w:ascii="Times New Roman" w:eastAsia="宋体" w:hAnsi="Times New Roman" w:cs="Times New Roman"/>
                <w:color w:val="auto"/>
                <w:highlight w:val="yellow"/>
              </w:rPr>
            </w:pPr>
          </w:p>
        </w:tc>
      </w:tr>
    </w:tbl>
    <w:p>
      <w:pPr>
        <w:sectPr>
          <w:footerReference w:type="even" r:id="rId44"/>
          <w:footerReference w:type="default" r:id="rId45"/>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18"/>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2030"/>
          <w:jc w:val="center"/>
        </w:trPr>
        <w:tc>
          <w:tcPr>
            <w:tcW w:w="823" w:type="dxa"/>
            <w:vAlign w:val="center"/>
          </w:tcPr>
          <w:p/>
        </w:tc>
        <w:tc>
          <w:tcPr>
            <w:tcW w:w="8161" w:type="dxa"/>
          </w:tcPr>
          <w:p>
            <w:pPr>
              <w:spacing w:line="360" w:lineRule="auto"/>
              <w:jc w:val="center"/>
              <w:rPr>
                <w:color w:val="auto"/>
                <w:szCs w:val="21"/>
                <w:highlight w:val="none"/>
              </w:rPr>
            </w:pPr>
            <w:r>
              <w:rPr>
                <w:rFonts w:ascii="Times New Roman" w:eastAsia="宋体" w:hAnsi="Times New Roman" w:cs="Times New Roman"/>
                <w:color w:val="auto"/>
                <w:szCs w:val="21"/>
                <w:highlight w:val="none"/>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6.55pt;height:605.95pt" o:ole="" coordsize="21600,21600" o:preferrelative="t" filled="f" stroked="f">
                  <v:imagedata r:id="rId46" o:title=""/>
                  <o:lock v:ext="edit" aspectratio="f"/>
                  <w10:anchorlock/>
                </v:shape>
                <o:OLEObject Type="Embed" ProgID="Visio.Drawing.11" ShapeID="_x0000_i1025" DrawAspect="Content" ObjectID="_1468075725" r:id="rId47"/>
              </w:object>
            </w:r>
          </w:p>
          <w:p>
            <w:pPr>
              <w:spacing w:line="360" w:lineRule="auto"/>
              <w:jc w:val="center"/>
              <w:rPr>
                <w:rFonts w:hint="eastAsia"/>
                <w:color w:val="auto"/>
                <w:szCs w:val="21"/>
                <w:highlight w:val="none"/>
              </w:rPr>
            </w:pP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Sn-固废、Gn-废气、Nn-噪声、Wn-废水</w:t>
            </w:r>
            <w:r>
              <w:rPr>
                <w:rFonts w:ascii="Times New Roman" w:eastAsia="宋体" w:hAnsi="Times New Roman" w:cs="Times New Roman" w:hint="eastAsia"/>
                <w:color w:val="auto"/>
                <w:szCs w:val="21"/>
                <w:highlight w:val="none"/>
                <w:lang w:eastAsia="zh-CN"/>
              </w:rPr>
              <w:t>）</w:t>
            </w:r>
          </w:p>
          <w:p>
            <w:pPr>
              <w:spacing w:line="360" w:lineRule="auto"/>
              <w:jc w:val="center"/>
              <w:rPr>
                <w:b/>
                <w:bCs/>
                <w:color w:val="auto"/>
                <w:sz w:val="24"/>
                <w:highlight w:val="none"/>
              </w:rPr>
            </w:pPr>
            <w:r>
              <w:rPr>
                <w:rFonts w:ascii="Times New Roman" w:eastAsia="宋体" w:hAnsi="Times New Roman" w:cs="Times New Roman"/>
                <w:b/>
                <w:bCs/>
                <w:color w:val="auto"/>
                <w:sz w:val="24"/>
                <w:highlight w:val="none"/>
              </w:rPr>
              <w:t>图2-</w:t>
            </w:r>
            <w:r>
              <w:rPr>
                <w:rFonts w:ascii="Times New Roman" w:eastAsia="宋体" w:hAnsi="Times New Roman" w:cs="Times New Roman" w:hint="eastAsia"/>
                <w:b/>
                <w:bCs/>
                <w:color w:val="auto"/>
                <w:sz w:val="24"/>
                <w:highlight w:val="none"/>
                <w:lang w:val="en-US" w:eastAsia="zh-CN"/>
              </w:rPr>
              <w:t>1</w:t>
            </w:r>
            <w:r>
              <w:rPr>
                <w:rFonts w:ascii="Times New Roman" w:eastAsia="宋体" w:hAnsi="Times New Roman" w:cs="Times New Roman"/>
                <w:b/>
                <w:bCs/>
                <w:color w:val="auto"/>
                <w:sz w:val="24"/>
                <w:highlight w:val="none"/>
              </w:rPr>
              <w:t>运营期生产工艺流程及产污环节图</w:t>
            </w:r>
          </w:p>
        </w:tc>
      </w:tr>
    </w:tbl>
    <w:p>
      <w:pPr>
        <w:sectPr>
          <w:footerReference w:type="even" r:id="rId48"/>
          <w:footerReference w:type="default" r:id="rId49"/>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19"/>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2030"/>
          <w:jc w:val="center"/>
        </w:trPr>
        <w:tc>
          <w:tcPr>
            <w:tcW w:w="823" w:type="dxa"/>
            <w:vAlign w:val="center"/>
          </w:tcPr>
          <w:p/>
        </w:tc>
        <w:tc>
          <w:tcPr>
            <w:tcW w:w="8161" w:type="dxa"/>
          </w:tcPr>
          <w:p>
            <w:pPr>
              <w:pStyle w:val="a4"/>
              <w:snapToGrid w:val="0"/>
              <w:ind w:firstLine="470"/>
              <w:rPr>
                <w:rFonts w:ascii="Times New Roman" w:eastAsia="宋体" w:hAnsi="Times New Roman" w:cs="Times New Roman"/>
                <w:b/>
                <w:color w:val="auto"/>
                <w:sz w:val="24"/>
                <w:highlight w:val="none"/>
              </w:rPr>
            </w:pPr>
            <w:r>
              <w:rPr>
                <w:rFonts w:ascii="Times New Roman" w:eastAsia="宋体" w:hAnsi="Times New Roman" w:cs="Times New Roman"/>
                <w:b/>
                <w:color w:val="auto"/>
                <w:sz w:val="24"/>
                <w:highlight w:val="none"/>
              </w:rPr>
              <w:t>流程简述：</w:t>
            </w:r>
          </w:p>
          <w:p>
            <w:pPr>
              <w:pStyle w:val="a4"/>
              <w:snapToGrid w:val="0"/>
              <w:rPr>
                <w:rFonts w:ascii="Times New Roman" w:eastAsia="宋体" w:hAnsi="Times New Roman" w:cs="Times New Roman"/>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1</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整经：整经工序的任务是按工艺设计所规定的经纱根数，从整经机后筒子架的筒子上，引出一幅片纱，并按设计规定的长度、幅宽，在确保纱线根与根之间，片与片之间、前后之间张力均匀。适当的情况下，将纱片平行地卷绕成良好的经轴</w:t>
            </w:r>
            <w:r>
              <w:rPr>
                <w:rFonts w:ascii="Times New Roman" w:eastAsia="宋体" w:hAnsi="Times New Roman" w:cs="Times New Roman"/>
                <w:bCs w:val="0"/>
                <w:color w:val="auto"/>
                <w:sz w:val="24"/>
                <w:highlight w:val="none"/>
              </w:rPr>
              <w:t>，使其满足下道工序的进行</w:t>
            </w:r>
            <w:r>
              <w:rPr>
                <w:rFonts w:ascii="Times New Roman" w:eastAsia="宋体" w:hAnsi="Times New Roman" w:cs="Times New Roman"/>
                <w:color w:val="auto"/>
                <w:sz w:val="24"/>
                <w:highlight w:val="none"/>
              </w:rPr>
              <w:t>。</w:t>
            </w:r>
            <w:r>
              <w:rPr>
                <w:rFonts w:ascii="Times New Roman" w:eastAsia="宋体" w:hAnsi="Times New Roman" w:cs="Times New Roman" w:hint="eastAsia"/>
                <w:color w:val="auto"/>
                <w:sz w:val="24"/>
                <w:highlight w:val="none"/>
              </w:rPr>
              <w:t>此工序产生废丝S</w:t>
            </w:r>
            <w:r>
              <w:rPr>
                <w:rFonts w:ascii="Times New Roman" w:eastAsia="宋体" w:hAnsi="Times New Roman" w:cs="Times New Roman" w:hint="eastAsia"/>
                <w:color w:val="auto"/>
                <w:sz w:val="24"/>
                <w:highlight w:val="none"/>
                <w:vertAlign w:val="subscript"/>
              </w:rPr>
              <w:t>1</w:t>
            </w:r>
            <w:r>
              <w:rPr>
                <w:rFonts w:ascii="Times New Roman" w:eastAsia="宋体" w:hAnsi="Times New Roman" w:cs="Times New Roman" w:hint="eastAsia"/>
                <w:color w:val="auto"/>
                <w:sz w:val="24"/>
                <w:highlight w:val="none"/>
              </w:rPr>
              <w:t>、机械噪音N</w:t>
            </w:r>
            <w:r>
              <w:rPr>
                <w:rFonts w:ascii="Times New Roman" w:eastAsia="宋体" w:hAnsi="Times New Roman" w:cs="Times New Roman" w:hint="eastAsia"/>
                <w:color w:val="auto"/>
                <w:sz w:val="24"/>
                <w:highlight w:val="none"/>
                <w:vertAlign w:val="subscript"/>
              </w:rPr>
              <w:t>1</w:t>
            </w:r>
            <w:r>
              <w:rPr>
                <w:rFonts w:ascii="Times New Roman" w:eastAsia="宋体" w:hAnsi="Times New Roman" w:cs="Times New Roman" w:hint="eastAsia"/>
                <w:color w:val="auto"/>
                <w:sz w:val="24"/>
                <w:highlight w:val="none"/>
              </w:rPr>
              <w:t>。</w:t>
            </w:r>
          </w:p>
          <w:p>
            <w:pPr>
              <w:widowControl/>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2</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并轴、分绞、穿棕、穿筘：将涤纶丝进行并轴、分绞、穿棕、穿筘，使其满足下道工序的进行。</w:t>
            </w:r>
            <w:r>
              <w:rPr>
                <w:rFonts w:ascii="Times New Roman" w:eastAsia="宋体" w:hAnsi="Times New Roman" w:cs="Times New Roman" w:hint="eastAsia"/>
                <w:color w:val="auto"/>
                <w:sz w:val="24"/>
                <w:highlight w:val="none"/>
              </w:rPr>
              <w:t>此过程产生机械噪音N</w:t>
            </w:r>
            <w:r>
              <w:rPr>
                <w:rStyle w:val="CommentReference"/>
                <w:rFonts w:ascii="Times New Roman" w:eastAsia="宋体" w:hAnsi="Times New Roman" w:cs="Times New Roman" w:hint="eastAsia"/>
                <w:color w:val="auto"/>
                <w:kern w:val="0"/>
                <w:szCs w:val="20"/>
                <w:highlight w:val="none"/>
                <w:vertAlign w:val="subscript"/>
              </w:rPr>
              <w:t>2</w:t>
            </w:r>
            <w:r>
              <w:rPr>
                <w:rFonts w:ascii="Times New Roman" w:eastAsia="宋体" w:hAnsi="Times New Roman" w:cs="Times New Roman" w:hint="eastAsia"/>
                <w:color w:val="auto"/>
                <w:sz w:val="24"/>
                <w:highlight w:val="none"/>
                <w:vertAlign w:val="subscript"/>
              </w:rPr>
              <w:t>、</w:t>
            </w:r>
            <w:r>
              <w:rPr>
                <w:rFonts w:ascii="Times New Roman" w:eastAsia="宋体" w:hAnsi="Times New Roman" w:cs="Times New Roman" w:hint="eastAsia"/>
                <w:color w:val="auto"/>
                <w:sz w:val="24"/>
                <w:highlight w:val="none"/>
              </w:rPr>
              <w:t>N</w:t>
            </w:r>
            <w:r>
              <w:rPr>
                <w:rFonts w:ascii="Times New Roman" w:eastAsia="宋体" w:hAnsi="Times New Roman" w:cs="Times New Roman" w:hint="eastAsia"/>
                <w:color w:val="auto"/>
                <w:sz w:val="24"/>
                <w:highlight w:val="none"/>
                <w:vertAlign w:val="subscript"/>
              </w:rPr>
              <w:t>3</w:t>
            </w:r>
            <w:r>
              <w:rPr>
                <w:rFonts w:ascii="Times New Roman" w:eastAsia="宋体" w:hAnsi="Times New Roman" w:cs="Times New Roman" w:hint="eastAsia"/>
                <w:color w:val="auto"/>
                <w:sz w:val="24"/>
                <w:highlight w:val="none"/>
              </w:rPr>
              <w:t>。本步骤运行过程中，会有少量纱线附着在设备上，需要定期对设备进行冲洗，冲洗过程中不使用清洗剂，冲洗产生的废水进入厂区污水处理站进行处理。</w:t>
            </w:r>
          </w:p>
          <w:p>
            <w:pPr>
              <w:widowControl/>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3</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喷水纺织：本项目使用的喷水织机，喷水织机是用水射流完成引纬的新型织机，它利用喷嘴喷出的水射流将纬丝从梭口的一端引向另一端，将原料织造成布匹。本项目喷水织机型号LWT710，穿筘幅2.8米，织机转速</w:t>
            </w:r>
            <w:r>
              <w:rPr>
                <w:rFonts w:ascii="Times New Roman" w:eastAsia="宋体" w:hAnsi="Times New Roman" w:cs="Times New Roman" w:hint="eastAsia"/>
                <w:color w:val="auto"/>
                <w:sz w:val="24"/>
                <w:highlight w:val="none"/>
                <w:lang w:val="en-US" w:eastAsia="zh-CN"/>
              </w:rPr>
              <w:t>5</w:t>
            </w:r>
            <w:r>
              <w:rPr>
                <w:rFonts w:ascii="Times New Roman" w:eastAsia="宋体" w:hAnsi="Times New Roman" w:cs="Times New Roman"/>
                <w:color w:val="auto"/>
                <w:sz w:val="24"/>
                <w:highlight w:val="none"/>
              </w:rPr>
              <w:t>00转/分钟，根据公式</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入纬率</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米/分钟</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=穿筘幅</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米</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×织机转速</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米/分钟</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计算，项目喷水织机入纬率为</w:t>
            </w:r>
            <w:r>
              <w:rPr>
                <w:rFonts w:ascii="Times New Roman" w:eastAsia="宋体" w:hAnsi="Times New Roman" w:cs="Times New Roman" w:hint="eastAsia"/>
                <w:color w:val="auto"/>
                <w:sz w:val="24"/>
                <w:highlight w:val="none"/>
                <w:lang w:val="en-US" w:eastAsia="zh-CN"/>
              </w:rPr>
              <w:t>14</w:t>
            </w:r>
            <w:r>
              <w:rPr>
                <w:rFonts w:ascii="Times New Roman" w:eastAsia="宋体" w:hAnsi="Times New Roman" w:cs="Times New Roman"/>
                <w:color w:val="auto"/>
                <w:sz w:val="24"/>
                <w:highlight w:val="none"/>
              </w:rPr>
              <w:t>00米/分钟。</w:t>
            </w:r>
            <w:r>
              <w:rPr>
                <w:rFonts w:ascii="Times New Roman" w:eastAsia="宋体" w:hAnsi="Times New Roman" w:cs="Times New Roman" w:hint="eastAsia"/>
                <w:color w:val="auto"/>
                <w:sz w:val="24"/>
                <w:highlight w:val="none"/>
              </w:rPr>
              <w:t>喷水织机单台用水量约为2</w:t>
            </w:r>
            <w:r>
              <w:rPr>
                <w:rFonts w:ascii="Times New Roman" w:eastAsia="宋体" w:hAnsi="Times New Roman" w:cs="Times New Roman" w:hint="eastAsia"/>
                <w:color w:val="auto"/>
                <w:sz w:val="24"/>
                <w:highlight w:val="none"/>
                <w:lang w:val="en-US" w:eastAsia="zh-CN"/>
              </w:rPr>
              <w:t>.5</w:t>
            </w:r>
            <w:r>
              <w:rPr>
                <w:rFonts w:ascii="Times New Roman" w:eastAsia="宋体" w:hAnsi="Times New Roman" w:cs="Times New Roman" w:hint="eastAsia"/>
                <w:color w:val="auto"/>
                <w:sz w:val="24"/>
                <w:highlight w:val="none"/>
              </w:rPr>
              <w:t>t/d，废水经厂区污水处理站处理后回用，纺织过程中产生设备噪声N</w:t>
            </w:r>
            <w:r>
              <w:rPr>
                <w:rFonts w:ascii="Times New Roman" w:eastAsia="宋体" w:hAnsi="Times New Roman" w:cs="Times New Roman" w:hint="eastAsia"/>
                <w:color w:val="auto"/>
                <w:sz w:val="24"/>
                <w:highlight w:val="none"/>
                <w:vertAlign w:val="subscript"/>
              </w:rPr>
              <w:t>4</w:t>
            </w:r>
            <w:r>
              <w:rPr>
                <w:rFonts w:ascii="Times New Roman" w:eastAsia="宋体" w:hAnsi="Times New Roman" w:cs="Times New Roman" w:hint="eastAsia"/>
                <w:color w:val="auto"/>
                <w:sz w:val="24"/>
                <w:highlight w:val="none"/>
              </w:rPr>
              <w:t>，废水处理过程产生污泥S</w:t>
            </w:r>
            <w:r>
              <w:rPr>
                <w:rFonts w:ascii="Times New Roman" w:eastAsia="宋体" w:hAnsi="Times New Roman" w:cs="Times New Roman" w:hint="eastAsia"/>
                <w:color w:val="auto"/>
                <w:sz w:val="24"/>
                <w:highlight w:val="none"/>
                <w:vertAlign w:val="subscript"/>
              </w:rPr>
              <w:t>2</w:t>
            </w:r>
            <w:r>
              <w:rPr>
                <w:rFonts w:ascii="Times New Roman" w:eastAsia="宋体" w:hAnsi="Times New Roman" w:cs="Times New Roman" w:hint="eastAsia"/>
                <w:color w:val="auto"/>
                <w:sz w:val="24"/>
                <w:highlight w:val="none"/>
              </w:rPr>
              <w:t>、废水处理设施运行噪声N</w:t>
            </w:r>
            <w:r>
              <w:rPr>
                <w:rFonts w:ascii="Times New Roman" w:eastAsia="宋体" w:hAnsi="Times New Roman" w:cs="Times New Roman" w:hint="eastAsia"/>
                <w:color w:val="auto"/>
                <w:sz w:val="24"/>
                <w:highlight w:val="none"/>
                <w:vertAlign w:val="subscript"/>
              </w:rPr>
              <w:t>5</w:t>
            </w:r>
            <w:r>
              <w:rPr>
                <w:rFonts w:ascii="Times New Roman" w:eastAsia="宋体" w:hAnsi="Times New Roman" w:cs="Times New Roman" w:hint="eastAsia"/>
                <w:color w:val="auto"/>
                <w:sz w:val="24"/>
                <w:highlight w:val="none"/>
              </w:rPr>
              <w:t>。</w:t>
            </w:r>
          </w:p>
          <w:p>
            <w:pPr>
              <w:widowControl/>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4</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烘干：将织造成的布匹进行烘干得到胚布</w:t>
            </w:r>
            <w:r>
              <w:rPr>
                <w:rFonts w:ascii="Times New Roman" w:eastAsia="宋体" w:hAnsi="Times New Roman" w:cs="Times New Roman" w:hint="eastAsia"/>
                <w:color w:val="auto"/>
                <w:sz w:val="24"/>
                <w:highlight w:val="none"/>
              </w:rPr>
              <w:t>，烘干过程使用锅炉</w:t>
            </w:r>
            <w:r>
              <w:rPr>
                <w:rFonts w:ascii="Times New Roman" w:eastAsia="宋体" w:hAnsi="Times New Roman" w:cs="Times New Roman" w:hint="eastAsia"/>
                <w:color w:val="auto"/>
                <w:sz w:val="24"/>
                <w:highlight w:val="none"/>
                <w:lang w:val="en-US" w:eastAsia="zh-CN"/>
              </w:rPr>
              <w:t>产生的</w:t>
            </w:r>
            <w:r>
              <w:rPr>
                <w:rFonts w:ascii="Times New Roman" w:eastAsia="宋体" w:hAnsi="Times New Roman" w:cs="Times New Roman" w:hint="eastAsia"/>
                <w:color w:val="auto"/>
                <w:sz w:val="24"/>
                <w:highlight w:val="none"/>
              </w:rPr>
              <w:t>蒸汽，温度控制在90~110℃，布匹从烘箱中滚过（与蒸汽不直接接触），烘干时间约为1分钟。此过程产生烘干噪音N</w:t>
            </w:r>
            <w:r>
              <w:rPr>
                <w:rFonts w:ascii="Times New Roman" w:eastAsia="宋体" w:hAnsi="Times New Roman" w:cs="Times New Roman" w:hint="eastAsia"/>
                <w:color w:val="auto"/>
                <w:sz w:val="24"/>
                <w:highlight w:val="none"/>
                <w:vertAlign w:val="subscript"/>
              </w:rPr>
              <w:t>6</w:t>
            </w:r>
            <w:r>
              <w:rPr>
                <w:rFonts w:ascii="Times New Roman" w:eastAsia="宋体" w:hAnsi="Times New Roman" w:cs="Times New Roman" w:hint="eastAsia"/>
                <w:color w:val="auto"/>
                <w:sz w:val="24"/>
                <w:highlight w:val="none"/>
              </w:rPr>
              <w:t>及水蒸气。</w:t>
            </w:r>
          </w:p>
          <w:p>
            <w:pPr>
              <w:pStyle w:val="Default"/>
              <w:spacing w:line="360" w:lineRule="auto"/>
              <w:ind w:firstLine="480" w:firstLineChars="200"/>
              <w:rPr>
                <w:rFonts w:ascii="Times New Roman" w:eastAsia="宋体" w:hAnsi="Times New Roman" w:cs="Times New Roman"/>
                <w:color w:val="auto"/>
                <w:highlight w:val="none"/>
              </w:rPr>
            </w:pPr>
            <w:r>
              <w:rPr>
                <w:rFonts w:ascii="Times New Roman" w:eastAsia="宋体" w:hAnsi="Times New Roman" w:cs="Times New Roman" w:hint="eastAsia"/>
                <w:color w:val="auto"/>
                <w:highlight w:val="none"/>
              </w:rPr>
              <w:t>本项目锅炉使用软水，软水制备过程中产生废离子交换树脂S</w:t>
            </w:r>
            <w:r>
              <w:rPr>
                <w:rFonts w:ascii="Times New Roman" w:eastAsia="宋体" w:hAnsi="Times New Roman" w:cs="Times New Roman" w:hint="eastAsia"/>
                <w:color w:val="auto"/>
                <w:highlight w:val="none"/>
                <w:vertAlign w:val="subscript"/>
              </w:rPr>
              <w:t>4</w:t>
            </w:r>
            <w:r>
              <w:rPr>
                <w:rFonts w:ascii="Times New Roman" w:eastAsia="宋体" w:hAnsi="Times New Roman" w:cs="Times New Roman" w:hint="eastAsia"/>
                <w:color w:val="auto"/>
                <w:highlight w:val="none"/>
              </w:rPr>
              <w:t>。</w:t>
            </w:r>
          </w:p>
          <w:p>
            <w:pPr>
              <w:pStyle w:val="Default"/>
              <w:spacing w:after="0" w:line="360" w:lineRule="auto"/>
              <w:ind w:firstLine="480" w:firstLineChars="200"/>
              <w:rPr>
                <w:rFonts w:ascii="Times New Roman" w:eastAsia="宋体" w:hAnsi="Times New Roman" w:cs="Times New Roman"/>
                <w:b w:val="0"/>
                <w:bCs/>
                <w:color w:val="auto"/>
                <w:highlight w:val="none"/>
              </w:rPr>
            </w:pPr>
            <w:r>
              <w:rPr>
                <w:rFonts w:ascii="Times New Roman" w:eastAsia="宋体" w:hAnsi="Times New Roman" w:cs="Times New Roman"/>
                <w:b w:val="0"/>
                <w:bCs/>
                <w:color w:val="auto"/>
                <w:highlight w:val="none"/>
              </w:rPr>
              <w:t>软水制备工艺：水的硬度主要是由其中的阳离子:钙</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b w:val="0"/>
                <w:bCs/>
                <w:color w:val="auto"/>
                <w:highlight w:val="none"/>
              </w:rPr>
              <w:t>Ca</w:t>
            </w:r>
            <w:r>
              <w:rPr>
                <w:rFonts w:ascii="Times New Roman" w:eastAsia="宋体" w:hAnsi="Times New Roman" w:cs="Times New Roman"/>
                <w:b w:val="0"/>
                <w:bCs/>
                <w:color w:val="auto"/>
                <w:highlight w:val="none"/>
                <w:vertAlign w:val="superscript"/>
              </w:rPr>
              <w:t>2+</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b w:val="0"/>
                <w:bCs/>
                <w:color w:val="auto"/>
                <w:highlight w:val="none"/>
              </w:rPr>
              <w:t>、镁</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b w:val="0"/>
                <w:bCs/>
                <w:color w:val="auto"/>
                <w:highlight w:val="none"/>
              </w:rPr>
              <w:t>Mg</w:t>
            </w:r>
            <w:r>
              <w:rPr>
                <w:rFonts w:ascii="Times New Roman" w:eastAsia="宋体" w:hAnsi="Times New Roman" w:cs="Times New Roman"/>
                <w:b w:val="0"/>
                <w:bCs/>
                <w:color w:val="auto"/>
                <w:highlight w:val="none"/>
                <w:vertAlign w:val="superscript"/>
              </w:rPr>
              <w:t>2+</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b w:val="0"/>
                <w:bCs/>
                <w:color w:val="auto"/>
                <w:highlight w:val="none"/>
              </w:rPr>
              <w:t>离子构成的。当含有硬度离子的原水通过交换器树脂层时，水中的钙、镁离子与树脂内的钠离子发生置换，树脂吸附了钙、镁离子而钠离子进入水中，这样从交换器内流出的水就是去掉了硬度离子的软化水。随着交换过程的不断进行，树脂中Na</w:t>
            </w:r>
            <w:r>
              <w:rPr>
                <w:rFonts w:ascii="Times New Roman" w:eastAsia="宋体" w:hAnsi="Times New Roman" w:cs="Times New Roman"/>
                <w:b w:val="0"/>
                <w:bCs/>
                <w:color w:val="auto"/>
                <w:highlight w:val="none"/>
                <w:vertAlign w:val="superscript"/>
              </w:rPr>
              <w:t>+</w:t>
            </w:r>
            <w:r>
              <w:rPr>
                <w:rFonts w:ascii="Times New Roman" w:eastAsia="宋体" w:hAnsi="Times New Roman" w:cs="Times New Roman"/>
                <w:b w:val="0"/>
                <w:bCs/>
                <w:color w:val="auto"/>
                <w:highlight w:val="none"/>
              </w:rPr>
              <w:t>全部被置出来后就失去了交换功能，此时必须使用Nac1溶液对树脂进行再生，将树脂吸附的Ca</w:t>
            </w:r>
            <w:r>
              <w:rPr>
                <w:rFonts w:ascii="Times New Roman" w:eastAsia="宋体" w:hAnsi="Times New Roman" w:cs="Times New Roman"/>
                <w:b w:val="0"/>
                <w:bCs/>
                <w:color w:val="auto"/>
                <w:highlight w:val="none"/>
                <w:vertAlign w:val="superscript"/>
              </w:rPr>
              <w:t>2+</w:t>
            </w:r>
            <w:r>
              <w:rPr>
                <w:rFonts w:ascii="Times New Roman" w:eastAsia="宋体" w:hAnsi="Times New Roman" w:cs="Times New Roman"/>
                <w:b w:val="0"/>
                <w:bCs/>
                <w:color w:val="auto"/>
                <w:highlight w:val="none"/>
              </w:rPr>
              <w:t>、Mg</w:t>
            </w:r>
            <w:r>
              <w:rPr>
                <w:rFonts w:ascii="Times New Roman" w:eastAsia="宋体" w:hAnsi="Times New Roman" w:cs="Times New Roman"/>
                <w:b w:val="0"/>
                <w:bCs/>
                <w:color w:val="auto"/>
                <w:highlight w:val="none"/>
                <w:vertAlign w:val="superscript"/>
              </w:rPr>
              <w:t>2+</w:t>
            </w:r>
            <w:r>
              <w:rPr>
                <w:rFonts w:ascii="Times New Roman" w:eastAsia="宋体" w:hAnsi="Times New Roman" w:cs="Times New Roman"/>
                <w:b w:val="0"/>
                <w:bCs/>
                <w:color w:val="auto"/>
                <w:highlight w:val="none"/>
              </w:rPr>
              <w:t>置换下来，树脂重新吸附了钠离子，恢复了软化交换能力。</w:t>
            </w:r>
          </w:p>
        </w:tc>
      </w:tr>
    </w:tbl>
    <w:p>
      <w:pPr>
        <w:sectPr>
          <w:footerReference w:type="even" r:id="rId50"/>
          <w:footerReference w:type="default" r:id="rId51"/>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20"/>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2030"/>
          <w:jc w:val="center"/>
        </w:trPr>
        <w:tc>
          <w:tcPr>
            <w:tcW w:w="823" w:type="dxa"/>
            <w:vAlign w:val="center"/>
          </w:tcPr>
          <w:p/>
        </w:tc>
        <w:tc>
          <w:tcPr>
            <w:tcW w:w="8161" w:type="dxa"/>
          </w:tcPr>
          <w:p>
            <w:pPr>
              <w:pStyle w:val="Default"/>
              <w:spacing w:before="0" w:line="360" w:lineRule="auto"/>
              <w:ind w:firstLine="480" w:firstLineChars="200"/>
              <w:rPr>
                <w:rFonts w:ascii="Times New Roman" w:eastAsia="宋体" w:hAnsi="Times New Roman" w:cs="Times New Roman"/>
                <w:b w:val="0"/>
                <w:bCs/>
                <w:color w:val="auto"/>
                <w:highlight w:val="none"/>
              </w:rPr>
            </w:pPr>
            <w:r>
              <w:rPr>
                <w:rFonts w:ascii="Times New Roman" w:eastAsia="宋体" w:hAnsi="Times New Roman" w:cs="Times New Roman" w:hint="eastAsia"/>
                <w:b w:val="0"/>
                <w:bCs/>
                <w:color w:val="auto"/>
                <w:highlight w:val="none"/>
              </w:rPr>
              <w:t>树脂再生废水水进入厂区污水处理站进行处理。</w:t>
            </w:r>
          </w:p>
          <w:p>
            <w:pPr>
              <w:widowControl/>
              <w:snapToGrid w:val="0"/>
              <w:spacing w:line="360" w:lineRule="auto"/>
              <w:ind w:firstLine="480" w:firstLineChars="200"/>
              <w:rPr>
                <w:rFonts w:hint="default"/>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5</w:t>
            </w:r>
            <w:r>
              <w:rPr>
                <w:rFonts w:ascii="Times New Roman" w:eastAsia="宋体" w:hAnsi="Times New Roman" w:cs="Times New Roman" w:hint="eastAsia"/>
                <w:color w:val="auto"/>
                <w:sz w:val="24"/>
                <w:highlight w:val="none"/>
                <w:lang w:eastAsia="zh-CN"/>
              </w:rPr>
              <w:t>）预缩：根据客户要求，大约</w:t>
            </w:r>
            <w:r>
              <w:rPr>
                <w:rFonts w:ascii="Times New Roman" w:eastAsia="宋体" w:hAnsi="Times New Roman" w:cs="Times New Roman" w:hint="eastAsia"/>
                <w:color w:val="auto"/>
                <w:sz w:val="24"/>
                <w:highlight w:val="none"/>
                <w:lang w:val="en-US" w:eastAsia="zh-CN"/>
              </w:rPr>
              <w:t>10%左右的产品需要进行预缩，其主要流程为将半成品布料匀速通过约80度左右的热水中，其在水中时间约为10秒左右，使布料受热后产生卷曲，使得布料更具有收缩性。本工序热水使用蒸汽加热，损耗后加水。</w:t>
            </w:r>
          </w:p>
          <w:p>
            <w:pPr>
              <w:widowControl/>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6</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坯</w:t>
            </w:r>
            <w:r>
              <w:rPr>
                <w:rFonts w:ascii="Times New Roman" w:eastAsia="宋体" w:hAnsi="Times New Roman" w:cs="Times New Roman"/>
                <w:color w:val="auto"/>
                <w:sz w:val="24"/>
                <w:highlight w:val="none"/>
              </w:rPr>
              <w:t>布检验、打卷：对烘干后的</w:t>
            </w:r>
            <w:r>
              <w:rPr>
                <w:rFonts w:ascii="Times New Roman" w:eastAsia="宋体" w:hAnsi="Times New Roman" w:cs="Times New Roman" w:hint="eastAsia"/>
                <w:color w:val="auto"/>
                <w:sz w:val="24"/>
                <w:highlight w:val="none"/>
              </w:rPr>
              <w:t>坯</w:t>
            </w:r>
            <w:r>
              <w:rPr>
                <w:rFonts w:ascii="Times New Roman" w:eastAsia="宋体" w:hAnsi="Times New Roman" w:cs="Times New Roman"/>
                <w:color w:val="auto"/>
                <w:sz w:val="24"/>
                <w:highlight w:val="none"/>
              </w:rPr>
              <w:t>布进行</w:t>
            </w:r>
            <w:r>
              <w:rPr>
                <w:rFonts w:ascii="Times New Roman" w:eastAsia="宋体" w:hAnsi="Times New Roman" w:cs="Times New Roman" w:hint="eastAsia"/>
                <w:color w:val="auto"/>
                <w:sz w:val="24"/>
                <w:highlight w:val="none"/>
              </w:rPr>
              <w:t>长度、厚度、瑕疵</w:t>
            </w:r>
            <w:r>
              <w:rPr>
                <w:rFonts w:ascii="Times New Roman" w:eastAsia="宋体" w:hAnsi="Times New Roman" w:cs="Times New Roman"/>
                <w:color w:val="auto"/>
                <w:sz w:val="24"/>
                <w:highlight w:val="none"/>
              </w:rPr>
              <w:t>检验，检验后的合格品打卷成设计规格。</w:t>
            </w:r>
            <w:r>
              <w:rPr>
                <w:rFonts w:ascii="Times New Roman" w:eastAsia="宋体" w:hAnsi="Times New Roman" w:cs="Times New Roman" w:hint="eastAsia"/>
                <w:color w:val="auto"/>
                <w:sz w:val="24"/>
                <w:highlight w:val="none"/>
              </w:rPr>
              <w:t>检验过程产生不合格品S</w:t>
            </w:r>
            <w:r>
              <w:rPr>
                <w:rFonts w:ascii="Times New Roman" w:eastAsia="宋体" w:hAnsi="Times New Roman" w:cs="Times New Roman" w:hint="eastAsia"/>
                <w:color w:val="auto"/>
                <w:sz w:val="24"/>
                <w:highlight w:val="none"/>
                <w:vertAlign w:val="subscript"/>
              </w:rPr>
              <w:t>4</w:t>
            </w:r>
            <w:r>
              <w:rPr>
                <w:rFonts w:ascii="Times New Roman" w:eastAsia="宋体" w:hAnsi="Times New Roman" w:cs="Times New Roman" w:hint="eastAsia"/>
                <w:color w:val="auto"/>
                <w:sz w:val="24"/>
                <w:highlight w:val="none"/>
              </w:rPr>
              <w:t>。</w:t>
            </w:r>
          </w:p>
          <w:p>
            <w:pPr>
              <w:pStyle w:val="a4"/>
              <w:snapToGrid w:val="0"/>
              <w:rPr>
                <w:rFonts w:ascii="Times New Roman" w:eastAsia="宋体" w:hAnsi="Times New Roman" w:cs="Times New Roman"/>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7</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成包入库：对成品涤纶布进行包装，打包好存储在仓库待发货。</w:t>
            </w:r>
            <w:r>
              <w:rPr>
                <w:rFonts w:ascii="Times New Roman" w:eastAsia="宋体" w:hAnsi="Times New Roman" w:cs="Times New Roman" w:hint="eastAsia"/>
                <w:color w:val="auto"/>
                <w:sz w:val="24"/>
                <w:highlight w:val="none"/>
              </w:rPr>
              <w:t>包装过程产生废包装S</w:t>
            </w:r>
            <w:r>
              <w:rPr>
                <w:rFonts w:ascii="Times New Roman" w:eastAsia="宋体" w:hAnsi="Times New Roman" w:cs="Times New Roman" w:hint="eastAsia"/>
                <w:color w:val="auto"/>
                <w:sz w:val="24"/>
                <w:highlight w:val="none"/>
                <w:vertAlign w:val="subscript"/>
              </w:rPr>
              <w:t>5</w:t>
            </w:r>
            <w:r>
              <w:rPr>
                <w:rFonts w:ascii="Times New Roman" w:eastAsia="宋体" w:hAnsi="Times New Roman" w:cs="Times New Roman" w:hint="eastAsia"/>
                <w:color w:val="auto"/>
                <w:sz w:val="24"/>
                <w:highlight w:val="none"/>
              </w:rPr>
              <w:t>。</w:t>
            </w:r>
          </w:p>
          <w:p>
            <w:pPr>
              <w:pStyle w:val="a4"/>
              <w:snapToGrid w:val="0"/>
              <w:ind w:firstLine="470"/>
              <w:rPr>
                <w:rFonts w:ascii="Times New Roman" w:eastAsia="宋体" w:hAnsi="Times New Roman" w:cs="Times New Roman"/>
                <w:b/>
                <w:bCs w:val="0"/>
                <w:color w:val="auto"/>
                <w:sz w:val="24"/>
                <w:highlight w:val="none"/>
              </w:rPr>
            </w:pPr>
            <w:r>
              <w:rPr>
                <w:rFonts w:ascii="Times New Roman" w:eastAsia="宋体" w:hAnsi="Times New Roman" w:cs="Times New Roman" w:hint="eastAsia"/>
                <w:b/>
                <w:bCs w:val="0"/>
                <w:color w:val="auto"/>
                <w:sz w:val="24"/>
                <w:highlight w:val="none"/>
              </w:rPr>
              <w:t>备注：本次环评企业不涉及备案中加弹工序。</w:t>
            </w:r>
          </w:p>
          <w:p>
            <w:pPr>
              <w:snapToGrid w:val="0"/>
              <w:spacing w:line="360" w:lineRule="auto"/>
              <w:rPr>
                <w:color w:val="auto"/>
                <w:highlight w:val="none"/>
              </w:rPr>
            </w:pPr>
            <w:r>
              <w:rPr>
                <w:rFonts w:ascii="Times New Roman" w:eastAsia="宋体" w:hAnsi="Times New Roman" w:cs="Times New Roman" w:hint="eastAsia"/>
                <w:b/>
                <w:bCs/>
                <w:color w:val="auto"/>
                <w:sz w:val="24"/>
                <w:highlight w:val="none"/>
              </w:rPr>
              <w:t xml:space="preserve">2.7 </w:t>
            </w:r>
            <w:r>
              <w:rPr>
                <w:rFonts w:ascii="Times New Roman" w:eastAsia="宋体" w:hAnsi="Times New Roman" w:cs="Times New Roman"/>
                <w:b/>
                <w:bCs/>
                <w:color w:val="auto"/>
                <w:sz w:val="24"/>
                <w:highlight w:val="none"/>
              </w:rPr>
              <w:t>产污环节分析</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val="en-US" w:eastAsia="zh-CN"/>
              </w:rPr>
              <w:t>迁建</w:t>
            </w:r>
            <w:r>
              <w:rPr>
                <w:rFonts w:ascii="Times New Roman" w:eastAsia="宋体" w:hAnsi="Times New Roman" w:cs="Times New Roman"/>
                <w:color w:val="auto"/>
                <w:sz w:val="24"/>
                <w:highlight w:val="none"/>
              </w:rPr>
              <w:t>项目运营期污染工序与污染因子见表2-</w:t>
            </w:r>
            <w:r>
              <w:rPr>
                <w:rFonts w:ascii="Times New Roman" w:eastAsia="宋体" w:hAnsi="Times New Roman" w:cs="Times New Roman" w:hint="eastAsia"/>
                <w:color w:val="auto"/>
                <w:sz w:val="24"/>
                <w:highlight w:val="none"/>
                <w:lang w:val="en-US" w:eastAsia="zh-CN"/>
              </w:rPr>
              <w:t>7</w:t>
            </w:r>
            <w:r>
              <w:rPr>
                <w:rFonts w:ascii="Times New Roman" w:eastAsia="宋体" w:hAnsi="Times New Roman" w:cs="Times New Roman"/>
                <w:color w:val="auto"/>
                <w:sz w:val="24"/>
                <w:highlight w:val="none"/>
              </w:rPr>
              <w:t>。</w:t>
            </w:r>
          </w:p>
          <w:p>
            <w:pPr>
              <w:snapToGrid w:val="0"/>
              <w:jc w:val="center"/>
              <w:rPr>
                <w:b/>
                <w:bCs/>
                <w:color w:val="auto"/>
                <w:sz w:val="24"/>
                <w:highlight w:val="none"/>
              </w:rPr>
            </w:pPr>
            <w:r>
              <w:rPr>
                <w:rFonts w:ascii="Times New Roman" w:eastAsia="宋体" w:hAnsi="Times New Roman" w:cs="Times New Roman"/>
                <w:b/>
                <w:bCs/>
                <w:color w:val="auto"/>
                <w:sz w:val="24"/>
                <w:highlight w:val="none"/>
              </w:rPr>
              <w:t>表2-</w:t>
            </w:r>
            <w:r>
              <w:rPr>
                <w:rFonts w:ascii="Times New Roman" w:eastAsia="宋体" w:hAnsi="Times New Roman" w:cs="Times New Roman" w:hint="eastAsia"/>
                <w:b/>
                <w:bCs/>
                <w:color w:val="auto"/>
                <w:sz w:val="24"/>
                <w:highlight w:val="none"/>
                <w:lang w:val="en-US" w:eastAsia="zh-CN"/>
              </w:rPr>
              <w:t>7</w:t>
            </w:r>
            <w:r>
              <w:rPr>
                <w:rFonts w:ascii="Times New Roman" w:eastAsia="宋体" w:hAnsi="Times New Roman" w:cs="Times New Roman"/>
                <w:b/>
                <w:bCs/>
                <w:color w:val="auto"/>
                <w:sz w:val="24"/>
                <w:highlight w:val="none"/>
              </w:rPr>
              <w:t>本项目产污环节汇总表</w:t>
            </w:r>
          </w:p>
          <w:tbl>
            <w:tblPr>
              <w:tblStyle w:val="TableNormal"/>
              <w:tblW w:w="5000" w:type="pct"/>
              <w:tblInd w:w="5" w:type="dxa"/>
              <w:tblBorders>
                <w:top w:val="single" w:sz="4" w:space="0" w:color="auto"/>
                <w:left w:val="none" w:sz="0" w:space="0" w:color="auto"/>
                <w:bottom w:val="single" w:sz="4" w:space="0" w:color="auto"/>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622"/>
              <w:gridCol w:w="965"/>
              <w:gridCol w:w="1799"/>
              <w:gridCol w:w="1740"/>
              <w:gridCol w:w="2819"/>
            </w:tblGrid>
            <w:tr>
              <w:tblPrEx>
                <w:tblW w:w="5000" w:type="pct"/>
                <w:tblInd w:w="5" w:type="dxa"/>
                <w:tblBorders>
                  <w:top w:val="single" w:sz="4" w:space="0" w:color="auto"/>
                  <w:left w:val="none" w:sz="0" w:space="0" w:color="auto"/>
                  <w:bottom w:val="single" w:sz="4" w:space="0" w:color="auto"/>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283"/>
              </w:trPr>
              <w:tc>
                <w:tcPr>
                  <w:tcW w:w="391"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序号</w:t>
                  </w:r>
                </w:p>
              </w:tc>
              <w:tc>
                <w:tcPr>
                  <w:tcW w:w="607"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污染物类型</w:t>
                  </w:r>
                </w:p>
              </w:tc>
              <w:tc>
                <w:tcPr>
                  <w:tcW w:w="1132"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产污环节</w:t>
                  </w:r>
                </w:p>
              </w:tc>
              <w:tc>
                <w:tcPr>
                  <w:tcW w:w="1095"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污染物名称</w:t>
                  </w:r>
                </w:p>
              </w:tc>
              <w:tc>
                <w:tcPr>
                  <w:tcW w:w="1773" w:type="pct"/>
                  <w:tcBorders>
                    <w:tl2br w:val="nil"/>
                    <w:tr2bl w:val="nil"/>
                  </w:tcBorders>
                  <w:vAlign w:val="center"/>
                </w:tcPr>
                <w:p>
                  <w:pPr>
                    <w:jc w:val="center"/>
                    <w:rPr>
                      <w:b/>
                      <w:bCs/>
                      <w:color w:val="auto"/>
                      <w:szCs w:val="21"/>
                      <w:highlight w:val="none"/>
                    </w:rPr>
                  </w:pPr>
                  <w:r>
                    <w:rPr>
                      <w:rFonts w:ascii="Times New Roman" w:eastAsia="宋体" w:hAnsi="Times New Roman" w:cs="Times New Roman"/>
                      <w:b/>
                      <w:bCs/>
                      <w:color w:val="auto"/>
                      <w:szCs w:val="21"/>
                      <w:highlight w:val="none"/>
                    </w:rPr>
                    <w:t>污染因子</w:t>
                  </w:r>
                </w:p>
              </w:tc>
            </w:tr>
            <w:tr>
              <w:tblPrEx>
                <w:tblW w:w="5000" w:type="pct"/>
                <w:tblInd w:w="5" w:type="dxa"/>
                <w:tblLayout w:type="fixed"/>
                <w:tblCellMar>
                  <w:top w:w="0" w:type="dxa"/>
                  <w:left w:w="108" w:type="dxa"/>
                  <w:bottom w:w="0" w:type="dxa"/>
                  <w:right w:w="108" w:type="dxa"/>
                </w:tblCellMar>
              </w:tblPrEx>
              <w:trPr>
                <w:trHeight w:val="283"/>
              </w:trPr>
              <w:tc>
                <w:tcPr>
                  <w:tcW w:w="391"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1</w:t>
                  </w:r>
                </w:p>
              </w:tc>
              <w:tc>
                <w:tcPr>
                  <w:tcW w:w="607"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color w:val="auto"/>
                      <w:szCs w:val="21"/>
                      <w:highlight w:val="none"/>
                    </w:rPr>
                    <w:t>废气</w:t>
                  </w:r>
                </w:p>
              </w:tc>
              <w:tc>
                <w:tcPr>
                  <w:tcW w:w="1132" w:type="pct"/>
                  <w:tcBorders>
                    <w:tl2br w:val="nil"/>
                    <w:tr2bl w:val="nil"/>
                  </w:tcBorders>
                  <w:vAlign w:val="center"/>
                </w:tcPr>
                <w:p>
                  <w:pPr>
                    <w:adjustRightInd w:val="0"/>
                    <w:snapToGrid w:val="0"/>
                    <w:jc w:val="center"/>
                    <w:textAlignment w:val="baseline"/>
                    <w:rPr>
                      <w:rFonts w:hint="eastAsia"/>
                      <w:color w:val="auto"/>
                      <w:szCs w:val="21"/>
                      <w:highlight w:val="none"/>
                    </w:rPr>
                  </w:pPr>
                  <w:r>
                    <w:rPr>
                      <w:rFonts w:ascii="Times New Roman" w:eastAsia="宋体" w:hAnsi="Times New Roman" w:cs="Times New Roman" w:hint="eastAsia"/>
                      <w:color w:val="auto"/>
                      <w:szCs w:val="21"/>
                      <w:highlight w:val="none"/>
                      <w:lang w:val="en-US" w:eastAsia="zh-CN"/>
                    </w:rPr>
                    <w:t>锅炉</w:t>
                  </w:r>
                </w:p>
              </w:tc>
              <w:tc>
                <w:tcPr>
                  <w:tcW w:w="1095" w:type="pct"/>
                  <w:tcBorders>
                    <w:tl2br w:val="nil"/>
                    <w:tr2bl w:val="nil"/>
                  </w:tcBorders>
                  <w:vAlign w:val="center"/>
                </w:tcPr>
                <w:p>
                  <w:pPr>
                    <w:adjustRightInd w:val="0"/>
                    <w:snapToGrid w:val="0"/>
                    <w:jc w:val="center"/>
                    <w:rPr>
                      <w:rFonts w:hint="default"/>
                      <w:color w:val="auto"/>
                      <w:szCs w:val="21"/>
                      <w:highlight w:val="none"/>
                    </w:rPr>
                  </w:pPr>
                  <w:r>
                    <w:rPr>
                      <w:rFonts w:ascii="Times New Roman" w:eastAsia="宋体" w:hAnsi="Times New Roman" w:cs="Times New Roman" w:hint="eastAsia"/>
                      <w:color w:val="auto"/>
                      <w:szCs w:val="21"/>
                      <w:highlight w:val="none"/>
                      <w:lang w:val="en-US" w:eastAsia="zh-CN"/>
                    </w:rPr>
                    <w:t>燃烧废气</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lang w:val="en-US" w:eastAsia="zh-CN"/>
                    </w:rPr>
                    <w:t>颗粒物、SO</w:t>
                  </w:r>
                  <w:r>
                    <w:rPr>
                      <w:rFonts w:ascii="Times New Roman" w:eastAsia="宋体" w:hAnsi="Times New Roman" w:cs="Times New Roman" w:hint="eastAsia"/>
                      <w:color w:val="auto"/>
                      <w:szCs w:val="21"/>
                      <w:highlight w:val="none"/>
                      <w:vertAlign w:val="subscript"/>
                      <w:lang w:val="en-US" w:eastAsia="zh-CN"/>
                    </w:rPr>
                    <w:t>2</w:t>
                  </w:r>
                  <w:r>
                    <w:rPr>
                      <w:rFonts w:ascii="Times New Roman" w:eastAsia="宋体" w:hAnsi="Times New Roman" w:cs="Times New Roman" w:hint="eastAsia"/>
                      <w:color w:val="auto"/>
                      <w:szCs w:val="21"/>
                      <w:highlight w:val="none"/>
                      <w:lang w:val="en-US" w:eastAsia="zh-CN"/>
                    </w:rPr>
                    <w:t>、NOx</w:t>
                  </w:r>
                </w:p>
              </w:tc>
            </w:tr>
            <w:tr>
              <w:tblPrEx>
                <w:tblW w:w="5000" w:type="pct"/>
                <w:tblInd w:w="5" w:type="dxa"/>
                <w:tblLayout w:type="fixed"/>
                <w:tblCellMar>
                  <w:top w:w="0" w:type="dxa"/>
                  <w:left w:w="108" w:type="dxa"/>
                  <w:bottom w:w="0" w:type="dxa"/>
                  <w:right w:w="108" w:type="dxa"/>
                </w:tblCellMar>
              </w:tblPrEx>
              <w:trPr>
                <w:trHeight w:val="283"/>
              </w:trPr>
              <w:tc>
                <w:tcPr>
                  <w:tcW w:w="391" w:type="pct"/>
                  <w:vMerge w:val="restar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2</w:t>
                  </w:r>
                </w:p>
              </w:tc>
              <w:tc>
                <w:tcPr>
                  <w:tcW w:w="607" w:type="pct"/>
                  <w:vMerge w:val="restar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废水</w:t>
                  </w: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职工生活</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职工生活污水</w:t>
                  </w:r>
                </w:p>
              </w:tc>
              <w:tc>
                <w:tcPr>
                  <w:tcW w:w="1773"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color w:val="auto"/>
                      <w:szCs w:val="21"/>
                      <w:highlight w:val="none"/>
                    </w:rPr>
                    <w:t>COD、SS、NH</w:t>
                  </w:r>
                  <w:r>
                    <w:rPr>
                      <w:rFonts w:ascii="Times New Roman" w:eastAsia="宋体" w:hAnsi="Times New Roman" w:cs="Times New Roman"/>
                      <w:color w:val="auto"/>
                      <w:szCs w:val="21"/>
                      <w:highlight w:val="none"/>
                      <w:vertAlign w:val="subscript"/>
                    </w:rPr>
                    <w:t>3</w:t>
                  </w:r>
                  <w:r>
                    <w:rPr>
                      <w:rFonts w:ascii="Times New Roman" w:eastAsia="宋体" w:hAnsi="Times New Roman" w:cs="Times New Roman"/>
                      <w:color w:val="auto"/>
                      <w:szCs w:val="21"/>
                      <w:highlight w:val="none"/>
                    </w:rPr>
                    <w:t>-N、TP、TN</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织造</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织造废水</w:t>
                  </w:r>
                </w:p>
              </w:tc>
              <w:tc>
                <w:tcPr>
                  <w:tcW w:w="1773"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color w:val="auto"/>
                      <w:szCs w:val="21"/>
                      <w:highlight w:val="none"/>
                    </w:rPr>
                    <w:t>pH、</w:t>
                  </w:r>
                  <w:r>
                    <w:rPr>
                      <w:rFonts w:ascii="Times New Roman" w:eastAsia="宋体" w:hAnsi="Times New Roman" w:cs="Times New Roman"/>
                      <w:color w:val="auto"/>
                      <w:szCs w:val="21"/>
                      <w:highlight w:val="none"/>
                      <w:lang w:val="zh-CN"/>
                    </w:rPr>
                    <w:t>COD、</w:t>
                  </w:r>
                  <w:r>
                    <w:rPr>
                      <w:rFonts w:ascii="Times New Roman" w:eastAsia="宋体" w:hAnsi="Times New Roman" w:cs="Times New Roman"/>
                      <w:color w:val="auto"/>
                      <w:szCs w:val="21"/>
                      <w:highlight w:val="none"/>
                    </w:rPr>
                    <w:t>BOD</w:t>
                  </w:r>
                  <w:r>
                    <w:rPr>
                      <w:rFonts w:ascii="Times New Roman" w:eastAsia="宋体" w:hAnsi="Times New Roman" w:cs="Times New Roman"/>
                      <w:color w:val="auto"/>
                      <w:szCs w:val="21"/>
                      <w:highlight w:val="none"/>
                      <w:vertAlign w:val="subscript"/>
                    </w:rPr>
                    <w:t>5</w:t>
                  </w:r>
                  <w:r>
                    <w:rPr>
                      <w:rFonts w:ascii="Times New Roman" w:eastAsia="宋体" w:hAnsi="Times New Roman" w:cs="Times New Roman"/>
                      <w:color w:val="auto"/>
                      <w:szCs w:val="21"/>
                      <w:highlight w:val="none"/>
                    </w:rPr>
                    <w:t>、</w:t>
                  </w:r>
                  <w:r>
                    <w:rPr>
                      <w:rFonts w:ascii="Times New Roman" w:eastAsia="宋体" w:hAnsi="Times New Roman" w:cs="Times New Roman"/>
                      <w:color w:val="auto"/>
                      <w:szCs w:val="21"/>
                      <w:highlight w:val="none"/>
                      <w:lang w:val="zh-CN"/>
                    </w:rPr>
                    <w:t>SS</w:t>
                  </w:r>
                  <w:r>
                    <w:rPr>
                      <w:rStyle w:val="CommentReference"/>
                      <w:rFonts w:ascii="Times New Roman" w:eastAsia="宋体" w:hAnsi="Times New Roman" w:cs="Times New Roman"/>
                      <w:color w:val="auto"/>
                      <w:kern w:val="0"/>
                      <w:szCs w:val="20"/>
                      <w:highlight w:val="none"/>
                    </w:rPr>
                    <w:t>、石油类</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软水制备</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树脂再生水</w:t>
                  </w:r>
                </w:p>
              </w:tc>
              <w:tc>
                <w:tcPr>
                  <w:tcW w:w="1773"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color w:val="auto"/>
                      <w:szCs w:val="21"/>
                      <w:highlight w:val="none"/>
                    </w:rPr>
                    <w:t>pH、</w:t>
                  </w:r>
                  <w:r>
                    <w:rPr>
                      <w:rFonts w:ascii="Times New Roman" w:eastAsia="宋体" w:hAnsi="Times New Roman" w:cs="Times New Roman"/>
                      <w:color w:val="auto"/>
                      <w:szCs w:val="21"/>
                      <w:highlight w:val="none"/>
                      <w:lang w:val="zh-CN"/>
                    </w:rPr>
                    <w:t>COD、SS</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锅炉</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锅炉强制排水</w:t>
                  </w:r>
                </w:p>
              </w:tc>
              <w:tc>
                <w:tcPr>
                  <w:tcW w:w="1773"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color w:val="auto"/>
                      <w:szCs w:val="21"/>
                      <w:highlight w:val="none"/>
                    </w:rPr>
                    <w:t>pH、</w:t>
                  </w:r>
                  <w:r>
                    <w:rPr>
                      <w:rFonts w:ascii="Times New Roman" w:eastAsia="宋体" w:hAnsi="Times New Roman" w:cs="Times New Roman"/>
                      <w:color w:val="auto"/>
                      <w:szCs w:val="21"/>
                      <w:highlight w:val="none"/>
                      <w:lang w:val="zh-CN"/>
                    </w:rPr>
                    <w:t>COD、SS</w:t>
                  </w:r>
                </w:p>
              </w:tc>
            </w:tr>
            <w:tr>
              <w:tblPrEx>
                <w:tblW w:w="5000" w:type="pct"/>
                <w:tblInd w:w="5" w:type="dxa"/>
                <w:tblLayout w:type="fixed"/>
                <w:tblCellMar>
                  <w:top w:w="0" w:type="dxa"/>
                  <w:left w:w="108" w:type="dxa"/>
                  <w:bottom w:w="0" w:type="dxa"/>
                  <w:right w:w="108" w:type="dxa"/>
                </w:tblCellMar>
              </w:tblPrEx>
              <w:trPr>
                <w:trHeight w:val="283"/>
              </w:trPr>
              <w:tc>
                <w:tcPr>
                  <w:tcW w:w="391"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3</w:t>
                  </w:r>
                </w:p>
              </w:tc>
              <w:tc>
                <w:tcPr>
                  <w:tcW w:w="607"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color w:val="auto"/>
                      <w:szCs w:val="21"/>
                      <w:highlight w:val="none"/>
                    </w:rPr>
                    <w:t>噪声</w:t>
                  </w: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color w:val="auto"/>
                      <w:szCs w:val="21"/>
                      <w:highlight w:val="none"/>
                    </w:rPr>
                    <w:t>生产过程</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机械噪声</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等效连续A声级</w:t>
                  </w:r>
                </w:p>
              </w:tc>
            </w:tr>
            <w:tr>
              <w:tblPrEx>
                <w:tblW w:w="5000" w:type="pct"/>
                <w:tblInd w:w="5" w:type="dxa"/>
                <w:tblLayout w:type="fixed"/>
                <w:tblCellMar>
                  <w:top w:w="0" w:type="dxa"/>
                  <w:left w:w="108" w:type="dxa"/>
                  <w:bottom w:w="0" w:type="dxa"/>
                  <w:right w:w="108" w:type="dxa"/>
                </w:tblCellMar>
              </w:tblPrEx>
              <w:trPr>
                <w:trHeight w:val="283"/>
              </w:trPr>
              <w:tc>
                <w:tcPr>
                  <w:tcW w:w="391" w:type="pct"/>
                  <w:vMerge w:val="restar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4</w:t>
                  </w:r>
                </w:p>
              </w:tc>
              <w:tc>
                <w:tcPr>
                  <w:tcW w:w="607" w:type="pct"/>
                  <w:vMerge w:val="restar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color w:val="auto"/>
                      <w:szCs w:val="21"/>
                      <w:highlight w:val="none"/>
                    </w:rPr>
                    <w:t>固体废物</w:t>
                  </w: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生产加工</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废丝</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一般工业固废</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不合格品</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涤纶布</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一般工业固废</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职工生活</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生活垃圾</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生活垃圾</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tcBorders>
                    <w:tl2br w:val="nil"/>
                    <w:tr2bl w:val="nil"/>
                  </w:tcBorders>
                  <w:vAlign w:val="center"/>
                </w:tcPr>
                <w:p>
                  <w:pPr>
                    <w:adjustRightInd w:val="0"/>
                    <w:snapToGrid w:val="0"/>
                    <w:jc w:val="center"/>
                    <w:textAlignment w:val="baseline"/>
                    <w:rPr>
                      <w:color w:val="auto"/>
                      <w:szCs w:val="21"/>
                      <w:highlight w:val="none"/>
                    </w:rPr>
                  </w:pPr>
                  <w:r>
                    <w:rPr>
                      <w:rFonts w:ascii="Times New Roman" w:eastAsia="宋体" w:hAnsi="Times New Roman" w:cs="Times New Roman" w:hint="eastAsia"/>
                      <w:color w:val="auto"/>
                      <w:szCs w:val="21"/>
                      <w:highlight w:val="none"/>
                    </w:rPr>
                    <w:t>包装</w:t>
                  </w:r>
                </w:p>
              </w:tc>
              <w:tc>
                <w:tcPr>
                  <w:tcW w:w="109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hint="eastAsia"/>
                      <w:color w:val="auto"/>
                      <w:szCs w:val="21"/>
                      <w:highlight w:val="none"/>
                    </w:rPr>
                    <w:t>废包装物</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一般工业固废</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vMerge w:val="restar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设备维修</w:t>
                  </w:r>
                </w:p>
              </w:tc>
              <w:tc>
                <w:tcPr>
                  <w:tcW w:w="1095"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废机油</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危险废物</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vMerge/>
                  <w:tcBorders>
                    <w:tl2br w:val="nil"/>
                    <w:tr2bl w:val="nil"/>
                  </w:tcBorders>
                  <w:vAlign w:val="center"/>
                </w:tcPr>
                <w:p>
                  <w:pPr>
                    <w:snapToGrid w:val="0"/>
                    <w:jc w:val="center"/>
                    <w:rPr>
                      <w:color w:val="auto"/>
                      <w:szCs w:val="21"/>
                      <w:highlight w:val="none"/>
                    </w:rPr>
                  </w:pPr>
                </w:p>
              </w:tc>
              <w:tc>
                <w:tcPr>
                  <w:tcW w:w="1095"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废油桶</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返回厂家处置</w:t>
                  </w:r>
                </w:p>
              </w:tc>
            </w:tr>
            <w:tr>
              <w:tblPrEx>
                <w:tblW w:w="5000" w:type="pct"/>
                <w:tblInd w:w="5" w:type="dxa"/>
                <w:tblLayout w:type="fixed"/>
                <w:tblCellMar>
                  <w:top w:w="0" w:type="dxa"/>
                  <w:left w:w="108" w:type="dxa"/>
                  <w:bottom w:w="0" w:type="dxa"/>
                  <w:right w:w="108" w:type="dxa"/>
                </w:tblCellMar>
              </w:tblPrEx>
              <w:trPr>
                <w:trHeight w:val="90"/>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vMerge w:val="restar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废水处理</w:t>
                  </w:r>
                </w:p>
              </w:tc>
              <w:tc>
                <w:tcPr>
                  <w:tcW w:w="1095"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废纤维及活性炭</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危险废物</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vMerge/>
                  <w:tcBorders>
                    <w:tl2br w:val="nil"/>
                    <w:tr2bl w:val="nil"/>
                  </w:tcBorders>
                  <w:vAlign w:val="center"/>
                </w:tcPr>
                <w:p>
                  <w:pPr>
                    <w:snapToGrid w:val="0"/>
                    <w:jc w:val="center"/>
                    <w:rPr>
                      <w:color w:val="auto"/>
                      <w:szCs w:val="21"/>
                      <w:highlight w:val="none"/>
                    </w:rPr>
                  </w:pPr>
                </w:p>
              </w:tc>
              <w:tc>
                <w:tcPr>
                  <w:tcW w:w="1095"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污泥</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一般工业固废</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vMerge/>
                  <w:tcBorders>
                    <w:tl2br w:val="nil"/>
                    <w:tr2bl w:val="nil"/>
                  </w:tcBorders>
                  <w:vAlign w:val="center"/>
                </w:tcPr>
                <w:p>
                  <w:pPr>
                    <w:snapToGrid w:val="0"/>
                    <w:jc w:val="center"/>
                    <w:rPr>
                      <w:color w:val="auto"/>
                      <w:szCs w:val="21"/>
                      <w:highlight w:val="none"/>
                    </w:rPr>
                  </w:pPr>
                </w:p>
              </w:tc>
              <w:tc>
                <w:tcPr>
                  <w:tcW w:w="1095"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废过滤器</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危险废物</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vMerge/>
                  <w:tcBorders>
                    <w:tl2br w:val="nil"/>
                    <w:tr2bl w:val="nil"/>
                  </w:tcBorders>
                  <w:vAlign w:val="center"/>
                </w:tcPr>
                <w:p>
                  <w:pPr>
                    <w:snapToGrid w:val="0"/>
                    <w:jc w:val="center"/>
                    <w:rPr>
                      <w:color w:val="auto"/>
                      <w:szCs w:val="21"/>
                      <w:highlight w:val="none"/>
                    </w:rPr>
                  </w:pPr>
                </w:p>
              </w:tc>
              <w:tc>
                <w:tcPr>
                  <w:tcW w:w="1095"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废反渗透膜</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一般工业固废</w:t>
                  </w:r>
                </w:p>
              </w:tc>
            </w:tr>
            <w:tr>
              <w:tblPrEx>
                <w:tblW w:w="5000" w:type="pct"/>
                <w:tblInd w:w="5" w:type="dxa"/>
                <w:tblLayout w:type="fixed"/>
                <w:tblCellMar>
                  <w:top w:w="0" w:type="dxa"/>
                  <w:left w:w="108" w:type="dxa"/>
                  <w:bottom w:w="0" w:type="dxa"/>
                  <w:right w:w="108" w:type="dxa"/>
                </w:tblCellMar>
              </w:tblPrEx>
              <w:trPr>
                <w:trHeight w:val="283"/>
              </w:trPr>
              <w:tc>
                <w:tcPr>
                  <w:tcW w:w="391" w:type="pct"/>
                  <w:vMerge/>
                  <w:tcBorders>
                    <w:tl2br w:val="nil"/>
                    <w:tr2bl w:val="nil"/>
                  </w:tcBorders>
                  <w:vAlign w:val="center"/>
                </w:tcPr>
                <w:p>
                  <w:pPr>
                    <w:jc w:val="center"/>
                    <w:rPr>
                      <w:color w:val="auto"/>
                      <w:szCs w:val="21"/>
                      <w:highlight w:val="none"/>
                    </w:rPr>
                  </w:pPr>
                </w:p>
              </w:tc>
              <w:tc>
                <w:tcPr>
                  <w:tcW w:w="607" w:type="pct"/>
                  <w:vMerge/>
                  <w:tcBorders>
                    <w:tl2br w:val="nil"/>
                    <w:tr2bl w:val="nil"/>
                  </w:tcBorders>
                  <w:vAlign w:val="center"/>
                </w:tcPr>
                <w:p>
                  <w:pPr>
                    <w:adjustRightInd w:val="0"/>
                    <w:snapToGrid w:val="0"/>
                    <w:jc w:val="center"/>
                    <w:textAlignment w:val="baseline"/>
                    <w:rPr>
                      <w:color w:val="auto"/>
                      <w:szCs w:val="21"/>
                      <w:highlight w:val="none"/>
                    </w:rPr>
                  </w:pPr>
                </w:p>
              </w:tc>
              <w:tc>
                <w:tcPr>
                  <w:tcW w:w="1132"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废离子交换树脂</w:t>
                  </w:r>
                </w:p>
              </w:tc>
              <w:tc>
                <w:tcPr>
                  <w:tcW w:w="1095" w:type="pc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树脂</w:t>
                  </w:r>
                </w:p>
              </w:tc>
              <w:tc>
                <w:tcPr>
                  <w:tcW w:w="1773"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一般工业固废</w:t>
                  </w:r>
                </w:p>
              </w:tc>
            </w:tr>
          </w:tbl>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p>
            <w:pPr>
              <w:rPr>
                <w:color w:val="auto"/>
                <w:highlight w:val="yellow"/>
              </w:rPr>
            </w:pPr>
          </w:p>
        </w:tc>
      </w:tr>
    </w:tbl>
    <w:p>
      <w:pPr>
        <w:sectPr>
          <w:footerReference w:type="even" r:id="rId52"/>
          <w:footerReference w:type="default" r:id="rId53"/>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21"/>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819"/>
          <w:jc w:val="center"/>
        </w:trPr>
        <w:tc>
          <w:tcPr>
            <w:tcW w:w="823" w:type="dxa"/>
            <w:vAlign w:val="center"/>
          </w:tcPr>
          <w:p>
            <w:pPr>
              <w:pStyle w:val="NormalWeb"/>
              <w:adjustRightInd w:val="0"/>
              <w:snapToGrid w:val="0"/>
              <w:spacing w:before="0" w:beforeAutospacing="0" w:after="0" w:afterAutospacing="0"/>
              <w:jc w:val="center"/>
              <w:rPr>
                <w:rFonts w:ascii="Times New Roman" w:eastAsia="宋体" w:hAnsi="Times New Roman" w:cs="Times New Roman"/>
                <w:color w:val="auto"/>
                <w:szCs w:val="24"/>
                <w:highlight w:val="yellow"/>
              </w:rPr>
            </w:pPr>
            <w:r>
              <w:rPr>
                <w:rFonts w:ascii="Times New Roman" w:eastAsia="宋体" w:hAnsi="Times New Roman" w:cs="Times New Roman"/>
                <w:bCs/>
                <w:color w:val="auto"/>
                <w:kern w:val="2"/>
                <w:szCs w:val="24"/>
                <w:highlight w:val="none"/>
              </w:rPr>
              <w:t>与项目有关的原有环境污染问题</w:t>
            </w:r>
          </w:p>
        </w:tc>
        <w:tc>
          <w:tcPr>
            <w:tcW w:w="8161" w:type="dxa"/>
          </w:tcPr>
          <w:p>
            <w:pPr>
              <w:snapToGrid w:val="0"/>
              <w:spacing w:line="360" w:lineRule="auto"/>
              <w:rPr>
                <w:b/>
                <w:bCs/>
                <w:color w:val="auto"/>
                <w:sz w:val="24"/>
                <w:highlight w:val="none"/>
              </w:rPr>
            </w:pPr>
            <w:r>
              <w:rPr>
                <w:rFonts w:ascii="Times New Roman" w:eastAsia="宋体" w:hAnsi="Times New Roman" w:cs="Times New Roman" w:hint="eastAsia"/>
                <w:b/>
                <w:bCs/>
                <w:color w:val="auto"/>
                <w:sz w:val="24"/>
                <w:highlight w:val="none"/>
              </w:rPr>
              <w:t xml:space="preserve">2.8 </w:t>
            </w:r>
            <w:r>
              <w:rPr>
                <w:rFonts w:ascii="Times New Roman" w:eastAsia="宋体" w:hAnsi="Times New Roman" w:cs="Times New Roman"/>
                <w:b/>
                <w:bCs/>
                <w:color w:val="auto"/>
                <w:sz w:val="24"/>
                <w:highlight w:val="none"/>
              </w:rPr>
              <w:t>租赁方基本情况</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项目租赁方滨海天扬生态农业有限公司于2013年11月18日取得《盐城市滨海县1800吨金针菇种养殖基地扩建项目》审批意见（滨环管</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2013</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160号），项目</w:t>
            </w:r>
            <w:r>
              <w:rPr>
                <w:rFonts w:ascii="Times New Roman" w:eastAsia="宋体" w:hAnsi="Times New Roman" w:cs="Times New Roman"/>
                <w:color w:val="auto"/>
                <w:sz w:val="24"/>
                <w:highlight w:val="none"/>
              </w:rPr>
              <w:t>于滨海县</w:t>
            </w:r>
            <w:r>
              <w:rPr>
                <w:rFonts w:ascii="Times New Roman" w:eastAsia="宋体" w:hAnsi="Times New Roman" w:cs="Times New Roman" w:hint="eastAsia"/>
                <w:color w:val="auto"/>
                <w:sz w:val="24"/>
                <w:highlight w:val="none"/>
              </w:rPr>
              <w:t>八巨镇工业园</w:t>
            </w:r>
            <w:r>
              <w:rPr>
                <w:rFonts w:ascii="Times New Roman" w:eastAsia="宋体" w:hAnsi="Times New Roman" w:cs="Times New Roman"/>
                <w:color w:val="auto"/>
                <w:sz w:val="24"/>
                <w:highlight w:val="none"/>
              </w:rPr>
              <w:t>建成</w:t>
            </w:r>
            <w:r>
              <w:rPr>
                <w:rFonts w:ascii="Times New Roman" w:eastAsia="宋体" w:hAnsi="Times New Roman" w:cs="Times New Roman" w:hint="eastAsia"/>
                <w:color w:val="auto"/>
                <w:sz w:val="24"/>
                <w:highlight w:val="none"/>
              </w:rPr>
              <w:t>2</w:t>
            </w:r>
            <w:r>
              <w:rPr>
                <w:rFonts w:ascii="Times New Roman" w:eastAsia="宋体" w:hAnsi="Times New Roman" w:cs="Times New Roman"/>
                <w:color w:val="auto"/>
                <w:sz w:val="24"/>
                <w:highlight w:val="none"/>
              </w:rPr>
              <w:t>栋厂房、1栋办公用房及相关附属用房</w:t>
            </w:r>
            <w:r>
              <w:rPr>
                <w:rFonts w:ascii="Times New Roman" w:eastAsia="宋体" w:hAnsi="Times New Roman" w:cs="Times New Roman" w:hint="eastAsia"/>
                <w:color w:val="auto"/>
                <w:sz w:val="24"/>
                <w:highlight w:val="none"/>
              </w:rPr>
              <w:t>。该项目已于2017年停产，设备等均已拆除。</w:t>
            </w:r>
            <w:r>
              <w:rPr>
                <w:rFonts w:ascii="Times New Roman" w:eastAsia="宋体" w:hAnsi="Times New Roman" w:cs="Times New Roman"/>
                <w:color w:val="auto"/>
                <w:sz w:val="24"/>
                <w:highlight w:val="none"/>
              </w:rPr>
              <w:t>厂房一直闲置，不存在环境遗留问题。</w:t>
            </w:r>
          </w:p>
          <w:p>
            <w:pPr>
              <w:snapToGrid w:val="0"/>
              <w:spacing w:line="360" w:lineRule="auto"/>
              <w:ind w:firstLine="480" w:firstLineChars="200"/>
              <w:rPr>
                <w:b/>
                <w:bCs/>
                <w:color w:val="auto"/>
                <w:sz w:val="24"/>
                <w:highlight w:val="none"/>
              </w:rPr>
            </w:pPr>
            <w:r>
              <w:rPr>
                <w:rFonts w:ascii="Times New Roman" w:eastAsia="宋体" w:hAnsi="Times New Roman" w:cs="Times New Roman"/>
                <w:b/>
                <w:bCs/>
                <w:color w:val="auto"/>
                <w:sz w:val="24"/>
                <w:highlight w:val="none"/>
              </w:rPr>
              <w:t>租赁方现状：</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fldChar w:fldCharType="begin"/>
            </w:r>
            <w:r>
              <w:rPr>
                <w:rFonts w:ascii="Times New Roman" w:eastAsia="宋体" w:hAnsi="Times New Roman" w:cs="Times New Roman"/>
                <w:color w:val="auto"/>
                <w:sz w:val="24"/>
                <w:highlight w:val="none"/>
              </w:rPr>
              <w:instrText xml:space="preserve"> = 1 \* GB3 \* MERGEFORMAT </w:instrText>
            </w:r>
            <w:r>
              <w:rPr>
                <w:rFonts w:ascii="Times New Roman" w:eastAsia="宋体" w:hAnsi="Times New Roman" w:cs="Times New Roman"/>
                <w:color w:val="auto"/>
                <w:sz w:val="24"/>
                <w:highlight w:val="none"/>
              </w:rPr>
              <w:fldChar w:fldCharType="separate"/>
            </w:r>
            <w:r>
              <w:rPr>
                <w:rFonts w:ascii="Times New Roman" w:eastAsia="宋体" w:hAnsi="Times New Roman" w:cs="Times New Roman"/>
                <w:color w:val="auto"/>
                <w:sz w:val="24"/>
                <w:highlight w:val="none"/>
              </w:rPr>
              <w:t>①</w:t>
            </w:r>
            <w:r>
              <w:rPr>
                <w:rFonts w:ascii="Times New Roman" w:eastAsia="宋体" w:hAnsi="Times New Roman" w:cs="Times New Roman"/>
                <w:color w:val="auto"/>
                <w:sz w:val="24"/>
                <w:highlight w:val="none"/>
              </w:rPr>
              <w:fldChar w:fldCharType="end"/>
            </w:r>
            <w:r>
              <w:rPr>
                <w:rFonts w:ascii="Times New Roman" w:eastAsia="宋体" w:hAnsi="Times New Roman" w:cs="Times New Roman"/>
                <w:color w:val="auto"/>
                <w:sz w:val="24"/>
                <w:highlight w:val="none"/>
              </w:rPr>
              <w:t>生产车间：项目租赁方已于滨海县</w:t>
            </w:r>
            <w:r>
              <w:rPr>
                <w:rFonts w:ascii="Times New Roman" w:eastAsia="宋体" w:hAnsi="Times New Roman" w:cs="Times New Roman" w:hint="eastAsia"/>
                <w:color w:val="auto"/>
                <w:sz w:val="24"/>
                <w:highlight w:val="none"/>
              </w:rPr>
              <w:t>八巨镇工业园</w:t>
            </w:r>
            <w:r>
              <w:rPr>
                <w:rFonts w:ascii="Times New Roman" w:eastAsia="宋体" w:hAnsi="Times New Roman" w:cs="Times New Roman"/>
                <w:color w:val="auto"/>
                <w:sz w:val="24"/>
                <w:highlight w:val="none"/>
              </w:rPr>
              <w:t>建成</w:t>
            </w:r>
            <w:r>
              <w:rPr>
                <w:rFonts w:ascii="Times New Roman" w:eastAsia="宋体" w:hAnsi="Times New Roman" w:cs="Times New Roman" w:hint="eastAsia"/>
                <w:color w:val="auto"/>
                <w:sz w:val="24"/>
                <w:highlight w:val="none"/>
              </w:rPr>
              <w:t>2</w:t>
            </w:r>
            <w:r>
              <w:rPr>
                <w:rFonts w:ascii="Times New Roman" w:eastAsia="宋体" w:hAnsi="Times New Roman" w:cs="Times New Roman"/>
                <w:color w:val="auto"/>
                <w:sz w:val="24"/>
                <w:highlight w:val="none"/>
              </w:rPr>
              <w:t>栋厂房、1栋办公用房及相关附属用房。</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②办公场所：</w:t>
            </w:r>
            <w:r>
              <w:rPr>
                <w:rFonts w:ascii="Times New Roman" w:eastAsia="宋体" w:hAnsi="Times New Roman" w:cs="Times New Roman"/>
                <w:bCs/>
                <w:color w:val="auto"/>
                <w:sz w:val="24"/>
                <w:highlight w:val="none"/>
              </w:rPr>
              <w:t>厂区内租赁公司自行设置办公场所</w:t>
            </w:r>
            <w:r>
              <w:rPr>
                <w:rFonts w:ascii="Times New Roman" w:eastAsia="宋体" w:hAnsi="Times New Roman" w:cs="Times New Roman"/>
                <w:color w:val="auto"/>
                <w:sz w:val="24"/>
                <w:highlight w:val="none"/>
              </w:rPr>
              <w:t>。</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③公用设施：供电、供水等设施完好，均在正常使用中。</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④地面处理：厂区地面及生产车间地面均已采取硬化处理。</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⑤耐火等级：厂区厂房火灾危险性类别为丁类，建筑耐火等级为Ⅱ级，厂房防火间距、安全疏散、建筑设计等均符合建筑防火设计规范的要求。</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本项目租赁内容</w:t>
            </w:r>
          </w:p>
          <w:p>
            <w:pPr>
              <w:snapToGrid w:val="0"/>
              <w:spacing w:line="360" w:lineRule="auto"/>
              <w:ind w:firstLine="480" w:firstLineChars="200"/>
              <w:rPr>
                <w:color w:val="auto"/>
                <w:highlight w:val="none"/>
              </w:rPr>
            </w:pPr>
            <w:r>
              <w:rPr>
                <w:rFonts w:ascii="Times New Roman" w:eastAsia="宋体" w:hAnsi="Times New Roman" w:cs="Times New Roman"/>
                <w:color w:val="auto"/>
                <w:sz w:val="24"/>
                <w:highlight w:val="none"/>
              </w:rPr>
              <w:t>建设项目租赁滨海县</w:t>
            </w:r>
            <w:r>
              <w:rPr>
                <w:rFonts w:ascii="Times New Roman" w:eastAsia="宋体" w:hAnsi="Times New Roman" w:cs="Times New Roman" w:hint="eastAsia"/>
                <w:color w:val="auto"/>
                <w:sz w:val="24"/>
                <w:highlight w:val="none"/>
              </w:rPr>
              <w:t>八巨镇工业园</w:t>
            </w:r>
            <w:r>
              <w:rPr>
                <w:rFonts w:ascii="Times New Roman" w:eastAsia="宋体" w:hAnsi="Times New Roman" w:cs="Times New Roman"/>
                <w:color w:val="auto"/>
                <w:sz w:val="24"/>
                <w:highlight w:val="none"/>
              </w:rPr>
              <w:t>现有厂房，建设项目厂房租赁情况见表</w:t>
            </w:r>
            <w:r>
              <w:rPr>
                <w:rFonts w:ascii="Times New Roman" w:eastAsia="宋体" w:hAnsi="Times New Roman" w:cs="Times New Roman" w:hint="eastAsia"/>
                <w:color w:val="auto"/>
                <w:sz w:val="24"/>
                <w:highlight w:val="none"/>
              </w:rPr>
              <w:t>2-</w:t>
            </w:r>
            <w:r>
              <w:rPr>
                <w:rFonts w:ascii="Times New Roman" w:eastAsia="宋体" w:hAnsi="Times New Roman" w:cs="Times New Roman" w:hint="eastAsia"/>
                <w:color w:val="auto"/>
                <w:sz w:val="24"/>
                <w:highlight w:val="none"/>
                <w:lang w:val="en-US" w:eastAsia="zh-CN"/>
              </w:rPr>
              <w:t>8</w:t>
            </w:r>
            <w:r>
              <w:rPr>
                <w:rFonts w:ascii="Times New Roman" w:eastAsia="宋体" w:hAnsi="Times New Roman" w:cs="Times New Roman"/>
                <w:color w:val="auto"/>
                <w:sz w:val="24"/>
                <w:highlight w:val="none"/>
              </w:rPr>
              <w:t>。</w:t>
            </w:r>
          </w:p>
          <w:p>
            <w:pPr>
              <w:snapToGrid w:val="0"/>
              <w:jc w:val="center"/>
              <w:rPr>
                <w:b/>
                <w:color w:val="auto"/>
                <w:sz w:val="24"/>
                <w:highlight w:val="none"/>
              </w:rPr>
            </w:pPr>
            <w:r>
              <w:rPr>
                <w:rFonts w:ascii="Times New Roman" w:eastAsia="宋体" w:hAnsi="Times New Roman" w:cs="Times New Roman"/>
                <w:b/>
                <w:color w:val="auto"/>
                <w:sz w:val="24"/>
                <w:highlight w:val="none"/>
              </w:rPr>
              <w:t>表</w:t>
            </w:r>
            <w:r>
              <w:rPr>
                <w:rFonts w:ascii="Times New Roman" w:eastAsia="宋体" w:hAnsi="Times New Roman" w:cs="Times New Roman" w:hint="eastAsia"/>
                <w:b/>
                <w:color w:val="auto"/>
                <w:sz w:val="24"/>
                <w:highlight w:val="none"/>
              </w:rPr>
              <w:t>2-</w:t>
            </w:r>
            <w:r>
              <w:rPr>
                <w:rFonts w:ascii="Times New Roman" w:eastAsia="宋体" w:hAnsi="Times New Roman" w:cs="Times New Roman" w:hint="eastAsia"/>
                <w:b/>
                <w:color w:val="auto"/>
                <w:sz w:val="24"/>
                <w:highlight w:val="none"/>
                <w:lang w:val="en-US" w:eastAsia="zh-CN"/>
              </w:rPr>
              <w:t>8</w:t>
            </w:r>
            <w:r>
              <w:rPr>
                <w:rFonts w:ascii="Times New Roman" w:eastAsia="宋体" w:hAnsi="Times New Roman" w:cs="Times New Roman"/>
                <w:b/>
                <w:color w:val="auto"/>
                <w:sz w:val="24"/>
                <w:highlight w:val="none"/>
              </w:rPr>
              <w:t>项目所在厂房租赁情况一览表</w:t>
            </w:r>
          </w:p>
          <w:tbl>
            <w:tblPr>
              <w:tblStyle w:val="TableNormal"/>
              <w:tblW w:w="4996"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791"/>
              <w:gridCol w:w="989"/>
              <w:gridCol w:w="1234"/>
              <w:gridCol w:w="1386"/>
              <w:gridCol w:w="1256"/>
              <w:gridCol w:w="2283"/>
            </w:tblGrid>
            <w:tr>
              <w:tblPrEx>
                <w:tblW w:w="4996" w:type="pct"/>
                <w:tblInd w:w="5" w:type="dxa"/>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cantSplit/>
                <w:trHeight w:val="486"/>
              </w:trPr>
              <w:tc>
                <w:tcPr>
                  <w:tcW w:w="498"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序号</w:t>
                  </w:r>
                </w:p>
              </w:tc>
              <w:tc>
                <w:tcPr>
                  <w:tcW w:w="623"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建构筑物</w:t>
                  </w:r>
                </w:p>
              </w:tc>
              <w:tc>
                <w:tcPr>
                  <w:tcW w:w="776"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建筑物层数</w:t>
                  </w:r>
                </w:p>
              </w:tc>
              <w:tc>
                <w:tcPr>
                  <w:tcW w:w="872" w:type="pct"/>
                  <w:tcBorders>
                    <w:tl2br w:val="nil"/>
                    <w:tr2bl w:val="nil"/>
                  </w:tcBorders>
                  <w:vAlign w:val="center"/>
                </w:tcPr>
                <w:p>
                  <w:pPr>
                    <w:pStyle w:val="a11"/>
                    <w:adjustRightInd w:val="0"/>
                    <w:snapToGrid w:val="0"/>
                    <w:spacing w:line="240" w:lineRule="auto"/>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color w:val="auto"/>
                      <w:szCs w:val="21"/>
                      <w:highlight w:val="none"/>
                    </w:rPr>
                    <w:t>占地面积</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2</w:t>
                  </w:r>
                  <w:r>
                    <w:rPr>
                      <w:rFonts w:ascii="Times New Roman" w:eastAsia="宋体" w:hAnsi="Times New Roman" w:cs="Times New Roman" w:hint="eastAsia"/>
                      <w:color w:val="auto"/>
                      <w:szCs w:val="21"/>
                      <w:highlight w:val="none"/>
                      <w:lang w:eastAsia="zh-CN"/>
                    </w:rPr>
                    <w:t>）</w:t>
                  </w:r>
                </w:p>
              </w:tc>
              <w:tc>
                <w:tcPr>
                  <w:tcW w:w="790"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结构</w:t>
                  </w:r>
                </w:p>
              </w:tc>
              <w:tc>
                <w:tcPr>
                  <w:tcW w:w="1437"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用途</w:t>
                  </w:r>
                </w:p>
              </w:tc>
            </w:tr>
            <w:tr>
              <w:tblPrEx>
                <w:tblW w:w="4996" w:type="pct"/>
                <w:tblInd w:w="5" w:type="dxa"/>
                <w:tblLayout w:type="fixed"/>
                <w:tblCellMar>
                  <w:top w:w="0" w:type="dxa"/>
                  <w:left w:w="0" w:type="dxa"/>
                  <w:bottom w:w="0" w:type="dxa"/>
                  <w:right w:w="0" w:type="dxa"/>
                </w:tblCellMar>
              </w:tblPrEx>
              <w:trPr>
                <w:cantSplit/>
                <w:trHeight w:val="220"/>
              </w:trPr>
              <w:tc>
                <w:tcPr>
                  <w:tcW w:w="498"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1</w:t>
                  </w:r>
                </w:p>
              </w:tc>
              <w:tc>
                <w:tcPr>
                  <w:tcW w:w="623"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1#</w:t>
                  </w:r>
                  <w:r>
                    <w:rPr>
                      <w:rFonts w:ascii="Times New Roman" w:eastAsia="宋体" w:hAnsi="Times New Roman" w:cs="Times New Roman"/>
                      <w:color w:val="auto"/>
                      <w:szCs w:val="21"/>
                      <w:highlight w:val="none"/>
                    </w:rPr>
                    <w:t>车间</w:t>
                  </w:r>
                </w:p>
              </w:tc>
              <w:tc>
                <w:tcPr>
                  <w:tcW w:w="776"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1</w:t>
                  </w:r>
                </w:p>
              </w:tc>
              <w:tc>
                <w:tcPr>
                  <w:tcW w:w="872"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5600</w:t>
                  </w:r>
                </w:p>
              </w:tc>
              <w:tc>
                <w:tcPr>
                  <w:tcW w:w="790"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钢混</w:t>
                  </w:r>
                </w:p>
              </w:tc>
              <w:tc>
                <w:tcPr>
                  <w:tcW w:w="1437"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生产、办公、仓储</w:t>
                  </w:r>
                </w:p>
              </w:tc>
            </w:tr>
            <w:tr>
              <w:tblPrEx>
                <w:tblW w:w="4996" w:type="pct"/>
                <w:tblInd w:w="5" w:type="dxa"/>
                <w:tblLayout w:type="fixed"/>
                <w:tblCellMar>
                  <w:top w:w="0" w:type="dxa"/>
                  <w:left w:w="0" w:type="dxa"/>
                  <w:bottom w:w="0" w:type="dxa"/>
                  <w:right w:w="0" w:type="dxa"/>
                </w:tblCellMar>
              </w:tblPrEx>
              <w:trPr>
                <w:cantSplit/>
                <w:trHeight w:val="220"/>
              </w:trPr>
              <w:tc>
                <w:tcPr>
                  <w:tcW w:w="498"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2</w:t>
                  </w:r>
                </w:p>
              </w:tc>
              <w:tc>
                <w:tcPr>
                  <w:tcW w:w="623"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2#</w:t>
                  </w:r>
                  <w:r>
                    <w:rPr>
                      <w:rFonts w:ascii="Times New Roman" w:eastAsia="宋体" w:hAnsi="Times New Roman" w:cs="Times New Roman"/>
                      <w:color w:val="auto"/>
                      <w:szCs w:val="21"/>
                      <w:highlight w:val="none"/>
                    </w:rPr>
                    <w:t>车间</w:t>
                  </w:r>
                </w:p>
              </w:tc>
              <w:tc>
                <w:tcPr>
                  <w:tcW w:w="776"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1</w:t>
                  </w:r>
                </w:p>
              </w:tc>
              <w:tc>
                <w:tcPr>
                  <w:tcW w:w="872"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432</w:t>
                  </w:r>
                </w:p>
              </w:tc>
              <w:tc>
                <w:tcPr>
                  <w:tcW w:w="790"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钢混</w:t>
                  </w:r>
                </w:p>
              </w:tc>
              <w:tc>
                <w:tcPr>
                  <w:tcW w:w="1437"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生产、办公、仓储</w:t>
                  </w:r>
                </w:p>
              </w:tc>
            </w:tr>
            <w:tr>
              <w:tblPrEx>
                <w:tblW w:w="4996" w:type="pct"/>
                <w:tblInd w:w="5" w:type="dxa"/>
                <w:tblLayout w:type="fixed"/>
                <w:tblCellMar>
                  <w:top w:w="0" w:type="dxa"/>
                  <w:left w:w="0" w:type="dxa"/>
                  <w:bottom w:w="0" w:type="dxa"/>
                  <w:right w:w="0" w:type="dxa"/>
                </w:tblCellMar>
              </w:tblPrEx>
              <w:trPr>
                <w:cantSplit/>
                <w:trHeight w:val="90"/>
              </w:trPr>
              <w:tc>
                <w:tcPr>
                  <w:tcW w:w="498"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4</w:t>
                  </w:r>
                </w:p>
              </w:tc>
              <w:tc>
                <w:tcPr>
                  <w:tcW w:w="623"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办公用房</w:t>
                  </w:r>
                </w:p>
              </w:tc>
              <w:tc>
                <w:tcPr>
                  <w:tcW w:w="776"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2</w:t>
                  </w:r>
                </w:p>
              </w:tc>
              <w:tc>
                <w:tcPr>
                  <w:tcW w:w="872"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811</w:t>
                  </w:r>
                </w:p>
              </w:tc>
              <w:tc>
                <w:tcPr>
                  <w:tcW w:w="790"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钢混</w:t>
                  </w:r>
                </w:p>
              </w:tc>
              <w:tc>
                <w:tcPr>
                  <w:tcW w:w="1437"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生产、办公、仓储</w:t>
                  </w:r>
                </w:p>
              </w:tc>
            </w:tr>
            <w:tr>
              <w:tblPrEx>
                <w:tblW w:w="4996" w:type="pct"/>
                <w:tblInd w:w="5" w:type="dxa"/>
                <w:tblLayout w:type="fixed"/>
                <w:tblCellMar>
                  <w:top w:w="0" w:type="dxa"/>
                  <w:left w:w="0" w:type="dxa"/>
                  <w:bottom w:w="0" w:type="dxa"/>
                  <w:right w:w="0" w:type="dxa"/>
                </w:tblCellMar>
              </w:tblPrEx>
              <w:trPr>
                <w:cantSplit/>
                <w:trHeight w:val="90"/>
              </w:trPr>
              <w:tc>
                <w:tcPr>
                  <w:tcW w:w="498"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5</w:t>
                  </w:r>
                </w:p>
              </w:tc>
              <w:tc>
                <w:tcPr>
                  <w:tcW w:w="623"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绿化</w:t>
                  </w:r>
                </w:p>
              </w:tc>
              <w:tc>
                <w:tcPr>
                  <w:tcW w:w="776"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w:t>
                  </w:r>
                </w:p>
              </w:tc>
              <w:tc>
                <w:tcPr>
                  <w:tcW w:w="872"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1000</w:t>
                  </w:r>
                </w:p>
              </w:tc>
              <w:tc>
                <w:tcPr>
                  <w:tcW w:w="790"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w:t>
                  </w:r>
                </w:p>
              </w:tc>
              <w:tc>
                <w:tcPr>
                  <w:tcW w:w="1437" w:type="pc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w:t>
                  </w:r>
                </w:p>
              </w:tc>
            </w:tr>
          </w:tbl>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3</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本项目与租赁方依托关系及可行性分析</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本项目依托租赁方内容包括：生产车间、供水管网、供电管网、雨水管网、雨水排口、</w:t>
            </w:r>
            <w:r>
              <w:rPr>
                <w:rFonts w:ascii="Times New Roman" w:eastAsia="宋体" w:hAnsi="Times New Roman" w:cs="Times New Roman" w:hint="eastAsia"/>
                <w:color w:val="auto"/>
                <w:sz w:val="24"/>
                <w:highlight w:val="none"/>
              </w:rPr>
              <w:t>地埋一体化污水处理设施</w:t>
            </w:r>
            <w:r>
              <w:rPr>
                <w:rFonts w:ascii="Times New Roman" w:eastAsia="宋体" w:hAnsi="Times New Roman" w:cs="Times New Roman"/>
                <w:color w:val="auto"/>
                <w:sz w:val="24"/>
                <w:highlight w:val="none"/>
              </w:rPr>
              <w:t>、厂区绿化等。</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本项目与租赁方依托关系及可行性分析见表</w:t>
            </w:r>
            <w:r>
              <w:rPr>
                <w:rFonts w:ascii="Times New Roman" w:eastAsia="宋体" w:hAnsi="Times New Roman" w:cs="Times New Roman" w:hint="eastAsia"/>
                <w:color w:val="auto"/>
                <w:sz w:val="24"/>
                <w:highlight w:val="none"/>
              </w:rPr>
              <w:t>2-</w:t>
            </w:r>
            <w:r>
              <w:rPr>
                <w:rFonts w:ascii="Times New Roman" w:eastAsia="宋体" w:hAnsi="Times New Roman" w:cs="Times New Roman" w:hint="eastAsia"/>
                <w:color w:val="auto"/>
                <w:sz w:val="24"/>
                <w:highlight w:val="none"/>
                <w:lang w:val="en-US" w:eastAsia="zh-CN"/>
              </w:rPr>
              <w:t>9</w:t>
            </w:r>
            <w:r>
              <w:rPr>
                <w:rFonts w:ascii="Times New Roman" w:eastAsia="宋体" w:hAnsi="Times New Roman" w:cs="Times New Roman"/>
                <w:color w:val="auto"/>
                <w:sz w:val="24"/>
                <w:highlight w:val="none"/>
              </w:rPr>
              <w:t>。</w:t>
            </w:r>
          </w:p>
          <w:p>
            <w:pPr>
              <w:snapToGrid w:val="0"/>
              <w:spacing w:line="360" w:lineRule="auto"/>
              <w:ind w:firstLine="480" w:firstLineChars="200"/>
              <w:rPr>
                <w:color w:val="auto"/>
                <w:sz w:val="24"/>
                <w:highlight w:val="none"/>
              </w:rPr>
            </w:pPr>
          </w:p>
          <w:p>
            <w:pPr>
              <w:snapToGrid w:val="0"/>
              <w:spacing w:line="360" w:lineRule="auto"/>
              <w:ind w:firstLine="480" w:firstLineChars="200"/>
              <w:rPr>
                <w:color w:val="auto"/>
                <w:sz w:val="24"/>
                <w:highlight w:val="none"/>
              </w:rPr>
            </w:pPr>
          </w:p>
          <w:p>
            <w:pPr>
              <w:snapToGrid w:val="0"/>
              <w:spacing w:line="360" w:lineRule="auto"/>
              <w:ind w:firstLine="480" w:firstLineChars="200"/>
              <w:rPr>
                <w:color w:val="auto"/>
                <w:sz w:val="24"/>
                <w:highlight w:val="none"/>
              </w:rPr>
            </w:pPr>
          </w:p>
          <w:p>
            <w:pPr>
              <w:snapToGrid w:val="0"/>
              <w:jc w:val="center"/>
              <w:rPr>
                <w:b/>
                <w:color w:val="auto"/>
                <w:sz w:val="24"/>
                <w:highlight w:val="none"/>
              </w:rPr>
            </w:pPr>
          </w:p>
        </w:tc>
      </w:tr>
    </w:tbl>
    <w:p>
      <w:pPr>
        <w:sectPr>
          <w:footerReference w:type="even" r:id="rId54"/>
          <w:footerReference w:type="default" r:id="rId55"/>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2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819"/>
          <w:jc w:val="center"/>
        </w:trPr>
        <w:tc>
          <w:tcPr>
            <w:tcW w:w="823" w:type="dxa"/>
            <w:vAlign w:val="center"/>
          </w:tcPr>
          <w:p/>
        </w:tc>
        <w:tc>
          <w:tcPr>
            <w:tcW w:w="8161" w:type="dxa"/>
          </w:tcPr>
          <w:p>
            <w:pPr>
              <w:snapToGrid w:val="0"/>
              <w:jc w:val="center"/>
              <w:rPr>
                <w:b/>
                <w:color w:val="auto"/>
                <w:sz w:val="24"/>
                <w:highlight w:val="none"/>
              </w:rPr>
            </w:pPr>
            <w:r>
              <w:rPr>
                <w:rFonts w:ascii="Times New Roman" w:eastAsia="宋体" w:hAnsi="Times New Roman" w:cs="Times New Roman"/>
                <w:b/>
                <w:color w:val="auto"/>
                <w:sz w:val="24"/>
                <w:highlight w:val="none"/>
              </w:rPr>
              <w:t>表</w:t>
            </w:r>
            <w:r>
              <w:rPr>
                <w:rFonts w:ascii="Times New Roman" w:eastAsia="宋体" w:hAnsi="Times New Roman" w:cs="Times New Roman" w:hint="eastAsia"/>
                <w:b/>
                <w:color w:val="auto"/>
                <w:sz w:val="24"/>
                <w:highlight w:val="none"/>
              </w:rPr>
              <w:t>2-</w:t>
            </w:r>
            <w:r>
              <w:rPr>
                <w:rFonts w:ascii="Times New Roman" w:eastAsia="宋体" w:hAnsi="Times New Roman" w:cs="Times New Roman" w:hint="eastAsia"/>
                <w:b/>
                <w:color w:val="auto"/>
                <w:sz w:val="24"/>
                <w:highlight w:val="none"/>
                <w:lang w:val="en-US" w:eastAsia="zh-CN"/>
              </w:rPr>
              <w:t>9</w:t>
            </w:r>
            <w:r>
              <w:rPr>
                <w:rFonts w:ascii="Times New Roman" w:eastAsia="宋体" w:hAnsi="Times New Roman" w:cs="Times New Roman"/>
                <w:b/>
                <w:color w:val="auto"/>
                <w:sz w:val="24"/>
                <w:highlight w:val="none"/>
              </w:rPr>
              <w:t>本项目与租赁方依托关系及可行性分析一览表</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519"/>
              <w:gridCol w:w="340"/>
              <w:gridCol w:w="848"/>
              <w:gridCol w:w="1498"/>
              <w:gridCol w:w="3077"/>
              <w:gridCol w:w="1663"/>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cantSplit/>
                <w:trHeight w:val="23"/>
                <w:jc w:val="center"/>
              </w:trPr>
              <w:tc>
                <w:tcPr>
                  <w:tcW w:w="52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分类</w:t>
                  </w: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建设名称</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滨海天扬生态农业有限公司</w:t>
                  </w:r>
                  <w:r>
                    <w:rPr>
                      <w:rFonts w:ascii="Times New Roman" w:eastAsia="宋体" w:hAnsi="Times New Roman" w:cs="Times New Roman"/>
                      <w:color w:val="auto"/>
                      <w:szCs w:val="21"/>
                      <w:highlight w:val="none"/>
                    </w:rPr>
                    <w:t>基本情况</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本项目拟设置情况</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依托可行性</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主体工程</w:t>
                  </w: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生产厂房</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已建厂房</w:t>
                  </w:r>
                  <w:r>
                    <w:rPr>
                      <w:rFonts w:ascii="Times New Roman" w:eastAsia="宋体" w:hAnsi="Times New Roman" w:cs="Times New Roman" w:hint="eastAsia"/>
                      <w:color w:val="auto"/>
                      <w:szCs w:val="21"/>
                      <w:highlight w:val="none"/>
                    </w:rPr>
                    <w:t>2</w:t>
                  </w:r>
                  <w:r>
                    <w:rPr>
                      <w:rFonts w:ascii="Times New Roman" w:eastAsia="宋体" w:hAnsi="Times New Roman" w:cs="Times New Roman"/>
                      <w:color w:val="auto"/>
                      <w:szCs w:val="21"/>
                      <w:highlight w:val="none"/>
                    </w:rPr>
                    <w:t>栋</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作为</w:t>
                  </w:r>
                  <w:r>
                    <w:rPr>
                      <w:rFonts w:ascii="Times New Roman" w:eastAsia="宋体" w:hAnsi="Times New Roman" w:cs="Times New Roman"/>
                      <w:color w:val="auto"/>
                      <w:szCs w:val="21"/>
                      <w:highlight w:val="none"/>
                    </w:rPr>
                    <w:t>1#织布生产车间、仓库</w:t>
                  </w:r>
                  <w:r>
                    <w:rPr>
                      <w:rFonts w:ascii="Times New Roman" w:eastAsia="宋体" w:hAnsi="Times New Roman" w:cs="Times New Roman"/>
                      <w:color w:val="auto"/>
                      <w:highlight w:val="none"/>
                    </w:rPr>
                    <w:t>以及整经车间</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依托可行，本项目对租赁厂房进行适应性改造</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val="restar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贮运工程</w:t>
                  </w: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原料、成品区</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租赁公司自行负责</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在生产车间设置原料区、成品区</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本项目设置</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运输</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租赁公司自行负责</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生产过程产生的危险固废委托具备危险废物道路运输经营许可证的专用车辆运输。</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本项目设置</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val="restar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公用工程</w:t>
                  </w: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给水</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厂区内给水管网已铺设完成</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新鲜水用量</w:t>
                  </w:r>
                  <w:r>
                    <w:rPr>
                      <w:rFonts w:ascii="Times New Roman" w:eastAsia="宋体" w:hAnsi="Times New Roman" w:cs="Times New Roman" w:hint="eastAsia"/>
                      <w:color w:val="auto"/>
                      <w:szCs w:val="21"/>
                      <w:highlight w:val="none"/>
                      <w:lang w:val="en-US" w:eastAsia="zh-CN"/>
                    </w:rPr>
                    <w:t>20076</w:t>
                  </w:r>
                  <w:r>
                    <w:rPr>
                      <w:rFonts w:ascii="Times New Roman" w:eastAsia="宋体" w:hAnsi="Times New Roman" w:cs="Times New Roman"/>
                      <w:color w:val="auto"/>
                      <w:szCs w:val="21"/>
                      <w:highlight w:val="none"/>
                    </w:rPr>
                    <w:t>m</w:t>
                  </w:r>
                  <w:r>
                    <w:rPr>
                      <w:rFonts w:ascii="Times New Roman" w:eastAsia="宋体" w:hAnsi="Times New Roman" w:cs="Times New Roman"/>
                      <w:color w:val="auto"/>
                      <w:szCs w:val="21"/>
                      <w:highlight w:val="none"/>
                      <w:vertAlign w:val="superscript"/>
                    </w:rPr>
                    <w:t>3</w:t>
                  </w:r>
                  <w:r>
                    <w:rPr>
                      <w:rFonts w:ascii="Times New Roman" w:eastAsia="宋体" w:hAnsi="Times New Roman" w:cs="Times New Roman"/>
                      <w:color w:val="auto"/>
                      <w:szCs w:val="21"/>
                      <w:highlight w:val="none"/>
                    </w:rPr>
                    <w:t>/a，依托租赁方现有供水管网</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依托可行</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344" w:type="dxa"/>
                  <w:vMerge w:val="restar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排水</w:t>
                  </w:r>
                </w:p>
              </w:tc>
              <w:tc>
                <w:tcPr>
                  <w:tcW w:w="858"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生活污水规范化排污口</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不外排</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hint="default"/>
                      <w:color w:val="auto"/>
                      <w:szCs w:val="21"/>
                      <w:highlight w:val="none"/>
                      <w:lang w:val="en-US" w:eastAsia="zh-CN"/>
                    </w:rPr>
                  </w:pPr>
                  <w:r>
                    <w:rPr>
                      <w:rFonts w:ascii="Times New Roman" w:eastAsia="宋体" w:hAnsi="Times New Roman" w:cs="Times New Roman"/>
                      <w:color w:val="auto"/>
                      <w:szCs w:val="21"/>
                      <w:highlight w:val="none"/>
                    </w:rPr>
                    <w:t>生活污水依托租赁方</w:t>
                  </w:r>
                  <w:r>
                    <w:rPr>
                      <w:rFonts w:ascii="Times New Roman" w:eastAsia="宋体" w:hAnsi="Times New Roman" w:cs="Times New Roman" w:hint="eastAsia"/>
                      <w:color w:val="auto"/>
                      <w:szCs w:val="21"/>
                      <w:highlight w:val="none"/>
                    </w:rPr>
                    <w:t>地埋一体化污水处理设施</w:t>
                  </w:r>
                  <w:r>
                    <w:rPr>
                      <w:rFonts w:ascii="Times New Roman" w:eastAsia="宋体" w:hAnsi="Times New Roman" w:cs="Times New Roman"/>
                      <w:color w:val="auto"/>
                      <w:szCs w:val="21"/>
                      <w:highlight w:val="none"/>
                    </w:rPr>
                    <w:t>，项目废水</w:t>
                  </w:r>
                  <w:r>
                    <w:rPr>
                      <w:rFonts w:ascii="Times New Roman" w:eastAsia="宋体" w:hAnsi="Times New Roman" w:cs="Times New Roman" w:hint="eastAsia"/>
                      <w:color w:val="auto"/>
                      <w:szCs w:val="21"/>
                      <w:highlight w:val="none"/>
                      <w:lang w:val="en-US" w:eastAsia="zh-CN"/>
                    </w:rPr>
                    <w:t>近期槽车运至污水厂，远期接管</w:t>
                  </w:r>
                </w:p>
              </w:tc>
              <w:tc>
                <w:tcPr>
                  <w:tcW w:w="1684" w:type="dxa"/>
                  <w:vMerge w:val="restar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依托可行</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344"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858"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雨水管网及接管口</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已规范化设置</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雨水经租赁方雨水管网排入市政雨水管网</w:t>
                  </w:r>
                </w:p>
              </w:tc>
              <w:tc>
                <w:tcPr>
                  <w:tcW w:w="1684"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供电</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厂区内供电线路已完善</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用电</w:t>
                  </w:r>
                  <w:r>
                    <w:rPr>
                      <w:rFonts w:ascii="Times New Roman" w:eastAsia="宋体" w:hAnsi="Times New Roman" w:cs="Times New Roman" w:hint="eastAsia"/>
                      <w:color w:val="auto"/>
                      <w:szCs w:val="21"/>
                      <w:highlight w:val="none"/>
                      <w:lang w:val="en-US" w:eastAsia="zh-CN"/>
                    </w:rPr>
                    <w:t>150</w:t>
                  </w:r>
                  <w:r>
                    <w:rPr>
                      <w:rFonts w:ascii="Times New Roman" w:eastAsia="宋体" w:hAnsi="Times New Roman" w:cs="Times New Roman"/>
                      <w:color w:val="auto"/>
                      <w:szCs w:val="21"/>
                      <w:highlight w:val="none"/>
                    </w:rPr>
                    <w:t>万度/年，厂区接租赁方供电线路</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依托可行</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绿化</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厂区已进行绿化</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不新增绿化面积，依托租赁方</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依托可行</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val="restar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环保工程</w:t>
                  </w: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废气处理</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hint="eastAsia"/>
                      <w:color w:val="auto"/>
                      <w:szCs w:val="21"/>
                      <w:highlight w:val="none"/>
                      <w:lang w:eastAsia="zh-CN"/>
                    </w:rPr>
                  </w:pPr>
                  <w:r>
                    <w:rPr>
                      <w:rFonts w:ascii="Times New Roman" w:eastAsia="宋体" w:hAnsi="Times New Roman" w:cs="Times New Roman" w:hint="eastAsia"/>
                      <w:color w:val="auto"/>
                      <w:szCs w:val="21"/>
                      <w:highlight w:val="none"/>
                      <w:lang w:val="en-US" w:eastAsia="zh-CN"/>
                    </w:rPr>
                    <w:t>锅炉</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hint="default"/>
                      <w:color w:val="auto"/>
                      <w:szCs w:val="21"/>
                      <w:highlight w:val="none"/>
                      <w:lang w:val="en-US" w:eastAsia="zh-CN"/>
                    </w:rPr>
                  </w:pPr>
                  <w:r>
                    <w:rPr>
                      <w:rFonts w:ascii="Times New Roman" w:eastAsia="宋体" w:hAnsi="Times New Roman" w:cs="Times New Roman" w:hint="eastAsia"/>
                      <w:color w:val="auto"/>
                      <w:szCs w:val="21"/>
                      <w:highlight w:val="none"/>
                      <w:lang w:val="en-US" w:eastAsia="zh-CN"/>
                    </w:rPr>
                    <w:t>燃烧废气经处理达标后排放</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本项目设置</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202" w:type="dxa"/>
                  <w:gridSpan w:val="2"/>
                  <w:vMerge w:val="restart"/>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废水处理</w:t>
                  </w:r>
                </w:p>
              </w:tc>
              <w:tc>
                <w:tcPr>
                  <w:tcW w:w="1517"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bCs/>
                      <w:color w:val="auto"/>
                      <w:szCs w:val="21"/>
                      <w:highlight w:val="none"/>
                    </w:rPr>
                    <w:t>污水站</w:t>
                  </w:r>
                </w:p>
              </w:tc>
              <w:tc>
                <w:tcPr>
                  <w:tcW w:w="3115"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bCs/>
                      <w:color w:val="auto"/>
                      <w:szCs w:val="21"/>
                      <w:highlight w:val="none"/>
                    </w:rPr>
                    <w:t>生产废水经厂内污水设施处理达标后</w:t>
                  </w:r>
                  <w:r>
                    <w:rPr>
                      <w:rFonts w:ascii="Times New Roman" w:eastAsia="宋体" w:hAnsi="Times New Roman" w:cs="Times New Roman"/>
                      <w:bCs/>
                      <w:color w:val="auto"/>
                      <w:szCs w:val="21"/>
                      <w:highlight w:val="none"/>
                    </w:rPr>
                    <w:t>，全部回用于生产，不外排</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本项目设置</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202" w:type="dxa"/>
                  <w:gridSpan w:val="2"/>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517" w:type="dxa"/>
                  <w:tcBorders>
                    <w:tl2br w:val="nil"/>
                    <w:tr2bl w:val="nil"/>
                  </w:tcBorders>
                  <w:vAlign w:val="center"/>
                </w:tcPr>
                <w:p>
                  <w:pPr>
                    <w:snapToGrid w:val="0"/>
                    <w:jc w:val="center"/>
                    <w:rPr>
                      <w:bCs/>
                      <w:color w:val="auto"/>
                      <w:szCs w:val="21"/>
                      <w:highlight w:val="none"/>
                    </w:rPr>
                  </w:pPr>
                  <w:r>
                    <w:rPr>
                      <w:rFonts w:ascii="Times New Roman" w:eastAsia="宋体" w:hAnsi="Times New Roman" w:cs="Times New Roman" w:hint="eastAsia"/>
                      <w:bCs/>
                      <w:color w:val="auto"/>
                      <w:szCs w:val="21"/>
                      <w:highlight w:val="none"/>
                    </w:rPr>
                    <w:t>地埋一体化污水处理设施</w:t>
                  </w:r>
                  <w:r>
                    <w:rPr>
                      <w:rFonts w:ascii="Times New Roman" w:eastAsia="宋体" w:hAnsi="Times New Roman" w:cs="Times New Roman"/>
                      <w:bCs/>
                      <w:color w:val="auto"/>
                      <w:szCs w:val="21"/>
                      <w:highlight w:val="none"/>
                    </w:rPr>
                    <w:t>、雨水排口</w:t>
                  </w:r>
                </w:p>
              </w:tc>
              <w:tc>
                <w:tcPr>
                  <w:tcW w:w="3115" w:type="dxa"/>
                  <w:tcBorders>
                    <w:tl2br w:val="nil"/>
                    <w:tr2bl w:val="nil"/>
                  </w:tcBorders>
                  <w:vAlign w:val="center"/>
                </w:tcPr>
                <w:p>
                  <w:pPr>
                    <w:snapToGrid w:val="0"/>
                    <w:jc w:val="center"/>
                    <w:rPr>
                      <w:bCs/>
                      <w:color w:val="auto"/>
                      <w:szCs w:val="21"/>
                      <w:highlight w:val="none"/>
                    </w:rPr>
                  </w:pPr>
                  <w:r>
                    <w:rPr>
                      <w:rFonts w:ascii="Times New Roman" w:eastAsia="宋体" w:hAnsi="Times New Roman" w:cs="Times New Roman"/>
                      <w:bCs/>
                      <w:color w:val="auto"/>
                      <w:szCs w:val="21"/>
                      <w:highlight w:val="none"/>
                    </w:rPr>
                    <w:t>生活污水依托租赁方</w:t>
                  </w:r>
                  <w:r>
                    <w:rPr>
                      <w:rFonts w:ascii="Times New Roman" w:eastAsia="宋体" w:hAnsi="Times New Roman" w:cs="Times New Roman" w:hint="eastAsia"/>
                      <w:bCs/>
                      <w:color w:val="auto"/>
                      <w:szCs w:val="21"/>
                      <w:highlight w:val="none"/>
                    </w:rPr>
                    <w:t>地埋一体化污水处理设施</w:t>
                  </w:r>
                  <w:r>
                    <w:rPr>
                      <w:rFonts w:ascii="Times New Roman" w:eastAsia="宋体" w:hAnsi="Times New Roman" w:cs="Times New Roman"/>
                      <w:bCs/>
                      <w:color w:val="auto"/>
                      <w:szCs w:val="21"/>
                      <w:highlight w:val="none"/>
                    </w:rPr>
                    <w:t>，</w:t>
                  </w:r>
                  <w:r>
                    <w:rPr>
                      <w:rFonts w:ascii="Times New Roman" w:eastAsia="宋体" w:hAnsi="Times New Roman" w:cs="Times New Roman" w:hint="eastAsia"/>
                      <w:bCs/>
                      <w:color w:val="auto"/>
                      <w:szCs w:val="21"/>
                      <w:highlight w:val="none"/>
                      <w:lang w:val="en-US" w:eastAsia="zh-CN"/>
                    </w:rPr>
                    <w:t>近期槽车运至污水厂，远期接管</w:t>
                  </w:r>
                  <w:r>
                    <w:rPr>
                      <w:rFonts w:ascii="Times New Roman" w:eastAsia="宋体" w:hAnsi="Times New Roman" w:cs="Times New Roman" w:hint="eastAsia"/>
                      <w:bCs/>
                      <w:color w:val="auto"/>
                      <w:szCs w:val="21"/>
                      <w:highlight w:val="none"/>
                      <w:lang w:eastAsia="zh-CN"/>
                    </w:rPr>
                    <w:t>，</w:t>
                  </w:r>
                  <w:r>
                    <w:rPr>
                      <w:rFonts w:ascii="Times New Roman" w:eastAsia="宋体" w:hAnsi="Times New Roman" w:cs="Times New Roman"/>
                      <w:bCs/>
                      <w:color w:val="auto"/>
                      <w:szCs w:val="21"/>
                      <w:highlight w:val="none"/>
                    </w:rPr>
                    <w:t>雨水经租赁方雨水管网排入市政雨水管网</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依托可行</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噪声防治</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采用低噪设备，并用室内隔声、减振等措施降噪</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在车间原有墙体基础上，本项目设置室内隔声、减振等措施降噪</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一般固废暂存处</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位于厂区</w:t>
                  </w:r>
                  <w:r>
                    <w:rPr>
                      <w:rFonts w:ascii="Times New Roman" w:eastAsia="宋体" w:hAnsi="Times New Roman" w:cs="Times New Roman" w:hint="eastAsia"/>
                      <w:color w:val="auto"/>
                      <w:szCs w:val="21"/>
                      <w:highlight w:val="none"/>
                    </w:rPr>
                    <w:t>东南</w:t>
                  </w:r>
                  <w:r>
                    <w:rPr>
                      <w:rFonts w:ascii="Times New Roman" w:eastAsia="宋体" w:hAnsi="Times New Roman" w:cs="Times New Roman"/>
                      <w:color w:val="auto"/>
                      <w:szCs w:val="21"/>
                      <w:highlight w:val="none"/>
                    </w:rPr>
                    <w:t>，暂存一般固体废物</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本项目设置</w:t>
                  </w:r>
                </w:p>
              </w:tc>
            </w:tr>
            <w:tr>
              <w:tblPrEx>
                <w:tblW w:w="5000" w:type="pct"/>
                <w:jc w:val="center"/>
                <w:tblLayout w:type="fixed"/>
                <w:tblCellMar>
                  <w:top w:w="0" w:type="dxa"/>
                  <w:left w:w="0" w:type="dxa"/>
                  <w:bottom w:w="0" w:type="dxa"/>
                  <w:right w:w="0" w:type="dxa"/>
                </w:tblCellMar>
              </w:tblPrEx>
              <w:trPr>
                <w:cantSplit/>
                <w:trHeight w:val="23"/>
                <w:jc w:val="center"/>
              </w:trPr>
              <w:tc>
                <w:tcPr>
                  <w:tcW w:w="525" w:type="dxa"/>
                  <w:vMerge/>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p>
              </w:tc>
              <w:tc>
                <w:tcPr>
                  <w:tcW w:w="1202" w:type="dxa"/>
                  <w:gridSpan w:val="2"/>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危废暂存点</w:t>
                  </w:r>
                </w:p>
              </w:tc>
              <w:tc>
                <w:tcPr>
                  <w:tcW w:w="151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w:t>
                  </w:r>
                </w:p>
              </w:tc>
              <w:tc>
                <w:tcPr>
                  <w:tcW w:w="3115"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位于厂房东南，暂存危险废物</w:t>
                  </w:r>
                </w:p>
              </w:tc>
              <w:tc>
                <w:tcPr>
                  <w:tcW w:w="1684"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本项目设置</w:t>
                  </w:r>
                </w:p>
              </w:tc>
            </w:tr>
          </w:tbl>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经分析可得，本项目依托租赁方生产车间、供水管网、供电管网、雨水管网、雨水排口、</w:t>
            </w:r>
            <w:r>
              <w:rPr>
                <w:rFonts w:ascii="Times New Roman" w:eastAsia="宋体" w:hAnsi="Times New Roman" w:cs="Times New Roman" w:hint="eastAsia"/>
                <w:color w:val="auto"/>
                <w:sz w:val="24"/>
                <w:highlight w:val="none"/>
              </w:rPr>
              <w:t>地埋一体化污水处理设施</w:t>
            </w:r>
            <w:r>
              <w:rPr>
                <w:rFonts w:ascii="Times New Roman" w:eastAsia="宋体" w:hAnsi="Times New Roman" w:cs="Times New Roman"/>
                <w:color w:val="auto"/>
                <w:sz w:val="24"/>
                <w:highlight w:val="none"/>
              </w:rPr>
              <w:t>、厂区绿化等内容可行。</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4</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本项目对租赁厂房的适应性改造</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本项目施工期需要对车间局部改造，设备安装及调试等。为满足生产需求，车间局部改造主要包括以下几个方面：</w:t>
            </w:r>
          </w:p>
        </w:tc>
      </w:tr>
    </w:tbl>
    <w:p>
      <w:pPr>
        <w:sectPr>
          <w:footerReference w:type="even" r:id="rId56"/>
          <w:footerReference w:type="default" r:id="rId57"/>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23"/>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819"/>
          <w:jc w:val="center"/>
        </w:trPr>
        <w:tc>
          <w:tcPr>
            <w:tcW w:w="823" w:type="dxa"/>
            <w:vAlign w:val="center"/>
          </w:tcPr>
          <w:p/>
        </w:tc>
        <w:tc>
          <w:tcPr>
            <w:tcW w:w="8161" w:type="dxa"/>
          </w:tcPr>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①改造室内格局：本项目租赁的生产车间采用室内隔声、减振等措施降噪，保证项目运营期噪声达标；并且针对项目车间内不同分区布局的改造建设，包括车间内设置的独立原料、成品区、危险废物暂存点、</w:t>
            </w:r>
            <w:r>
              <w:rPr>
                <w:rFonts w:ascii="Times New Roman" w:eastAsia="宋体" w:hAnsi="Times New Roman" w:cs="Times New Roman" w:hint="eastAsia"/>
                <w:color w:val="auto"/>
                <w:sz w:val="24"/>
                <w:highlight w:val="none"/>
              </w:rPr>
              <w:t>一般固废暂存处</w:t>
            </w:r>
            <w:r>
              <w:rPr>
                <w:rFonts w:ascii="Times New Roman" w:eastAsia="宋体" w:hAnsi="Times New Roman" w:cs="Times New Roman"/>
                <w:color w:val="auto"/>
                <w:sz w:val="24"/>
                <w:highlight w:val="none"/>
              </w:rPr>
              <w:t>等。</w:t>
            </w:r>
          </w:p>
          <w:p>
            <w:pPr>
              <w:snapToGrid w:val="0"/>
              <w:spacing w:line="360" w:lineRule="auto"/>
              <w:ind w:firstLine="480" w:firstLineChars="200"/>
              <w:rPr>
                <w:rFonts w:hint="default"/>
                <w:color w:val="auto"/>
                <w:sz w:val="24"/>
                <w:highlight w:val="none"/>
              </w:rPr>
            </w:pPr>
            <w:r>
              <w:rPr>
                <w:rFonts w:ascii="Times New Roman" w:eastAsia="宋体" w:hAnsi="Times New Roman" w:cs="Times New Roman"/>
                <w:color w:val="auto"/>
                <w:sz w:val="24"/>
                <w:highlight w:val="none"/>
              </w:rPr>
              <w:t>由此可得，本项目对租赁方适应性改造内容较小，不会对原有厂房结构产生改变，改造措施可行，改造后租赁厂房将满足本项目的生产需求，改造措施合理可行。</w:t>
            </w:r>
            <w:r>
              <w:rPr>
                <w:rFonts w:ascii="Times New Roman" w:eastAsia="宋体" w:hAnsi="Times New Roman" w:cs="Times New Roman" w:hint="eastAsia"/>
                <w:color w:val="auto"/>
                <w:sz w:val="24"/>
                <w:highlight w:val="none"/>
                <w:lang w:val="en-US" w:eastAsia="zh-CN"/>
              </w:rPr>
              <w:t>目前已基本完成建设。</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5</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存在的环境问题及对本项目的制约因素</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①存在的环境问题</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租赁方厂区自建成后，未在该厂区内从事过相关生产活动，厂房一直为空置状态，因此厂区内无遗留的环境污染问题存在。</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本项目排水体制为：</w:t>
            </w:r>
            <w:r>
              <w:rPr>
                <w:rFonts w:ascii="Times New Roman" w:eastAsia="宋体" w:hAnsi="Times New Roman" w:cs="Times New Roman"/>
                <w:bCs/>
                <w:color w:val="auto"/>
                <w:sz w:val="24"/>
                <w:highlight w:val="none"/>
              </w:rPr>
              <w:t>雨污分流、清污分流，污水为少量生活污水，本项目实施后，不新设污水及清下水排口，依托租赁厂区的雨水排口</w:t>
            </w:r>
            <w:r>
              <w:rPr>
                <w:rFonts w:ascii="Times New Roman" w:eastAsia="宋体" w:hAnsi="Times New Roman" w:cs="Times New Roman"/>
                <w:color w:val="auto"/>
                <w:sz w:val="24"/>
                <w:highlight w:val="none"/>
              </w:rPr>
              <w:t>。</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目前，项目所在地污水管网未铺设到位，项目生活污水经</w:t>
            </w:r>
            <w:r>
              <w:rPr>
                <w:rFonts w:ascii="Times New Roman" w:eastAsia="宋体" w:hAnsi="Times New Roman" w:cs="Times New Roman" w:hint="eastAsia"/>
                <w:color w:val="auto"/>
                <w:sz w:val="24"/>
                <w:highlight w:val="none"/>
              </w:rPr>
              <w:t>地埋一体化污水处理设施</w:t>
            </w:r>
            <w:r>
              <w:rPr>
                <w:rFonts w:ascii="Times New Roman" w:eastAsia="宋体" w:hAnsi="Times New Roman" w:cs="Times New Roman"/>
                <w:color w:val="auto"/>
                <w:sz w:val="24"/>
                <w:highlight w:val="none"/>
              </w:rPr>
              <w:t>处理后</w:t>
            </w:r>
            <w:r>
              <w:rPr>
                <w:rFonts w:ascii="Times New Roman" w:eastAsia="宋体" w:hAnsi="Times New Roman" w:cs="Times New Roman" w:hint="eastAsia"/>
                <w:color w:val="auto"/>
                <w:sz w:val="24"/>
                <w:highlight w:val="none"/>
                <w:lang w:val="en-US" w:eastAsia="zh-CN"/>
              </w:rPr>
              <w:t>近期槽车运至污水厂，远期接管</w:t>
            </w:r>
            <w:r>
              <w:rPr>
                <w:rFonts w:ascii="Times New Roman" w:eastAsia="宋体" w:hAnsi="Times New Roman" w:cs="Times New Roman"/>
                <w:color w:val="auto"/>
                <w:sz w:val="24"/>
                <w:highlight w:val="none"/>
              </w:rPr>
              <w:t>。</w:t>
            </w:r>
            <w:r>
              <w:rPr>
                <w:rFonts w:ascii="Times New Roman" w:eastAsia="宋体" w:hAnsi="Times New Roman" w:cs="Times New Roman" w:hint="eastAsia"/>
                <w:color w:val="auto"/>
                <w:sz w:val="24"/>
                <w:highlight w:val="none"/>
              </w:rPr>
              <w:t>生产废水经厂内污水设施处理达标后</w:t>
            </w:r>
            <w:r>
              <w:rPr>
                <w:rFonts w:ascii="Times New Roman" w:eastAsia="宋体" w:hAnsi="Times New Roman" w:cs="Times New Roman"/>
                <w:color w:val="auto"/>
                <w:sz w:val="24"/>
                <w:highlight w:val="none"/>
              </w:rPr>
              <w:t>，全部回用于生产，不外排；园区无集中供热，因此企业使用</w:t>
            </w:r>
            <w:r>
              <w:rPr>
                <w:rFonts w:ascii="Times New Roman" w:eastAsia="宋体" w:hAnsi="Times New Roman" w:cs="Times New Roman" w:hint="eastAsia"/>
                <w:color w:val="auto"/>
                <w:sz w:val="24"/>
                <w:highlight w:val="none"/>
                <w:lang w:val="en-US" w:eastAsia="zh-CN"/>
              </w:rPr>
              <w:t>天然气</w:t>
            </w:r>
            <w:r>
              <w:rPr>
                <w:rFonts w:ascii="Times New Roman" w:eastAsia="宋体" w:hAnsi="Times New Roman" w:cs="Times New Roman" w:hint="eastAsia"/>
                <w:color w:val="auto"/>
                <w:sz w:val="24"/>
                <w:highlight w:val="none"/>
              </w:rPr>
              <w:t>锅炉</w:t>
            </w:r>
            <w:r>
              <w:rPr>
                <w:rFonts w:ascii="Times New Roman" w:eastAsia="宋体" w:hAnsi="Times New Roman" w:cs="Times New Roman"/>
                <w:color w:val="auto"/>
                <w:sz w:val="24"/>
                <w:highlight w:val="none"/>
              </w:rPr>
              <w:t>进行供热。</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②对本项目的制约因素</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本项目施工期拟对租赁厂房进行局部改造，改造内容较小，不会对原有厂房结构产生改变；改造完成后，将满足本项目的生产需求。</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因此，建设项目租赁厂房无遗留环境问题存在，且租赁厂房对本项目不存在限制性条件。</w:t>
            </w:r>
          </w:p>
          <w:p>
            <w:pPr>
              <w:snapToGrid w:val="0"/>
              <w:spacing w:line="360" w:lineRule="auto"/>
              <w:rPr>
                <w:b/>
                <w:bCs/>
                <w:color w:val="auto"/>
                <w:sz w:val="24"/>
                <w:highlight w:val="none"/>
              </w:rPr>
            </w:pPr>
            <w:r>
              <w:rPr>
                <w:rFonts w:ascii="Times New Roman" w:eastAsia="宋体" w:hAnsi="Times New Roman" w:cs="Times New Roman" w:hint="eastAsia"/>
                <w:b/>
                <w:bCs/>
                <w:color w:val="auto"/>
                <w:sz w:val="24"/>
                <w:highlight w:val="none"/>
              </w:rPr>
              <w:t xml:space="preserve">2.9 </w:t>
            </w:r>
            <w:r>
              <w:rPr>
                <w:rFonts w:ascii="Times New Roman" w:eastAsia="宋体" w:hAnsi="Times New Roman" w:cs="Times New Roman" w:hint="eastAsia"/>
                <w:b/>
                <w:bCs/>
                <w:color w:val="auto"/>
                <w:sz w:val="24"/>
                <w:highlight w:val="none"/>
                <w:lang w:eastAsia="zh-CN"/>
              </w:rPr>
              <w:t>亚峰公司</w:t>
            </w:r>
            <w:r>
              <w:rPr>
                <w:rFonts w:ascii="Times New Roman" w:eastAsia="宋体" w:hAnsi="Times New Roman" w:cs="Times New Roman"/>
                <w:b/>
                <w:bCs/>
                <w:color w:val="auto"/>
                <w:sz w:val="24"/>
                <w:highlight w:val="none"/>
              </w:rPr>
              <w:t>基本情况</w:t>
            </w:r>
          </w:p>
          <w:p>
            <w:pPr>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1、现有项目环评</w:t>
            </w:r>
          </w:p>
          <w:p>
            <w:pPr>
              <w:pStyle w:val="Default"/>
              <w:spacing w:after="0" w:line="360" w:lineRule="auto"/>
              <w:ind w:firstLine="480" w:firstLineChars="200"/>
              <w:rPr>
                <w:rFonts w:ascii="Times New Roman" w:eastAsia="宋体" w:hAnsi="Times New Roman" w:cs="Times New Roman"/>
                <w:b w:val="0"/>
                <w:bCs/>
                <w:color w:val="auto"/>
                <w:highlight w:val="none"/>
              </w:rPr>
            </w:pPr>
            <w:r>
              <w:rPr>
                <w:rFonts w:ascii="Times New Roman" w:eastAsia="宋体" w:hAnsi="Times New Roman" w:cs="Times New Roman" w:hint="eastAsia"/>
                <w:b w:val="0"/>
                <w:bCs/>
                <w:color w:val="auto"/>
                <w:highlight w:val="none"/>
                <w:lang w:eastAsia="zh-CN"/>
              </w:rPr>
              <w:t>滨海亚峰纺织品有限公司</w:t>
            </w:r>
            <w:r>
              <w:rPr>
                <w:rFonts w:ascii="Times New Roman" w:eastAsia="宋体" w:hAnsi="Times New Roman" w:cs="Times New Roman" w:hint="eastAsia"/>
                <w:b w:val="0"/>
                <w:bCs/>
                <w:color w:val="auto"/>
                <w:highlight w:val="none"/>
              </w:rPr>
              <w:t>现有《新建年产</w:t>
            </w:r>
            <w:r>
              <w:rPr>
                <w:rFonts w:ascii="Times New Roman" w:eastAsia="宋体" w:hAnsi="Times New Roman" w:cs="Times New Roman" w:hint="eastAsia"/>
                <w:b w:val="0"/>
                <w:bCs/>
                <w:color w:val="auto"/>
                <w:highlight w:val="none"/>
                <w:lang w:val="en-US" w:eastAsia="zh-CN"/>
              </w:rPr>
              <w:t>1</w:t>
            </w:r>
            <w:r>
              <w:rPr>
                <w:rFonts w:ascii="Times New Roman" w:eastAsia="宋体" w:hAnsi="Times New Roman" w:cs="Times New Roman" w:hint="eastAsia"/>
                <w:b w:val="0"/>
                <w:bCs/>
                <w:color w:val="auto"/>
                <w:highlight w:val="none"/>
              </w:rPr>
              <w:t>亿米涤纶布项目环境影响报告表》于2020年5月20日通过盐城市滨海生态环境局审批（盐环表复</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hint="eastAsia"/>
                <w:b w:val="0"/>
                <w:bCs/>
                <w:color w:val="auto"/>
                <w:highlight w:val="none"/>
              </w:rPr>
              <w:t>2020</w:t>
            </w:r>
            <w:r>
              <w:rPr>
                <w:rFonts w:ascii="Times New Roman" w:eastAsia="宋体" w:hAnsi="Times New Roman" w:cs="Times New Roman" w:hint="eastAsia"/>
                <w:b w:val="0"/>
                <w:bCs/>
                <w:color w:val="auto"/>
                <w:highlight w:val="none"/>
                <w:lang w:eastAsia="zh-CN"/>
              </w:rPr>
              <w:t>〕</w:t>
            </w:r>
            <w:r>
              <w:rPr>
                <w:rFonts w:ascii="Times New Roman" w:eastAsia="宋体" w:hAnsi="Times New Roman" w:cs="Times New Roman" w:hint="eastAsia"/>
                <w:b w:val="0"/>
                <w:bCs/>
                <w:color w:val="auto"/>
                <w:highlight w:val="none"/>
              </w:rPr>
              <w:t>2203</w:t>
            </w:r>
            <w:r>
              <w:rPr>
                <w:rFonts w:ascii="Times New Roman" w:eastAsia="宋体" w:hAnsi="Times New Roman" w:cs="Times New Roman" w:hint="eastAsia"/>
                <w:b w:val="0"/>
                <w:bCs/>
                <w:color w:val="auto"/>
                <w:highlight w:val="none"/>
                <w:lang w:val="en-US" w:eastAsia="zh-CN"/>
              </w:rPr>
              <w:t>3</w:t>
            </w:r>
            <w:r>
              <w:rPr>
                <w:rFonts w:ascii="Times New Roman" w:eastAsia="宋体" w:hAnsi="Times New Roman" w:cs="Times New Roman" w:hint="eastAsia"/>
                <w:b w:val="0"/>
                <w:bCs/>
                <w:color w:val="auto"/>
                <w:highlight w:val="none"/>
              </w:rPr>
              <w:t>号），公司选址于滨海县</w:t>
            </w:r>
            <w:r>
              <w:rPr>
                <w:rFonts w:ascii="Times New Roman" w:eastAsia="宋体" w:hAnsi="Times New Roman" w:cs="Times New Roman" w:hint="eastAsia"/>
                <w:b w:val="0"/>
                <w:bCs/>
                <w:color w:val="auto"/>
                <w:highlight w:val="none"/>
                <w:lang w:val="en-US" w:eastAsia="zh-CN"/>
              </w:rPr>
              <w:t>八滩</w:t>
            </w:r>
            <w:r>
              <w:rPr>
                <w:rFonts w:ascii="Times New Roman" w:eastAsia="宋体" w:hAnsi="Times New Roman" w:cs="Times New Roman" w:hint="eastAsia"/>
                <w:b w:val="0"/>
                <w:bCs/>
                <w:color w:val="auto"/>
                <w:highlight w:val="none"/>
              </w:rPr>
              <w:t>镇</w:t>
            </w:r>
            <w:r>
              <w:rPr>
                <w:rFonts w:ascii="Times New Roman" w:eastAsia="宋体" w:hAnsi="Times New Roman" w:cs="Times New Roman" w:hint="eastAsia"/>
                <w:b w:val="0"/>
                <w:bCs/>
                <w:color w:val="auto"/>
                <w:highlight w:val="none"/>
                <w:lang w:val="en-US" w:eastAsia="zh-CN"/>
              </w:rPr>
              <w:t>民营</w:t>
            </w:r>
            <w:r>
              <w:rPr>
                <w:rFonts w:ascii="Times New Roman" w:eastAsia="宋体" w:hAnsi="Times New Roman" w:cs="Times New Roman" w:hint="eastAsia"/>
                <w:b w:val="0"/>
                <w:bCs/>
                <w:color w:val="auto"/>
                <w:highlight w:val="none"/>
              </w:rPr>
              <w:t>创业园</w:t>
            </w:r>
            <w:r>
              <w:rPr>
                <w:rFonts w:ascii="Times New Roman" w:eastAsia="宋体" w:hAnsi="Times New Roman" w:cs="Times New Roman" w:hint="eastAsia"/>
                <w:b w:val="0"/>
                <w:bCs/>
                <w:color w:val="auto"/>
                <w:highlight w:val="none"/>
                <w:lang w:val="en-US" w:eastAsia="zh-CN"/>
              </w:rPr>
              <w:t>金八滩大道南侧8</w:t>
            </w:r>
            <w:r>
              <w:rPr>
                <w:rFonts w:ascii="Times New Roman" w:eastAsia="宋体" w:hAnsi="Times New Roman" w:cs="Times New Roman" w:hint="eastAsia"/>
                <w:b w:val="0"/>
                <w:bCs/>
                <w:color w:val="auto"/>
                <w:highlight w:val="none"/>
              </w:rPr>
              <w:t>号（</w:t>
            </w:r>
            <w:r>
              <w:rPr>
                <w:rFonts w:ascii="Times New Roman" w:eastAsia="宋体" w:hAnsi="Times New Roman" w:cs="Times New Roman" w:hint="eastAsia"/>
                <w:b w:val="0"/>
                <w:bCs/>
                <w:color w:val="auto"/>
                <w:highlight w:val="none"/>
                <w:lang w:val="en-US" w:eastAsia="zh-CN"/>
              </w:rPr>
              <w:t>盐城市浚宸物流</w:t>
            </w:r>
            <w:r>
              <w:rPr>
                <w:rFonts w:ascii="Times New Roman" w:eastAsia="宋体" w:hAnsi="Times New Roman" w:cs="Times New Roman" w:hint="eastAsia"/>
                <w:b w:val="0"/>
                <w:bCs/>
                <w:color w:val="auto"/>
                <w:highlight w:val="none"/>
              </w:rPr>
              <w:t>有限</w:t>
            </w:r>
            <w:r>
              <w:rPr>
                <w:rFonts w:ascii="Times New Roman" w:eastAsia="宋体" w:hAnsi="Times New Roman" w:cs="Times New Roman" w:hint="eastAsia"/>
                <w:b w:val="0"/>
                <w:bCs/>
                <w:color w:val="auto"/>
                <w:highlight w:val="none"/>
                <w:lang w:val="en-US" w:eastAsia="zh-CN"/>
              </w:rPr>
              <w:t>责任</w:t>
            </w:r>
            <w:r>
              <w:rPr>
                <w:rFonts w:ascii="Times New Roman" w:eastAsia="宋体" w:hAnsi="Times New Roman" w:cs="Times New Roman" w:hint="eastAsia"/>
                <w:b w:val="0"/>
                <w:bCs/>
                <w:color w:val="auto"/>
                <w:highlight w:val="none"/>
              </w:rPr>
              <w:t>公司厂区内），本次迁建项目</w:t>
            </w:r>
            <w:r>
              <w:rPr>
                <w:rFonts w:ascii="Times New Roman" w:eastAsia="宋体" w:hAnsi="Times New Roman" w:cs="Times New Roman" w:hint="eastAsia"/>
                <w:b w:val="0"/>
                <w:bCs/>
                <w:color w:val="auto"/>
                <w:highlight w:val="none"/>
                <w:lang w:eastAsia="zh-CN"/>
              </w:rPr>
              <w:t>已基本建设完成，</w:t>
            </w:r>
          </w:p>
        </w:tc>
      </w:tr>
    </w:tbl>
    <w:p>
      <w:pPr>
        <w:sectPr>
          <w:footerReference w:type="even" r:id="rId58"/>
          <w:footerReference w:type="default" r:id="rId59"/>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24"/>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819"/>
          <w:jc w:val="center"/>
        </w:trPr>
        <w:tc>
          <w:tcPr>
            <w:tcW w:w="823" w:type="dxa"/>
            <w:vAlign w:val="center"/>
          </w:tcPr>
          <w:p/>
        </w:tc>
        <w:tc>
          <w:tcPr>
            <w:tcW w:w="8161" w:type="dxa"/>
          </w:tcPr>
          <w:p>
            <w:pPr>
              <w:pStyle w:val="Default"/>
              <w:spacing w:before="0" w:line="360" w:lineRule="auto"/>
              <w:ind w:firstLine="480" w:firstLineChars="200"/>
              <w:rPr>
                <w:rFonts w:ascii="Times New Roman" w:eastAsia="宋体" w:hAnsi="Times New Roman" w:cs="Times New Roman"/>
                <w:b w:val="0"/>
                <w:bCs/>
                <w:color w:val="auto"/>
                <w:highlight w:val="none"/>
              </w:rPr>
            </w:pPr>
            <w:r>
              <w:rPr>
                <w:rFonts w:ascii="Times New Roman" w:eastAsia="宋体" w:hAnsi="Times New Roman" w:cs="Times New Roman" w:hint="eastAsia"/>
                <w:b w:val="0"/>
                <w:bCs/>
                <w:color w:val="auto"/>
                <w:highlight w:val="none"/>
                <w:lang w:val="en-US" w:eastAsia="zh-CN"/>
              </w:rPr>
              <w:t>设备已完成拆除并搬迁至新厂区</w:t>
            </w:r>
            <w:r>
              <w:rPr>
                <w:rFonts w:ascii="Times New Roman" w:eastAsia="宋体" w:hAnsi="Times New Roman" w:cs="Times New Roman" w:hint="eastAsia"/>
                <w:b w:val="0"/>
                <w:bCs/>
                <w:color w:val="auto"/>
                <w:highlight w:val="none"/>
              </w:rPr>
              <w:t>。</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搬迁前</w:t>
            </w:r>
            <w:r>
              <w:rPr>
                <w:rFonts w:ascii="Times New Roman" w:eastAsia="宋体" w:hAnsi="Times New Roman" w:cs="Times New Roman"/>
                <w:color w:val="auto"/>
                <w:sz w:val="24"/>
                <w:highlight w:val="none"/>
              </w:rPr>
              <w:t>项目</w:t>
            </w:r>
            <w:r>
              <w:rPr>
                <w:rFonts w:ascii="Times New Roman" w:eastAsia="宋体" w:hAnsi="Times New Roman" w:cs="Times New Roman" w:hint="eastAsia"/>
                <w:color w:val="auto"/>
                <w:sz w:val="24"/>
                <w:highlight w:val="none"/>
              </w:rPr>
              <w:t>环评审批情况</w:t>
            </w:r>
            <w:r>
              <w:rPr>
                <w:rFonts w:ascii="Times New Roman" w:eastAsia="宋体" w:hAnsi="Times New Roman" w:cs="Times New Roman"/>
                <w:color w:val="auto"/>
                <w:sz w:val="24"/>
                <w:highlight w:val="none"/>
              </w:rPr>
              <w:t>见表</w:t>
            </w:r>
            <w:r>
              <w:rPr>
                <w:rFonts w:ascii="Times New Roman" w:eastAsia="宋体" w:hAnsi="Times New Roman" w:cs="Times New Roman" w:hint="eastAsia"/>
                <w:color w:val="auto"/>
                <w:sz w:val="24"/>
                <w:highlight w:val="none"/>
              </w:rPr>
              <w:t>2-1</w:t>
            </w:r>
            <w:r>
              <w:rPr>
                <w:rFonts w:ascii="Times New Roman" w:eastAsia="宋体" w:hAnsi="Times New Roman" w:cs="Times New Roman" w:hint="eastAsia"/>
                <w:color w:val="auto"/>
                <w:sz w:val="24"/>
                <w:highlight w:val="none"/>
                <w:lang w:val="en-US" w:eastAsia="zh-CN"/>
              </w:rPr>
              <w:t>0</w:t>
            </w:r>
            <w:r>
              <w:rPr>
                <w:rFonts w:ascii="Times New Roman" w:eastAsia="宋体" w:hAnsi="Times New Roman" w:cs="Times New Roman"/>
                <w:color w:val="auto"/>
                <w:sz w:val="24"/>
                <w:highlight w:val="none"/>
              </w:rPr>
              <w:t>。</w:t>
            </w:r>
          </w:p>
          <w:p>
            <w:pPr>
              <w:snapToGrid w:val="0"/>
              <w:jc w:val="center"/>
              <w:rPr>
                <w:b/>
                <w:color w:val="auto"/>
                <w:sz w:val="24"/>
                <w:highlight w:val="none"/>
              </w:rPr>
            </w:pPr>
            <w:r>
              <w:rPr>
                <w:rFonts w:ascii="Times New Roman" w:eastAsia="宋体" w:hAnsi="Times New Roman" w:cs="Times New Roman"/>
                <w:b/>
                <w:color w:val="auto"/>
                <w:sz w:val="24"/>
                <w:highlight w:val="none"/>
              </w:rPr>
              <w:t>表</w:t>
            </w:r>
            <w:r>
              <w:rPr>
                <w:rFonts w:ascii="Times New Roman" w:eastAsia="宋体" w:hAnsi="Times New Roman" w:cs="Times New Roman" w:hint="eastAsia"/>
                <w:b/>
                <w:color w:val="auto"/>
                <w:sz w:val="24"/>
                <w:highlight w:val="none"/>
              </w:rPr>
              <w:t>2-1</w:t>
            </w:r>
            <w:r>
              <w:rPr>
                <w:rFonts w:ascii="Times New Roman" w:eastAsia="宋体" w:hAnsi="Times New Roman" w:cs="Times New Roman" w:hint="eastAsia"/>
                <w:b/>
                <w:color w:val="auto"/>
                <w:sz w:val="24"/>
                <w:highlight w:val="none"/>
                <w:lang w:val="en-US" w:eastAsia="zh-CN"/>
              </w:rPr>
              <w:t>0</w:t>
            </w:r>
            <w:r>
              <w:rPr>
                <w:rFonts w:ascii="Times New Roman" w:eastAsia="宋体" w:hAnsi="Times New Roman" w:cs="Times New Roman" w:hint="eastAsia"/>
                <w:b/>
                <w:color w:val="auto"/>
                <w:sz w:val="24"/>
                <w:highlight w:val="none"/>
              </w:rPr>
              <w:t>搬迁前现有项目审批情况表</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652"/>
              <w:gridCol w:w="1805"/>
              <w:gridCol w:w="1151"/>
              <w:gridCol w:w="1945"/>
              <w:gridCol w:w="1197"/>
              <w:gridCol w:w="1195"/>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jc w:val="center"/>
              </w:trPr>
              <w:tc>
                <w:tcPr>
                  <w:tcW w:w="681"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序号</w:t>
                  </w:r>
                </w:p>
              </w:tc>
              <w:tc>
                <w:tcPr>
                  <w:tcW w:w="1912"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项目名称</w:t>
                  </w:r>
                </w:p>
              </w:tc>
              <w:tc>
                <w:tcPr>
                  <w:tcW w:w="1213"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建设情况</w:t>
                  </w:r>
                </w:p>
              </w:tc>
              <w:tc>
                <w:tcPr>
                  <w:tcW w:w="2062"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环评审批情况</w:t>
                  </w:r>
                </w:p>
              </w:tc>
              <w:tc>
                <w:tcPr>
                  <w:tcW w:w="1263"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验收情况</w:t>
                  </w:r>
                </w:p>
              </w:tc>
              <w:tc>
                <w:tcPr>
                  <w:tcW w:w="1260"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排污许可手续</w:t>
                  </w:r>
                </w:p>
              </w:tc>
            </w:tr>
            <w:tr>
              <w:tblPrEx>
                <w:tblW w:w="5000" w:type="pct"/>
                <w:jc w:val="center"/>
                <w:tblLayout w:type="fixed"/>
                <w:tblCellMar>
                  <w:top w:w="0" w:type="dxa"/>
                  <w:left w:w="108" w:type="dxa"/>
                  <w:bottom w:w="0" w:type="dxa"/>
                  <w:right w:w="108" w:type="dxa"/>
                </w:tblCellMar>
              </w:tblPrEx>
              <w:trPr>
                <w:trHeight w:val="283"/>
                <w:jc w:val="center"/>
              </w:trPr>
              <w:tc>
                <w:tcPr>
                  <w:tcW w:w="677"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color w:val="auto"/>
                      <w:szCs w:val="21"/>
                      <w:highlight w:val="none"/>
                    </w:rPr>
                    <w:t>1</w:t>
                  </w:r>
                </w:p>
              </w:tc>
              <w:tc>
                <w:tcPr>
                  <w:tcW w:w="1912"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bCs/>
                      <w:color w:val="auto"/>
                      <w:szCs w:val="21"/>
                      <w:highlight w:val="none"/>
                    </w:rPr>
                    <w:t>新建年产</w:t>
                  </w:r>
                  <w:r>
                    <w:rPr>
                      <w:rFonts w:ascii="Times New Roman" w:eastAsia="宋体" w:hAnsi="Times New Roman" w:cs="Times New Roman" w:hint="eastAsia"/>
                      <w:bCs/>
                      <w:color w:val="auto"/>
                      <w:szCs w:val="21"/>
                      <w:highlight w:val="none"/>
                      <w:lang w:val="en-US" w:eastAsia="zh-CN"/>
                    </w:rPr>
                    <w:t>1</w:t>
                  </w:r>
                  <w:r>
                    <w:rPr>
                      <w:rFonts w:ascii="Times New Roman" w:eastAsia="宋体" w:hAnsi="Times New Roman" w:cs="Times New Roman" w:hint="eastAsia"/>
                      <w:bCs/>
                      <w:color w:val="auto"/>
                      <w:szCs w:val="21"/>
                      <w:highlight w:val="none"/>
                    </w:rPr>
                    <w:t>亿米涤纶布项目</w:t>
                  </w:r>
                </w:p>
              </w:tc>
              <w:tc>
                <w:tcPr>
                  <w:tcW w:w="1213"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已建</w:t>
                  </w:r>
                </w:p>
              </w:tc>
              <w:tc>
                <w:tcPr>
                  <w:tcW w:w="2062"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bCs/>
                      <w:color w:val="auto"/>
                      <w:szCs w:val="21"/>
                      <w:highlight w:val="none"/>
                    </w:rPr>
                    <w:t>盐环表复</w:t>
                  </w:r>
                  <w:r>
                    <w:rPr>
                      <w:rFonts w:ascii="Times New Roman" w:eastAsia="宋体" w:hAnsi="Times New Roman" w:cs="Times New Roman" w:hint="eastAsia"/>
                      <w:bCs/>
                      <w:color w:val="auto"/>
                      <w:szCs w:val="21"/>
                      <w:highlight w:val="none"/>
                      <w:lang w:eastAsia="zh-CN"/>
                    </w:rPr>
                    <w:t>〔</w:t>
                  </w:r>
                  <w:r>
                    <w:rPr>
                      <w:rFonts w:ascii="Times New Roman" w:eastAsia="宋体" w:hAnsi="Times New Roman" w:cs="Times New Roman" w:hint="eastAsia"/>
                      <w:bCs/>
                      <w:color w:val="auto"/>
                      <w:szCs w:val="21"/>
                      <w:highlight w:val="none"/>
                    </w:rPr>
                    <w:t>2020</w:t>
                  </w:r>
                  <w:r>
                    <w:rPr>
                      <w:rFonts w:ascii="Times New Roman" w:eastAsia="宋体" w:hAnsi="Times New Roman" w:cs="Times New Roman" w:hint="eastAsia"/>
                      <w:bCs/>
                      <w:color w:val="auto"/>
                      <w:szCs w:val="21"/>
                      <w:highlight w:val="none"/>
                      <w:lang w:eastAsia="zh-CN"/>
                    </w:rPr>
                    <w:t>〕</w:t>
                  </w:r>
                  <w:r>
                    <w:rPr>
                      <w:rFonts w:ascii="Times New Roman" w:eastAsia="宋体" w:hAnsi="Times New Roman" w:cs="Times New Roman" w:hint="eastAsia"/>
                      <w:bCs/>
                      <w:color w:val="auto"/>
                      <w:szCs w:val="21"/>
                      <w:highlight w:val="none"/>
                    </w:rPr>
                    <w:t>2203</w:t>
                  </w:r>
                  <w:r>
                    <w:rPr>
                      <w:rFonts w:ascii="Times New Roman" w:eastAsia="宋体" w:hAnsi="Times New Roman" w:cs="Times New Roman" w:hint="eastAsia"/>
                      <w:bCs/>
                      <w:color w:val="auto"/>
                      <w:szCs w:val="21"/>
                      <w:highlight w:val="none"/>
                      <w:lang w:val="en-US" w:eastAsia="zh-CN"/>
                    </w:rPr>
                    <w:t>3</w:t>
                  </w:r>
                  <w:r>
                    <w:rPr>
                      <w:rFonts w:ascii="Times New Roman" w:eastAsia="宋体" w:hAnsi="Times New Roman" w:cs="Times New Roman" w:hint="eastAsia"/>
                      <w:bCs/>
                      <w:color w:val="auto"/>
                      <w:szCs w:val="21"/>
                      <w:highlight w:val="none"/>
                    </w:rPr>
                    <w:t>号</w:t>
                  </w:r>
                </w:p>
              </w:tc>
              <w:tc>
                <w:tcPr>
                  <w:tcW w:w="1263"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未验收</w:t>
                  </w:r>
                </w:p>
              </w:tc>
              <w:tc>
                <w:tcPr>
                  <w:tcW w:w="1260" w:type="dxa"/>
                  <w:tcBorders>
                    <w:tl2br w:val="nil"/>
                    <w:tr2bl w:val="nil"/>
                  </w:tcBorders>
                  <w:vAlign w:val="center"/>
                </w:tcPr>
                <w:p>
                  <w:pPr>
                    <w:pStyle w:val="a11"/>
                    <w:adjustRightInd w:val="0"/>
                    <w:snapToGrid w:val="0"/>
                    <w:spacing w:line="240" w:lineRule="auto"/>
                    <w:rPr>
                      <w:rFonts w:ascii="Times New Roman" w:eastAsia="宋体" w:hAnsi="Times New Roman" w:cs="Times New Roman"/>
                      <w:color w:val="auto"/>
                      <w:szCs w:val="21"/>
                      <w:highlight w:val="none"/>
                    </w:rPr>
                  </w:pPr>
                  <w:r>
                    <w:rPr>
                      <w:rFonts w:ascii="Times New Roman" w:eastAsia="宋体" w:hAnsi="Times New Roman" w:cs="Times New Roman" w:hint="eastAsia"/>
                      <w:color w:val="auto"/>
                      <w:szCs w:val="21"/>
                      <w:highlight w:val="none"/>
                    </w:rPr>
                    <w:t>未申请</w:t>
                  </w:r>
                </w:p>
              </w:tc>
            </w:tr>
          </w:tbl>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2、</w:t>
            </w:r>
            <w:r>
              <w:rPr>
                <w:rFonts w:ascii="Times New Roman" w:eastAsia="宋体" w:hAnsi="Times New Roman" w:cs="Times New Roman" w:hint="eastAsia"/>
                <w:color w:val="auto"/>
                <w:sz w:val="24"/>
                <w:highlight w:val="none"/>
              </w:rPr>
              <w:t>现有工程污染物实际排放总量</w:t>
            </w:r>
          </w:p>
          <w:p>
            <w:pPr>
              <w:pStyle w:val="Default"/>
              <w:spacing w:line="360" w:lineRule="auto"/>
              <w:ind w:firstLine="480" w:firstLineChars="200"/>
              <w:rPr>
                <w:rFonts w:ascii="Times New Roman" w:eastAsia="宋体" w:hAnsi="Times New Roman" w:cs="Times New Roman"/>
                <w:b w:val="0"/>
                <w:bCs/>
                <w:color w:val="auto"/>
                <w:highlight w:val="none"/>
              </w:rPr>
            </w:pPr>
            <w:r>
              <w:rPr>
                <w:rFonts w:ascii="Times New Roman" w:eastAsia="宋体" w:hAnsi="Times New Roman" w:cs="Times New Roman" w:hint="eastAsia"/>
                <w:b w:val="0"/>
                <w:bCs/>
                <w:color w:val="auto"/>
                <w:highlight w:val="none"/>
              </w:rPr>
              <w:t>由于现有项目未进行日常监测，未申领排污许可证，故参考现有环评项目总量。</w:t>
            </w:r>
          </w:p>
          <w:p>
            <w:pPr>
              <w:widowControl/>
              <w:snapToGrid w:val="0"/>
              <w:ind w:firstLine="480" w:firstLineChars="200"/>
              <w:jc w:val="center"/>
              <w:rPr>
                <w:b/>
                <w:color w:val="auto"/>
                <w:sz w:val="24"/>
                <w:highlight w:val="none"/>
              </w:rPr>
            </w:pPr>
            <w:r>
              <w:rPr>
                <w:rFonts w:ascii="Times New Roman" w:eastAsia="宋体" w:hAnsi="Times New Roman" w:cs="Times New Roman" w:hint="eastAsia"/>
                <w:b/>
                <w:color w:val="auto"/>
                <w:sz w:val="24"/>
                <w:highlight w:val="none"/>
              </w:rPr>
              <w:t>表2-1</w:t>
            </w:r>
            <w:r>
              <w:rPr>
                <w:rFonts w:ascii="Times New Roman" w:eastAsia="宋体" w:hAnsi="Times New Roman" w:cs="Times New Roman" w:hint="eastAsia"/>
                <w:b/>
                <w:color w:val="auto"/>
                <w:sz w:val="24"/>
                <w:highlight w:val="none"/>
                <w:lang w:val="en-US" w:eastAsia="zh-CN"/>
              </w:rPr>
              <w:t>1</w:t>
            </w:r>
            <w:r>
              <w:rPr>
                <w:rFonts w:ascii="Times New Roman" w:eastAsia="宋体" w:hAnsi="Times New Roman" w:cs="Times New Roman" w:hint="eastAsia"/>
                <w:b/>
                <w:color w:val="auto"/>
                <w:sz w:val="24"/>
                <w:highlight w:val="none"/>
              </w:rPr>
              <w:t>项目污染物总量考核指标单位：t/a</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923"/>
              <w:gridCol w:w="829"/>
              <w:gridCol w:w="1379"/>
              <w:gridCol w:w="1285"/>
              <w:gridCol w:w="1652"/>
              <w:gridCol w:w="1877"/>
            </w:tblGrid>
            <w:tr>
              <w:tblPrEx>
                <w:tblW w:w="5000"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23"/>
                <w:jc w:val="center"/>
              </w:trPr>
              <w:tc>
                <w:tcPr>
                  <w:tcW w:w="922"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种类</w:t>
                  </w:r>
                </w:p>
              </w:tc>
              <w:tc>
                <w:tcPr>
                  <w:tcW w:w="2205" w:type="dxa"/>
                  <w:gridSpan w:val="2"/>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污染物名称</w:t>
                  </w:r>
                </w:p>
              </w:tc>
              <w:tc>
                <w:tcPr>
                  <w:tcW w:w="2933" w:type="dxa"/>
                  <w:gridSpan w:val="2"/>
                  <w:tcBorders>
                    <w:tl2br w:val="nil"/>
                    <w:tr2bl w:val="nil"/>
                  </w:tcBorders>
                  <w:vAlign w:val="center"/>
                </w:tcPr>
                <w:p>
                  <w:pPr>
                    <w:snapToGrid w:val="0"/>
                    <w:jc w:val="center"/>
                    <w:rPr>
                      <w:rFonts w:hint="eastAsia"/>
                      <w:color w:val="auto"/>
                      <w:szCs w:val="21"/>
                      <w:highlight w:val="none"/>
                    </w:rPr>
                  </w:pPr>
                  <w:r>
                    <w:rPr>
                      <w:rFonts w:ascii="Times New Roman" w:eastAsia="宋体" w:hAnsi="Times New Roman" w:cs="Times New Roman" w:hint="eastAsia"/>
                      <w:color w:val="auto"/>
                      <w:szCs w:val="21"/>
                      <w:highlight w:val="none"/>
                    </w:rPr>
                    <w:t>排放量</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eastAsia"/>
                      <w:color w:val="auto"/>
                      <w:szCs w:val="21"/>
                      <w:highlight w:val="none"/>
                    </w:rPr>
                    <w:t>t/a</w:t>
                  </w:r>
                  <w:r>
                    <w:rPr>
                      <w:rFonts w:ascii="Times New Roman" w:eastAsia="宋体" w:hAnsi="Times New Roman" w:cs="Times New Roman" w:hint="eastAsia"/>
                      <w:color w:val="auto"/>
                      <w:szCs w:val="21"/>
                      <w:highlight w:val="none"/>
                      <w:lang w:eastAsia="zh-CN"/>
                    </w:rPr>
                    <w:t>）</w:t>
                  </w:r>
                </w:p>
              </w:tc>
              <w:tc>
                <w:tcPr>
                  <w:tcW w:w="1875" w:type="dxa"/>
                  <w:tcBorders>
                    <w:tl2br w:val="nil"/>
                    <w:tr2bl w:val="nil"/>
                  </w:tcBorders>
                  <w:vAlign w:val="center"/>
                </w:tcPr>
                <w:p>
                  <w:pPr>
                    <w:snapToGrid w:val="0"/>
                    <w:jc w:val="center"/>
                    <w:rPr>
                      <w:rFonts w:hint="eastAsia"/>
                      <w:color w:val="auto"/>
                      <w:szCs w:val="21"/>
                      <w:highlight w:val="none"/>
                    </w:rPr>
                  </w:pPr>
                  <w:r>
                    <w:rPr>
                      <w:rFonts w:ascii="Times New Roman" w:eastAsia="宋体" w:hAnsi="Times New Roman" w:cs="Times New Roman" w:hint="eastAsia"/>
                      <w:color w:val="auto"/>
                      <w:szCs w:val="21"/>
                      <w:highlight w:val="none"/>
                    </w:rPr>
                    <w:t>建议申请量</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eastAsia"/>
                      <w:color w:val="auto"/>
                      <w:szCs w:val="21"/>
                      <w:highlight w:val="none"/>
                    </w:rPr>
                    <w:t>t/a</w:t>
                  </w:r>
                  <w:r>
                    <w:rPr>
                      <w:rFonts w:ascii="Times New Roman" w:eastAsia="宋体" w:hAnsi="Times New Roman" w:cs="Times New Roman" w:hint="eastAsia"/>
                      <w:color w:val="auto"/>
                      <w:szCs w:val="21"/>
                      <w:highlight w:val="none"/>
                      <w:lang w:eastAsia="zh-CN"/>
                    </w:rPr>
                    <w:t>）</w:t>
                  </w:r>
                </w:p>
              </w:tc>
            </w:tr>
            <w:tr>
              <w:tblPrEx>
                <w:tblW w:w="5000" w:type="pct"/>
                <w:jc w:val="center"/>
                <w:tblLayout w:type="fixed"/>
                <w:tblCellMar>
                  <w:top w:w="0" w:type="dxa"/>
                  <w:left w:w="0" w:type="dxa"/>
                  <w:bottom w:w="0" w:type="dxa"/>
                  <w:right w:w="0" w:type="dxa"/>
                </w:tblCellMar>
              </w:tblPrEx>
              <w:trPr>
                <w:trHeight w:val="23"/>
                <w:jc w:val="center"/>
              </w:trPr>
              <w:tc>
                <w:tcPr>
                  <w:tcW w:w="922"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废气</w:t>
                  </w:r>
                </w:p>
              </w:tc>
              <w:tc>
                <w:tcPr>
                  <w:tcW w:w="2205" w:type="dxa"/>
                  <w:gridSpan w:val="2"/>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2933" w:type="dxa"/>
                  <w:gridSpan w:val="2"/>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875"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r>
            <w:tr>
              <w:tblPrEx>
                <w:tblW w:w="5000" w:type="pct"/>
                <w:jc w:val="center"/>
                <w:tblLayout w:type="fixed"/>
                <w:tblCellMar>
                  <w:top w:w="0" w:type="dxa"/>
                  <w:left w:w="0" w:type="dxa"/>
                  <w:bottom w:w="0" w:type="dxa"/>
                  <w:right w:w="0" w:type="dxa"/>
                </w:tblCellMar>
              </w:tblPrEx>
              <w:trPr>
                <w:trHeight w:val="23"/>
                <w:jc w:val="center"/>
              </w:trPr>
              <w:tc>
                <w:tcPr>
                  <w:tcW w:w="922" w:type="dxa"/>
                  <w:vMerge w:val="restar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种类</w:t>
                  </w:r>
                </w:p>
              </w:tc>
              <w:tc>
                <w:tcPr>
                  <w:tcW w:w="2205" w:type="dxa"/>
                  <w:gridSpan w:val="2"/>
                  <w:vMerge w:val="restar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污染物名称</w:t>
                  </w:r>
                </w:p>
              </w:tc>
              <w:tc>
                <w:tcPr>
                  <w:tcW w:w="2933" w:type="dxa"/>
                  <w:gridSpan w:val="2"/>
                  <w:tcBorders>
                    <w:tl2br w:val="nil"/>
                    <w:tr2bl w:val="nil"/>
                  </w:tcBorders>
                  <w:vAlign w:val="center"/>
                </w:tcPr>
                <w:p>
                  <w:pPr>
                    <w:snapToGrid w:val="0"/>
                    <w:jc w:val="center"/>
                    <w:rPr>
                      <w:rFonts w:hint="eastAsia"/>
                      <w:color w:val="auto"/>
                      <w:szCs w:val="21"/>
                      <w:highlight w:val="none"/>
                    </w:rPr>
                  </w:pPr>
                  <w:r>
                    <w:rPr>
                      <w:rFonts w:ascii="Times New Roman" w:eastAsia="宋体" w:hAnsi="Times New Roman" w:cs="Times New Roman" w:hint="eastAsia"/>
                      <w:color w:val="auto"/>
                      <w:szCs w:val="21"/>
                      <w:highlight w:val="none"/>
                    </w:rPr>
                    <w:t>排放量</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eastAsia"/>
                      <w:color w:val="auto"/>
                      <w:szCs w:val="21"/>
                      <w:highlight w:val="none"/>
                    </w:rPr>
                    <w:t>t/a</w:t>
                  </w:r>
                  <w:r>
                    <w:rPr>
                      <w:rFonts w:ascii="Times New Roman" w:eastAsia="宋体" w:hAnsi="Times New Roman" w:cs="Times New Roman" w:hint="eastAsia"/>
                      <w:color w:val="auto"/>
                      <w:szCs w:val="21"/>
                      <w:highlight w:val="none"/>
                      <w:lang w:eastAsia="zh-CN"/>
                    </w:rPr>
                    <w:t>）</w:t>
                  </w:r>
                </w:p>
              </w:tc>
              <w:tc>
                <w:tcPr>
                  <w:tcW w:w="1875" w:type="dxa"/>
                  <w:vMerge w:val="restart"/>
                  <w:tcBorders>
                    <w:tl2br w:val="nil"/>
                    <w:tr2bl w:val="nil"/>
                  </w:tcBorders>
                  <w:vAlign w:val="center"/>
                </w:tcPr>
                <w:p>
                  <w:pPr>
                    <w:snapToGrid w:val="0"/>
                    <w:jc w:val="center"/>
                    <w:rPr>
                      <w:rFonts w:hint="eastAsia"/>
                      <w:color w:val="auto"/>
                      <w:szCs w:val="21"/>
                      <w:highlight w:val="none"/>
                    </w:rPr>
                  </w:pPr>
                  <w:r>
                    <w:rPr>
                      <w:rFonts w:ascii="Times New Roman" w:eastAsia="宋体" w:hAnsi="Times New Roman" w:cs="Times New Roman" w:hint="eastAsia"/>
                      <w:color w:val="auto"/>
                      <w:szCs w:val="21"/>
                      <w:highlight w:val="none"/>
                    </w:rPr>
                    <w:t>远期建议申请量</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eastAsia"/>
                      <w:color w:val="auto"/>
                      <w:szCs w:val="21"/>
                      <w:highlight w:val="none"/>
                    </w:rPr>
                    <w:t>t/a</w:t>
                  </w:r>
                  <w:r>
                    <w:rPr>
                      <w:rFonts w:ascii="Times New Roman" w:eastAsia="宋体" w:hAnsi="Times New Roman" w:cs="Times New Roman" w:hint="eastAsia"/>
                      <w:color w:val="auto"/>
                      <w:szCs w:val="21"/>
                      <w:highlight w:val="none"/>
                      <w:lang w:eastAsia="zh-CN"/>
                    </w:rPr>
                    <w:t>）</w:t>
                  </w:r>
                </w:p>
              </w:tc>
            </w:tr>
            <w:tr>
              <w:tblPrEx>
                <w:tblW w:w="5000" w:type="pct"/>
                <w:jc w:val="center"/>
                <w:tblLayout w:type="fixed"/>
                <w:tblCellMar>
                  <w:top w:w="0" w:type="dxa"/>
                  <w:left w:w="0" w:type="dxa"/>
                  <w:bottom w:w="0" w:type="dxa"/>
                  <w:right w:w="0" w:type="dxa"/>
                </w:tblCellMar>
              </w:tblPrEx>
              <w:trPr>
                <w:trHeight w:val="23"/>
                <w:jc w:val="center"/>
              </w:trPr>
              <w:tc>
                <w:tcPr>
                  <w:tcW w:w="922" w:type="dxa"/>
                  <w:vMerge/>
                  <w:tcBorders>
                    <w:tl2br w:val="nil"/>
                    <w:tr2bl w:val="nil"/>
                  </w:tcBorders>
                  <w:vAlign w:val="center"/>
                </w:tcPr>
                <w:p>
                  <w:pPr>
                    <w:snapToGrid w:val="0"/>
                    <w:jc w:val="center"/>
                    <w:rPr>
                      <w:color w:val="auto"/>
                      <w:szCs w:val="21"/>
                      <w:highlight w:val="none"/>
                    </w:rPr>
                  </w:pPr>
                </w:p>
              </w:tc>
              <w:tc>
                <w:tcPr>
                  <w:tcW w:w="2205" w:type="dxa"/>
                  <w:gridSpan w:val="2"/>
                  <w:vMerge/>
                  <w:tcBorders>
                    <w:tl2br w:val="nil"/>
                    <w:tr2bl w:val="nil"/>
                  </w:tcBorders>
                  <w:vAlign w:val="center"/>
                </w:tcPr>
                <w:p>
                  <w:pPr>
                    <w:snapToGrid w:val="0"/>
                    <w:jc w:val="center"/>
                    <w:rPr>
                      <w:color w:val="auto"/>
                      <w:szCs w:val="21"/>
                      <w:highlight w:val="none"/>
                    </w:rPr>
                  </w:pPr>
                </w:p>
              </w:tc>
              <w:tc>
                <w:tcPr>
                  <w:tcW w:w="1283" w:type="dxa"/>
                  <w:tcBorders>
                    <w:tl2br w:val="nil"/>
                    <w:tr2bl w:val="nil"/>
                  </w:tcBorders>
                  <w:vAlign w:val="center"/>
                </w:tcPr>
                <w:p>
                  <w:pPr>
                    <w:snapToGrid w:val="0"/>
                    <w:jc w:val="center"/>
                    <w:rPr>
                      <w:rFonts w:hint="eastAsia"/>
                      <w:color w:val="auto"/>
                      <w:szCs w:val="21"/>
                      <w:highlight w:val="none"/>
                    </w:rPr>
                  </w:pPr>
                  <w:r>
                    <w:rPr>
                      <w:rFonts w:ascii="Times New Roman" w:eastAsia="宋体" w:hAnsi="Times New Roman" w:cs="Times New Roman" w:hint="eastAsia"/>
                      <w:color w:val="auto"/>
                      <w:szCs w:val="21"/>
                      <w:highlight w:val="none"/>
                    </w:rPr>
                    <w:t>接管量</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eastAsia"/>
                      <w:color w:val="auto"/>
                      <w:szCs w:val="21"/>
                      <w:highlight w:val="none"/>
                    </w:rPr>
                    <w:t>t/a</w:t>
                  </w:r>
                  <w:r>
                    <w:rPr>
                      <w:rFonts w:ascii="Times New Roman" w:eastAsia="宋体" w:hAnsi="Times New Roman" w:cs="Times New Roman" w:hint="eastAsia"/>
                      <w:color w:val="auto"/>
                      <w:szCs w:val="21"/>
                      <w:highlight w:val="none"/>
                      <w:lang w:eastAsia="zh-CN"/>
                    </w:rPr>
                    <w:t>）</w:t>
                  </w:r>
                </w:p>
              </w:tc>
              <w:tc>
                <w:tcPr>
                  <w:tcW w:w="1650" w:type="dxa"/>
                  <w:tcBorders>
                    <w:tl2br w:val="nil"/>
                    <w:tr2bl w:val="nil"/>
                  </w:tcBorders>
                  <w:vAlign w:val="center"/>
                </w:tcPr>
                <w:p>
                  <w:pPr>
                    <w:snapToGrid w:val="0"/>
                    <w:jc w:val="center"/>
                    <w:rPr>
                      <w:rFonts w:hint="eastAsia"/>
                      <w:color w:val="auto"/>
                      <w:szCs w:val="21"/>
                      <w:highlight w:val="none"/>
                    </w:rPr>
                  </w:pPr>
                  <w:r>
                    <w:rPr>
                      <w:rFonts w:ascii="Times New Roman" w:eastAsia="宋体" w:hAnsi="Times New Roman" w:cs="Times New Roman" w:hint="eastAsia"/>
                      <w:color w:val="auto"/>
                      <w:szCs w:val="21"/>
                      <w:highlight w:val="none"/>
                    </w:rPr>
                    <w:t>排入环境量</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eastAsia"/>
                      <w:color w:val="auto"/>
                      <w:szCs w:val="21"/>
                      <w:highlight w:val="none"/>
                    </w:rPr>
                    <w:t>t/a</w:t>
                  </w:r>
                  <w:r>
                    <w:rPr>
                      <w:rFonts w:ascii="Times New Roman" w:eastAsia="宋体" w:hAnsi="Times New Roman" w:cs="Times New Roman" w:hint="eastAsia"/>
                      <w:color w:val="auto"/>
                      <w:szCs w:val="21"/>
                      <w:highlight w:val="none"/>
                      <w:lang w:eastAsia="zh-CN"/>
                    </w:rPr>
                    <w:t>）</w:t>
                  </w:r>
                </w:p>
              </w:tc>
              <w:tc>
                <w:tcPr>
                  <w:tcW w:w="1875" w:type="dxa"/>
                  <w:vMerge/>
                  <w:tcBorders>
                    <w:tl2br w:val="nil"/>
                    <w:tr2bl w:val="nil"/>
                  </w:tcBorders>
                  <w:vAlign w:val="center"/>
                </w:tcPr>
                <w:p>
                  <w:pPr>
                    <w:snapToGrid w:val="0"/>
                    <w:jc w:val="center"/>
                    <w:rPr>
                      <w:color w:val="auto"/>
                      <w:szCs w:val="21"/>
                      <w:highlight w:val="none"/>
                    </w:rPr>
                  </w:pPr>
                </w:p>
              </w:tc>
            </w:tr>
            <w:tr>
              <w:tblPrEx>
                <w:tblW w:w="5000" w:type="pct"/>
                <w:jc w:val="center"/>
                <w:tblLayout w:type="fixed"/>
                <w:tblCellMar>
                  <w:top w:w="0" w:type="dxa"/>
                  <w:left w:w="0" w:type="dxa"/>
                  <w:bottom w:w="0" w:type="dxa"/>
                  <w:right w:w="0" w:type="dxa"/>
                </w:tblCellMar>
              </w:tblPrEx>
              <w:trPr>
                <w:trHeight w:val="23"/>
                <w:jc w:val="center"/>
              </w:trPr>
              <w:tc>
                <w:tcPr>
                  <w:tcW w:w="922" w:type="dxa"/>
                  <w:vMerge w:val="restar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废水</w:t>
                  </w:r>
                </w:p>
              </w:tc>
              <w:tc>
                <w:tcPr>
                  <w:tcW w:w="828" w:type="dxa"/>
                  <w:vMerge w:val="restart"/>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综合废水</w:t>
                  </w:r>
                </w:p>
              </w:tc>
              <w:tc>
                <w:tcPr>
                  <w:tcW w:w="1377"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废水量m</w:t>
                  </w:r>
                  <w:r>
                    <w:rPr>
                      <w:rFonts w:ascii="Times New Roman" w:eastAsia="宋体" w:hAnsi="Times New Roman" w:cs="Times New Roman" w:hint="eastAsia"/>
                      <w:color w:val="auto"/>
                      <w:szCs w:val="21"/>
                      <w:highlight w:val="none"/>
                      <w:vertAlign w:val="superscript"/>
                    </w:rPr>
                    <w:t>3</w:t>
                  </w:r>
                  <w:r>
                    <w:rPr>
                      <w:rFonts w:ascii="Times New Roman" w:eastAsia="宋体" w:hAnsi="Times New Roman" w:cs="Times New Roman" w:hint="eastAsia"/>
                      <w:color w:val="auto"/>
                      <w:szCs w:val="21"/>
                      <w:highlight w:val="none"/>
                    </w:rPr>
                    <w:t>/a</w:t>
                  </w:r>
                </w:p>
              </w:tc>
              <w:tc>
                <w:tcPr>
                  <w:tcW w:w="1283"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650"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875"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768</w:t>
                  </w:r>
                </w:p>
              </w:tc>
            </w:tr>
            <w:tr>
              <w:tblPrEx>
                <w:tblW w:w="5000" w:type="pct"/>
                <w:jc w:val="center"/>
                <w:tblLayout w:type="fixed"/>
                <w:tblCellMar>
                  <w:top w:w="0" w:type="dxa"/>
                  <w:left w:w="0" w:type="dxa"/>
                  <w:bottom w:w="0" w:type="dxa"/>
                  <w:right w:w="0" w:type="dxa"/>
                </w:tblCellMar>
              </w:tblPrEx>
              <w:trPr>
                <w:trHeight w:val="23"/>
                <w:jc w:val="center"/>
              </w:trPr>
              <w:tc>
                <w:tcPr>
                  <w:tcW w:w="922" w:type="dxa"/>
                  <w:vMerge/>
                  <w:tcBorders>
                    <w:tl2br w:val="nil"/>
                    <w:tr2bl w:val="nil"/>
                  </w:tcBorders>
                  <w:vAlign w:val="center"/>
                </w:tcPr>
                <w:p>
                  <w:pPr>
                    <w:snapToGrid w:val="0"/>
                    <w:jc w:val="center"/>
                    <w:rPr>
                      <w:color w:val="auto"/>
                      <w:szCs w:val="21"/>
                      <w:highlight w:val="none"/>
                    </w:rPr>
                  </w:pPr>
                  <w:bookmarkStart w:id="6" w:name="OLE_LINK56" w:colFirst="3" w:colLast="3"/>
                  <w:bookmarkStart w:id="7" w:name="OLE_LINK55" w:colFirst="3" w:colLast="3"/>
                  <w:bookmarkStart w:id="8" w:name="_Hlk489450706"/>
                </w:p>
              </w:tc>
              <w:tc>
                <w:tcPr>
                  <w:tcW w:w="828" w:type="dxa"/>
                  <w:vMerge/>
                  <w:tcBorders>
                    <w:tl2br w:val="nil"/>
                    <w:tr2bl w:val="nil"/>
                  </w:tcBorders>
                  <w:vAlign w:val="center"/>
                </w:tcPr>
                <w:p>
                  <w:pPr>
                    <w:snapToGrid w:val="0"/>
                    <w:jc w:val="center"/>
                    <w:rPr>
                      <w:color w:val="auto"/>
                      <w:szCs w:val="21"/>
                      <w:highlight w:val="none"/>
                    </w:rPr>
                  </w:pPr>
                </w:p>
              </w:tc>
              <w:tc>
                <w:tcPr>
                  <w:tcW w:w="1377"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COD</w:t>
                  </w:r>
                </w:p>
              </w:tc>
              <w:tc>
                <w:tcPr>
                  <w:tcW w:w="1283"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650"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875"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0.276</w:t>
                  </w:r>
                </w:p>
              </w:tc>
            </w:tr>
            <w:tr>
              <w:tblPrEx>
                <w:tblW w:w="5000" w:type="pct"/>
                <w:jc w:val="center"/>
                <w:tblLayout w:type="fixed"/>
                <w:tblCellMar>
                  <w:top w:w="0" w:type="dxa"/>
                  <w:left w:w="0" w:type="dxa"/>
                  <w:bottom w:w="0" w:type="dxa"/>
                  <w:right w:w="0" w:type="dxa"/>
                </w:tblCellMar>
              </w:tblPrEx>
              <w:trPr>
                <w:trHeight w:val="23"/>
                <w:jc w:val="center"/>
              </w:trPr>
              <w:tc>
                <w:tcPr>
                  <w:tcW w:w="922" w:type="dxa"/>
                  <w:vMerge/>
                  <w:tcBorders>
                    <w:tl2br w:val="nil"/>
                    <w:tr2bl w:val="nil"/>
                  </w:tcBorders>
                  <w:vAlign w:val="center"/>
                </w:tcPr>
                <w:p>
                  <w:pPr>
                    <w:snapToGrid w:val="0"/>
                    <w:jc w:val="center"/>
                    <w:rPr>
                      <w:color w:val="auto"/>
                      <w:szCs w:val="21"/>
                      <w:highlight w:val="none"/>
                    </w:rPr>
                  </w:pPr>
                </w:p>
              </w:tc>
              <w:tc>
                <w:tcPr>
                  <w:tcW w:w="828" w:type="dxa"/>
                  <w:vMerge/>
                  <w:tcBorders>
                    <w:tl2br w:val="nil"/>
                    <w:tr2bl w:val="nil"/>
                  </w:tcBorders>
                  <w:vAlign w:val="center"/>
                </w:tcPr>
                <w:p>
                  <w:pPr>
                    <w:snapToGrid w:val="0"/>
                    <w:jc w:val="center"/>
                    <w:rPr>
                      <w:color w:val="auto"/>
                      <w:szCs w:val="21"/>
                      <w:highlight w:val="none"/>
                    </w:rPr>
                  </w:pPr>
                </w:p>
              </w:tc>
              <w:tc>
                <w:tcPr>
                  <w:tcW w:w="1377"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SS</w:t>
                  </w:r>
                </w:p>
              </w:tc>
              <w:tc>
                <w:tcPr>
                  <w:tcW w:w="1283"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650"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875"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0.154</w:t>
                  </w:r>
                </w:p>
              </w:tc>
            </w:tr>
            <w:tr>
              <w:tblPrEx>
                <w:tblW w:w="5000" w:type="pct"/>
                <w:jc w:val="center"/>
                <w:tblLayout w:type="fixed"/>
                <w:tblCellMar>
                  <w:top w:w="0" w:type="dxa"/>
                  <w:left w:w="0" w:type="dxa"/>
                  <w:bottom w:w="0" w:type="dxa"/>
                  <w:right w:w="0" w:type="dxa"/>
                </w:tblCellMar>
              </w:tblPrEx>
              <w:trPr>
                <w:trHeight w:val="23"/>
                <w:jc w:val="center"/>
              </w:trPr>
              <w:tc>
                <w:tcPr>
                  <w:tcW w:w="922" w:type="dxa"/>
                  <w:vMerge/>
                  <w:tcBorders>
                    <w:tl2br w:val="nil"/>
                    <w:tr2bl w:val="nil"/>
                  </w:tcBorders>
                  <w:vAlign w:val="center"/>
                </w:tcPr>
                <w:p>
                  <w:pPr>
                    <w:snapToGrid w:val="0"/>
                    <w:jc w:val="center"/>
                    <w:rPr>
                      <w:color w:val="auto"/>
                      <w:szCs w:val="21"/>
                      <w:highlight w:val="none"/>
                    </w:rPr>
                  </w:pPr>
                </w:p>
              </w:tc>
              <w:tc>
                <w:tcPr>
                  <w:tcW w:w="828" w:type="dxa"/>
                  <w:vMerge/>
                  <w:tcBorders>
                    <w:tl2br w:val="nil"/>
                    <w:tr2bl w:val="nil"/>
                  </w:tcBorders>
                  <w:vAlign w:val="center"/>
                </w:tcPr>
                <w:p>
                  <w:pPr>
                    <w:snapToGrid w:val="0"/>
                    <w:jc w:val="center"/>
                    <w:rPr>
                      <w:color w:val="auto"/>
                      <w:szCs w:val="21"/>
                      <w:highlight w:val="none"/>
                    </w:rPr>
                  </w:pPr>
                </w:p>
              </w:tc>
              <w:tc>
                <w:tcPr>
                  <w:tcW w:w="1377"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NH</w:t>
                  </w:r>
                  <w:r>
                    <w:rPr>
                      <w:rFonts w:ascii="Times New Roman" w:eastAsia="宋体" w:hAnsi="Times New Roman" w:cs="Times New Roman" w:hint="eastAsia"/>
                      <w:color w:val="auto"/>
                      <w:szCs w:val="21"/>
                      <w:highlight w:val="none"/>
                      <w:vertAlign w:val="subscript"/>
                    </w:rPr>
                    <w:t>3</w:t>
                  </w:r>
                  <w:r>
                    <w:rPr>
                      <w:rFonts w:ascii="Times New Roman" w:eastAsia="宋体" w:hAnsi="Times New Roman" w:cs="Times New Roman" w:hint="eastAsia"/>
                      <w:color w:val="auto"/>
                      <w:szCs w:val="21"/>
                      <w:highlight w:val="none"/>
                    </w:rPr>
                    <w:t>-N</w:t>
                  </w:r>
                </w:p>
              </w:tc>
              <w:tc>
                <w:tcPr>
                  <w:tcW w:w="1283"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650"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875"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0.022</w:t>
                  </w:r>
                </w:p>
              </w:tc>
            </w:tr>
            <w:tr>
              <w:tblPrEx>
                <w:tblW w:w="5000" w:type="pct"/>
                <w:jc w:val="center"/>
                <w:tblLayout w:type="fixed"/>
                <w:tblCellMar>
                  <w:top w:w="0" w:type="dxa"/>
                  <w:left w:w="0" w:type="dxa"/>
                  <w:bottom w:w="0" w:type="dxa"/>
                  <w:right w:w="0" w:type="dxa"/>
                </w:tblCellMar>
              </w:tblPrEx>
              <w:trPr>
                <w:trHeight w:val="23"/>
                <w:jc w:val="center"/>
              </w:trPr>
              <w:tc>
                <w:tcPr>
                  <w:tcW w:w="922" w:type="dxa"/>
                  <w:vMerge/>
                  <w:tcBorders>
                    <w:tl2br w:val="nil"/>
                    <w:tr2bl w:val="nil"/>
                  </w:tcBorders>
                  <w:vAlign w:val="center"/>
                </w:tcPr>
                <w:p>
                  <w:pPr>
                    <w:snapToGrid w:val="0"/>
                    <w:jc w:val="center"/>
                    <w:rPr>
                      <w:color w:val="auto"/>
                      <w:szCs w:val="21"/>
                      <w:highlight w:val="none"/>
                    </w:rPr>
                  </w:pPr>
                </w:p>
              </w:tc>
              <w:tc>
                <w:tcPr>
                  <w:tcW w:w="828" w:type="dxa"/>
                  <w:vMerge/>
                  <w:tcBorders>
                    <w:tl2br w:val="nil"/>
                    <w:tr2bl w:val="nil"/>
                  </w:tcBorders>
                  <w:vAlign w:val="center"/>
                </w:tcPr>
                <w:p>
                  <w:pPr>
                    <w:snapToGrid w:val="0"/>
                    <w:jc w:val="center"/>
                    <w:rPr>
                      <w:color w:val="auto"/>
                      <w:szCs w:val="21"/>
                      <w:highlight w:val="none"/>
                    </w:rPr>
                  </w:pPr>
                </w:p>
              </w:tc>
              <w:tc>
                <w:tcPr>
                  <w:tcW w:w="1377"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TP</w:t>
                  </w:r>
                </w:p>
              </w:tc>
              <w:tc>
                <w:tcPr>
                  <w:tcW w:w="1283"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650"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875"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0.002</w:t>
                  </w:r>
                </w:p>
              </w:tc>
            </w:tr>
            <w:tr>
              <w:tblPrEx>
                <w:tblW w:w="5000" w:type="pct"/>
                <w:jc w:val="center"/>
                <w:tblLayout w:type="fixed"/>
                <w:tblCellMar>
                  <w:top w:w="0" w:type="dxa"/>
                  <w:left w:w="0" w:type="dxa"/>
                  <w:bottom w:w="0" w:type="dxa"/>
                  <w:right w:w="0" w:type="dxa"/>
                </w:tblCellMar>
              </w:tblPrEx>
              <w:trPr>
                <w:trHeight w:val="23"/>
                <w:jc w:val="center"/>
              </w:trPr>
              <w:tc>
                <w:tcPr>
                  <w:tcW w:w="922" w:type="dxa"/>
                  <w:vMerge/>
                  <w:tcBorders>
                    <w:tl2br w:val="nil"/>
                    <w:tr2bl w:val="nil"/>
                  </w:tcBorders>
                  <w:vAlign w:val="center"/>
                </w:tcPr>
                <w:p>
                  <w:pPr>
                    <w:snapToGrid w:val="0"/>
                    <w:jc w:val="center"/>
                    <w:rPr>
                      <w:color w:val="auto"/>
                      <w:szCs w:val="21"/>
                      <w:highlight w:val="none"/>
                    </w:rPr>
                  </w:pPr>
                </w:p>
              </w:tc>
              <w:tc>
                <w:tcPr>
                  <w:tcW w:w="828" w:type="dxa"/>
                  <w:vMerge/>
                  <w:tcBorders>
                    <w:tl2br w:val="nil"/>
                    <w:tr2bl w:val="nil"/>
                  </w:tcBorders>
                  <w:vAlign w:val="center"/>
                </w:tcPr>
                <w:p>
                  <w:pPr>
                    <w:snapToGrid w:val="0"/>
                    <w:jc w:val="center"/>
                    <w:rPr>
                      <w:color w:val="auto"/>
                      <w:szCs w:val="21"/>
                      <w:highlight w:val="none"/>
                    </w:rPr>
                  </w:pPr>
                </w:p>
              </w:tc>
              <w:tc>
                <w:tcPr>
                  <w:tcW w:w="1377"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TN</w:t>
                  </w:r>
                </w:p>
              </w:tc>
              <w:tc>
                <w:tcPr>
                  <w:tcW w:w="1283"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650"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w:t>
                  </w:r>
                </w:p>
              </w:tc>
              <w:tc>
                <w:tcPr>
                  <w:tcW w:w="1875" w:type="dxa"/>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0.023</w:t>
                  </w:r>
                </w:p>
              </w:tc>
            </w:tr>
            <w:bookmarkEnd w:id="6"/>
            <w:bookmarkEnd w:id="7"/>
            <w:bookmarkEnd w:id="8"/>
            <w:tr>
              <w:tblPrEx>
                <w:tblW w:w="5000" w:type="pct"/>
                <w:jc w:val="center"/>
                <w:tblLayout w:type="fixed"/>
                <w:tblCellMar>
                  <w:top w:w="0" w:type="dxa"/>
                  <w:left w:w="0" w:type="dxa"/>
                  <w:bottom w:w="0" w:type="dxa"/>
                  <w:right w:w="0" w:type="dxa"/>
                </w:tblCellMar>
              </w:tblPrEx>
              <w:trPr>
                <w:trHeight w:val="23"/>
                <w:jc w:val="center"/>
              </w:trPr>
              <w:tc>
                <w:tcPr>
                  <w:tcW w:w="3127" w:type="dxa"/>
                  <w:gridSpan w:val="3"/>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固废</w:t>
                  </w:r>
                </w:p>
              </w:tc>
              <w:tc>
                <w:tcPr>
                  <w:tcW w:w="4808" w:type="dxa"/>
                  <w:gridSpan w:val="3"/>
                  <w:tcBorders>
                    <w:tl2br w:val="nil"/>
                    <w:tr2bl w:val="nil"/>
                  </w:tcBorders>
                  <w:vAlign w:val="center"/>
                </w:tcPr>
                <w:p>
                  <w:pPr>
                    <w:snapToGrid w:val="0"/>
                    <w:jc w:val="center"/>
                    <w:rPr>
                      <w:color w:val="auto"/>
                      <w:szCs w:val="21"/>
                      <w:highlight w:val="none"/>
                    </w:rPr>
                  </w:pPr>
                  <w:r>
                    <w:rPr>
                      <w:rFonts w:ascii="Times New Roman" w:eastAsia="宋体" w:hAnsi="Times New Roman" w:cs="Times New Roman" w:hint="eastAsia"/>
                      <w:color w:val="auto"/>
                      <w:szCs w:val="21"/>
                      <w:highlight w:val="none"/>
                    </w:rPr>
                    <w:t>0</w:t>
                  </w:r>
                </w:p>
              </w:tc>
            </w:tr>
          </w:tbl>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3</w:t>
            </w:r>
            <w:r>
              <w:rPr>
                <w:rFonts w:ascii="Times New Roman" w:eastAsia="宋体" w:hAnsi="Times New Roman" w:cs="Times New Roman"/>
                <w:color w:val="auto"/>
                <w:sz w:val="24"/>
                <w:highlight w:val="none"/>
              </w:rPr>
              <w:t>、经现场调查，项目存在的主要问题如下：</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项目所在地污水管网未铺设到位</w:t>
            </w:r>
            <w:r>
              <w:rPr>
                <w:rFonts w:ascii="Times New Roman" w:eastAsia="宋体" w:hAnsi="Times New Roman" w:cs="Times New Roman" w:hint="eastAsia"/>
                <w:color w:val="auto"/>
                <w:sz w:val="24"/>
                <w:highlight w:val="none"/>
              </w:rPr>
              <w:t>。</w:t>
            </w:r>
          </w:p>
          <w:p>
            <w:pPr>
              <w:numPr>
                <w:ilvl w:val="0"/>
                <w:numId w:val="3"/>
              </w:numPr>
              <w:snapToGrid w:val="0"/>
              <w:spacing w:line="360" w:lineRule="auto"/>
              <w:rPr>
                <w:color w:val="auto"/>
                <w:sz w:val="24"/>
                <w:highlight w:val="none"/>
              </w:rPr>
            </w:pPr>
            <w:r>
              <w:rPr>
                <w:rFonts w:ascii="Times New Roman" w:eastAsia="宋体" w:hAnsi="Times New Roman" w:cs="Times New Roman"/>
                <w:color w:val="auto"/>
                <w:sz w:val="24"/>
                <w:highlight w:val="none"/>
              </w:rPr>
              <w:t>本次环评</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以新带老</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措施</w:t>
            </w:r>
          </w:p>
          <w:p>
            <w:pPr>
              <w:snapToGrid w:val="0"/>
              <w:spacing w:line="360" w:lineRule="auto"/>
              <w:ind w:left="480"/>
              <w:rPr>
                <w:color w:val="auto"/>
                <w:sz w:val="24"/>
                <w:highlight w:val="none"/>
              </w:rPr>
            </w:pPr>
            <w:r>
              <w:rPr>
                <w:rFonts w:ascii="Times New Roman" w:eastAsia="宋体" w:hAnsi="Times New Roman" w:cs="Times New Roman"/>
                <w:color w:val="auto"/>
                <w:sz w:val="24"/>
                <w:highlight w:val="none"/>
              </w:rPr>
              <w:t>针对项目特点和以上问题，本次环评提出如下以新带老措施：</w:t>
            </w:r>
          </w:p>
          <w:p>
            <w:pPr>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w:t>
            </w:r>
            <w:r>
              <w:rPr>
                <w:rFonts w:ascii="Times New Roman" w:eastAsia="宋体" w:hAnsi="Times New Roman" w:cs="Times New Roman" w:hint="eastAsia"/>
                <w:color w:val="auto"/>
                <w:sz w:val="24"/>
                <w:highlight w:val="none"/>
              </w:rPr>
              <w:t>1</w:t>
            </w:r>
            <w:r>
              <w:rPr>
                <w:rFonts w:ascii="Times New Roman" w:eastAsia="宋体" w:hAnsi="Times New Roman" w:cs="Times New Roman"/>
                <w:color w:val="auto"/>
                <w:sz w:val="24"/>
                <w:highlight w:val="none"/>
              </w:rPr>
              <w:t>）项目废水主要为生活废水，经</w:t>
            </w:r>
            <w:r>
              <w:rPr>
                <w:rFonts w:ascii="Times New Roman" w:eastAsia="宋体" w:hAnsi="Times New Roman" w:cs="Times New Roman" w:hint="eastAsia"/>
                <w:color w:val="auto"/>
                <w:sz w:val="24"/>
                <w:highlight w:val="none"/>
              </w:rPr>
              <w:t>地埋一体化污水处理设施</w:t>
            </w:r>
            <w:r>
              <w:rPr>
                <w:rFonts w:ascii="Times New Roman" w:eastAsia="宋体" w:hAnsi="Times New Roman" w:cs="Times New Roman"/>
                <w:color w:val="auto"/>
                <w:sz w:val="24"/>
                <w:highlight w:val="none"/>
              </w:rPr>
              <w:t>处理后</w:t>
            </w:r>
            <w:r>
              <w:rPr>
                <w:rFonts w:ascii="Times New Roman" w:eastAsia="宋体" w:hAnsi="Times New Roman" w:cs="Times New Roman" w:hint="eastAsia"/>
                <w:color w:val="auto"/>
                <w:sz w:val="24"/>
                <w:highlight w:val="none"/>
                <w:lang w:val="en-US" w:eastAsia="zh-CN"/>
              </w:rPr>
              <w:t>近期槽车运至污水厂，远期</w:t>
            </w:r>
            <w:r>
              <w:rPr>
                <w:rFonts w:ascii="Times New Roman" w:eastAsia="宋体" w:hAnsi="Times New Roman" w:cs="Times New Roman"/>
                <w:color w:val="auto"/>
                <w:sz w:val="24"/>
                <w:highlight w:val="none"/>
              </w:rPr>
              <w:t>待管网铺设到位后接入管网进一步处理；</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（2）现有项目在关停搬迁时应编制应急预案防范环境影响，按照安全处置遗留固体废物。</w:t>
            </w:r>
          </w:p>
          <w:p>
            <w:pPr>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5、搬迁后遗留环保问题及解决措施</w:t>
            </w:r>
          </w:p>
          <w:p>
            <w:pPr>
              <w:snapToGrid w:val="0"/>
              <w:spacing w:after="0" w:line="360" w:lineRule="auto"/>
              <w:ind w:firstLine="480" w:firstLineChars="200"/>
              <w:rPr>
                <w:color w:val="auto"/>
                <w:sz w:val="24"/>
                <w:highlight w:val="none"/>
              </w:rPr>
            </w:pPr>
            <w:r>
              <w:rPr>
                <w:rFonts w:ascii="Times New Roman" w:eastAsia="宋体" w:hAnsi="Times New Roman" w:cs="Times New Roman"/>
                <w:color w:val="auto"/>
                <w:sz w:val="24"/>
                <w:highlight w:val="none"/>
              </w:rPr>
              <w:t>根据《关于切实做好企业搬迁过程中环境污染防治工作的通知》</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环办</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2004</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47号的要求</w:t>
            </w:r>
            <w:r>
              <w:rPr>
                <w:rFonts w:ascii="Times New Roman" w:eastAsia="宋体" w:hAnsi="Times New Roman" w:cs="Times New Roman" w:hint="eastAsia"/>
                <w:color w:val="auto"/>
                <w:sz w:val="24"/>
                <w:highlight w:val="none"/>
              </w:rPr>
              <w:t>，</w:t>
            </w:r>
            <w:r>
              <w:rPr>
                <w:rFonts w:ascii="Times New Roman" w:eastAsia="宋体" w:hAnsi="Times New Roman" w:cs="Times New Roman" w:hint="eastAsia"/>
                <w:color w:val="auto"/>
                <w:sz w:val="24"/>
                <w:highlight w:val="none"/>
                <w:lang w:eastAsia="zh-CN"/>
              </w:rPr>
              <w:t>“</w:t>
            </w:r>
          </w:p>
        </w:tc>
      </w:tr>
    </w:tbl>
    <w:p>
      <w:pPr>
        <w:sectPr>
          <w:footerReference w:type="even" r:id="rId60"/>
          <w:footerReference w:type="default" r:id="rId61"/>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2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23"/>
        <w:gridCol w:w="8161"/>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2819"/>
          <w:jc w:val="center"/>
        </w:trPr>
        <w:tc>
          <w:tcPr>
            <w:tcW w:w="823" w:type="dxa"/>
            <w:vAlign w:val="center"/>
          </w:tcPr>
          <w:p/>
        </w:tc>
        <w:tc>
          <w:tcPr>
            <w:tcW w:w="8161" w:type="dxa"/>
          </w:tcPr>
          <w:p>
            <w:pPr>
              <w:snapToGrid w:val="0"/>
              <w:spacing w:before="0" w:line="360" w:lineRule="auto"/>
              <w:ind w:firstLine="480" w:firstLineChars="200"/>
              <w:rPr>
                <w:color w:val="auto"/>
                <w:sz w:val="24"/>
                <w:highlight w:val="none"/>
              </w:rPr>
            </w:pPr>
            <w:r>
              <w:rPr>
                <w:rFonts w:ascii="Times New Roman" w:eastAsia="宋体" w:hAnsi="Times New Roman" w:cs="Times New Roman"/>
                <w:color w:val="auto"/>
                <w:sz w:val="24"/>
                <w:highlight w:val="none"/>
              </w:rPr>
              <w:t>所有产生危险废物的工业企业、实验室和生产经营危险废物的单位，在结束原有生产经营活动，改变原土地使用性质时，必须经具有省级以上质量认证资格的环境监测部门对原址土地进行监测分析，报送省级以上环境保护部门审查，并依据监测评价报告确定土壤功能修复实施方案。当地政府环境保护部门负责土壤功能修复工作的监督管理。监测评价报告要对原址土壤进行环境影响分析，分析内容包括遗留在原址和地下的污染物种类、范围和土壤污染程度；原厂区地下管线、土壤、地下水污染现状等的评价情况。对遗留污染物造成的环境污染问题，由原生产经营单位负责治理并恢复土壤使用功能。</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w:t>
            </w:r>
          </w:p>
          <w:p>
            <w:pPr>
              <w:snapToGrid w:val="0"/>
              <w:spacing w:line="360" w:lineRule="auto"/>
              <w:ind w:firstLine="480" w:firstLineChars="200"/>
              <w:rPr>
                <w:rFonts w:hint="eastAsia"/>
                <w:color w:val="auto"/>
                <w:sz w:val="24"/>
                <w:highlight w:val="none"/>
              </w:rPr>
            </w:pPr>
            <w:r>
              <w:rPr>
                <w:rFonts w:ascii="Times New Roman" w:eastAsia="宋体" w:hAnsi="Times New Roman" w:cs="Times New Roman"/>
                <w:color w:val="auto"/>
                <w:sz w:val="24"/>
                <w:highlight w:val="none"/>
              </w:rPr>
              <w:t>原项目搬迁后空置厂房将保留暂不拆除，</w:t>
            </w:r>
            <w:r>
              <w:rPr>
                <w:rFonts w:ascii="Times New Roman" w:eastAsia="宋体" w:hAnsi="Times New Roman" w:cs="Times New Roman" w:hint="eastAsia"/>
                <w:color w:val="auto"/>
                <w:sz w:val="24"/>
                <w:highlight w:val="none"/>
                <w:lang w:val="en-US" w:eastAsia="zh-CN"/>
              </w:rPr>
              <w:t>原项目不使用含有毒有害物质的原辅材料等，设备已完成拆除，产生的废物已处置完毕</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若日后发展需要拆除或土地利用类型发生改变，将根据《关于切实做好企业搬迁过程中环境污染防治工作的通知》</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环办</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2004</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47号）以及《关于加强工业企业关停、搬迁及原址场地再开发利用过程中污染防治工作的通知》</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环发</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2014</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66号〉等相关环保要求，开展原址土地的环境监测及影响分析，另行申报环评及开展场地调查工作，其现有场地拆除及场地污染调查不纳入本次评价范围内，但在搬迁过程中须做好有毒有害物质、危险废物、一般工业固体废物等的处理处置工作，危险废物须委托具有相关危险废物经营许可证的专业单位进行安全处置，并执行危险废物转移联单制度</w:t>
            </w:r>
            <w:r>
              <w:rPr>
                <w:rFonts w:ascii="Times New Roman" w:eastAsia="宋体" w:hAnsi="Times New Roman" w:cs="Times New Roman" w:hint="eastAsia"/>
                <w:color w:val="auto"/>
                <w:sz w:val="24"/>
                <w:highlight w:val="none"/>
              </w:rPr>
              <w:t>。</w:t>
            </w: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p>
            <w:pPr>
              <w:snapToGrid w:val="0"/>
              <w:spacing w:line="360" w:lineRule="auto"/>
              <w:ind w:firstLine="480" w:firstLineChars="200"/>
              <w:rPr>
                <w:rFonts w:hint="eastAsia"/>
                <w:color w:val="auto"/>
                <w:sz w:val="24"/>
                <w:highlight w:val="none"/>
              </w:rPr>
            </w:pPr>
          </w:p>
        </w:tc>
      </w:tr>
    </w:tbl>
    <w:p>
      <w:pPr>
        <w:pStyle w:val="NormalWeb"/>
        <w:jc w:val="center"/>
        <w:rPr>
          <w:rFonts w:ascii="Times New Roman" w:eastAsia="宋体" w:hAnsi="Times New Roman" w:cs="Times New Roman"/>
          <w:snapToGrid w:val="0"/>
          <w:color w:val="auto"/>
          <w:sz w:val="36"/>
          <w:szCs w:val="36"/>
          <w:highlight w:val="yellow"/>
        </w:rPr>
        <w:sectPr>
          <w:footerReference w:type="even" r:id="rId62"/>
          <w:footerReference w:type="default" r:id="rId63"/>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start="26"/>
          <w:cols w:num="1" w:space="720"/>
          <w:titlePg w:val="0"/>
          <w:docGrid w:linePitch="312" w:charSpace="0"/>
        </w:sectPr>
      </w:pPr>
    </w:p>
    <w:p>
      <w:pPr>
        <w:pStyle w:val="NormalWeb"/>
        <w:adjustRightInd w:val="0"/>
        <w:snapToGrid w:val="0"/>
        <w:spacing w:before="0" w:beforeAutospacing="0" w:after="0" w:afterAutospacing="0" w:line="14" w:lineRule="auto"/>
        <w:jc w:val="center"/>
        <w:rPr>
          <w:rFonts w:ascii="Times New Roman" w:eastAsia="宋体" w:hAnsi="Times New Roman" w:cs="Times New Roman"/>
          <w:snapToGrid w:val="0"/>
          <w:color w:val="auto"/>
          <w:sz w:val="30"/>
          <w:szCs w:val="30"/>
          <w:highlight w:val="yellow"/>
        </w:rPr>
      </w:pPr>
    </w:p>
    <w:p>
      <w:pPr>
        <w:pStyle w:val="NormalWeb"/>
        <w:jc w:val="center"/>
        <w:outlineLvl w:val="0"/>
        <w:rPr>
          <w:rFonts w:ascii="Times New Roman" w:eastAsia="宋体" w:hAnsi="Times New Roman" w:cs="Times New Roman"/>
          <w:snapToGrid w:val="0"/>
          <w:color w:val="auto"/>
          <w:sz w:val="30"/>
          <w:szCs w:val="30"/>
          <w:highlight w:val="none"/>
        </w:rPr>
      </w:pPr>
      <w:bookmarkStart w:id="9" w:name="_Toc26442"/>
      <w:r>
        <w:rPr>
          <w:rFonts w:ascii="Times New Roman" w:eastAsia="宋体" w:hAnsi="Times New Roman" w:cs="Times New Roman" w:hint="eastAsia"/>
          <w:snapToGrid w:val="0"/>
          <w:color w:val="auto"/>
          <w:sz w:val="30"/>
          <w:szCs w:val="30"/>
          <w:highlight w:val="none"/>
        </w:rPr>
        <w:t>三、区域环境质量现状、环境保护目标及评价标准</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00"/>
        <w:gridCol w:w="819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
          <w:jc w:val="center"/>
        </w:trPr>
        <w:tc>
          <w:tcPr>
            <w:tcW w:w="800" w:type="dxa"/>
            <w:vAlign w:val="center"/>
          </w:tcPr>
          <w:p>
            <w:pPr>
              <w:adjustRightInd w:val="0"/>
              <w:snapToGrid w:val="0"/>
              <w:jc w:val="center"/>
              <w:rPr>
                <w:color w:val="auto"/>
                <w:kern w:val="0"/>
                <w:sz w:val="24"/>
                <w:highlight w:val="none"/>
              </w:rPr>
            </w:pPr>
            <w:bookmarkEnd w:id="9"/>
            <w:r>
              <w:rPr>
                <w:rFonts w:ascii="Times New Roman" w:eastAsia="宋体" w:hAnsi="Times New Roman" w:cs="Times New Roman"/>
                <w:color w:val="auto"/>
                <w:kern w:val="0"/>
                <w:sz w:val="24"/>
                <w:highlight w:val="none"/>
              </w:rPr>
              <w:t>区域</w:t>
            </w:r>
          </w:p>
          <w:p>
            <w:pPr>
              <w:adjustRightInd w:val="0"/>
              <w:snapToGrid w:val="0"/>
              <w:jc w:val="center"/>
              <w:rPr>
                <w:color w:val="auto"/>
                <w:kern w:val="0"/>
                <w:sz w:val="24"/>
                <w:highlight w:val="none"/>
              </w:rPr>
            </w:pPr>
            <w:r>
              <w:rPr>
                <w:rFonts w:ascii="Times New Roman" w:eastAsia="宋体" w:hAnsi="Times New Roman" w:cs="Times New Roman"/>
                <w:color w:val="auto"/>
                <w:kern w:val="0"/>
                <w:sz w:val="24"/>
                <w:highlight w:val="none"/>
              </w:rPr>
              <w:t>环境</w:t>
            </w:r>
          </w:p>
          <w:p>
            <w:pPr>
              <w:adjustRightInd w:val="0"/>
              <w:snapToGrid w:val="0"/>
              <w:jc w:val="center"/>
              <w:rPr>
                <w:color w:val="auto"/>
                <w:kern w:val="0"/>
                <w:sz w:val="24"/>
                <w:highlight w:val="none"/>
              </w:rPr>
            </w:pPr>
            <w:r>
              <w:rPr>
                <w:rFonts w:ascii="Times New Roman" w:eastAsia="宋体" w:hAnsi="Times New Roman" w:cs="Times New Roman"/>
                <w:color w:val="auto"/>
                <w:kern w:val="0"/>
                <w:sz w:val="24"/>
                <w:highlight w:val="none"/>
              </w:rPr>
              <w:t>质量</w:t>
            </w:r>
          </w:p>
          <w:p>
            <w:pPr>
              <w:adjustRightInd w:val="0"/>
              <w:snapToGrid w:val="0"/>
              <w:jc w:val="center"/>
              <w:rPr>
                <w:color w:val="auto"/>
                <w:kern w:val="0"/>
                <w:sz w:val="24"/>
                <w:highlight w:val="yellow"/>
              </w:rPr>
            </w:pPr>
            <w:r>
              <w:rPr>
                <w:rFonts w:ascii="Times New Roman" w:eastAsia="宋体" w:hAnsi="Times New Roman" w:cs="Times New Roman"/>
                <w:color w:val="auto"/>
                <w:kern w:val="0"/>
                <w:sz w:val="24"/>
                <w:highlight w:val="none"/>
              </w:rPr>
              <w:t>现状</w:t>
            </w:r>
          </w:p>
        </w:tc>
        <w:tc>
          <w:tcPr>
            <w:tcW w:w="8190" w:type="dxa"/>
            <w:vAlign w:val="center"/>
          </w:tcPr>
          <w:p>
            <w:pPr>
              <w:adjustRightInd w:val="0"/>
              <w:snapToGrid w:val="0"/>
              <w:spacing w:line="360" w:lineRule="auto"/>
              <w:jc w:val="left"/>
              <w:rPr>
                <w:b/>
                <w:color w:val="auto"/>
                <w:sz w:val="24"/>
                <w:highlight w:val="none"/>
              </w:rPr>
            </w:pPr>
            <w:r>
              <w:rPr>
                <w:rFonts w:ascii="Times New Roman" w:eastAsia="宋体" w:hAnsi="Times New Roman" w:cs="Times New Roman"/>
                <w:b/>
                <w:color w:val="auto"/>
                <w:sz w:val="24"/>
                <w:highlight w:val="none"/>
              </w:rPr>
              <w:t xml:space="preserve">3.1 </w:t>
            </w:r>
            <w:r>
              <w:rPr>
                <w:rFonts w:ascii="Times New Roman" w:eastAsia="宋体" w:hAnsi="Times New Roman" w:cs="Times New Roman" w:hint="eastAsia"/>
                <w:b/>
                <w:color w:val="auto"/>
                <w:sz w:val="24"/>
                <w:highlight w:val="none"/>
              </w:rPr>
              <w:t>环境空气质量评价标准</w:t>
            </w:r>
          </w:p>
          <w:p>
            <w:pPr>
              <w:adjustRightInd w:val="0"/>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①大气环境</w:t>
            </w:r>
          </w:p>
          <w:p>
            <w:pPr>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本项目所在区域环境空气质量功能区划为二类区，环境空气中常规污染物质量执行《环境空气质量标准》</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GB3095-2012</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及其修改单中的二级标准，具体标准值见表3-1。</w:t>
            </w:r>
          </w:p>
          <w:p>
            <w:pPr>
              <w:adjustRightInd w:val="0"/>
              <w:snapToGrid w:val="0"/>
              <w:ind w:firstLine="480" w:firstLineChars="200"/>
              <w:jc w:val="center"/>
              <w:rPr>
                <w:b/>
                <w:color w:val="auto"/>
                <w:kern w:val="0"/>
                <w:sz w:val="24"/>
                <w:highlight w:val="none"/>
              </w:rPr>
            </w:pPr>
            <w:r>
              <w:rPr>
                <w:rFonts w:ascii="Times New Roman" w:eastAsia="宋体" w:hAnsi="Times New Roman" w:cs="Times New Roman"/>
                <w:b/>
                <w:color w:val="auto"/>
                <w:kern w:val="0"/>
                <w:sz w:val="24"/>
                <w:highlight w:val="none"/>
              </w:rPr>
              <w:t>表</w:t>
            </w:r>
            <w:r>
              <w:rPr>
                <w:rFonts w:ascii="Times New Roman" w:eastAsia="宋体" w:hAnsi="Times New Roman" w:cs="Times New Roman" w:hint="eastAsia"/>
                <w:b/>
                <w:color w:val="auto"/>
                <w:kern w:val="0"/>
                <w:sz w:val="24"/>
                <w:highlight w:val="none"/>
              </w:rPr>
              <w:t>3</w:t>
            </w:r>
            <w:r>
              <w:rPr>
                <w:rFonts w:ascii="Times New Roman" w:eastAsia="宋体" w:hAnsi="Times New Roman" w:cs="Times New Roman"/>
                <w:b/>
                <w:color w:val="auto"/>
                <w:sz w:val="24"/>
                <w:highlight w:val="none"/>
              </w:rPr>
              <w:t>-</w:t>
            </w:r>
            <w:r>
              <w:rPr>
                <w:rFonts w:ascii="Times New Roman" w:eastAsia="宋体" w:hAnsi="Times New Roman" w:cs="Times New Roman"/>
                <w:b/>
                <w:color w:val="auto"/>
                <w:kern w:val="0"/>
                <w:sz w:val="24"/>
                <w:highlight w:val="none"/>
              </w:rPr>
              <w:t>1 环境</w:t>
            </w:r>
            <w:r>
              <w:rPr>
                <w:rFonts w:ascii="Times New Roman" w:eastAsia="宋体" w:hAnsi="Times New Roman" w:cs="Times New Roman" w:hint="eastAsia"/>
                <w:b/>
                <w:color w:val="auto"/>
                <w:kern w:val="0"/>
                <w:sz w:val="24"/>
                <w:highlight w:val="none"/>
              </w:rPr>
              <w:t>空气</w:t>
            </w:r>
            <w:r>
              <w:rPr>
                <w:rFonts w:ascii="Times New Roman" w:eastAsia="宋体" w:hAnsi="Times New Roman" w:cs="Times New Roman"/>
                <w:b/>
                <w:color w:val="auto"/>
                <w:kern w:val="0"/>
                <w:sz w:val="24"/>
                <w:highlight w:val="none"/>
              </w:rPr>
              <w:t>质量</w:t>
            </w:r>
            <w:r>
              <w:rPr>
                <w:rFonts w:ascii="Times New Roman" w:eastAsia="宋体" w:hAnsi="Times New Roman" w:cs="Times New Roman" w:hint="eastAsia"/>
                <w:b/>
                <w:color w:val="auto"/>
                <w:kern w:val="0"/>
                <w:sz w:val="24"/>
                <w:highlight w:val="none"/>
              </w:rPr>
              <w:t>评价</w:t>
            </w:r>
            <w:r>
              <w:rPr>
                <w:rFonts w:ascii="Times New Roman" w:eastAsia="宋体" w:hAnsi="Times New Roman" w:cs="Times New Roman"/>
                <w:b/>
                <w:color w:val="auto"/>
                <w:kern w:val="0"/>
                <w:sz w:val="24"/>
                <w:highlight w:val="none"/>
              </w:rPr>
              <w:t>标准</w:t>
            </w:r>
            <w:r>
              <w:rPr>
                <w:rFonts w:ascii="Times New Roman" w:eastAsia="宋体" w:hAnsi="Times New Roman" w:cs="Times New Roman" w:hint="eastAsia"/>
                <w:b/>
                <w:color w:val="auto"/>
                <w:kern w:val="0"/>
                <w:sz w:val="24"/>
                <w:highlight w:val="none"/>
              </w:rPr>
              <w:t>一览表</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669"/>
              <w:gridCol w:w="1291"/>
              <w:gridCol w:w="1393"/>
              <w:gridCol w:w="1301"/>
              <w:gridCol w:w="3320"/>
            </w:tblGrid>
            <w:tr>
              <w:tblPrEx>
                <w:tblW w:w="5000" w:type="pct"/>
                <w:jc w:val="center"/>
                <w:tblBorders>
                  <w:top w:val="single" w:sz="4" w:space="0" w:color="auto"/>
                  <w:left w:val="none" w:sz="0" w:space="0" w:color="auto"/>
                  <w:bottom w:val="single" w:sz="4" w:space="0" w:color="auto"/>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283"/>
                <w:jc w:val="center"/>
              </w:trPr>
              <w:tc>
                <w:tcPr>
                  <w:tcW w:w="419"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序号</w:t>
                  </w:r>
                </w:p>
              </w:tc>
              <w:tc>
                <w:tcPr>
                  <w:tcW w:w="809"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污染物</w:t>
                  </w:r>
                </w:p>
              </w:tc>
              <w:tc>
                <w:tcPr>
                  <w:tcW w:w="872"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取值时间</w:t>
                  </w:r>
                </w:p>
              </w:tc>
              <w:tc>
                <w:tcPr>
                  <w:tcW w:w="816"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浓度限值</w:t>
                  </w:r>
                </w:p>
              </w:tc>
              <w:tc>
                <w:tcPr>
                  <w:tcW w:w="2081"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标准来源</w:t>
                  </w: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w:t>
                  </w:r>
                </w:p>
              </w:tc>
              <w:tc>
                <w:tcPr>
                  <w:tcW w:w="80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SO</w:t>
                  </w:r>
                  <w:r>
                    <w:rPr>
                      <w:rFonts w:ascii="Times New Roman" w:eastAsia="宋体" w:hAnsi="Times New Roman" w:cs="Times New Roman"/>
                      <w:bCs/>
                      <w:color w:val="auto"/>
                      <w:szCs w:val="21"/>
                      <w:highlight w:val="none"/>
                      <w:vertAlign w:val="subscript"/>
                    </w:rPr>
                    <w:t>2</w:t>
                  </w: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年平均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60μg/m</w:t>
                  </w:r>
                  <w:r>
                    <w:rPr>
                      <w:rFonts w:ascii="Times New Roman" w:eastAsia="宋体" w:hAnsi="Times New Roman" w:cs="Times New Roman"/>
                      <w:bCs/>
                      <w:color w:val="auto"/>
                      <w:szCs w:val="21"/>
                      <w:highlight w:val="none"/>
                      <w:vertAlign w:val="superscript"/>
                    </w:rPr>
                    <w:t>3</w:t>
                  </w:r>
                </w:p>
              </w:tc>
              <w:tc>
                <w:tcPr>
                  <w:tcW w:w="2081"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《环境空气质量标准》</w:t>
                  </w:r>
                  <w:r>
                    <w:rPr>
                      <w:rFonts w:ascii="Times New Roman" w:eastAsia="宋体" w:hAnsi="Times New Roman" w:cs="Times New Roman" w:hint="eastAsia"/>
                      <w:bCs/>
                      <w:color w:val="auto"/>
                      <w:szCs w:val="21"/>
                      <w:highlight w:val="none"/>
                      <w:lang w:eastAsia="zh-CN"/>
                    </w:rPr>
                    <w:t>（</w:t>
                  </w:r>
                  <w:r>
                    <w:rPr>
                      <w:rFonts w:ascii="Times New Roman" w:eastAsia="宋体" w:hAnsi="Times New Roman" w:cs="Times New Roman"/>
                      <w:bCs/>
                      <w:color w:val="auto"/>
                      <w:szCs w:val="21"/>
                      <w:highlight w:val="none"/>
                    </w:rPr>
                    <w:t>GB3095-2012</w:t>
                  </w:r>
                  <w:r>
                    <w:rPr>
                      <w:rFonts w:ascii="Times New Roman" w:eastAsia="宋体" w:hAnsi="Times New Roman" w:cs="Times New Roman" w:hint="eastAsia"/>
                      <w:bCs/>
                      <w:color w:val="auto"/>
                      <w:szCs w:val="21"/>
                      <w:highlight w:val="none"/>
                      <w:lang w:eastAsia="zh-CN"/>
                    </w:rPr>
                    <w:t>）</w:t>
                  </w:r>
                  <w:r>
                    <w:rPr>
                      <w:rFonts w:ascii="Times New Roman" w:eastAsia="宋体" w:hAnsi="Times New Roman" w:cs="Times New Roman"/>
                      <w:bCs/>
                      <w:color w:val="auto"/>
                      <w:szCs w:val="21"/>
                      <w:highlight w:val="none"/>
                    </w:rPr>
                    <w:t>及其修改单中二级标准</w:t>
                  </w: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24小时平均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150μg/m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1小时平均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500μg/m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2</w:t>
                  </w:r>
                </w:p>
              </w:tc>
              <w:tc>
                <w:tcPr>
                  <w:tcW w:w="80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NO</w:t>
                  </w:r>
                  <w:r>
                    <w:rPr>
                      <w:rFonts w:ascii="Times New Roman" w:eastAsia="宋体" w:hAnsi="Times New Roman" w:cs="Times New Roman"/>
                      <w:bCs/>
                      <w:color w:val="auto"/>
                      <w:szCs w:val="21"/>
                      <w:highlight w:val="none"/>
                      <w:vertAlign w:val="subscript"/>
                    </w:rPr>
                    <w:t>2</w:t>
                  </w: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年平均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40μg/m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24小时均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80μg/m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1小时平均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200μg/m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3</w:t>
                  </w:r>
                </w:p>
              </w:tc>
              <w:tc>
                <w:tcPr>
                  <w:tcW w:w="809" w:type="pct"/>
                  <w:vMerge w:val="restar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eastAsia"/>
                      <w:bCs/>
                      <w:color w:val="auto"/>
                      <w:szCs w:val="21"/>
                      <w:highlight w:val="none"/>
                      <w:lang w:val="en-US" w:eastAsia="zh-CN"/>
                    </w:rPr>
                    <w:t>NOx</w:t>
                  </w:r>
                </w:p>
              </w:tc>
              <w:tc>
                <w:tcPr>
                  <w:tcW w:w="872"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年平均</w:t>
                  </w:r>
                </w:p>
              </w:tc>
              <w:tc>
                <w:tcPr>
                  <w:tcW w:w="816"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50μg/</w:t>
                  </w:r>
                  <w:r>
                    <w:rPr>
                      <w:rFonts w:ascii="Times New Roman" w:eastAsia="宋体" w:hAnsi="Times New Roman" w:cs="Times New Roman"/>
                      <w:bCs/>
                      <w:color w:val="auto"/>
                      <w:szCs w:val="21"/>
                      <w:highlight w:val="none"/>
                    </w:rPr>
                    <w:t>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24小时平均</w:t>
                  </w:r>
                </w:p>
              </w:tc>
              <w:tc>
                <w:tcPr>
                  <w:tcW w:w="816"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100μg/</w:t>
                  </w:r>
                  <w:r>
                    <w:rPr>
                      <w:rFonts w:ascii="Times New Roman" w:eastAsia="宋体" w:hAnsi="Times New Roman" w:cs="Times New Roman"/>
                      <w:bCs/>
                      <w:color w:val="auto"/>
                      <w:szCs w:val="21"/>
                      <w:highlight w:val="none"/>
                    </w:rPr>
                    <w:t>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6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1小时平均</w:t>
                  </w:r>
                </w:p>
              </w:tc>
              <w:tc>
                <w:tcPr>
                  <w:tcW w:w="816"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250μg/</w:t>
                  </w:r>
                  <w:r>
                    <w:rPr>
                      <w:rFonts w:ascii="Times New Roman" w:eastAsia="宋体" w:hAnsi="Times New Roman" w:cs="Times New Roman"/>
                      <w:bCs/>
                      <w:color w:val="auto"/>
                      <w:szCs w:val="21"/>
                      <w:highlight w:val="none"/>
                    </w:rPr>
                    <w:t>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val="restart"/>
                  <w:tcBorders>
                    <w:tl2br w:val="nil"/>
                    <w:tr2bl w:val="nil"/>
                  </w:tcBorders>
                  <w:vAlign w:val="center"/>
                </w:tcPr>
                <w:p>
                  <w:pPr>
                    <w:jc w:val="center"/>
                    <w:rPr>
                      <w:rFonts w:hint="eastAsia"/>
                      <w:bCs/>
                      <w:color w:val="auto"/>
                      <w:szCs w:val="21"/>
                      <w:highlight w:val="none"/>
                    </w:rPr>
                  </w:pPr>
                  <w:r>
                    <w:rPr>
                      <w:rFonts w:ascii="Times New Roman" w:eastAsia="宋体" w:hAnsi="Times New Roman" w:cs="Times New Roman" w:hint="eastAsia"/>
                      <w:bCs/>
                      <w:color w:val="auto"/>
                      <w:szCs w:val="21"/>
                      <w:highlight w:val="none"/>
                      <w:lang w:val="en-US" w:eastAsia="zh-CN"/>
                    </w:rPr>
                    <w:t>4</w:t>
                  </w:r>
                </w:p>
              </w:tc>
              <w:tc>
                <w:tcPr>
                  <w:tcW w:w="80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PM</w:t>
                  </w:r>
                  <w:r>
                    <w:rPr>
                      <w:rFonts w:ascii="Times New Roman" w:eastAsia="宋体" w:hAnsi="Times New Roman" w:cs="Times New Roman"/>
                      <w:bCs/>
                      <w:color w:val="auto"/>
                      <w:szCs w:val="21"/>
                      <w:highlight w:val="none"/>
                      <w:vertAlign w:val="subscript"/>
                    </w:rPr>
                    <w:t>10</w:t>
                  </w: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年平均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70μg/m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24小时平均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150μg/m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val="restart"/>
                  <w:tcBorders>
                    <w:tl2br w:val="nil"/>
                    <w:tr2bl w:val="nil"/>
                  </w:tcBorders>
                  <w:vAlign w:val="center"/>
                </w:tcPr>
                <w:p>
                  <w:pPr>
                    <w:jc w:val="center"/>
                    <w:rPr>
                      <w:rFonts w:hint="eastAsia"/>
                      <w:bCs/>
                      <w:color w:val="auto"/>
                      <w:szCs w:val="21"/>
                      <w:highlight w:val="none"/>
                    </w:rPr>
                  </w:pPr>
                  <w:r>
                    <w:rPr>
                      <w:rFonts w:ascii="Times New Roman" w:eastAsia="宋体" w:hAnsi="Times New Roman" w:cs="Times New Roman" w:hint="eastAsia"/>
                      <w:bCs/>
                      <w:color w:val="auto"/>
                      <w:szCs w:val="21"/>
                      <w:highlight w:val="none"/>
                      <w:lang w:val="en-US" w:eastAsia="zh-CN"/>
                    </w:rPr>
                    <w:t>5</w:t>
                  </w:r>
                </w:p>
              </w:tc>
              <w:tc>
                <w:tcPr>
                  <w:tcW w:w="80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PM</w:t>
                  </w:r>
                  <w:r>
                    <w:rPr>
                      <w:rFonts w:ascii="Times New Roman" w:eastAsia="宋体" w:hAnsi="Times New Roman" w:cs="Times New Roman"/>
                      <w:bCs/>
                      <w:color w:val="auto"/>
                      <w:szCs w:val="21"/>
                      <w:highlight w:val="none"/>
                      <w:vertAlign w:val="subscript"/>
                    </w:rPr>
                    <w:t>2.5</w:t>
                  </w: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年平均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35μg/m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日平均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75μg/m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val="restart"/>
                  <w:tcBorders>
                    <w:tl2br w:val="nil"/>
                    <w:tr2bl w:val="nil"/>
                  </w:tcBorders>
                  <w:vAlign w:val="center"/>
                </w:tcPr>
                <w:p>
                  <w:pPr>
                    <w:jc w:val="center"/>
                    <w:rPr>
                      <w:rFonts w:hint="eastAsia"/>
                      <w:bCs/>
                      <w:color w:val="auto"/>
                      <w:szCs w:val="21"/>
                      <w:highlight w:val="none"/>
                    </w:rPr>
                  </w:pPr>
                  <w:r>
                    <w:rPr>
                      <w:rFonts w:ascii="Times New Roman" w:eastAsia="宋体" w:hAnsi="Times New Roman" w:cs="Times New Roman" w:hint="eastAsia"/>
                      <w:bCs/>
                      <w:color w:val="auto"/>
                      <w:szCs w:val="21"/>
                      <w:highlight w:val="none"/>
                      <w:lang w:val="en-US" w:eastAsia="zh-CN"/>
                    </w:rPr>
                    <w:t>6</w:t>
                  </w:r>
                </w:p>
              </w:tc>
              <w:tc>
                <w:tcPr>
                  <w:tcW w:w="80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CO</w:t>
                  </w: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24小时平均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4mg/m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1小时平均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10mg/m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val="restart"/>
                  <w:tcBorders>
                    <w:tl2br w:val="nil"/>
                    <w:tr2bl w:val="nil"/>
                  </w:tcBorders>
                  <w:vAlign w:val="center"/>
                </w:tcPr>
                <w:p>
                  <w:pPr>
                    <w:jc w:val="center"/>
                    <w:rPr>
                      <w:rFonts w:hint="eastAsia"/>
                      <w:bCs/>
                      <w:color w:val="auto"/>
                      <w:szCs w:val="21"/>
                      <w:highlight w:val="none"/>
                    </w:rPr>
                  </w:pPr>
                  <w:r>
                    <w:rPr>
                      <w:rFonts w:ascii="Times New Roman" w:eastAsia="宋体" w:hAnsi="Times New Roman" w:cs="Times New Roman" w:hint="eastAsia"/>
                      <w:bCs/>
                      <w:color w:val="auto"/>
                      <w:szCs w:val="21"/>
                      <w:highlight w:val="none"/>
                      <w:lang w:val="en-US" w:eastAsia="zh-CN"/>
                    </w:rPr>
                    <w:t>7</w:t>
                  </w:r>
                </w:p>
              </w:tc>
              <w:tc>
                <w:tcPr>
                  <w:tcW w:w="809" w:type="pct"/>
                  <w:vMerge w:val="restar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O</w:t>
                  </w:r>
                  <w:r>
                    <w:rPr>
                      <w:rFonts w:ascii="Times New Roman" w:eastAsia="宋体" w:hAnsi="Times New Roman" w:cs="Times New Roman"/>
                      <w:bCs/>
                      <w:color w:val="auto"/>
                      <w:szCs w:val="21"/>
                      <w:highlight w:val="none"/>
                      <w:vertAlign w:val="subscript"/>
                    </w:rPr>
                    <w:t>3</w:t>
                  </w: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8小时平均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160μg/m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bCs/>
                      <w:color w:val="auto"/>
                      <w:szCs w:val="21"/>
                      <w:highlight w:val="none"/>
                    </w:rPr>
                  </w:pPr>
                </w:p>
              </w:tc>
              <w:tc>
                <w:tcPr>
                  <w:tcW w:w="872"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1小时平均</w:t>
                  </w:r>
                </w:p>
              </w:tc>
              <w:tc>
                <w:tcPr>
                  <w:tcW w:w="816" w:type="pct"/>
                  <w:tcBorders>
                    <w:tl2br w:val="nil"/>
                    <w:tr2bl w:val="nil"/>
                  </w:tcBorders>
                  <w:vAlign w:val="center"/>
                </w:tcPr>
                <w:p>
                  <w:pPr>
                    <w:jc w:val="center"/>
                    <w:rPr>
                      <w:bCs/>
                      <w:color w:val="auto"/>
                      <w:szCs w:val="21"/>
                      <w:highlight w:val="none"/>
                    </w:rPr>
                  </w:pPr>
                  <w:r>
                    <w:rPr>
                      <w:rFonts w:ascii="Times New Roman" w:eastAsia="宋体" w:hAnsi="Times New Roman" w:cs="Times New Roman"/>
                      <w:bCs/>
                      <w:color w:val="auto"/>
                      <w:szCs w:val="21"/>
                      <w:highlight w:val="none"/>
                    </w:rPr>
                    <w:t>200μg/m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val="restart"/>
                  <w:tcBorders>
                    <w:tl2br w:val="nil"/>
                    <w:tr2bl w:val="nil"/>
                  </w:tcBorders>
                  <w:vAlign w:val="center"/>
                </w:tcPr>
                <w:p>
                  <w:pPr>
                    <w:jc w:val="center"/>
                    <w:rPr>
                      <w:rFonts w:hint="eastAsia"/>
                      <w:bCs/>
                      <w:color w:val="auto"/>
                      <w:szCs w:val="21"/>
                      <w:highlight w:val="none"/>
                    </w:rPr>
                  </w:pPr>
                  <w:r>
                    <w:rPr>
                      <w:rFonts w:ascii="Times New Roman" w:eastAsia="宋体" w:hAnsi="Times New Roman" w:cs="Times New Roman" w:hint="eastAsia"/>
                      <w:bCs/>
                      <w:color w:val="auto"/>
                      <w:szCs w:val="21"/>
                      <w:highlight w:val="none"/>
                      <w:lang w:val="en-US" w:eastAsia="zh-CN"/>
                    </w:rPr>
                    <w:t>8</w:t>
                  </w:r>
                </w:p>
              </w:tc>
              <w:tc>
                <w:tcPr>
                  <w:tcW w:w="809" w:type="pct"/>
                  <w:vMerge w:val="restar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总悬浮颗粒物（TSP）</w:t>
                  </w:r>
                </w:p>
              </w:tc>
              <w:tc>
                <w:tcPr>
                  <w:tcW w:w="872"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年平均</w:t>
                  </w:r>
                </w:p>
              </w:tc>
              <w:tc>
                <w:tcPr>
                  <w:tcW w:w="816"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lang w:val="en-US" w:eastAsia="zh-CN"/>
                    </w:rPr>
                    <w:t>200</w:t>
                  </w:r>
                  <w:r>
                    <w:rPr>
                      <w:rFonts w:ascii="Times New Roman" w:eastAsia="宋体" w:hAnsi="Times New Roman" w:cs="Times New Roman" w:hint="default"/>
                      <w:bCs/>
                      <w:color w:val="auto"/>
                      <w:szCs w:val="21"/>
                      <w:highlight w:val="none"/>
                    </w:rPr>
                    <w:t>μg/</w:t>
                  </w:r>
                  <w:r>
                    <w:rPr>
                      <w:rFonts w:ascii="Times New Roman" w:eastAsia="宋体" w:hAnsi="Times New Roman" w:cs="Times New Roman"/>
                      <w:bCs/>
                      <w:color w:val="auto"/>
                      <w:szCs w:val="21"/>
                      <w:highlight w:val="none"/>
                    </w:rPr>
                    <w:t>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419" w:type="pct"/>
                  <w:vMerge/>
                  <w:tcBorders>
                    <w:tl2br w:val="nil"/>
                    <w:tr2bl w:val="nil"/>
                  </w:tcBorders>
                  <w:vAlign w:val="center"/>
                </w:tcPr>
                <w:p>
                  <w:pPr>
                    <w:jc w:val="center"/>
                    <w:rPr>
                      <w:bCs/>
                      <w:color w:val="auto"/>
                      <w:szCs w:val="21"/>
                      <w:highlight w:val="none"/>
                    </w:rPr>
                  </w:pPr>
                </w:p>
              </w:tc>
              <w:tc>
                <w:tcPr>
                  <w:tcW w:w="809" w:type="pct"/>
                  <w:vMerge/>
                  <w:tcBorders>
                    <w:tl2br w:val="nil"/>
                    <w:tr2bl w:val="nil"/>
                  </w:tcBorders>
                  <w:vAlign w:val="center"/>
                </w:tcPr>
                <w:p>
                  <w:pPr>
                    <w:jc w:val="center"/>
                    <w:rPr>
                      <w:rFonts w:hint="default"/>
                      <w:bCs/>
                      <w:color w:val="auto"/>
                      <w:szCs w:val="21"/>
                      <w:highlight w:val="none"/>
                    </w:rPr>
                  </w:pPr>
                </w:p>
              </w:tc>
              <w:tc>
                <w:tcPr>
                  <w:tcW w:w="872"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rPr>
                    <w:t>24小时平均</w:t>
                  </w:r>
                </w:p>
              </w:tc>
              <w:tc>
                <w:tcPr>
                  <w:tcW w:w="816" w:type="pct"/>
                  <w:tcBorders>
                    <w:tl2br w:val="nil"/>
                    <w:tr2bl w:val="nil"/>
                  </w:tcBorders>
                  <w:vAlign w:val="center"/>
                </w:tcPr>
                <w:p>
                  <w:pPr>
                    <w:jc w:val="center"/>
                    <w:rPr>
                      <w:rFonts w:hint="default"/>
                      <w:bCs/>
                      <w:color w:val="auto"/>
                      <w:szCs w:val="21"/>
                      <w:highlight w:val="none"/>
                    </w:rPr>
                  </w:pPr>
                  <w:r>
                    <w:rPr>
                      <w:rFonts w:ascii="Times New Roman" w:eastAsia="宋体" w:hAnsi="Times New Roman" w:cs="Times New Roman" w:hint="default"/>
                      <w:bCs/>
                      <w:color w:val="auto"/>
                      <w:szCs w:val="21"/>
                      <w:highlight w:val="none"/>
                      <w:lang w:val="en-US" w:eastAsia="zh-CN"/>
                    </w:rPr>
                    <w:t>300</w:t>
                  </w:r>
                  <w:r>
                    <w:rPr>
                      <w:rFonts w:ascii="Times New Roman" w:eastAsia="宋体" w:hAnsi="Times New Roman" w:cs="Times New Roman" w:hint="default"/>
                      <w:bCs/>
                      <w:color w:val="auto"/>
                      <w:szCs w:val="21"/>
                      <w:highlight w:val="none"/>
                    </w:rPr>
                    <w:t>μg/</w:t>
                  </w:r>
                  <w:r>
                    <w:rPr>
                      <w:rFonts w:ascii="Times New Roman" w:eastAsia="宋体" w:hAnsi="Times New Roman" w:cs="Times New Roman"/>
                      <w:bCs/>
                      <w:color w:val="auto"/>
                      <w:szCs w:val="21"/>
                      <w:highlight w:val="none"/>
                    </w:rPr>
                    <w:t>m</w:t>
                  </w:r>
                  <w:r>
                    <w:rPr>
                      <w:rFonts w:ascii="Times New Roman" w:eastAsia="宋体" w:hAnsi="Times New Roman" w:cs="Times New Roman"/>
                      <w:bCs/>
                      <w:color w:val="auto"/>
                      <w:szCs w:val="21"/>
                      <w:highlight w:val="none"/>
                      <w:vertAlign w:val="superscript"/>
                    </w:rPr>
                    <w:t>3</w:t>
                  </w:r>
                </w:p>
              </w:tc>
              <w:tc>
                <w:tcPr>
                  <w:tcW w:w="2081" w:type="pct"/>
                  <w:vMerge/>
                  <w:tcBorders>
                    <w:tl2br w:val="nil"/>
                    <w:tr2bl w:val="nil"/>
                  </w:tcBorders>
                  <w:vAlign w:val="center"/>
                </w:tcPr>
                <w:p>
                  <w:pPr>
                    <w:jc w:val="center"/>
                    <w:rPr>
                      <w:bCs/>
                      <w:color w:val="auto"/>
                      <w:szCs w:val="21"/>
                      <w:highlight w:val="none"/>
                    </w:rPr>
                  </w:pPr>
                </w:p>
              </w:tc>
            </w:tr>
          </w:tbl>
          <w:p>
            <w:pPr>
              <w:adjustRightInd w:val="0"/>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②地表水环境</w:t>
            </w:r>
          </w:p>
          <w:p>
            <w:pPr>
              <w:adjustRightInd w:val="0"/>
              <w:snapToGrid w:val="0"/>
              <w:spacing w:line="360" w:lineRule="auto"/>
              <w:ind w:firstLine="480" w:firstLineChars="200"/>
              <w:rPr>
                <w:color w:val="auto"/>
                <w:highlight w:val="none"/>
              </w:rPr>
            </w:pPr>
            <w:r>
              <w:rPr>
                <w:rFonts w:ascii="Times New Roman" w:eastAsia="宋体" w:hAnsi="Times New Roman" w:cs="Times New Roman" w:hint="eastAsia"/>
                <w:color w:val="auto"/>
                <w:sz w:val="24"/>
                <w:highlight w:val="none"/>
              </w:rPr>
              <w:t>根据《江苏省地表水（环境）功能区划（2021－2030年）》</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省政府批准，省</w:t>
            </w:r>
            <w:r>
              <w:rPr>
                <w:rFonts w:ascii="Times New Roman" w:eastAsia="宋体" w:hAnsi="Times New Roman" w:cs="Times New Roman" w:hint="eastAsia"/>
                <w:color w:val="auto"/>
                <w:sz w:val="24"/>
                <w:highlight w:val="none"/>
                <w:lang w:eastAsia="zh-CN"/>
              </w:rPr>
              <w:t>生态环境厅、省</w:t>
            </w:r>
            <w:r>
              <w:rPr>
                <w:rFonts w:ascii="Times New Roman" w:eastAsia="宋体" w:hAnsi="Times New Roman" w:cs="Times New Roman" w:hint="eastAsia"/>
                <w:color w:val="auto"/>
                <w:sz w:val="24"/>
                <w:highlight w:val="none"/>
              </w:rPr>
              <w:t>水利厅苏政复〔2022〕13号</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，本项目周边河流张弓干渠、九巨支渠执行《地表水环境质量标准》</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GB3838-2002</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中Ш类标准，其中pH、COD、NH</w:t>
            </w:r>
            <w:r>
              <w:rPr>
                <w:rFonts w:ascii="Times New Roman" w:eastAsia="宋体" w:hAnsi="Times New Roman" w:cs="Times New Roman" w:hint="eastAsia"/>
                <w:color w:val="auto"/>
                <w:sz w:val="24"/>
                <w:highlight w:val="none"/>
                <w:vertAlign w:val="subscript"/>
              </w:rPr>
              <w:t>3</w:t>
            </w:r>
            <w:r>
              <w:rPr>
                <w:rFonts w:ascii="Times New Roman" w:eastAsia="宋体" w:hAnsi="Times New Roman" w:cs="Times New Roman" w:hint="eastAsia"/>
                <w:color w:val="auto"/>
                <w:sz w:val="24"/>
                <w:highlight w:val="none"/>
              </w:rPr>
              <w:t>-N、TP、TN、石油类执行《地表水环境质量标准》</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GB3838-2002</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表1中相关标准，具体标准值见表3-2。</w:t>
            </w:r>
          </w:p>
          <w:p>
            <w:pPr>
              <w:adjustRightInd w:val="0"/>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③声环境</w:t>
            </w:r>
          </w:p>
        </w:tc>
      </w:tr>
    </w:tbl>
    <w:p>
      <w:pPr>
        <w:sectPr>
          <w:footerReference w:type="even" r:id="rId64"/>
          <w:footerReference w:type="default" r:id="rId65"/>
          <w:pgSz w:w="11907" w:h="16840"/>
          <w:pgMar w:top="1701" w:right="1531" w:bottom="2127" w:left="1531" w:header="851" w:footer="851" w:gutter="0"/>
          <w:pgBorders>
            <w:top w:val="none" w:sz="0" w:space="0" w:color="auto"/>
            <w:left w:val="none" w:sz="0" w:space="0" w:color="auto"/>
            <w:bottom w:val="none" w:sz="0" w:space="0" w:color="auto"/>
            <w:right w:val="none" w:sz="0" w:space="0" w:color="auto"/>
          </w:pgBorders>
          <w:pgNumType w:start="27"/>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00"/>
        <w:gridCol w:w="819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
          <w:jc w:val="center"/>
        </w:trPr>
        <w:tc>
          <w:tcPr>
            <w:tcW w:w="800" w:type="dxa"/>
            <w:vAlign w:val="center"/>
          </w:tcPr>
          <w:p/>
        </w:tc>
        <w:tc>
          <w:tcPr>
            <w:tcW w:w="8190" w:type="dxa"/>
            <w:vAlign w:val="center"/>
          </w:tcPr>
          <w:p>
            <w:pPr>
              <w:pStyle w:val="Heading5"/>
              <w:keepNext w:val="0"/>
              <w:keepLines w:val="0"/>
              <w:adjustRightInd w:val="0"/>
              <w:snapToGrid w:val="0"/>
              <w:spacing w:before="0" w:after="0" w:line="360" w:lineRule="auto"/>
              <w:ind w:firstLine="480" w:firstLineChars="200"/>
              <w:rPr>
                <w:rFonts w:ascii="Times New Roman" w:eastAsia="宋体" w:hAnsi="Times New Roman" w:cs="Times New Roman"/>
                <w:b w:val="0"/>
                <w:bCs w:val="0"/>
                <w:color w:val="auto"/>
                <w:sz w:val="24"/>
                <w:szCs w:val="24"/>
                <w:highlight w:val="none"/>
              </w:rPr>
            </w:pPr>
            <w:r>
              <w:rPr>
                <w:rFonts w:ascii="Times New Roman" w:eastAsia="宋体" w:hAnsi="Times New Roman" w:cs="Times New Roman"/>
                <w:b w:val="0"/>
                <w:bCs w:val="0"/>
                <w:color w:val="auto"/>
                <w:sz w:val="24"/>
                <w:szCs w:val="24"/>
                <w:highlight w:val="none"/>
              </w:rPr>
              <w:t>本项目建设地点位于</w:t>
            </w:r>
            <w:r>
              <w:rPr>
                <w:rFonts w:ascii="Times New Roman" w:eastAsia="宋体" w:hAnsi="Times New Roman" w:cs="Times New Roman" w:hint="eastAsia"/>
                <w:b w:val="0"/>
                <w:bCs w:val="0"/>
                <w:color w:val="auto"/>
                <w:sz w:val="24"/>
                <w:szCs w:val="24"/>
                <w:highlight w:val="none"/>
              </w:rPr>
              <w:t>盐城市滨海县八巨镇工业园内（滨海天扬生态农业有限公司内）</w:t>
            </w:r>
            <w:r>
              <w:rPr>
                <w:rFonts w:ascii="Times New Roman" w:eastAsia="宋体" w:hAnsi="Times New Roman" w:cs="Times New Roman"/>
                <w:b w:val="0"/>
                <w:bCs w:val="0"/>
                <w:color w:val="auto"/>
                <w:sz w:val="24"/>
                <w:szCs w:val="24"/>
                <w:highlight w:val="none"/>
              </w:rPr>
              <w:t>，区</w:t>
            </w:r>
            <w:r>
              <w:rPr>
                <w:rFonts w:ascii="Times New Roman" w:eastAsia="宋体" w:hAnsi="Times New Roman" w:cs="Times New Roman" w:hint="eastAsia"/>
                <w:b w:val="0"/>
                <w:bCs w:val="0"/>
                <w:color w:val="auto"/>
                <w:sz w:val="24"/>
                <w:szCs w:val="24"/>
                <w:highlight w:val="none"/>
              </w:rPr>
              <w:t>域声环境功能区划为2类，应执行《声环境质量标准》</w:t>
            </w:r>
            <w:r>
              <w:rPr>
                <w:rFonts w:ascii="Times New Roman" w:eastAsia="宋体" w:hAnsi="Times New Roman" w:cs="Times New Roman" w:hint="eastAsia"/>
                <w:b w:val="0"/>
                <w:bCs w:val="0"/>
                <w:color w:val="auto"/>
                <w:sz w:val="24"/>
                <w:szCs w:val="24"/>
                <w:highlight w:val="none"/>
                <w:lang w:eastAsia="zh-CN"/>
              </w:rPr>
              <w:t>（</w:t>
            </w:r>
            <w:r>
              <w:rPr>
                <w:rFonts w:ascii="Times New Roman" w:eastAsia="宋体" w:hAnsi="Times New Roman" w:cs="Times New Roman"/>
                <w:b w:val="0"/>
                <w:bCs w:val="0"/>
                <w:color w:val="auto"/>
                <w:sz w:val="24"/>
                <w:szCs w:val="24"/>
                <w:highlight w:val="none"/>
              </w:rPr>
              <w:t>GB3096-2008</w:t>
            </w:r>
            <w:r>
              <w:rPr>
                <w:rFonts w:ascii="Times New Roman" w:eastAsia="宋体" w:hAnsi="Times New Roman" w:cs="Times New Roman" w:hint="eastAsia"/>
                <w:b w:val="0"/>
                <w:bCs w:val="0"/>
                <w:color w:val="auto"/>
                <w:sz w:val="24"/>
                <w:szCs w:val="24"/>
                <w:highlight w:val="none"/>
                <w:lang w:eastAsia="zh-CN"/>
              </w:rPr>
              <w:t>）</w:t>
            </w:r>
            <w:r>
              <w:rPr>
                <w:rFonts w:ascii="Times New Roman" w:eastAsia="宋体" w:hAnsi="Times New Roman" w:cs="Times New Roman" w:hint="eastAsia"/>
                <w:b w:val="0"/>
                <w:bCs w:val="0"/>
                <w:color w:val="auto"/>
                <w:sz w:val="24"/>
                <w:szCs w:val="24"/>
                <w:highlight w:val="none"/>
              </w:rPr>
              <w:t>中2类标准，具体标准值见表3-3。</w:t>
            </w:r>
          </w:p>
          <w:p>
            <w:pPr>
              <w:autoSpaceDE w:val="0"/>
              <w:autoSpaceDN w:val="0"/>
              <w:adjustRightInd w:val="0"/>
              <w:ind w:left="119" w:right="23"/>
              <w:jc w:val="center"/>
              <w:rPr>
                <w:color w:val="auto"/>
                <w:sz w:val="24"/>
                <w:highlight w:val="none"/>
              </w:rPr>
            </w:pPr>
            <w:r>
              <w:rPr>
                <w:rFonts w:ascii="Times New Roman" w:eastAsia="宋体" w:hAnsi="Times New Roman" w:cs="Times New Roman"/>
                <w:b/>
                <w:color w:val="auto"/>
                <w:kern w:val="0"/>
                <w:sz w:val="24"/>
                <w:highlight w:val="none"/>
              </w:rPr>
              <w:t>表</w:t>
            </w:r>
            <w:r>
              <w:rPr>
                <w:rFonts w:ascii="Times New Roman" w:eastAsia="宋体" w:hAnsi="Times New Roman" w:cs="Times New Roman" w:hint="eastAsia"/>
                <w:b/>
                <w:color w:val="auto"/>
                <w:kern w:val="0"/>
                <w:sz w:val="24"/>
                <w:highlight w:val="none"/>
              </w:rPr>
              <w:t>3</w:t>
            </w:r>
            <w:r>
              <w:rPr>
                <w:rFonts w:ascii="Times New Roman" w:eastAsia="宋体" w:hAnsi="Times New Roman" w:cs="Times New Roman"/>
                <w:b/>
                <w:color w:val="auto"/>
                <w:sz w:val="24"/>
                <w:highlight w:val="none"/>
              </w:rPr>
              <w:t>-</w:t>
            </w:r>
            <w:r>
              <w:rPr>
                <w:rFonts w:ascii="Times New Roman" w:eastAsia="宋体" w:hAnsi="Times New Roman" w:cs="Times New Roman"/>
                <w:b/>
                <w:color w:val="auto"/>
                <w:kern w:val="0"/>
                <w:sz w:val="24"/>
                <w:highlight w:val="none"/>
              </w:rPr>
              <w:t>2 地表水</w:t>
            </w:r>
            <w:r>
              <w:rPr>
                <w:rFonts w:ascii="Times New Roman" w:eastAsia="宋体" w:hAnsi="Times New Roman" w:cs="Times New Roman" w:hint="eastAsia"/>
                <w:b/>
                <w:color w:val="auto"/>
                <w:kern w:val="0"/>
                <w:sz w:val="24"/>
                <w:highlight w:val="none"/>
              </w:rPr>
              <w:t>环境质量标准一览表</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866"/>
              <w:gridCol w:w="1553"/>
              <w:gridCol w:w="4062"/>
              <w:gridCol w:w="1493"/>
            </w:tblGrid>
            <w:tr>
              <w:tblPrEx>
                <w:tblW w:w="5000" w:type="pct"/>
                <w:jc w:val="center"/>
                <w:tblBorders>
                  <w:top w:val="single" w:sz="4" w:space="0" w:color="auto"/>
                  <w:left w:val="none" w:sz="0" w:space="0" w:color="auto"/>
                  <w:bottom w:val="single" w:sz="4" w:space="0" w:color="auto"/>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序号</w:t>
                  </w:r>
                </w:p>
              </w:tc>
              <w:tc>
                <w:tcPr>
                  <w:tcW w:w="974"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污染物名称</w:t>
                  </w:r>
                </w:p>
              </w:tc>
              <w:tc>
                <w:tcPr>
                  <w:tcW w:w="2546"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Ш类标准</w:t>
                  </w:r>
                </w:p>
              </w:tc>
              <w:tc>
                <w:tcPr>
                  <w:tcW w:w="936" w:type="pct"/>
                  <w:tcBorders>
                    <w:tl2br w:val="nil"/>
                    <w:tr2bl w:val="nil"/>
                  </w:tcBorders>
                  <w:vAlign w:val="center"/>
                </w:tcPr>
                <w:p>
                  <w:pPr>
                    <w:jc w:val="center"/>
                    <w:rPr>
                      <w:b/>
                      <w:color w:val="auto"/>
                      <w:szCs w:val="21"/>
                      <w:highlight w:val="none"/>
                    </w:rPr>
                  </w:pPr>
                  <w:r>
                    <w:rPr>
                      <w:rFonts w:ascii="Times New Roman" w:eastAsia="宋体" w:hAnsi="Times New Roman" w:cs="Times New Roman"/>
                      <w:b/>
                      <w:color w:val="auto"/>
                      <w:szCs w:val="21"/>
                      <w:highlight w:val="none"/>
                    </w:rPr>
                    <w:t>依据</w:t>
                  </w:r>
                </w:p>
              </w:tc>
            </w:tr>
            <w:tr>
              <w:tblPrEx>
                <w:tblW w:w="5000" w:type="pct"/>
                <w:jc w:val="center"/>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1</w:t>
                  </w:r>
                </w:p>
              </w:tc>
              <w:tc>
                <w:tcPr>
                  <w:tcW w:w="974" w:type="pct"/>
                  <w:tcBorders>
                    <w:tl2br w:val="nil"/>
                    <w:tr2bl w:val="nil"/>
                  </w:tcBorders>
                  <w:vAlign w:val="center"/>
                </w:tcPr>
                <w:p>
                  <w:pPr>
                    <w:adjustRightInd w:val="0"/>
                    <w:snapToGrid w:val="0"/>
                    <w:jc w:val="center"/>
                    <w:rPr>
                      <w:rFonts w:hint="eastAsia"/>
                      <w:color w:val="auto"/>
                      <w:kern w:val="0"/>
                      <w:szCs w:val="21"/>
                      <w:highlight w:val="none"/>
                    </w:rPr>
                  </w:pPr>
                  <w:r>
                    <w:rPr>
                      <w:rFonts w:ascii="Times New Roman" w:eastAsia="宋体" w:hAnsi="Times New Roman" w:cs="Times New Roman"/>
                      <w:color w:val="auto"/>
                      <w:kern w:val="0"/>
                      <w:szCs w:val="21"/>
                      <w:highlight w:val="none"/>
                    </w:rPr>
                    <w:t>水温</w:t>
                  </w:r>
                  <w:r>
                    <w:rPr>
                      <w:rFonts w:ascii="Times New Roman" w:eastAsia="宋体" w:hAnsi="Times New Roman" w:cs="Times New Roman" w:hint="eastAsia"/>
                      <w:color w:val="auto"/>
                      <w:kern w:val="0"/>
                      <w:szCs w:val="21"/>
                      <w:highlight w:val="none"/>
                      <w:lang w:eastAsia="zh-CN"/>
                    </w:rPr>
                    <w:t>（</w:t>
                  </w:r>
                  <w:r>
                    <w:rPr>
                      <w:rFonts w:ascii="Times New Roman" w:eastAsia="宋体" w:hAnsi="Times New Roman" w:cs="Times New Roman"/>
                      <w:color w:val="auto"/>
                      <w:kern w:val="0"/>
                      <w:szCs w:val="21"/>
                      <w:highlight w:val="none"/>
                    </w:rPr>
                    <w:t>℃</w:t>
                  </w:r>
                  <w:r>
                    <w:rPr>
                      <w:rFonts w:ascii="Times New Roman" w:eastAsia="宋体" w:hAnsi="Times New Roman" w:cs="Times New Roman" w:hint="eastAsia"/>
                      <w:color w:val="auto"/>
                      <w:kern w:val="0"/>
                      <w:szCs w:val="21"/>
                      <w:highlight w:val="none"/>
                      <w:lang w:eastAsia="zh-CN"/>
                    </w:rPr>
                    <w:t>）</w:t>
                  </w:r>
                </w:p>
              </w:tc>
              <w:tc>
                <w:tcPr>
                  <w:tcW w:w="2546"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周平均最大温升≤1；周平均最大温降≤2</w:t>
                  </w:r>
                </w:p>
              </w:tc>
              <w:tc>
                <w:tcPr>
                  <w:tcW w:w="936" w:type="pct"/>
                  <w:vMerge w:val="restart"/>
                  <w:tcBorders>
                    <w:tl2br w:val="nil"/>
                    <w:tr2bl w:val="nil"/>
                  </w:tcBorders>
                  <w:vAlign w:val="center"/>
                </w:tcPr>
                <w:p>
                  <w:pPr>
                    <w:adjustRightInd w:val="0"/>
                    <w:snapToGrid w:val="0"/>
                    <w:jc w:val="center"/>
                    <w:rPr>
                      <w:rFonts w:hint="eastAsia"/>
                      <w:color w:val="auto"/>
                      <w:kern w:val="0"/>
                      <w:szCs w:val="21"/>
                      <w:highlight w:val="none"/>
                    </w:rPr>
                  </w:pPr>
                  <w:r>
                    <w:rPr>
                      <w:rFonts w:ascii="Times New Roman" w:eastAsia="宋体" w:hAnsi="Times New Roman" w:cs="Times New Roman"/>
                      <w:color w:val="auto"/>
                      <w:kern w:val="0"/>
                      <w:szCs w:val="21"/>
                      <w:highlight w:val="none"/>
                    </w:rPr>
                    <w:t>《地表水环境质量标准》</w:t>
                  </w:r>
                  <w:r>
                    <w:rPr>
                      <w:rFonts w:ascii="Times New Roman" w:eastAsia="宋体" w:hAnsi="Times New Roman" w:cs="Times New Roman" w:hint="eastAsia"/>
                      <w:color w:val="auto"/>
                      <w:kern w:val="0"/>
                      <w:szCs w:val="21"/>
                      <w:highlight w:val="none"/>
                      <w:lang w:eastAsia="zh-CN"/>
                    </w:rPr>
                    <w:t>（</w:t>
                  </w:r>
                  <w:r>
                    <w:rPr>
                      <w:rFonts w:ascii="Times New Roman" w:eastAsia="宋体" w:hAnsi="Times New Roman" w:cs="Times New Roman"/>
                      <w:color w:val="auto"/>
                      <w:kern w:val="0"/>
                      <w:szCs w:val="21"/>
                      <w:highlight w:val="none"/>
                    </w:rPr>
                    <w:t>GB3838-2002</w:t>
                  </w:r>
                  <w:r>
                    <w:rPr>
                      <w:rFonts w:ascii="Times New Roman" w:eastAsia="宋体" w:hAnsi="Times New Roman" w:cs="Times New Roman" w:hint="eastAsia"/>
                      <w:color w:val="auto"/>
                      <w:kern w:val="0"/>
                      <w:szCs w:val="21"/>
                      <w:highlight w:val="none"/>
                      <w:lang w:eastAsia="zh-CN"/>
                    </w:rPr>
                    <w:t>）</w:t>
                  </w:r>
                </w:p>
              </w:tc>
            </w:tr>
            <w:tr>
              <w:tblPrEx>
                <w:tblW w:w="5000" w:type="pct"/>
                <w:jc w:val="center"/>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2</w:t>
                  </w:r>
                </w:p>
              </w:tc>
              <w:tc>
                <w:tcPr>
                  <w:tcW w:w="974"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pH</w:t>
                  </w:r>
                </w:p>
              </w:tc>
              <w:tc>
                <w:tcPr>
                  <w:tcW w:w="2546"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6</w:t>
                  </w:r>
                  <w:r>
                    <w:rPr>
                      <w:rFonts w:ascii="Times New Roman" w:eastAsia="宋体" w:hAnsi="Times New Roman" w:cs="Times New Roman" w:hint="eastAsia"/>
                      <w:color w:val="auto"/>
                      <w:kern w:val="0"/>
                      <w:szCs w:val="21"/>
                      <w:highlight w:val="none"/>
                    </w:rPr>
                    <w:t>~</w:t>
                  </w:r>
                  <w:r>
                    <w:rPr>
                      <w:rFonts w:ascii="Times New Roman" w:eastAsia="宋体" w:hAnsi="Times New Roman" w:cs="Times New Roman"/>
                      <w:color w:val="auto"/>
                      <w:kern w:val="0"/>
                      <w:szCs w:val="21"/>
                      <w:highlight w:val="none"/>
                    </w:rPr>
                    <w:t>9</w:t>
                  </w:r>
                </w:p>
              </w:tc>
              <w:tc>
                <w:tcPr>
                  <w:tcW w:w="936" w:type="pct"/>
                  <w:vMerge/>
                  <w:tcBorders>
                    <w:tl2br w:val="nil"/>
                    <w:tr2bl w:val="nil"/>
                  </w:tcBorders>
                  <w:vAlign w:val="center"/>
                </w:tcPr>
                <w:p>
                  <w:pPr>
                    <w:adjustRightInd w:val="0"/>
                    <w:snapToGrid w:val="0"/>
                    <w:jc w:val="center"/>
                    <w:rPr>
                      <w:color w:val="auto"/>
                      <w:kern w:val="0"/>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3</w:t>
                  </w:r>
                </w:p>
              </w:tc>
              <w:tc>
                <w:tcPr>
                  <w:tcW w:w="974"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溶解氧</w:t>
                  </w:r>
                </w:p>
              </w:tc>
              <w:tc>
                <w:tcPr>
                  <w:tcW w:w="2546"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w:t>
                  </w:r>
                  <w:r>
                    <w:rPr>
                      <w:rFonts w:ascii="Times New Roman" w:eastAsia="宋体" w:hAnsi="Times New Roman" w:cs="Times New Roman" w:hint="eastAsia"/>
                      <w:color w:val="auto"/>
                      <w:kern w:val="0"/>
                      <w:szCs w:val="21"/>
                      <w:highlight w:val="none"/>
                    </w:rPr>
                    <w:t>5</w:t>
                  </w:r>
                </w:p>
              </w:tc>
              <w:tc>
                <w:tcPr>
                  <w:tcW w:w="936" w:type="pct"/>
                  <w:vMerge/>
                  <w:tcBorders>
                    <w:tl2br w:val="nil"/>
                    <w:tr2bl w:val="nil"/>
                  </w:tcBorders>
                  <w:vAlign w:val="center"/>
                </w:tcPr>
                <w:p>
                  <w:pPr>
                    <w:adjustRightInd w:val="0"/>
                    <w:snapToGrid w:val="0"/>
                    <w:jc w:val="center"/>
                    <w:rPr>
                      <w:color w:val="auto"/>
                      <w:kern w:val="0"/>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4</w:t>
                  </w:r>
                </w:p>
              </w:tc>
              <w:tc>
                <w:tcPr>
                  <w:tcW w:w="974"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COD</w:t>
                  </w:r>
                </w:p>
              </w:tc>
              <w:tc>
                <w:tcPr>
                  <w:tcW w:w="2546"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w:t>
                  </w:r>
                  <w:r>
                    <w:rPr>
                      <w:rFonts w:ascii="Times New Roman" w:eastAsia="宋体" w:hAnsi="Times New Roman" w:cs="Times New Roman" w:hint="eastAsia"/>
                      <w:color w:val="auto"/>
                      <w:kern w:val="0"/>
                      <w:szCs w:val="21"/>
                      <w:highlight w:val="none"/>
                    </w:rPr>
                    <w:t>20</w:t>
                  </w:r>
                </w:p>
              </w:tc>
              <w:tc>
                <w:tcPr>
                  <w:tcW w:w="936" w:type="pct"/>
                  <w:vMerge/>
                  <w:tcBorders>
                    <w:tl2br w:val="nil"/>
                    <w:tr2bl w:val="nil"/>
                  </w:tcBorders>
                  <w:vAlign w:val="center"/>
                </w:tcPr>
                <w:p>
                  <w:pPr>
                    <w:adjustRightInd w:val="0"/>
                    <w:snapToGrid w:val="0"/>
                    <w:jc w:val="center"/>
                    <w:rPr>
                      <w:color w:val="auto"/>
                      <w:kern w:val="0"/>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5</w:t>
                  </w:r>
                </w:p>
              </w:tc>
              <w:tc>
                <w:tcPr>
                  <w:tcW w:w="974"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BOD</w:t>
                  </w:r>
                  <w:r>
                    <w:rPr>
                      <w:rFonts w:ascii="Times New Roman" w:eastAsia="宋体" w:hAnsi="Times New Roman" w:cs="Times New Roman"/>
                      <w:color w:val="auto"/>
                      <w:kern w:val="0"/>
                      <w:szCs w:val="21"/>
                      <w:highlight w:val="none"/>
                      <w:vertAlign w:val="subscript"/>
                    </w:rPr>
                    <w:t>5</w:t>
                  </w:r>
                </w:p>
              </w:tc>
              <w:tc>
                <w:tcPr>
                  <w:tcW w:w="2546"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w:t>
                  </w:r>
                  <w:r>
                    <w:rPr>
                      <w:rFonts w:ascii="Times New Roman" w:eastAsia="宋体" w:hAnsi="Times New Roman" w:cs="Times New Roman" w:hint="eastAsia"/>
                      <w:color w:val="auto"/>
                      <w:kern w:val="0"/>
                      <w:szCs w:val="21"/>
                      <w:highlight w:val="none"/>
                    </w:rPr>
                    <w:t>34</w:t>
                  </w:r>
                </w:p>
              </w:tc>
              <w:tc>
                <w:tcPr>
                  <w:tcW w:w="936" w:type="pct"/>
                  <w:vMerge/>
                  <w:tcBorders>
                    <w:tl2br w:val="nil"/>
                    <w:tr2bl w:val="nil"/>
                  </w:tcBorders>
                  <w:vAlign w:val="center"/>
                </w:tcPr>
                <w:p>
                  <w:pPr>
                    <w:adjustRightInd w:val="0"/>
                    <w:snapToGrid w:val="0"/>
                    <w:jc w:val="center"/>
                    <w:rPr>
                      <w:color w:val="auto"/>
                      <w:kern w:val="0"/>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6</w:t>
                  </w:r>
                </w:p>
              </w:tc>
              <w:tc>
                <w:tcPr>
                  <w:tcW w:w="974"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NH</w:t>
                  </w:r>
                  <w:r>
                    <w:rPr>
                      <w:rFonts w:ascii="Times New Roman" w:eastAsia="宋体" w:hAnsi="Times New Roman" w:cs="Times New Roman"/>
                      <w:color w:val="auto"/>
                      <w:kern w:val="0"/>
                      <w:szCs w:val="21"/>
                      <w:highlight w:val="none"/>
                      <w:vertAlign w:val="subscript"/>
                    </w:rPr>
                    <w:t>3</w:t>
                  </w:r>
                  <w:r>
                    <w:rPr>
                      <w:rFonts w:ascii="Times New Roman" w:eastAsia="宋体" w:hAnsi="Times New Roman" w:cs="Times New Roman"/>
                      <w:color w:val="auto"/>
                      <w:kern w:val="0"/>
                      <w:szCs w:val="21"/>
                      <w:highlight w:val="none"/>
                    </w:rPr>
                    <w:t>-N</w:t>
                  </w:r>
                </w:p>
              </w:tc>
              <w:tc>
                <w:tcPr>
                  <w:tcW w:w="2546"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≤1.</w:t>
                  </w:r>
                  <w:r>
                    <w:rPr>
                      <w:rFonts w:ascii="Times New Roman" w:eastAsia="宋体" w:hAnsi="Times New Roman" w:cs="Times New Roman" w:hint="eastAsia"/>
                      <w:color w:val="auto"/>
                      <w:kern w:val="0"/>
                      <w:szCs w:val="21"/>
                      <w:highlight w:val="none"/>
                    </w:rPr>
                    <w:t>0</w:t>
                  </w:r>
                </w:p>
              </w:tc>
              <w:tc>
                <w:tcPr>
                  <w:tcW w:w="936" w:type="pct"/>
                  <w:vMerge/>
                  <w:tcBorders>
                    <w:tl2br w:val="nil"/>
                    <w:tr2bl w:val="nil"/>
                  </w:tcBorders>
                  <w:vAlign w:val="center"/>
                </w:tcPr>
                <w:p>
                  <w:pPr>
                    <w:adjustRightInd w:val="0"/>
                    <w:snapToGrid w:val="0"/>
                    <w:jc w:val="center"/>
                    <w:rPr>
                      <w:color w:val="auto"/>
                      <w:kern w:val="0"/>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7</w:t>
                  </w:r>
                </w:p>
              </w:tc>
              <w:tc>
                <w:tcPr>
                  <w:tcW w:w="974"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TP</w:t>
                  </w:r>
                </w:p>
              </w:tc>
              <w:tc>
                <w:tcPr>
                  <w:tcW w:w="2546"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≤0.</w:t>
                  </w:r>
                  <w:r>
                    <w:rPr>
                      <w:rFonts w:ascii="Times New Roman" w:eastAsia="宋体" w:hAnsi="Times New Roman" w:cs="Times New Roman" w:hint="eastAsia"/>
                      <w:color w:val="auto"/>
                      <w:kern w:val="0"/>
                      <w:szCs w:val="21"/>
                      <w:highlight w:val="none"/>
                    </w:rPr>
                    <w:t>2</w:t>
                  </w:r>
                </w:p>
              </w:tc>
              <w:tc>
                <w:tcPr>
                  <w:tcW w:w="936" w:type="pct"/>
                  <w:vMerge/>
                  <w:tcBorders>
                    <w:tl2br w:val="nil"/>
                    <w:tr2bl w:val="nil"/>
                  </w:tcBorders>
                  <w:vAlign w:val="center"/>
                </w:tcPr>
                <w:p>
                  <w:pPr>
                    <w:adjustRightInd w:val="0"/>
                    <w:snapToGrid w:val="0"/>
                    <w:jc w:val="center"/>
                    <w:rPr>
                      <w:color w:val="auto"/>
                      <w:kern w:val="0"/>
                      <w:szCs w:val="21"/>
                      <w:highlight w:val="none"/>
                    </w:rPr>
                  </w:pPr>
                </w:p>
              </w:tc>
            </w:tr>
            <w:tr>
              <w:tblPrEx>
                <w:tblW w:w="5000" w:type="pct"/>
                <w:jc w:val="center"/>
                <w:tblLayout w:type="fixed"/>
                <w:tblCellMar>
                  <w:top w:w="0" w:type="dxa"/>
                  <w:left w:w="108" w:type="dxa"/>
                  <w:bottom w:w="0" w:type="dxa"/>
                  <w:right w:w="108" w:type="dxa"/>
                </w:tblCellMar>
              </w:tblPrEx>
              <w:trPr>
                <w:trHeight w:val="283"/>
                <w:jc w:val="center"/>
              </w:trPr>
              <w:tc>
                <w:tcPr>
                  <w:tcW w:w="543"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8</w:t>
                  </w:r>
                </w:p>
              </w:tc>
              <w:tc>
                <w:tcPr>
                  <w:tcW w:w="974"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TN</w:t>
                  </w:r>
                </w:p>
              </w:tc>
              <w:tc>
                <w:tcPr>
                  <w:tcW w:w="2546" w:type="pct"/>
                  <w:tcBorders>
                    <w:tl2br w:val="nil"/>
                    <w:tr2bl w:val="nil"/>
                  </w:tcBorders>
                  <w:vAlign w:val="center"/>
                </w:tcPr>
                <w:p>
                  <w:pPr>
                    <w:adjustRightInd w:val="0"/>
                    <w:snapToGrid w:val="0"/>
                    <w:jc w:val="center"/>
                    <w:rPr>
                      <w:color w:val="auto"/>
                      <w:kern w:val="0"/>
                      <w:szCs w:val="21"/>
                      <w:highlight w:val="none"/>
                    </w:rPr>
                  </w:pPr>
                  <w:r>
                    <w:rPr>
                      <w:rFonts w:ascii="Times New Roman" w:eastAsia="宋体" w:hAnsi="Times New Roman" w:cs="Times New Roman"/>
                      <w:color w:val="auto"/>
                      <w:kern w:val="0"/>
                      <w:szCs w:val="21"/>
                      <w:highlight w:val="none"/>
                    </w:rPr>
                    <w:t>≤1.</w:t>
                  </w:r>
                  <w:r>
                    <w:rPr>
                      <w:rFonts w:ascii="Times New Roman" w:eastAsia="宋体" w:hAnsi="Times New Roman" w:cs="Times New Roman" w:hint="eastAsia"/>
                      <w:color w:val="auto"/>
                      <w:kern w:val="0"/>
                      <w:szCs w:val="21"/>
                      <w:highlight w:val="none"/>
                    </w:rPr>
                    <w:t>0</w:t>
                  </w:r>
                </w:p>
              </w:tc>
              <w:tc>
                <w:tcPr>
                  <w:tcW w:w="936" w:type="pct"/>
                  <w:vMerge/>
                  <w:tcBorders>
                    <w:tl2br w:val="nil"/>
                    <w:tr2bl w:val="nil"/>
                  </w:tcBorders>
                  <w:vAlign w:val="center"/>
                </w:tcPr>
                <w:p>
                  <w:pPr>
                    <w:adjustRightInd w:val="0"/>
                    <w:snapToGrid w:val="0"/>
                    <w:jc w:val="center"/>
                    <w:rPr>
                      <w:color w:val="auto"/>
                      <w:kern w:val="0"/>
                      <w:szCs w:val="21"/>
                      <w:highlight w:val="none"/>
                    </w:rPr>
                  </w:pPr>
                </w:p>
              </w:tc>
            </w:tr>
          </w:tbl>
          <w:p>
            <w:pPr>
              <w:adjustRightInd w:val="0"/>
              <w:snapToGrid w:val="0"/>
              <w:jc w:val="center"/>
              <w:rPr>
                <w:rFonts w:hint="eastAsia"/>
                <w:b/>
                <w:bCs/>
                <w:color w:val="auto"/>
                <w:sz w:val="24"/>
                <w:highlight w:val="none"/>
              </w:rPr>
            </w:pPr>
            <w:r>
              <w:rPr>
                <w:rFonts w:ascii="Times New Roman" w:eastAsia="宋体" w:hAnsi="Times New Roman" w:cs="Times New Roman"/>
                <w:b/>
                <w:bCs/>
                <w:color w:val="auto"/>
                <w:sz w:val="24"/>
                <w:highlight w:val="none"/>
              </w:rPr>
              <w:t>表</w:t>
            </w:r>
            <w:r>
              <w:rPr>
                <w:rFonts w:ascii="Times New Roman" w:eastAsia="宋体" w:hAnsi="Times New Roman" w:cs="Times New Roman" w:hint="eastAsia"/>
                <w:b/>
                <w:bCs/>
                <w:color w:val="auto"/>
                <w:sz w:val="24"/>
                <w:highlight w:val="none"/>
              </w:rPr>
              <w:t>3</w:t>
            </w:r>
            <w:r>
              <w:rPr>
                <w:rFonts w:ascii="Times New Roman" w:eastAsia="宋体" w:hAnsi="Times New Roman" w:cs="Times New Roman"/>
                <w:b/>
                <w:bCs/>
                <w:color w:val="auto"/>
                <w:sz w:val="24"/>
                <w:highlight w:val="none"/>
              </w:rPr>
              <w:t xml:space="preserve">-3 </w:t>
            </w:r>
            <w:r>
              <w:rPr>
                <w:rFonts w:ascii="Times New Roman" w:eastAsia="宋体" w:hAnsi="Times New Roman" w:cs="Times New Roman" w:hint="eastAsia"/>
                <w:b/>
                <w:bCs/>
                <w:color w:val="auto"/>
                <w:sz w:val="24"/>
                <w:highlight w:val="none"/>
              </w:rPr>
              <w:t>声环境质量标准一览表</w:t>
            </w:r>
            <w:r>
              <w:rPr>
                <w:rFonts w:ascii="Times New Roman" w:eastAsia="宋体" w:hAnsi="Times New Roman" w:cs="Times New Roman"/>
                <w:b/>
                <w:bCs/>
                <w:color w:val="auto"/>
                <w:sz w:val="24"/>
                <w:highlight w:val="none"/>
              </w:rPr>
              <w:t>单位：dB</w:t>
            </w:r>
            <w:r>
              <w:rPr>
                <w:rFonts w:ascii="Times New Roman" w:eastAsia="宋体" w:hAnsi="Times New Roman" w:cs="Times New Roman" w:hint="eastAsia"/>
                <w:b/>
                <w:bCs/>
                <w:color w:val="auto"/>
                <w:sz w:val="24"/>
                <w:highlight w:val="none"/>
                <w:lang w:eastAsia="zh-CN"/>
              </w:rPr>
              <w:t>（</w:t>
            </w:r>
            <w:r>
              <w:rPr>
                <w:rFonts w:ascii="Times New Roman" w:eastAsia="宋体" w:hAnsi="Times New Roman" w:cs="Times New Roman"/>
                <w:b/>
                <w:bCs/>
                <w:color w:val="auto"/>
                <w:sz w:val="24"/>
                <w:highlight w:val="none"/>
              </w:rPr>
              <w:t>A</w:t>
            </w:r>
            <w:r>
              <w:rPr>
                <w:rFonts w:ascii="Times New Roman" w:eastAsia="宋体" w:hAnsi="Times New Roman" w:cs="Times New Roman" w:hint="eastAsia"/>
                <w:b/>
                <w:bCs/>
                <w:color w:val="auto"/>
                <w:sz w:val="24"/>
                <w:highlight w:val="none"/>
                <w:lang w:eastAsia="zh-CN"/>
              </w:rPr>
              <w:t>）</w:t>
            </w:r>
          </w:p>
          <w:tbl>
            <w:tblPr>
              <w:tblStyle w:val="TableNormal"/>
              <w:tblW w:w="5000" w:type="pct"/>
              <w:jc w:val="center"/>
              <w:tblBorders>
                <w:top w:val="single" w:sz="4" w:space="0" w:color="auto"/>
                <w:left w:val="none" w:sz="0" w:space="0" w:color="auto"/>
                <w:bottom w:val="single" w:sz="4" w:space="0" w:color="auto"/>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4733"/>
              <w:gridCol w:w="1558"/>
              <w:gridCol w:w="1683"/>
            </w:tblGrid>
            <w:tr>
              <w:tblPrEx>
                <w:tblW w:w="5000" w:type="pct"/>
                <w:jc w:val="center"/>
                <w:tblBorders>
                  <w:top w:val="single" w:sz="4" w:space="0" w:color="auto"/>
                  <w:left w:val="none" w:sz="0" w:space="0" w:color="auto"/>
                  <w:bottom w:val="single" w:sz="4" w:space="0" w:color="auto"/>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283"/>
                <w:jc w:val="center"/>
              </w:trPr>
              <w:tc>
                <w:tcPr>
                  <w:tcW w:w="2967" w:type="pct"/>
                  <w:vMerge w:val="restart"/>
                  <w:tcBorders>
                    <w:tl2br w:val="nil"/>
                    <w:tr2bl w:val="nil"/>
                  </w:tcBorders>
                  <w:vAlign w:val="center"/>
                </w:tcPr>
                <w:p>
                  <w:pPr>
                    <w:widowControl/>
                    <w:jc w:val="center"/>
                    <w:rPr>
                      <w:b/>
                      <w:color w:val="auto"/>
                      <w:kern w:val="0"/>
                      <w:szCs w:val="21"/>
                      <w:highlight w:val="none"/>
                    </w:rPr>
                  </w:pPr>
                  <w:r>
                    <w:rPr>
                      <w:rFonts w:ascii="Times New Roman" w:eastAsia="宋体" w:hAnsi="Times New Roman" w:cs="Times New Roman"/>
                      <w:b/>
                      <w:color w:val="auto"/>
                      <w:kern w:val="0"/>
                      <w:szCs w:val="21"/>
                      <w:highlight w:val="none"/>
                    </w:rPr>
                    <w:t>执行标准</w:t>
                  </w:r>
                </w:p>
              </w:tc>
              <w:tc>
                <w:tcPr>
                  <w:tcW w:w="2032" w:type="pct"/>
                  <w:gridSpan w:val="2"/>
                  <w:tcBorders>
                    <w:tl2br w:val="nil"/>
                    <w:tr2bl w:val="nil"/>
                  </w:tcBorders>
                  <w:vAlign w:val="center"/>
                </w:tcPr>
                <w:p>
                  <w:pPr>
                    <w:widowControl/>
                    <w:snapToGrid w:val="0"/>
                    <w:jc w:val="center"/>
                    <w:rPr>
                      <w:b/>
                      <w:color w:val="auto"/>
                      <w:kern w:val="0"/>
                      <w:szCs w:val="21"/>
                      <w:highlight w:val="none"/>
                    </w:rPr>
                  </w:pPr>
                  <w:r>
                    <w:rPr>
                      <w:rFonts w:ascii="Times New Roman" w:eastAsia="宋体" w:hAnsi="Times New Roman" w:cs="Times New Roman"/>
                      <w:b/>
                      <w:color w:val="auto"/>
                      <w:kern w:val="0"/>
                      <w:szCs w:val="21"/>
                      <w:highlight w:val="none"/>
                    </w:rPr>
                    <w:t>标准值</w:t>
                  </w:r>
                </w:p>
              </w:tc>
            </w:tr>
            <w:tr>
              <w:tblPrEx>
                <w:tblW w:w="5000" w:type="pct"/>
                <w:jc w:val="center"/>
                <w:tblLayout w:type="fixed"/>
                <w:tblCellMar>
                  <w:top w:w="0" w:type="dxa"/>
                  <w:left w:w="108" w:type="dxa"/>
                  <w:bottom w:w="0" w:type="dxa"/>
                  <w:right w:w="108" w:type="dxa"/>
                </w:tblCellMar>
              </w:tblPrEx>
              <w:trPr>
                <w:trHeight w:val="283"/>
                <w:jc w:val="center"/>
              </w:trPr>
              <w:tc>
                <w:tcPr>
                  <w:tcW w:w="2967" w:type="pct"/>
                  <w:vMerge/>
                  <w:tcBorders>
                    <w:tl2br w:val="nil"/>
                    <w:tr2bl w:val="nil"/>
                  </w:tcBorders>
                  <w:vAlign w:val="center"/>
                </w:tcPr>
                <w:p>
                  <w:pPr>
                    <w:widowControl/>
                    <w:jc w:val="center"/>
                    <w:rPr>
                      <w:b/>
                      <w:color w:val="auto"/>
                      <w:kern w:val="0"/>
                      <w:szCs w:val="21"/>
                      <w:highlight w:val="none"/>
                    </w:rPr>
                  </w:pPr>
                </w:p>
              </w:tc>
              <w:tc>
                <w:tcPr>
                  <w:tcW w:w="977" w:type="pct"/>
                  <w:tcBorders>
                    <w:tl2br w:val="nil"/>
                    <w:tr2bl w:val="nil"/>
                  </w:tcBorders>
                  <w:vAlign w:val="center"/>
                </w:tcPr>
                <w:p>
                  <w:pPr>
                    <w:widowControl/>
                    <w:snapToGrid w:val="0"/>
                    <w:jc w:val="center"/>
                    <w:rPr>
                      <w:b/>
                      <w:color w:val="auto"/>
                      <w:kern w:val="0"/>
                      <w:szCs w:val="21"/>
                      <w:highlight w:val="none"/>
                    </w:rPr>
                  </w:pPr>
                  <w:r>
                    <w:rPr>
                      <w:rFonts w:ascii="Times New Roman" w:eastAsia="宋体" w:hAnsi="Times New Roman" w:cs="Times New Roman"/>
                      <w:b/>
                      <w:color w:val="auto"/>
                      <w:kern w:val="0"/>
                      <w:szCs w:val="21"/>
                      <w:highlight w:val="none"/>
                    </w:rPr>
                    <w:t>昼间</w:t>
                  </w:r>
                </w:p>
              </w:tc>
              <w:tc>
                <w:tcPr>
                  <w:tcW w:w="1055" w:type="pct"/>
                  <w:tcBorders>
                    <w:tl2br w:val="nil"/>
                    <w:tr2bl w:val="nil"/>
                  </w:tcBorders>
                  <w:vAlign w:val="center"/>
                </w:tcPr>
                <w:p>
                  <w:pPr>
                    <w:widowControl/>
                    <w:snapToGrid w:val="0"/>
                    <w:jc w:val="center"/>
                    <w:rPr>
                      <w:b/>
                      <w:color w:val="auto"/>
                      <w:kern w:val="0"/>
                      <w:szCs w:val="21"/>
                      <w:highlight w:val="none"/>
                    </w:rPr>
                  </w:pPr>
                  <w:r>
                    <w:rPr>
                      <w:rFonts w:ascii="Times New Roman" w:eastAsia="宋体" w:hAnsi="Times New Roman" w:cs="Times New Roman"/>
                      <w:b/>
                      <w:color w:val="auto"/>
                      <w:kern w:val="0"/>
                      <w:szCs w:val="21"/>
                      <w:highlight w:val="none"/>
                    </w:rPr>
                    <w:t>夜间</w:t>
                  </w:r>
                </w:p>
              </w:tc>
            </w:tr>
            <w:tr>
              <w:tblPrEx>
                <w:tblW w:w="5000" w:type="pct"/>
                <w:jc w:val="center"/>
                <w:tblLayout w:type="fixed"/>
                <w:tblCellMar>
                  <w:top w:w="0" w:type="dxa"/>
                  <w:left w:w="108" w:type="dxa"/>
                  <w:bottom w:w="0" w:type="dxa"/>
                  <w:right w:w="108" w:type="dxa"/>
                </w:tblCellMar>
              </w:tblPrEx>
              <w:trPr>
                <w:trHeight w:val="283"/>
                <w:jc w:val="center"/>
              </w:trPr>
              <w:tc>
                <w:tcPr>
                  <w:tcW w:w="2967"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《声环境质量标准》</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GB3096-2008</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中</w:t>
                  </w:r>
                  <w:r>
                    <w:rPr>
                      <w:rFonts w:ascii="Times New Roman" w:eastAsia="宋体" w:hAnsi="Times New Roman" w:cs="Times New Roman" w:hint="eastAsia"/>
                      <w:color w:val="auto"/>
                      <w:szCs w:val="21"/>
                      <w:highlight w:val="none"/>
                    </w:rPr>
                    <w:t>2</w:t>
                  </w:r>
                  <w:r>
                    <w:rPr>
                      <w:rFonts w:ascii="Times New Roman" w:eastAsia="宋体" w:hAnsi="Times New Roman" w:cs="Times New Roman"/>
                      <w:color w:val="auto"/>
                      <w:szCs w:val="21"/>
                      <w:highlight w:val="none"/>
                    </w:rPr>
                    <w:t>类标准</w:t>
                  </w:r>
                </w:p>
              </w:tc>
              <w:tc>
                <w:tcPr>
                  <w:tcW w:w="977"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6</w:t>
                  </w:r>
                  <w:r>
                    <w:rPr>
                      <w:rFonts w:ascii="Times New Roman" w:eastAsia="宋体" w:hAnsi="Times New Roman" w:cs="Times New Roman" w:hint="eastAsia"/>
                      <w:color w:val="auto"/>
                      <w:szCs w:val="21"/>
                      <w:highlight w:val="none"/>
                    </w:rPr>
                    <w:t>0</w:t>
                  </w:r>
                </w:p>
              </w:tc>
              <w:tc>
                <w:tcPr>
                  <w:tcW w:w="1055" w:type="pct"/>
                  <w:tcBorders>
                    <w:tl2br w:val="nil"/>
                    <w:tr2bl w:val="nil"/>
                  </w:tcBorders>
                  <w:vAlign w:val="center"/>
                </w:tcPr>
                <w:p>
                  <w:pPr>
                    <w:adjustRightInd w:val="0"/>
                    <w:snapToGrid w:val="0"/>
                    <w:jc w:val="center"/>
                    <w:rPr>
                      <w:color w:val="auto"/>
                      <w:szCs w:val="21"/>
                      <w:highlight w:val="none"/>
                    </w:rPr>
                  </w:pPr>
                  <w:r>
                    <w:rPr>
                      <w:rFonts w:ascii="Times New Roman" w:eastAsia="宋体" w:hAnsi="Times New Roman" w:cs="Times New Roman"/>
                      <w:color w:val="auto"/>
                      <w:szCs w:val="21"/>
                      <w:highlight w:val="none"/>
                    </w:rPr>
                    <w:t>5</w:t>
                  </w:r>
                  <w:r>
                    <w:rPr>
                      <w:rFonts w:ascii="Times New Roman" w:eastAsia="宋体" w:hAnsi="Times New Roman" w:cs="Times New Roman" w:hint="eastAsia"/>
                      <w:color w:val="auto"/>
                      <w:szCs w:val="21"/>
                      <w:highlight w:val="none"/>
                    </w:rPr>
                    <w:t>0</w:t>
                  </w:r>
                </w:p>
              </w:tc>
            </w:tr>
          </w:tbl>
          <w:p>
            <w:pPr>
              <w:adjustRightInd w:val="0"/>
              <w:snapToGrid w:val="0"/>
              <w:spacing w:line="360" w:lineRule="auto"/>
              <w:jc w:val="left"/>
              <w:rPr>
                <w:b/>
                <w:color w:val="auto"/>
                <w:sz w:val="24"/>
                <w:highlight w:val="none"/>
              </w:rPr>
            </w:pPr>
            <w:r>
              <w:rPr>
                <w:rFonts w:ascii="Times New Roman" w:eastAsia="宋体" w:hAnsi="Times New Roman" w:cs="Times New Roman" w:hint="eastAsia"/>
                <w:b/>
                <w:color w:val="auto"/>
                <w:sz w:val="24"/>
                <w:highlight w:val="none"/>
              </w:rPr>
              <w:t>3.2 大气环境质量</w:t>
            </w:r>
          </w:p>
          <w:p>
            <w:pPr>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①基本污染物环境质量现状</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highlight w:val="none"/>
              </w:rPr>
            </w:pPr>
            <w:r>
              <w:rPr>
                <w:rFonts w:ascii="Times New Roman" w:eastAsia="宋体" w:hAnsi="Times New Roman" w:cs="Times New Roman" w:hint="eastAsia"/>
                <w:color w:val="auto"/>
                <w:sz w:val="24"/>
                <w:highlight w:val="none"/>
              </w:rPr>
              <w:t>根据滨海县生态环境局发布的《2022年滨海县生态环境状况公报》</w:t>
            </w:r>
            <w:r>
              <w:rPr>
                <w:rFonts w:ascii="Times New Roman" w:eastAsia="宋体" w:hAnsi="Times New Roman" w:cs="Times New Roman" w:hint="eastAsia"/>
                <w:color w:val="auto"/>
                <w:sz w:val="24"/>
                <w:highlight w:val="none"/>
                <w:lang w:eastAsia="zh-CN"/>
              </w:rPr>
              <w:t>。</w:t>
            </w:r>
          </w:p>
          <w:p>
            <w:pPr>
              <w:numPr>
                <w:ilvl w:val="0"/>
                <w:numId w:val="4"/>
              </w:numPr>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val="en-US" w:eastAsia="zh-CN"/>
              </w:rPr>
              <w:t>环境</w:t>
            </w:r>
            <w:r>
              <w:rPr>
                <w:rFonts w:ascii="Times New Roman" w:eastAsia="宋体" w:hAnsi="Times New Roman" w:cs="Times New Roman"/>
                <w:color w:val="auto"/>
                <w:sz w:val="24"/>
                <w:highlight w:val="none"/>
              </w:rPr>
              <w:t>空气</w:t>
            </w:r>
          </w:p>
          <w:p>
            <w:pPr>
              <w:autoSpaceDE w:val="0"/>
              <w:autoSpaceDN w:val="0"/>
              <w:adjustRightInd w:val="0"/>
              <w:spacing w:line="360" w:lineRule="auto"/>
              <w:ind w:firstLine="480"/>
              <w:rPr>
                <w:rFonts w:hint="eastAsia"/>
                <w:color w:val="auto"/>
                <w:kern w:val="0"/>
                <w:sz w:val="24"/>
                <w:highlight w:val="none"/>
              </w:rPr>
            </w:pPr>
            <w:r>
              <w:rPr>
                <w:rFonts w:ascii="Times New Roman" w:eastAsia="宋体" w:hAnsi="Times New Roman" w:cs="Times New Roman" w:hint="eastAsia"/>
                <w:color w:val="auto"/>
                <w:kern w:val="0"/>
                <w:sz w:val="24"/>
                <w:highlight w:val="none"/>
                <w:lang w:eastAsia="zh-CN"/>
              </w:rPr>
              <w:t>全县环境空气质量优良天数比率为85.8%，较2021年下降0.5个百分点，位列全市第4名，全省第4名；PM</w:t>
            </w:r>
            <w:r>
              <w:rPr>
                <w:rFonts w:ascii="Times New Roman" w:eastAsia="宋体" w:hAnsi="Times New Roman" w:cs="Times New Roman" w:hint="eastAsia"/>
                <w:color w:val="auto"/>
                <w:kern w:val="0"/>
                <w:sz w:val="24"/>
                <w:highlight w:val="none"/>
                <w:vertAlign w:val="subscript"/>
                <w:lang w:eastAsia="zh-CN"/>
              </w:rPr>
              <w:t>2.5</w:t>
            </w:r>
            <w:r>
              <w:rPr>
                <w:rFonts w:ascii="Times New Roman" w:eastAsia="宋体" w:hAnsi="Times New Roman" w:cs="Times New Roman" w:hint="eastAsia"/>
                <w:color w:val="auto"/>
                <w:kern w:val="0"/>
                <w:sz w:val="24"/>
                <w:highlight w:val="none"/>
                <w:lang w:eastAsia="zh-CN"/>
              </w:rPr>
              <w:t>年均浓度为30.4微克/立方米，较2021年上升1.3%，位列全市第8名，全省第18名；臭氧8小时平均滑动浓度为158微克/立方米，较2021年上升6.0%，位列全市第3名，全省第5名。对照2022年江苏省印发的滨海县环境空气质量考核目标，PM</w:t>
            </w:r>
            <w:r>
              <w:rPr>
                <w:rFonts w:ascii="Times New Roman" w:eastAsia="宋体" w:hAnsi="Times New Roman" w:cs="Times New Roman" w:hint="eastAsia"/>
                <w:color w:val="auto"/>
                <w:kern w:val="0"/>
                <w:sz w:val="24"/>
                <w:highlight w:val="none"/>
                <w:vertAlign w:val="subscript"/>
                <w:lang w:eastAsia="zh-CN"/>
              </w:rPr>
              <w:t>2.5</w:t>
            </w:r>
            <w:r>
              <w:rPr>
                <w:rFonts w:ascii="Times New Roman" w:eastAsia="宋体" w:hAnsi="Times New Roman" w:cs="Times New Roman" w:hint="eastAsia"/>
                <w:color w:val="auto"/>
                <w:kern w:val="0"/>
                <w:sz w:val="24"/>
                <w:highlight w:val="none"/>
                <w:lang w:eastAsia="zh-CN"/>
              </w:rPr>
              <w:t>年均浓度达到江苏省考核目标要求，是盐城市实现PM</w:t>
            </w:r>
            <w:r>
              <w:rPr>
                <w:rFonts w:ascii="Times New Roman" w:eastAsia="宋体" w:hAnsi="Times New Roman" w:cs="Times New Roman" w:hint="eastAsia"/>
                <w:color w:val="auto"/>
                <w:kern w:val="0"/>
                <w:sz w:val="24"/>
                <w:highlight w:val="none"/>
                <w:vertAlign w:val="subscript"/>
                <w:lang w:eastAsia="zh-CN"/>
              </w:rPr>
              <w:t>2.5</w:t>
            </w:r>
            <w:r>
              <w:rPr>
                <w:rFonts w:ascii="Times New Roman" w:eastAsia="宋体" w:hAnsi="Times New Roman" w:cs="Times New Roman" w:hint="eastAsia"/>
                <w:color w:val="auto"/>
                <w:kern w:val="0"/>
                <w:sz w:val="24"/>
                <w:highlight w:val="none"/>
                <w:lang w:eastAsia="zh-CN"/>
              </w:rPr>
              <w:t>年均浓度目标的四个县（市、区）之一。</w:t>
            </w:r>
          </w:p>
          <w:p>
            <w:pPr>
              <w:autoSpaceDE w:val="0"/>
              <w:autoSpaceDN w:val="0"/>
              <w:adjustRightInd w:val="0"/>
              <w:spacing w:line="360" w:lineRule="auto"/>
              <w:ind w:firstLine="480"/>
              <w:rPr>
                <w:rFonts w:hint="eastAsia"/>
                <w:color w:val="auto"/>
                <w:kern w:val="0"/>
                <w:sz w:val="24"/>
                <w:highlight w:val="none"/>
              </w:rPr>
            </w:pPr>
            <w:r>
              <w:rPr>
                <w:rFonts w:ascii="Times New Roman" w:eastAsia="宋体" w:hAnsi="Times New Roman" w:cs="Times New Roman" w:hint="eastAsia"/>
                <w:color w:val="auto"/>
                <w:kern w:val="0"/>
                <w:sz w:val="24"/>
                <w:highlight w:val="none"/>
                <w:lang w:eastAsia="zh-CN"/>
              </w:rPr>
              <w:t>全县环境空气中二氧化硫（SO</w:t>
            </w:r>
            <w:r>
              <w:rPr>
                <w:rFonts w:ascii="Times New Roman" w:eastAsia="宋体" w:hAnsi="Times New Roman" w:cs="Times New Roman" w:hint="eastAsia"/>
                <w:color w:val="auto"/>
                <w:kern w:val="0"/>
                <w:sz w:val="24"/>
                <w:highlight w:val="none"/>
                <w:vertAlign w:val="subscript"/>
                <w:lang w:eastAsia="zh-CN"/>
              </w:rPr>
              <w:t>2</w:t>
            </w:r>
            <w:r>
              <w:rPr>
                <w:rFonts w:ascii="Times New Roman" w:eastAsia="宋体" w:hAnsi="Times New Roman" w:cs="Times New Roman" w:hint="eastAsia"/>
                <w:color w:val="auto"/>
                <w:kern w:val="0"/>
                <w:sz w:val="24"/>
                <w:highlight w:val="none"/>
                <w:lang w:eastAsia="zh-CN"/>
              </w:rPr>
              <w:t>）、二氧化氮（NO</w:t>
            </w:r>
            <w:r>
              <w:rPr>
                <w:rFonts w:ascii="Times New Roman" w:eastAsia="宋体" w:hAnsi="Times New Roman" w:cs="Times New Roman" w:hint="eastAsia"/>
                <w:color w:val="auto"/>
                <w:kern w:val="0"/>
                <w:sz w:val="24"/>
                <w:highlight w:val="none"/>
                <w:vertAlign w:val="subscript"/>
                <w:lang w:eastAsia="zh-CN"/>
              </w:rPr>
              <w:t>2</w:t>
            </w:r>
            <w:r>
              <w:rPr>
                <w:rFonts w:ascii="Times New Roman" w:eastAsia="宋体" w:hAnsi="Times New Roman" w:cs="Times New Roman" w:hint="eastAsia"/>
                <w:color w:val="auto"/>
                <w:kern w:val="0"/>
                <w:sz w:val="24"/>
                <w:highlight w:val="none"/>
                <w:lang w:eastAsia="zh-CN"/>
              </w:rPr>
              <w:t>）、可吸入颗粒物（PM</w:t>
            </w:r>
            <w:r>
              <w:rPr>
                <w:rFonts w:ascii="Times New Roman" w:eastAsia="宋体" w:hAnsi="Times New Roman" w:cs="Times New Roman" w:hint="eastAsia"/>
                <w:color w:val="auto"/>
                <w:kern w:val="0"/>
                <w:sz w:val="24"/>
                <w:highlight w:val="none"/>
                <w:vertAlign w:val="subscript"/>
                <w:lang w:eastAsia="zh-CN"/>
              </w:rPr>
              <w:t>10</w:t>
            </w:r>
            <w:r>
              <w:rPr>
                <w:rFonts w:ascii="Times New Roman" w:eastAsia="宋体" w:hAnsi="Times New Roman" w:cs="Times New Roman" w:hint="eastAsia"/>
                <w:color w:val="auto"/>
                <w:kern w:val="0"/>
                <w:sz w:val="24"/>
                <w:highlight w:val="none"/>
                <w:lang w:eastAsia="zh-CN"/>
              </w:rPr>
              <w:t>）、细颗粒物（PM</w:t>
            </w:r>
            <w:r>
              <w:rPr>
                <w:rFonts w:ascii="Times New Roman" w:eastAsia="宋体" w:hAnsi="Times New Roman" w:cs="Times New Roman" w:hint="eastAsia"/>
                <w:color w:val="auto"/>
                <w:kern w:val="0"/>
                <w:sz w:val="24"/>
                <w:highlight w:val="none"/>
                <w:vertAlign w:val="subscript"/>
                <w:lang w:eastAsia="zh-CN"/>
              </w:rPr>
              <w:t>2.5</w:t>
            </w:r>
            <w:r>
              <w:rPr>
                <w:rFonts w:ascii="Times New Roman" w:eastAsia="宋体" w:hAnsi="Times New Roman" w:cs="Times New Roman" w:hint="eastAsia"/>
                <w:color w:val="auto"/>
                <w:kern w:val="0"/>
                <w:sz w:val="24"/>
                <w:highlight w:val="none"/>
                <w:lang w:eastAsia="zh-CN"/>
              </w:rPr>
              <w:t>）年均浓度分别为8微克/立方米、23微克/立方米、59微克/立方米、30.4微克/立方米，较2021年分别下降20.0%、4.2%、15.7%、2.6%；一氧化碳（CO）浓度为0.6毫克/立方米，较2021年下降11.1%；臭氧（O</w:t>
            </w:r>
            <w:r>
              <w:rPr>
                <w:rFonts w:ascii="Times New Roman" w:eastAsia="宋体" w:hAnsi="Times New Roman" w:cs="Times New Roman" w:hint="eastAsia"/>
                <w:color w:val="auto"/>
                <w:kern w:val="0"/>
                <w:sz w:val="24"/>
                <w:highlight w:val="none"/>
                <w:vertAlign w:val="subscript"/>
                <w:lang w:eastAsia="zh-CN"/>
              </w:rPr>
              <w:t>3</w:t>
            </w:r>
            <w:r>
              <w:rPr>
                <w:rFonts w:ascii="Times New Roman" w:eastAsia="宋体" w:hAnsi="Times New Roman" w:cs="Times New Roman" w:hint="eastAsia"/>
                <w:color w:val="auto"/>
                <w:kern w:val="0"/>
                <w:sz w:val="24"/>
                <w:highlight w:val="none"/>
                <w:lang w:eastAsia="zh-CN"/>
              </w:rPr>
              <w:t>）浓度为110微克/立方米，较2021年上升6.0%。</w:t>
            </w:r>
          </w:p>
        </w:tc>
      </w:tr>
    </w:tbl>
    <w:p>
      <w:pPr>
        <w:sectPr>
          <w:footerReference w:type="even" r:id="rId66"/>
          <w:footerReference w:type="default" r:id="rId67"/>
          <w:type w:val="nextPage"/>
          <w:pgSz w:w="11907" w:h="16840"/>
          <w:pgMar w:top="1701" w:right="1531" w:bottom="2127" w:left="1531" w:header="851" w:footer="851" w:gutter="0"/>
          <w:pgBorders>
            <w:top w:val="none" w:sz="0" w:space="0" w:color="auto"/>
            <w:left w:val="none" w:sz="0" w:space="0" w:color="auto"/>
            <w:bottom w:val="none" w:sz="0" w:space="0" w:color="auto"/>
            <w:right w:val="none" w:sz="0" w:space="0" w:color="auto"/>
          </w:pgBorders>
          <w:pgNumType w:start="28"/>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00"/>
        <w:gridCol w:w="819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
          <w:jc w:val="center"/>
        </w:trPr>
        <w:tc>
          <w:tcPr>
            <w:tcW w:w="800" w:type="dxa"/>
            <w:vAlign w:val="center"/>
          </w:tcPr>
          <w:p/>
        </w:tc>
        <w:tc>
          <w:tcPr>
            <w:tcW w:w="8190" w:type="dxa"/>
            <w:vAlign w:val="center"/>
          </w:tcPr>
          <w:p>
            <w:pPr>
              <w:adjustRightInd w:val="0"/>
              <w:snapToGrid w:val="0"/>
              <w:spacing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lang w:val="en-US" w:eastAsia="zh-CN"/>
              </w:rPr>
              <w:t>2</w:t>
            </w:r>
            <w:r>
              <w:rPr>
                <w:rFonts w:ascii="Times New Roman" w:eastAsia="宋体" w:hAnsi="Times New Roman" w:cs="Times New Roman" w:hint="eastAsia"/>
                <w:color w:val="auto"/>
                <w:sz w:val="24"/>
                <w:highlight w:val="none"/>
                <w:lang w:eastAsia="zh-CN"/>
              </w:rPr>
              <w:t>）酸沉降</w:t>
            </w:r>
          </w:p>
          <w:p>
            <w:pPr>
              <w:adjustRightInd w:val="0"/>
              <w:snapToGrid w:val="0"/>
              <w:spacing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lang w:eastAsia="zh-CN"/>
              </w:rPr>
              <w:t>全年降水年均pH值为6.43，pH值变化范围在5.81~7.00之间，酸雨发生率为“0”。与2021年相比，降水pH值最大值、最小值和年均值同比有所下降，存在波动下行的趋势。</w:t>
            </w:r>
          </w:p>
          <w:p>
            <w:pPr>
              <w:adjustRightInd w:val="0"/>
              <w:snapToGrid w:val="0"/>
              <w:spacing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lang w:eastAsia="zh-CN"/>
              </w:rPr>
              <w:t>因此，</w:t>
            </w:r>
            <w:r>
              <w:rPr>
                <w:rFonts w:ascii="Times New Roman" w:eastAsia="宋体" w:hAnsi="Times New Roman" w:cs="Times New Roman" w:hint="eastAsia"/>
                <w:color w:val="auto"/>
                <w:sz w:val="24"/>
                <w:highlight w:val="none"/>
              </w:rPr>
              <w:t>城市环境空气质量为达标区</w:t>
            </w:r>
            <w:r>
              <w:rPr>
                <w:rFonts w:ascii="Times New Roman" w:eastAsia="宋体" w:hAnsi="Times New Roman" w:cs="Times New Roman" w:hint="eastAsia"/>
                <w:color w:val="auto"/>
                <w:sz w:val="24"/>
                <w:highlight w:val="none"/>
                <w:lang w:eastAsia="zh-CN"/>
              </w:rPr>
              <w:t>。</w:t>
            </w:r>
          </w:p>
          <w:p>
            <w:pPr>
              <w:adjustRightInd w:val="0"/>
              <w:snapToGrid w:val="0"/>
              <w:spacing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lang w:val="en-US" w:eastAsia="zh-CN"/>
              </w:rPr>
              <w:t>②特征污染物环境质量现状</w:t>
            </w:r>
          </w:p>
          <w:p>
            <w:pPr>
              <w:adjustRightInd w:val="0"/>
              <w:snapToGrid w:val="0"/>
              <w:spacing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lang w:val="en-US" w:eastAsia="zh-CN"/>
              </w:rPr>
              <w:t>本次大气污染物总悬浮颗粒评价根据《滨海滨海亚峰纺织品有限公司检测报告》中数据G1，监测时间为2023年4月18日～4月20日，报告编号:LT23384。</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4"/>
                <w:highlight w:val="none"/>
              </w:rPr>
            </w:pPr>
            <w:r>
              <w:rPr>
                <w:rFonts w:ascii="Times New Roman" w:eastAsia="宋体" w:hAnsi="Times New Roman" w:cs="Times New Roman" w:hint="eastAsia"/>
                <w:b/>
                <w:bCs/>
                <w:color w:val="auto"/>
                <w:sz w:val="24"/>
                <w:highlight w:val="none"/>
              </w:rPr>
              <w:t>表3-</w:t>
            </w:r>
            <w:r>
              <w:rPr>
                <w:rFonts w:ascii="Times New Roman" w:eastAsia="宋体" w:hAnsi="Times New Roman" w:cs="Times New Roman" w:hint="eastAsia"/>
                <w:b/>
                <w:bCs/>
                <w:color w:val="auto"/>
                <w:sz w:val="24"/>
                <w:highlight w:val="none"/>
                <w:lang w:val="en-US" w:eastAsia="zh-CN"/>
              </w:rPr>
              <w:t>4</w:t>
            </w:r>
            <w:r>
              <w:rPr>
                <w:rFonts w:ascii="Times New Roman" w:eastAsia="宋体" w:hAnsi="Times New Roman" w:cs="Times New Roman" w:hint="eastAsia"/>
                <w:b/>
                <w:bCs/>
                <w:color w:val="auto"/>
                <w:sz w:val="24"/>
                <w:highlight w:val="none"/>
              </w:rPr>
              <w:t>环境空气监测点位列表</w:t>
            </w:r>
            <w:r>
              <w:rPr>
                <w:rFonts w:ascii="Times New Roman" w:eastAsia="宋体" w:hAnsi="Times New Roman" w:cs="Times New Roman" w:hint="eastAsia"/>
                <w:b/>
                <w:bCs/>
                <w:color w:val="auto"/>
                <w:sz w:val="24"/>
                <w:highlight w:val="none"/>
                <w:lang w:eastAsia="zh-CN"/>
              </w:rPr>
              <w:t>（</w:t>
            </w:r>
            <w:r>
              <w:rPr>
                <w:rFonts w:ascii="Times New Roman" w:eastAsia="宋体" w:hAnsi="Times New Roman" w:cs="Times New Roman" w:hint="eastAsia"/>
                <w:b/>
                <w:bCs/>
                <w:color w:val="auto"/>
                <w:sz w:val="24"/>
                <w:highlight w:val="none"/>
                <w:lang w:val="en-US" w:eastAsia="zh-CN"/>
              </w:rPr>
              <w:t>引用</w:t>
            </w:r>
            <w:r>
              <w:rPr>
                <w:rFonts w:ascii="Times New Roman" w:eastAsia="宋体" w:hAnsi="Times New Roman" w:cs="Times New Roman" w:hint="eastAsia"/>
                <w:b/>
                <w:bCs/>
                <w:color w:val="auto"/>
                <w:sz w:val="24"/>
                <w:highlight w:val="none"/>
                <w:lang w:eastAsia="zh-CN"/>
              </w:rPr>
              <w:t>）</w:t>
            </w:r>
          </w:p>
          <w:tbl>
            <w:tblPr>
              <w:tblStyle w:val="TableNormal"/>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700"/>
              <w:gridCol w:w="1589"/>
              <w:gridCol w:w="2452"/>
              <w:gridCol w:w="1146"/>
              <w:gridCol w:w="1084"/>
            </w:tblGrid>
            <w:tr>
              <w:tblPrEx>
                <w:tblW w:w="4998"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1065"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监测点位名称</w:t>
                  </w:r>
                </w:p>
              </w:tc>
              <w:tc>
                <w:tcPr>
                  <w:tcW w:w="996"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eastAsia="zh-CN"/>
                    </w:rPr>
                    <w:t>监测因子</w:t>
                  </w:r>
                </w:p>
              </w:tc>
              <w:tc>
                <w:tcPr>
                  <w:tcW w:w="1537"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监测时段</w:t>
                  </w:r>
                </w:p>
              </w:tc>
              <w:tc>
                <w:tcPr>
                  <w:tcW w:w="71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相对厂址方位</w:t>
                  </w:r>
                </w:p>
              </w:tc>
              <w:tc>
                <w:tcPr>
                  <w:tcW w:w="680"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相对厂址距离/m</w:t>
                  </w:r>
                </w:p>
              </w:tc>
            </w:tr>
            <w:tr>
              <w:tblPrEx>
                <w:tblW w:w="4998" w:type="pct"/>
                <w:jc w:val="center"/>
                <w:tblLayout w:type="fixed"/>
                <w:tblCellMar>
                  <w:top w:w="0" w:type="dxa"/>
                  <w:left w:w="108" w:type="dxa"/>
                  <w:bottom w:w="0" w:type="dxa"/>
                  <w:right w:w="108" w:type="dxa"/>
                </w:tblCellMar>
              </w:tblPrEx>
              <w:trPr>
                <w:trHeight w:val="312"/>
                <w:jc w:val="center"/>
              </w:trPr>
              <w:tc>
                <w:tcPr>
                  <w:tcW w:w="1065" w:type="pct"/>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p>
              </w:tc>
              <w:tc>
                <w:tcPr>
                  <w:tcW w:w="996" w:type="pct"/>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p>
              </w:tc>
              <w:tc>
                <w:tcPr>
                  <w:tcW w:w="1537" w:type="pct"/>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p>
              </w:tc>
              <w:tc>
                <w:tcPr>
                  <w:tcW w:w="719" w:type="pct"/>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p>
              </w:tc>
              <w:tc>
                <w:tcPr>
                  <w:tcW w:w="680" w:type="pct"/>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p>
              </w:tc>
            </w:tr>
            <w:tr>
              <w:tblPrEx>
                <w:tblW w:w="4998" w:type="pct"/>
                <w:jc w:val="center"/>
                <w:tblLayout w:type="fixed"/>
                <w:tblCellMar>
                  <w:top w:w="0" w:type="dxa"/>
                  <w:left w:w="108" w:type="dxa"/>
                  <w:bottom w:w="0" w:type="dxa"/>
                  <w:right w:w="108" w:type="dxa"/>
                </w:tblCellMar>
              </w:tblPrEx>
              <w:trPr>
                <w:trHeight w:val="272"/>
                <w:jc w:val="center"/>
              </w:trPr>
              <w:tc>
                <w:tcPr>
                  <w:tcW w:w="106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厂区下风向G</w:t>
                  </w:r>
                </w:p>
              </w:tc>
              <w:tc>
                <w:tcPr>
                  <w:tcW w:w="99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Cs w:val="21"/>
                      <w:highlight w:val="none"/>
                    </w:rPr>
                  </w:pPr>
                  <w:r>
                    <w:rPr>
                      <w:rFonts w:ascii="Times New Roman" w:eastAsia="宋体" w:hAnsi="Times New Roman" w:cs="Times New Roman" w:hint="eastAsia"/>
                      <w:color w:val="auto"/>
                      <w:sz w:val="21"/>
                      <w:szCs w:val="21"/>
                      <w:highlight w:val="none"/>
                      <w:lang w:eastAsia="zh-CN"/>
                    </w:rPr>
                    <w:t>总悬浮颗粒物、</w:t>
                  </w:r>
                  <w:r>
                    <w:rPr>
                      <w:rFonts w:ascii="Times New Roman" w:eastAsia="宋体" w:hAnsi="Times New Roman" w:cs="Times New Roman" w:hint="eastAsia"/>
                      <w:color w:val="auto"/>
                      <w:sz w:val="21"/>
                      <w:szCs w:val="21"/>
                      <w:highlight w:val="none"/>
                      <w:lang w:val="en-US" w:eastAsia="zh-CN"/>
                    </w:rPr>
                    <w:t>NOx</w:t>
                  </w:r>
                </w:p>
              </w:tc>
              <w:tc>
                <w:tcPr>
                  <w:tcW w:w="153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Cs w:val="21"/>
                      <w:highlight w:val="none"/>
                    </w:rPr>
                  </w:pPr>
                  <w:r>
                    <w:rPr>
                      <w:rFonts w:ascii="Times New Roman" w:eastAsia="宋体" w:hAnsi="Times New Roman" w:cs="Times New Roman" w:hint="eastAsia"/>
                      <w:color w:val="auto"/>
                      <w:sz w:val="21"/>
                      <w:szCs w:val="21"/>
                      <w:highlight w:val="none"/>
                      <w:lang w:val="en-US" w:eastAsia="zh-CN"/>
                    </w:rPr>
                    <w:t>2023.04.18-2023.04.20</w:t>
                  </w:r>
                </w:p>
              </w:tc>
              <w:tc>
                <w:tcPr>
                  <w:tcW w:w="71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SW</w:t>
                  </w:r>
                </w:p>
              </w:tc>
              <w:tc>
                <w:tcPr>
                  <w:tcW w:w="68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10</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sz w:val="24"/>
                <w:highlight w:val="none"/>
              </w:rPr>
            </w:pPr>
            <w:r>
              <w:rPr>
                <w:rFonts w:ascii="Times New Roman" w:eastAsia="宋体" w:hAnsi="Times New Roman" w:cs="Times New Roman" w:hint="eastAsia"/>
                <w:b/>
                <w:bCs/>
                <w:color w:val="auto"/>
                <w:sz w:val="24"/>
                <w:highlight w:val="none"/>
              </w:rPr>
              <w:t>表3-</w:t>
            </w:r>
            <w:r>
              <w:rPr>
                <w:rFonts w:ascii="Times New Roman" w:eastAsia="宋体" w:hAnsi="Times New Roman" w:cs="Times New Roman" w:hint="eastAsia"/>
                <w:b/>
                <w:bCs/>
                <w:color w:val="auto"/>
                <w:sz w:val="24"/>
                <w:highlight w:val="none"/>
                <w:lang w:val="en-US" w:eastAsia="zh-CN"/>
              </w:rPr>
              <w:t>5</w:t>
            </w:r>
            <w:r>
              <w:rPr>
                <w:rFonts w:ascii="Times New Roman" w:eastAsia="宋体" w:hAnsi="Times New Roman" w:cs="Times New Roman" w:hint="eastAsia"/>
                <w:b/>
                <w:bCs/>
                <w:color w:val="auto"/>
                <w:sz w:val="24"/>
                <w:highlight w:val="none"/>
              </w:rPr>
              <w:t>环境空气质量现状监测及评价结果表</w:t>
            </w:r>
          </w:p>
          <w:tbl>
            <w:tblPr>
              <w:tblStyle w:val="TableNormal"/>
              <w:tblW w:w="4996"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
            <w:tblGrid>
              <w:gridCol w:w="939"/>
              <w:gridCol w:w="1352"/>
              <w:gridCol w:w="582"/>
              <w:gridCol w:w="1131"/>
              <w:gridCol w:w="1206"/>
              <w:gridCol w:w="908"/>
              <w:gridCol w:w="1004"/>
              <w:gridCol w:w="846"/>
            </w:tblGrid>
            <w:tr>
              <w:tblPrEx>
                <w:tblW w:w="4996" w:type="pct"/>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ayout w:type="fixed"/>
                <w:tblCellMar>
                  <w:top w:w="0" w:type="dxa"/>
                  <w:left w:w="0" w:type="dxa"/>
                  <w:bottom w:w="0" w:type="dxa"/>
                  <w:right w:w="0" w:type="dxa"/>
                </w:tblCellMar>
              </w:tblPrEx>
              <w:trPr>
                <w:trHeight w:val="57"/>
                <w:jc w:val="center"/>
              </w:trPr>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监测</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点位</w:t>
                  </w:r>
                </w:p>
              </w:tc>
              <w:tc>
                <w:tcPr>
                  <w:tcW w:w="84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污染物</w:t>
                  </w:r>
                </w:p>
              </w:tc>
              <w:tc>
                <w:tcPr>
                  <w:tcW w:w="36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平均</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时间</w:t>
                  </w:r>
                </w:p>
              </w:tc>
              <w:tc>
                <w:tcPr>
                  <w:tcW w:w="7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评价标准</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（mg/m3）</w:t>
                  </w:r>
                </w:p>
              </w:tc>
              <w:tc>
                <w:tcPr>
                  <w:tcW w:w="75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监测浓度范围</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（mg/m3）</w:t>
                  </w:r>
                </w:p>
              </w:tc>
              <w:tc>
                <w:tcPr>
                  <w:tcW w:w="5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最大浓度占标率%</w:t>
                  </w:r>
                </w:p>
              </w:tc>
              <w:tc>
                <w:tcPr>
                  <w:tcW w:w="62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超标率/%</w:t>
                  </w:r>
                </w:p>
              </w:tc>
              <w:tc>
                <w:tcPr>
                  <w:tcW w:w="53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达标情况</w:t>
                  </w:r>
                </w:p>
              </w:tc>
            </w:tr>
            <w:tr>
              <w:tblPrEx>
                <w:tblW w:w="4996" w:type="pct"/>
                <w:jc w:val="center"/>
                <w:tblLayout w:type="fixed"/>
                <w:tblCellMar>
                  <w:top w:w="0" w:type="dxa"/>
                  <w:left w:w="0" w:type="dxa"/>
                  <w:bottom w:w="0" w:type="dxa"/>
                  <w:right w:w="0" w:type="dxa"/>
                </w:tblCellMar>
              </w:tblPrEx>
              <w:trPr>
                <w:trHeight w:val="57"/>
                <w:jc w:val="center"/>
              </w:trPr>
              <w:tc>
                <w:tcPr>
                  <w:tcW w:w="58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厂区下风向G</w:t>
                  </w:r>
                </w:p>
              </w:tc>
              <w:tc>
                <w:tcPr>
                  <w:tcW w:w="84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eastAsia="zh-CN"/>
                    </w:rPr>
                    <w:t>总悬浮颗粒物</w:t>
                  </w:r>
                </w:p>
              </w:tc>
              <w:tc>
                <w:tcPr>
                  <w:tcW w:w="365"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小时值</w:t>
                  </w:r>
                </w:p>
              </w:tc>
              <w:tc>
                <w:tcPr>
                  <w:tcW w:w="7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0.9</w:t>
                  </w:r>
                  <w:r>
                    <w:rPr>
                      <w:rFonts w:ascii="Times New Roman" w:eastAsia="宋体" w:hAnsi="Times New Roman" w:cs="Times New Roman" w:hint="eastAsia"/>
                      <w:color w:val="auto"/>
                      <w:sz w:val="21"/>
                      <w:szCs w:val="21"/>
                      <w:highlight w:val="none"/>
                    </w:rPr>
                    <w:t>（一小时）</w:t>
                  </w:r>
                </w:p>
              </w:tc>
              <w:tc>
                <w:tcPr>
                  <w:tcW w:w="75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Cs w:val="21"/>
                      <w:highlight w:val="none"/>
                    </w:rPr>
                  </w:pPr>
                  <w:r>
                    <w:rPr>
                      <w:rFonts w:ascii="Times New Roman" w:eastAsia="宋体" w:hAnsi="Times New Roman" w:cs="Times New Roman" w:hint="eastAsia"/>
                      <w:color w:val="auto"/>
                      <w:sz w:val="21"/>
                      <w:szCs w:val="21"/>
                      <w:highlight w:val="none"/>
                      <w:lang w:val="en-US" w:eastAsia="zh-CN"/>
                    </w:rPr>
                    <w:t>0.232~0.270</w:t>
                  </w:r>
                </w:p>
              </w:tc>
              <w:tc>
                <w:tcPr>
                  <w:tcW w:w="5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30%</w:t>
                  </w:r>
                </w:p>
              </w:tc>
              <w:tc>
                <w:tcPr>
                  <w:tcW w:w="62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0</w:t>
                  </w:r>
                </w:p>
              </w:tc>
              <w:tc>
                <w:tcPr>
                  <w:tcW w:w="53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达标</w:t>
                  </w:r>
                </w:p>
              </w:tc>
            </w:tr>
            <w:tr>
              <w:tblPrEx>
                <w:tblW w:w="4996" w:type="pct"/>
                <w:jc w:val="center"/>
                <w:tblLayout w:type="fixed"/>
                <w:tblCellMar>
                  <w:top w:w="0" w:type="dxa"/>
                  <w:left w:w="0" w:type="dxa"/>
                  <w:bottom w:w="0" w:type="dxa"/>
                  <w:right w:w="0" w:type="dxa"/>
                </w:tblCellMar>
              </w:tblPrEx>
              <w:trPr>
                <w:trHeight w:val="57"/>
                <w:jc w:val="center"/>
              </w:trPr>
              <w:tc>
                <w:tcPr>
                  <w:tcW w:w="589" w:type="pct"/>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p>
              </w:tc>
              <w:tc>
                <w:tcPr>
                  <w:tcW w:w="84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Cs w:val="21"/>
                      <w:highlight w:val="none"/>
                    </w:rPr>
                  </w:pPr>
                  <w:r>
                    <w:rPr>
                      <w:rFonts w:ascii="Times New Roman" w:eastAsia="宋体" w:hAnsi="Times New Roman" w:cs="Times New Roman" w:hint="eastAsia"/>
                      <w:color w:val="auto"/>
                      <w:sz w:val="21"/>
                      <w:szCs w:val="21"/>
                      <w:highlight w:val="none"/>
                      <w:lang w:val="en-US" w:eastAsia="zh-CN"/>
                    </w:rPr>
                    <w:t>NOx</w:t>
                  </w:r>
                </w:p>
              </w:tc>
              <w:tc>
                <w:tcPr>
                  <w:tcW w:w="365" w:type="pct"/>
                  <w:vMerg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p>
              </w:tc>
              <w:tc>
                <w:tcPr>
                  <w:tcW w:w="7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Cs w:val="21"/>
                      <w:highlight w:val="none"/>
                    </w:rPr>
                  </w:pPr>
                  <w:r>
                    <w:rPr>
                      <w:rFonts w:ascii="Times New Roman" w:eastAsia="宋体" w:hAnsi="Times New Roman" w:cs="Times New Roman" w:hint="eastAsia"/>
                      <w:color w:val="auto"/>
                      <w:sz w:val="21"/>
                      <w:szCs w:val="21"/>
                      <w:highlight w:val="none"/>
                      <w:lang w:val="en-US" w:eastAsia="zh-CN"/>
                    </w:rPr>
                    <w:t>0.25</w:t>
                  </w:r>
                </w:p>
              </w:tc>
              <w:tc>
                <w:tcPr>
                  <w:tcW w:w="75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Cs w:val="21"/>
                      <w:highlight w:val="none"/>
                    </w:rPr>
                  </w:pPr>
                  <w:r>
                    <w:rPr>
                      <w:rFonts w:ascii="Times New Roman" w:eastAsia="宋体" w:hAnsi="Times New Roman" w:cs="Times New Roman" w:hint="eastAsia"/>
                      <w:color w:val="auto"/>
                      <w:sz w:val="21"/>
                      <w:szCs w:val="21"/>
                      <w:highlight w:val="none"/>
                      <w:lang w:val="en-US" w:eastAsia="zh-CN"/>
                    </w:rPr>
                    <w:t>0.005~0.022</w:t>
                  </w:r>
                </w:p>
              </w:tc>
              <w:tc>
                <w:tcPr>
                  <w:tcW w:w="5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Cs w:val="21"/>
                      <w:highlight w:val="none"/>
                    </w:rPr>
                  </w:pPr>
                  <w:r>
                    <w:rPr>
                      <w:rFonts w:ascii="Times New Roman" w:eastAsia="宋体" w:hAnsi="Times New Roman" w:cs="Times New Roman" w:hint="eastAsia"/>
                      <w:color w:val="auto"/>
                      <w:sz w:val="21"/>
                      <w:szCs w:val="21"/>
                      <w:highlight w:val="none"/>
                      <w:lang w:val="en-US" w:eastAsia="zh-CN"/>
                    </w:rPr>
                    <w:t>8.8%</w:t>
                  </w:r>
                </w:p>
              </w:tc>
              <w:tc>
                <w:tcPr>
                  <w:tcW w:w="62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lang w:val="en-US" w:eastAsia="zh-CN"/>
                    </w:rPr>
                    <w:t>0</w:t>
                  </w:r>
                </w:p>
              </w:tc>
              <w:tc>
                <w:tcPr>
                  <w:tcW w:w="53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szCs w:val="21"/>
                      <w:highlight w:val="none"/>
                    </w:rPr>
                  </w:pPr>
                  <w:r>
                    <w:rPr>
                      <w:rFonts w:ascii="Times New Roman" w:eastAsia="宋体" w:hAnsi="Times New Roman" w:cs="Times New Roman" w:hint="eastAsia"/>
                      <w:color w:val="auto"/>
                      <w:sz w:val="21"/>
                      <w:szCs w:val="21"/>
                      <w:highlight w:val="none"/>
                    </w:rPr>
                    <w:t>达标</w:t>
                  </w:r>
                </w:p>
              </w:tc>
            </w:tr>
          </w:tbl>
          <w:p>
            <w:pPr>
              <w:adjustRightInd w:val="0"/>
              <w:snapToGrid w:val="0"/>
              <w:spacing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lang w:val="en-US" w:eastAsia="zh-CN"/>
              </w:rPr>
              <w:t>本项目总悬浮颗粒污染物小时浓度排放标准根据《环境影响评价技术导则大气环境》（HJ2.2-2018）中折算方法，根据其24小时浓度的3倍进行折算。从上表可以看出，评价区域内总悬浮颗粒物、NOx小时浓度满足《环境空气质量标准》（GB3095-2012）标准限值。</w:t>
            </w:r>
          </w:p>
          <w:p>
            <w:pPr>
              <w:spacing w:line="360" w:lineRule="auto"/>
              <w:rPr>
                <w:b/>
                <w:bCs/>
                <w:color w:val="auto"/>
                <w:sz w:val="24"/>
                <w:highlight w:val="none"/>
              </w:rPr>
            </w:pPr>
            <w:r>
              <w:rPr>
                <w:rFonts w:ascii="Times New Roman" w:eastAsia="宋体" w:hAnsi="Times New Roman" w:cs="Times New Roman" w:hint="eastAsia"/>
                <w:b/>
                <w:bCs/>
                <w:color w:val="auto"/>
                <w:sz w:val="24"/>
                <w:highlight w:val="none"/>
              </w:rPr>
              <w:t xml:space="preserve">3.3 </w:t>
            </w:r>
            <w:r>
              <w:rPr>
                <w:rFonts w:ascii="Times New Roman" w:eastAsia="宋体" w:hAnsi="Times New Roman" w:cs="Times New Roman"/>
                <w:b/>
                <w:bCs/>
                <w:color w:val="auto"/>
                <w:sz w:val="24"/>
                <w:highlight w:val="none"/>
              </w:rPr>
              <w:t>地表水环境质量</w:t>
            </w:r>
          </w:p>
          <w:p>
            <w:pPr>
              <w:adjustRightInd w:val="0"/>
              <w:snapToGrid w:val="0"/>
              <w:spacing w:line="360" w:lineRule="auto"/>
              <w:ind w:firstLine="480" w:firstLineChars="200"/>
              <w:rPr>
                <w:rFonts w:hint="eastAsia"/>
                <w:color w:val="auto"/>
                <w:sz w:val="24"/>
                <w:highlight w:val="none"/>
              </w:rPr>
            </w:pPr>
            <w:r>
              <w:rPr>
                <w:rFonts w:ascii="Times New Roman" w:eastAsia="宋体" w:hAnsi="Times New Roman" w:cs="Times New Roman" w:hint="default"/>
                <w:color w:val="auto"/>
                <w:sz w:val="24"/>
                <w:highlight w:val="none"/>
              </w:rPr>
              <w:t>根据滨海县生态环境局发布的《2022年滨海县生态环境状况公报》</w:t>
            </w:r>
            <w:r>
              <w:rPr>
                <w:rFonts w:ascii="Times New Roman" w:eastAsia="宋体" w:hAnsi="Times New Roman" w:cs="Times New Roman" w:hint="default"/>
                <w:color w:val="auto"/>
                <w:sz w:val="24"/>
                <w:highlight w:val="none"/>
                <w:lang w:eastAsia="zh-CN"/>
              </w:rPr>
              <w:t>，</w:t>
            </w:r>
            <w:r>
              <w:rPr>
                <w:rFonts w:ascii="Times New Roman" w:eastAsia="宋体" w:hAnsi="Times New Roman" w:cs="Times New Roman" w:hint="default"/>
                <w:color w:val="auto"/>
                <w:sz w:val="24"/>
                <w:highlight w:val="none"/>
              </w:rPr>
              <w:t>2022年，全县地表水稳中向好，国省考断面优Ⅲ比例达到100%，全面消除劣Ⅴ类断面。国考断面水质连续两年稳定达到Ⅱ类，省考断面水质连续三年稳定达到Ⅲ类。项目所在地属水环境质量达标区域</w:t>
            </w:r>
            <w:r>
              <w:rPr>
                <w:rFonts w:ascii="Times New Roman" w:eastAsia="宋体" w:hAnsi="Times New Roman" w:cs="Times New Roman" w:hint="eastAsia"/>
                <w:color w:val="auto"/>
                <w:sz w:val="24"/>
                <w:highlight w:val="none"/>
                <w:lang w:eastAsia="zh-CN"/>
              </w:rPr>
              <w:t>。</w:t>
            </w:r>
          </w:p>
          <w:p>
            <w:pPr>
              <w:adjustRightInd w:val="0"/>
              <w:snapToGrid w:val="0"/>
              <w:spacing w:line="360" w:lineRule="auto"/>
              <w:ind w:firstLine="480" w:firstLineChars="200"/>
              <w:rPr>
                <w:rFonts w:hint="default"/>
                <w:b/>
                <w:bCs/>
                <w:color w:val="auto"/>
                <w:sz w:val="24"/>
                <w:highlight w:val="none"/>
              </w:rPr>
            </w:pPr>
            <w:r>
              <w:rPr>
                <w:rFonts w:ascii="Times New Roman" w:eastAsia="宋体" w:hAnsi="Times New Roman" w:cs="Times New Roman" w:hint="default"/>
                <w:b/>
                <w:bCs/>
                <w:color w:val="auto"/>
                <w:sz w:val="24"/>
                <w:highlight w:val="none"/>
              </w:rPr>
              <w:t>1、国省考断面</w:t>
            </w:r>
          </w:p>
          <w:p>
            <w:pPr>
              <w:adjustRightInd w:val="0"/>
              <w:snapToGrid w:val="0"/>
              <w:spacing w:after="0" w:line="360" w:lineRule="auto"/>
              <w:ind w:firstLine="480" w:firstLineChars="200"/>
              <w:rPr>
                <w:rFonts w:hint="default"/>
                <w:color w:val="auto"/>
                <w:sz w:val="24"/>
                <w:highlight w:val="none"/>
              </w:rPr>
            </w:pPr>
          </w:p>
        </w:tc>
      </w:tr>
    </w:tbl>
    <w:p>
      <w:pPr>
        <w:sectPr>
          <w:footerReference w:type="even" r:id="rId68"/>
          <w:footerReference w:type="default" r:id="rId69"/>
          <w:type w:val="nextPage"/>
          <w:pgSz w:w="11907" w:h="16840"/>
          <w:pgMar w:top="1701" w:right="1531" w:bottom="2127" w:left="1531" w:header="851" w:footer="851" w:gutter="0"/>
          <w:pgBorders>
            <w:top w:val="none" w:sz="0" w:space="0" w:color="auto"/>
            <w:left w:val="none" w:sz="0" w:space="0" w:color="auto"/>
            <w:bottom w:val="none" w:sz="0" w:space="0" w:color="auto"/>
            <w:right w:val="none" w:sz="0" w:space="0" w:color="auto"/>
          </w:pgBorders>
          <w:pgNumType w:start="29"/>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00"/>
        <w:gridCol w:w="819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
          <w:jc w:val="center"/>
        </w:trPr>
        <w:tc>
          <w:tcPr>
            <w:tcW w:w="800" w:type="dxa"/>
            <w:vAlign w:val="center"/>
          </w:tcPr>
          <w:p/>
        </w:tc>
        <w:tc>
          <w:tcPr>
            <w:tcW w:w="8190" w:type="dxa"/>
            <w:vAlign w:val="center"/>
          </w:tcPr>
          <w:p>
            <w:pPr>
              <w:adjustRightInd w:val="0"/>
              <w:snapToGrid w:val="0"/>
              <w:spacing w:before="0" w:line="360" w:lineRule="auto"/>
              <w:ind w:firstLine="480" w:firstLineChars="200"/>
              <w:rPr>
                <w:rFonts w:hint="default"/>
                <w:color w:val="auto"/>
                <w:sz w:val="24"/>
                <w:highlight w:val="none"/>
              </w:rPr>
            </w:pPr>
            <w:r>
              <w:rPr>
                <w:rFonts w:ascii="Times New Roman" w:eastAsia="宋体" w:hAnsi="Times New Roman" w:cs="Times New Roman" w:hint="default"/>
                <w:color w:val="auto"/>
                <w:sz w:val="24"/>
                <w:highlight w:val="none"/>
              </w:rPr>
              <w:t>纳入“十四五”国家地表水环境质量考核的2个断面，年均水质均达Ⅱ类，达到或好于《地表水环境质量标准》（GB3838-2002）Ⅲ类标准的断面比例为100%。对照2022年生态环境部印发的江苏省生态环境指标计划，水质达到或好于Ⅲ类断面比例达到国家考核目标要求，与2021年相比，水质保持稳定。</w:t>
            </w:r>
          </w:p>
          <w:p>
            <w:pPr>
              <w:adjustRightInd w:val="0"/>
              <w:snapToGrid w:val="0"/>
              <w:spacing w:line="360" w:lineRule="auto"/>
              <w:ind w:firstLine="480" w:firstLineChars="200"/>
              <w:rPr>
                <w:rFonts w:hint="eastAsia"/>
                <w:color w:val="auto"/>
                <w:sz w:val="24"/>
                <w:highlight w:val="none"/>
              </w:rPr>
            </w:pPr>
            <w:r>
              <w:rPr>
                <w:rFonts w:ascii="Times New Roman" w:eastAsia="宋体" w:hAnsi="Times New Roman" w:cs="Times New Roman" w:hint="default"/>
                <w:color w:val="auto"/>
                <w:sz w:val="24"/>
                <w:highlight w:val="none"/>
              </w:rPr>
              <w:t>纳入江苏省“十四五”水环境质量考核的8个地表水断面(含国考断面)中，年均水质达到或好于Ⅲ类断面比例为100%。对照2022年省定工作目标，水质达到或好于Ⅲ类断面比例均达到省级考核目标要求，与2021年相比，水质保持稳定</w:t>
            </w:r>
            <w:r>
              <w:rPr>
                <w:rFonts w:ascii="Times New Roman" w:eastAsia="宋体" w:hAnsi="Times New Roman" w:cs="Times New Roman" w:hint="eastAsia"/>
                <w:color w:val="auto"/>
                <w:sz w:val="24"/>
                <w:highlight w:val="none"/>
                <w:lang w:eastAsia="zh-CN"/>
              </w:rPr>
              <w:t>。</w:t>
            </w:r>
          </w:p>
          <w:p>
            <w:pPr>
              <w:adjustRightInd w:val="0"/>
              <w:snapToGrid w:val="0"/>
              <w:spacing w:line="360" w:lineRule="auto"/>
              <w:ind w:firstLine="480" w:firstLineChars="200"/>
              <w:rPr>
                <w:rFonts w:hint="default"/>
                <w:b/>
                <w:bCs/>
                <w:color w:val="auto"/>
                <w:sz w:val="24"/>
                <w:highlight w:val="none"/>
              </w:rPr>
            </w:pPr>
            <w:r>
              <w:rPr>
                <w:rFonts w:ascii="Times New Roman" w:eastAsia="宋体" w:hAnsi="Times New Roman" w:cs="Times New Roman" w:hint="default"/>
                <w:b/>
                <w:bCs/>
                <w:color w:val="auto"/>
                <w:sz w:val="24"/>
                <w:highlight w:val="none"/>
              </w:rPr>
              <w:t>2、饮用水源</w:t>
            </w:r>
          </w:p>
          <w:p>
            <w:pPr>
              <w:adjustRightInd w:val="0"/>
              <w:snapToGrid w:val="0"/>
              <w:spacing w:line="360" w:lineRule="auto"/>
              <w:ind w:firstLine="480" w:firstLineChars="200"/>
              <w:rPr>
                <w:rFonts w:hint="default"/>
                <w:color w:val="auto"/>
                <w:sz w:val="24"/>
                <w:highlight w:val="none"/>
              </w:rPr>
            </w:pPr>
            <w:r>
              <w:rPr>
                <w:rFonts w:ascii="Times New Roman" w:eastAsia="宋体" w:hAnsi="Times New Roman" w:cs="Times New Roman" w:hint="default"/>
                <w:color w:val="auto"/>
                <w:sz w:val="24"/>
                <w:highlight w:val="none"/>
              </w:rPr>
              <w:t>根据《江苏省2022年水生态环境保护工作计划》（苏水治办〔2022〕5号），滨海县共2个县级及以上城市集中式饮用水水源地。2022年取水总量约为9334.5万吨，主要取水水源中山河和通榆河取水量分别约占取水总量的46.7%和53.3%。</w:t>
            </w:r>
          </w:p>
          <w:p>
            <w:pPr>
              <w:adjustRightInd w:val="0"/>
              <w:snapToGrid w:val="0"/>
              <w:spacing w:line="360" w:lineRule="auto"/>
              <w:ind w:firstLine="480" w:firstLineChars="200"/>
              <w:rPr>
                <w:rFonts w:hint="default"/>
                <w:color w:val="auto"/>
                <w:sz w:val="24"/>
                <w:highlight w:val="none"/>
              </w:rPr>
            </w:pPr>
            <w:r>
              <w:rPr>
                <w:rFonts w:ascii="Times New Roman" w:eastAsia="宋体" w:hAnsi="Times New Roman" w:cs="Times New Roman" w:hint="default"/>
                <w:color w:val="auto"/>
                <w:sz w:val="24"/>
                <w:highlight w:val="none"/>
              </w:rPr>
              <w:t>依据《地表水环境质量标准》（GB3838-2002）评价，2个水源地全年各次监测均达标。全县县级及以上城市集中式饮用水水源地达标（达到或好于Ⅲ类标准）水量约为9334.5万吨。</w:t>
            </w:r>
          </w:p>
          <w:p>
            <w:pPr>
              <w:spacing w:line="360" w:lineRule="auto"/>
              <w:rPr>
                <w:b/>
                <w:bCs/>
                <w:color w:val="auto"/>
                <w:sz w:val="24"/>
                <w:highlight w:val="none"/>
              </w:rPr>
            </w:pPr>
            <w:r>
              <w:rPr>
                <w:rFonts w:ascii="Times New Roman" w:eastAsia="宋体" w:hAnsi="Times New Roman" w:cs="Times New Roman" w:hint="eastAsia"/>
                <w:b/>
                <w:bCs/>
                <w:color w:val="auto"/>
                <w:sz w:val="24"/>
                <w:highlight w:val="none"/>
              </w:rPr>
              <w:t xml:space="preserve">3.4 </w:t>
            </w:r>
            <w:r>
              <w:rPr>
                <w:rFonts w:ascii="Times New Roman" w:eastAsia="宋体" w:hAnsi="Times New Roman" w:cs="Times New Roman"/>
                <w:b/>
                <w:bCs/>
                <w:color w:val="auto"/>
                <w:sz w:val="24"/>
                <w:highlight w:val="none"/>
              </w:rPr>
              <w:t>声环境质量</w:t>
            </w:r>
          </w:p>
          <w:p>
            <w:pPr>
              <w:spacing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rPr>
              <w:t>根据滨海县生态环境局发布的《2022年滨海县生态环境状况公报》</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hint="eastAsia"/>
                <w:color w:val="auto"/>
                <w:sz w:val="24"/>
                <w:highlight w:val="none"/>
              </w:rPr>
              <w:t>2022年，全县功能区声环境质量保持稳定，昼间区域声环境质量有所改善，道路交通噪声质量略有下降。项目所在地属声环境质量达标区域</w:t>
            </w:r>
            <w:r>
              <w:rPr>
                <w:rFonts w:ascii="Times New Roman" w:eastAsia="宋体" w:hAnsi="Times New Roman" w:cs="Times New Roman" w:hint="eastAsia"/>
                <w:color w:val="auto"/>
                <w:sz w:val="24"/>
                <w:highlight w:val="none"/>
                <w:lang w:eastAsia="zh-CN"/>
              </w:rPr>
              <w:t>。</w:t>
            </w:r>
          </w:p>
          <w:p>
            <w:pPr>
              <w:spacing w:line="360" w:lineRule="auto"/>
              <w:ind w:firstLine="480" w:firstLineChars="200"/>
              <w:rPr>
                <w:rFonts w:hint="eastAsia"/>
                <w:b/>
                <w:bCs/>
                <w:color w:val="auto"/>
                <w:sz w:val="24"/>
                <w:highlight w:val="none"/>
              </w:rPr>
            </w:pPr>
            <w:r>
              <w:rPr>
                <w:rFonts w:ascii="Times New Roman" w:eastAsia="宋体" w:hAnsi="Times New Roman" w:cs="Times New Roman" w:hint="eastAsia"/>
                <w:b/>
                <w:bCs/>
                <w:color w:val="auto"/>
                <w:sz w:val="24"/>
                <w:highlight w:val="none"/>
              </w:rPr>
              <w:t>（1）区域声环境</w:t>
            </w:r>
          </w:p>
          <w:p>
            <w:pPr>
              <w:spacing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rPr>
              <w:t>全县昼间区域环境噪声平均等效声级为56.3dB（A），同比下降0.3dB（A），处于昼间区域环境噪声三级（一般）水平，声强水平与上年保持一致。昼间区域环境噪声平均等效声级介于47.5～67.3 dB（A）间。影响城市昼间区域声环境质量的主要声源是社会生活噪声，所占比例为41.3%，其余依次为交通噪声、工业噪声和施工噪声，所占比例分别为32.6%、24.6%和1.4%。</w:t>
            </w:r>
          </w:p>
          <w:p>
            <w:pPr>
              <w:spacing w:line="360" w:lineRule="auto"/>
              <w:ind w:firstLine="480" w:firstLineChars="200"/>
              <w:rPr>
                <w:rFonts w:hint="eastAsia"/>
                <w:b/>
                <w:bCs/>
                <w:color w:val="auto"/>
                <w:sz w:val="24"/>
                <w:highlight w:val="none"/>
              </w:rPr>
            </w:pPr>
            <w:r>
              <w:rPr>
                <w:rFonts w:ascii="Times New Roman" w:eastAsia="宋体" w:hAnsi="Times New Roman" w:cs="Times New Roman" w:hint="eastAsia"/>
                <w:b/>
                <w:bCs/>
                <w:color w:val="auto"/>
                <w:sz w:val="24"/>
                <w:highlight w:val="none"/>
              </w:rPr>
              <w:t>（2）功能区声环境</w:t>
            </w:r>
          </w:p>
          <w:p>
            <w:pPr>
              <w:spacing w:after="0" w:line="360" w:lineRule="auto"/>
              <w:ind w:firstLine="480" w:firstLineChars="200"/>
              <w:rPr>
                <w:rFonts w:hint="eastAsia"/>
                <w:color w:val="auto"/>
                <w:sz w:val="24"/>
                <w:highlight w:val="none"/>
              </w:rPr>
            </w:pPr>
          </w:p>
        </w:tc>
      </w:tr>
    </w:tbl>
    <w:p>
      <w:pPr>
        <w:sectPr>
          <w:footerReference w:type="even" r:id="rId70"/>
          <w:footerReference w:type="default" r:id="rId71"/>
          <w:type w:val="nextPage"/>
          <w:pgSz w:w="11907" w:h="16840"/>
          <w:pgMar w:top="1701" w:right="1531" w:bottom="2127" w:left="1531" w:header="851" w:footer="851" w:gutter="0"/>
          <w:pgBorders>
            <w:top w:val="none" w:sz="0" w:space="0" w:color="auto"/>
            <w:left w:val="none" w:sz="0" w:space="0" w:color="auto"/>
            <w:bottom w:val="none" w:sz="0" w:space="0" w:color="auto"/>
            <w:right w:val="none" w:sz="0" w:space="0" w:color="auto"/>
          </w:pgBorders>
          <w:pgNumType w:start="30"/>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800"/>
        <w:gridCol w:w="8190"/>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
          <w:jc w:val="center"/>
        </w:trPr>
        <w:tc>
          <w:tcPr>
            <w:tcW w:w="800" w:type="dxa"/>
            <w:vAlign w:val="center"/>
          </w:tcPr>
          <w:p/>
        </w:tc>
        <w:tc>
          <w:tcPr>
            <w:tcW w:w="8190" w:type="dxa"/>
            <w:vAlign w:val="center"/>
          </w:tcPr>
          <w:p>
            <w:pPr>
              <w:spacing w:before="0" w:line="360" w:lineRule="auto"/>
              <w:ind w:firstLine="480" w:firstLineChars="200"/>
              <w:rPr>
                <w:rFonts w:hint="eastAsia"/>
                <w:color w:val="auto"/>
                <w:sz w:val="24"/>
                <w:highlight w:val="none"/>
              </w:rPr>
            </w:pPr>
            <w:r>
              <w:rPr>
                <w:rFonts w:ascii="Times New Roman" w:eastAsia="宋体" w:hAnsi="Times New Roman" w:cs="Times New Roman" w:hint="eastAsia"/>
                <w:color w:val="auto"/>
                <w:sz w:val="24"/>
                <w:highlight w:val="none"/>
              </w:rPr>
              <w:t>依据《声环境质量标准》（GB3096-2008）评价，全县8个功能区声环境噪声昼间、夜间平均达标率均为100%。与2021年相比，功能区噪声昼间和夜间总体达标率保持稳定。</w:t>
            </w:r>
          </w:p>
          <w:p>
            <w:pPr>
              <w:spacing w:line="360" w:lineRule="auto"/>
              <w:ind w:firstLine="480" w:firstLineChars="200"/>
              <w:rPr>
                <w:rFonts w:hint="eastAsia"/>
                <w:b/>
                <w:bCs/>
                <w:color w:val="auto"/>
                <w:sz w:val="24"/>
                <w:highlight w:val="none"/>
              </w:rPr>
            </w:pPr>
            <w:r>
              <w:rPr>
                <w:rFonts w:ascii="Times New Roman" w:eastAsia="宋体" w:hAnsi="Times New Roman" w:cs="Times New Roman" w:hint="eastAsia"/>
                <w:b/>
                <w:bCs/>
                <w:color w:val="auto"/>
                <w:sz w:val="24"/>
                <w:highlight w:val="none"/>
              </w:rPr>
              <w:t>（3）道路交通声环境</w:t>
            </w:r>
          </w:p>
          <w:p>
            <w:pPr>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rPr>
              <w:t>全县昼间道路交通噪声平均等效声级63.4dB(A)，道路交通噪声强度等级为一级，声环境质量较好。23个道路交通噪声测点的平均等效声级介于57.8～69.9dB(A)之间。与2021年相比，昼间平均等效声级上升0.3分贝，道路交通声环境总体保持稳定。</w:t>
            </w:r>
          </w:p>
          <w:p>
            <w:pPr>
              <w:pStyle w:val="BodyText"/>
              <w:spacing w:before="0" w:after="0" w:line="360" w:lineRule="auto"/>
              <w:ind w:right="0" w:firstLine="480" w:firstLineChars="200"/>
              <w:rPr>
                <w:rFonts w:ascii="Times New Roman" w:eastAsia="宋体" w:hAnsi="Times New Roman" w:cs="Times New Roman"/>
                <w:bCs/>
                <w:color w:val="auto"/>
                <w:kern w:val="2"/>
                <w:sz w:val="24"/>
                <w:szCs w:val="24"/>
                <w:highlight w:val="none"/>
              </w:rPr>
            </w:pPr>
            <w:r>
              <w:rPr>
                <w:rFonts w:ascii="Times New Roman" w:eastAsia="宋体" w:hAnsi="Times New Roman" w:cs="Times New Roman"/>
                <w:bCs/>
                <w:color w:val="auto"/>
                <w:kern w:val="2"/>
                <w:sz w:val="24"/>
                <w:szCs w:val="24"/>
                <w:highlight w:val="none"/>
              </w:rPr>
              <w:t>根据江苏蓝天环境检测技术有限公司于</w:t>
            </w:r>
            <w:r>
              <w:rPr>
                <w:rFonts w:ascii="Times New Roman" w:eastAsia="宋体" w:hAnsi="Times New Roman" w:cs="Times New Roman" w:hint="eastAsia"/>
                <w:bCs/>
                <w:color w:val="auto"/>
                <w:kern w:val="2"/>
                <w:sz w:val="24"/>
                <w:szCs w:val="24"/>
                <w:highlight w:val="none"/>
              </w:rPr>
              <w:t>202</w:t>
            </w:r>
            <w:r>
              <w:rPr>
                <w:rFonts w:ascii="Times New Roman" w:eastAsia="宋体" w:hAnsi="Times New Roman" w:cs="Times New Roman" w:hint="eastAsia"/>
                <w:bCs/>
                <w:color w:val="auto"/>
                <w:kern w:val="2"/>
                <w:sz w:val="24"/>
                <w:szCs w:val="24"/>
                <w:highlight w:val="none"/>
                <w:lang w:val="en-US" w:eastAsia="zh-CN"/>
              </w:rPr>
              <w:t>3</w:t>
            </w:r>
            <w:r>
              <w:rPr>
                <w:rFonts w:ascii="Times New Roman" w:eastAsia="宋体" w:hAnsi="Times New Roman" w:cs="Times New Roman"/>
                <w:bCs/>
                <w:color w:val="auto"/>
                <w:kern w:val="2"/>
                <w:sz w:val="24"/>
                <w:szCs w:val="24"/>
                <w:highlight w:val="none"/>
              </w:rPr>
              <w:t>年</w:t>
            </w:r>
            <w:r>
              <w:rPr>
                <w:rFonts w:ascii="Times New Roman" w:eastAsia="宋体" w:hAnsi="Times New Roman" w:cs="Times New Roman" w:hint="eastAsia"/>
                <w:bCs/>
                <w:color w:val="auto"/>
                <w:kern w:val="2"/>
                <w:sz w:val="24"/>
                <w:szCs w:val="24"/>
                <w:highlight w:val="none"/>
                <w:lang w:val="en-US" w:eastAsia="zh-CN"/>
              </w:rPr>
              <w:t>4</w:t>
            </w:r>
            <w:r>
              <w:rPr>
                <w:rFonts w:ascii="Times New Roman" w:eastAsia="宋体" w:hAnsi="Times New Roman" w:cs="Times New Roman"/>
                <w:bCs/>
                <w:color w:val="auto"/>
                <w:kern w:val="2"/>
                <w:sz w:val="24"/>
                <w:szCs w:val="24"/>
                <w:highlight w:val="none"/>
              </w:rPr>
              <w:t>月</w:t>
            </w:r>
            <w:r>
              <w:rPr>
                <w:rFonts w:ascii="Times New Roman" w:eastAsia="宋体" w:hAnsi="Times New Roman" w:cs="Times New Roman" w:hint="eastAsia"/>
                <w:bCs/>
                <w:color w:val="auto"/>
                <w:kern w:val="2"/>
                <w:sz w:val="24"/>
                <w:szCs w:val="24"/>
                <w:highlight w:val="none"/>
                <w:lang w:val="en-US" w:eastAsia="zh-CN"/>
              </w:rPr>
              <w:t>18</w:t>
            </w:r>
            <w:r>
              <w:rPr>
                <w:rFonts w:ascii="Times New Roman" w:eastAsia="宋体" w:hAnsi="Times New Roman" w:cs="Times New Roman"/>
                <w:bCs/>
                <w:color w:val="auto"/>
                <w:kern w:val="2"/>
                <w:sz w:val="24"/>
                <w:szCs w:val="24"/>
                <w:highlight w:val="none"/>
              </w:rPr>
              <w:t>日~202</w:t>
            </w:r>
            <w:r>
              <w:rPr>
                <w:rFonts w:ascii="Times New Roman" w:eastAsia="宋体" w:hAnsi="Times New Roman" w:cs="Times New Roman" w:hint="eastAsia"/>
                <w:bCs/>
                <w:color w:val="auto"/>
                <w:kern w:val="2"/>
                <w:sz w:val="24"/>
                <w:szCs w:val="24"/>
                <w:highlight w:val="none"/>
                <w:lang w:val="en-US" w:eastAsia="zh-CN"/>
              </w:rPr>
              <w:t>3</w:t>
            </w:r>
            <w:r>
              <w:rPr>
                <w:rFonts w:ascii="Times New Roman" w:eastAsia="宋体" w:hAnsi="Times New Roman" w:cs="Times New Roman"/>
                <w:bCs/>
                <w:color w:val="auto"/>
                <w:kern w:val="2"/>
                <w:sz w:val="24"/>
                <w:szCs w:val="24"/>
                <w:highlight w:val="none"/>
              </w:rPr>
              <w:t>年</w:t>
            </w:r>
            <w:r>
              <w:rPr>
                <w:rFonts w:ascii="Times New Roman" w:eastAsia="宋体" w:hAnsi="Times New Roman" w:cs="Times New Roman" w:hint="eastAsia"/>
                <w:bCs/>
                <w:color w:val="auto"/>
                <w:kern w:val="2"/>
                <w:sz w:val="24"/>
                <w:szCs w:val="24"/>
                <w:highlight w:val="none"/>
                <w:lang w:val="en-US" w:eastAsia="zh-CN"/>
              </w:rPr>
              <w:t>4</w:t>
            </w:r>
            <w:r>
              <w:rPr>
                <w:rFonts w:ascii="Times New Roman" w:eastAsia="宋体" w:hAnsi="Times New Roman" w:cs="Times New Roman"/>
                <w:bCs/>
                <w:color w:val="auto"/>
                <w:kern w:val="2"/>
                <w:sz w:val="24"/>
                <w:szCs w:val="24"/>
                <w:highlight w:val="none"/>
              </w:rPr>
              <w:t>月2</w:t>
            </w:r>
            <w:r>
              <w:rPr>
                <w:rFonts w:ascii="Times New Roman" w:eastAsia="宋体" w:hAnsi="Times New Roman" w:cs="Times New Roman" w:hint="eastAsia"/>
                <w:bCs/>
                <w:color w:val="auto"/>
                <w:kern w:val="2"/>
                <w:sz w:val="24"/>
                <w:szCs w:val="24"/>
                <w:highlight w:val="none"/>
                <w:lang w:val="en-US" w:eastAsia="zh-CN"/>
              </w:rPr>
              <w:t>0</w:t>
            </w:r>
            <w:r>
              <w:rPr>
                <w:rFonts w:ascii="Times New Roman" w:eastAsia="宋体" w:hAnsi="Times New Roman" w:cs="Times New Roman"/>
                <w:bCs/>
                <w:color w:val="auto"/>
                <w:kern w:val="2"/>
                <w:sz w:val="24"/>
                <w:szCs w:val="24"/>
                <w:highlight w:val="none"/>
              </w:rPr>
              <w:t>日对项目所在地场界外1米，高度1.2米处及周边敏感点进行昼间、夜间声环境本底监测的数据，报告编号</w:t>
            </w:r>
            <w:r>
              <w:rPr>
                <w:rFonts w:ascii="Times New Roman" w:eastAsia="宋体" w:hAnsi="Times New Roman" w:cs="Times New Roman" w:hint="eastAsia"/>
                <w:bCs/>
                <w:color w:val="auto"/>
                <w:kern w:val="2"/>
                <w:sz w:val="24"/>
                <w:szCs w:val="24"/>
                <w:highlight w:val="none"/>
              </w:rPr>
              <w:t>：</w:t>
            </w:r>
            <w:r>
              <w:rPr>
                <w:rFonts w:ascii="Times New Roman" w:eastAsia="宋体" w:hAnsi="Times New Roman" w:cs="Times New Roman"/>
                <w:bCs/>
                <w:color w:val="auto"/>
                <w:kern w:val="2"/>
                <w:sz w:val="24"/>
                <w:szCs w:val="24"/>
                <w:highlight w:val="none"/>
              </w:rPr>
              <w:t>LT</w:t>
            </w:r>
            <w:r>
              <w:rPr>
                <w:rFonts w:ascii="Times New Roman" w:eastAsia="宋体" w:hAnsi="Times New Roman" w:cs="Times New Roman" w:hint="eastAsia"/>
                <w:bCs/>
                <w:color w:val="auto"/>
                <w:kern w:val="2"/>
                <w:sz w:val="24"/>
                <w:szCs w:val="24"/>
                <w:highlight w:val="none"/>
              </w:rPr>
              <w:t>2</w:t>
            </w:r>
            <w:r>
              <w:rPr>
                <w:rFonts w:ascii="Times New Roman" w:eastAsia="宋体" w:hAnsi="Times New Roman" w:cs="Times New Roman" w:hint="eastAsia"/>
                <w:bCs/>
                <w:color w:val="auto"/>
                <w:kern w:val="2"/>
                <w:sz w:val="24"/>
                <w:szCs w:val="24"/>
                <w:highlight w:val="none"/>
                <w:lang w:val="en-US" w:eastAsia="zh-CN"/>
              </w:rPr>
              <w:t>3384</w:t>
            </w:r>
            <w:r>
              <w:rPr>
                <w:rFonts w:ascii="Times New Roman" w:eastAsia="宋体" w:hAnsi="Times New Roman" w:cs="Times New Roman"/>
                <w:bCs/>
                <w:color w:val="auto"/>
                <w:kern w:val="2"/>
                <w:sz w:val="24"/>
                <w:szCs w:val="24"/>
                <w:highlight w:val="none"/>
              </w:rPr>
              <w:t>号。项目所在地及敏感点声级满足《声环境质量标准》</w:t>
            </w:r>
            <w:r>
              <w:rPr>
                <w:rFonts w:ascii="Times New Roman" w:eastAsia="宋体" w:hAnsi="Times New Roman" w:cs="Times New Roman" w:hint="eastAsia"/>
                <w:bCs/>
                <w:color w:val="auto"/>
                <w:kern w:val="2"/>
                <w:sz w:val="24"/>
                <w:szCs w:val="24"/>
                <w:highlight w:val="none"/>
                <w:lang w:eastAsia="zh-CN"/>
              </w:rPr>
              <w:t>（</w:t>
            </w:r>
            <w:r>
              <w:rPr>
                <w:rFonts w:ascii="Times New Roman" w:eastAsia="宋体" w:hAnsi="Times New Roman" w:cs="Times New Roman"/>
                <w:bCs/>
                <w:color w:val="auto"/>
                <w:kern w:val="2"/>
                <w:sz w:val="24"/>
                <w:szCs w:val="24"/>
                <w:highlight w:val="none"/>
              </w:rPr>
              <w:t>GB3096-2008</w:t>
            </w:r>
            <w:r>
              <w:rPr>
                <w:rFonts w:ascii="Times New Roman" w:eastAsia="宋体" w:hAnsi="Times New Roman" w:cs="Times New Roman" w:hint="eastAsia"/>
                <w:bCs/>
                <w:color w:val="auto"/>
                <w:kern w:val="2"/>
                <w:sz w:val="24"/>
                <w:szCs w:val="24"/>
                <w:highlight w:val="none"/>
                <w:lang w:eastAsia="zh-CN"/>
              </w:rPr>
              <w:t>）</w:t>
            </w:r>
            <w:r>
              <w:rPr>
                <w:rFonts w:ascii="Times New Roman" w:eastAsia="宋体" w:hAnsi="Times New Roman" w:cs="Times New Roman"/>
                <w:bCs/>
                <w:color w:val="auto"/>
                <w:kern w:val="2"/>
                <w:sz w:val="24"/>
                <w:szCs w:val="24"/>
                <w:highlight w:val="none"/>
              </w:rPr>
              <w:t>2 类标准。</w:t>
            </w:r>
          </w:p>
          <w:p>
            <w:pPr>
              <w:autoSpaceDE w:val="0"/>
              <w:autoSpaceDN w:val="0"/>
              <w:adjustRightInd w:val="0"/>
              <w:snapToGrid w:val="0"/>
              <w:spacing w:line="360" w:lineRule="auto"/>
              <w:ind w:firstLine="480" w:firstLineChars="200"/>
              <w:rPr>
                <w:b/>
                <w:bCs/>
                <w:color w:val="auto"/>
                <w:sz w:val="24"/>
                <w:highlight w:val="none"/>
              </w:rPr>
            </w:pPr>
            <w:r>
              <w:rPr>
                <w:rFonts w:ascii="Times New Roman" w:eastAsia="宋体" w:hAnsi="Times New Roman" w:cs="Times New Roman"/>
                <w:b/>
                <w:bCs/>
                <w:color w:val="auto"/>
                <w:sz w:val="24"/>
                <w:highlight w:val="none"/>
              </w:rPr>
              <w:t>（一）声环境质量现状评价内容</w:t>
            </w:r>
          </w:p>
          <w:p>
            <w:pPr>
              <w:autoSpaceDE w:val="0"/>
              <w:autoSpaceDN w:val="0"/>
              <w:adjustRightInd w:val="0"/>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根据《环境影响评价技术导则声环境》HJ2.4-2</w:t>
            </w:r>
            <w:r>
              <w:rPr>
                <w:rFonts w:ascii="Times New Roman" w:eastAsia="宋体" w:hAnsi="Times New Roman" w:cs="Times New Roman" w:hint="eastAsia"/>
                <w:color w:val="auto"/>
                <w:sz w:val="24"/>
                <w:highlight w:val="none"/>
                <w:lang w:val="en-US" w:eastAsia="zh-CN"/>
              </w:rPr>
              <w:t>021</w:t>
            </w:r>
            <w:r>
              <w:rPr>
                <w:rFonts w:ascii="Times New Roman" w:eastAsia="宋体" w:hAnsi="Times New Roman" w:cs="Times New Roman"/>
                <w:color w:val="auto"/>
                <w:sz w:val="24"/>
                <w:highlight w:val="none"/>
              </w:rPr>
              <w:t>，声环境质量现状评价内容如下：</w:t>
            </w:r>
          </w:p>
          <w:p>
            <w:pPr>
              <w:autoSpaceDE w:val="0"/>
              <w:autoSpaceDN w:val="0"/>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1</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评价范围内现有噪声敏感区、保护目标的分布情况、噪声功能区的划分。</w:t>
            </w:r>
          </w:p>
          <w:p>
            <w:pPr>
              <w:autoSpaceDE w:val="0"/>
              <w:autoSpaceDN w:val="0"/>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2</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环境噪声现状的调查和测量方法</w:t>
            </w:r>
          </w:p>
          <w:p>
            <w:pPr>
              <w:autoSpaceDE w:val="0"/>
              <w:autoSpaceDN w:val="0"/>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3</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评价范围内现有噪声源种类、数量及相应的噪声级、噪声特性、主要噪声源分析</w:t>
            </w:r>
          </w:p>
          <w:p>
            <w:pPr>
              <w:autoSpaceDE w:val="0"/>
              <w:autoSpaceDN w:val="0"/>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4</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评价范围内环境噪声现状包括: 各功能区的噪声级、超标情况及主要噪声源，边界噪声级、超标情况及主要噪声源。</w:t>
            </w:r>
          </w:p>
          <w:p>
            <w:pPr>
              <w:autoSpaceDE w:val="0"/>
              <w:autoSpaceDN w:val="0"/>
              <w:adjustRightInd w:val="0"/>
              <w:snapToGrid w:val="0"/>
              <w:spacing w:line="360" w:lineRule="auto"/>
              <w:ind w:firstLine="480" w:firstLineChars="200"/>
              <w:rPr>
                <w:color w:val="auto"/>
                <w:sz w:val="24"/>
                <w:highlight w:val="none"/>
              </w:rPr>
            </w:pP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5</w:t>
            </w:r>
            <w:r>
              <w:rPr>
                <w:rFonts w:ascii="Times New Roman" w:eastAsia="宋体" w:hAnsi="Times New Roman" w:cs="Times New Roman" w:hint="eastAsia"/>
                <w:color w:val="auto"/>
                <w:sz w:val="24"/>
                <w:highlight w:val="none"/>
                <w:lang w:eastAsia="zh-CN"/>
              </w:rPr>
              <w:t>）</w:t>
            </w:r>
            <w:r>
              <w:rPr>
                <w:rFonts w:ascii="Times New Roman" w:eastAsia="宋体" w:hAnsi="Times New Roman" w:cs="Times New Roman"/>
                <w:color w:val="auto"/>
                <w:sz w:val="24"/>
                <w:highlight w:val="none"/>
              </w:rPr>
              <w:t>受噪声影响的人口分布。</w:t>
            </w:r>
          </w:p>
          <w:p>
            <w:pPr>
              <w:autoSpaceDE w:val="0"/>
              <w:autoSpaceDN w:val="0"/>
              <w:adjustRightInd w:val="0"/>
              <w:snapToGrid w:val="0"/>
              <w:spacing w:line="360" w:lineRule="auto"/>
              <w:ind w:firstLine="480" w:firstLineChars="200"/>
              <w:rPr>
                <w:b/>
                <w:bCs/>
                <w:color w:val="auto"/>
                <w:sz w:val="24"/>
                <w:highlight w:val="none"/>
              </w:rPr>
            </w:pPr>
            <w:r>
              <w:rPr>
                <w:rFonts w:ascii="Times New Roman" w:eastAsia="宋体" w:hAnsi="Times New Roman" w:cs="Times New Roman"/>
                <w:b/>
                <w:bCs/>
                <w:color w:val="auto"/>
                <w:sz w:val="24"/>
                <w:highlight w:val="none"/>
              </w:rPr>
              <w:t>（二）环境噪声现状测量方法</w:t>
            </w:r>
          </w:p>
          <w:p>
            <w:pPr>
              <w:autoSpaceDE w:val="0"/>
              <w:autoSpaceDN w:val="0"/>
              <w:adjustRightInd w:val="0"/>
              <w:snapToGrid w:val="0"/>
              <w:spacing w:line="360" w:lineRule="auto"/>
              <w:ind w:firstLine="480" w:firstLineChars="200"/>
              <w:rPr>
                <w:color w:val="auto"/>
                <w:sz w:val="24"/>
                <w:highlight w:val="none"/>
              </w:rPr>
            </w:pPr>
            <w:r>
              <w:rPr>
                <w:rFonts w:ascii="Times New Roman" w:eastAsia="宋体" w:hAnsi="Times New Roman" w:cs="Times New Roman"/>
                <w:color w:val="auto"/>
                <w:sz w:val="24"/>
                <w:highlight w:val="none"/>
              </w:rPr>
              <w:t>噪声测点及测量方法见表3-</w:t>
            </w:r>
            <w:r>
              <w:rPr>
                <w:rFonts w:ascii="Times New Roman" w:eastAsia="宋体" w:hAnsi="Times New Roman" w:cs="Times New Roman" w:hint="eastAsia"/>
                <w:color w:val="auto"/>
                <w:sz w:val="24"/>
                <w:highlight w:val="none"/>
                <w:lang w:val="en-US" w:eastAsia="zh-CN"/>
              </w:rPr>
              <w:t>6</w:t>
            </w:r>
            <w:r>
              <w:rPr>
                <w:rFonts w:ascii="Times New Roman" w:eastAsia="宋体" w:hAnsi="Times New Roman" w:cs="Times New Roman"/>
                <w:color w:val="auto"/>
                <w:sz w:val="24"/>
                <w:highlight w:val="none"/>
              </w:rPr>
              <w:t>。</w:t>
            </w:r>
          </w:p>
          <w:p>
            <w:pPr>
              <w:snapToGrid w:val="0"/>
              <w:ind w:firstLine="480" w:firstLineChars="200"/>
              <w:jc w:val="center"/>
              <w:rPr>
                <w:b/>
                <w:bCs/>
                <w:color w:val="auto"/>
                <w:sz w:val="24"/>
                <w:highlight w:val="none"/>
              </w:rPr>
            </w:pPr>
            <w:r>
              <w:rPr>
                <w:rFonts w:ascii="Times New Roman" w:eastAsia="宋体" w:hAnsi="Times New Roman" w:cs="Times New Roman"/>
                <w:b/>
                <w:bCs/>
                <w:color w:val="auto"/>
                <w:sz w:val="24"/>
                <w:highlight w:val="none"/>
              </w:rPr>
              <w:t>表3-</w:t>
            </w:r>
            <w:r>
              <w:rPr>
                <w:rFonts w:ascii="Times New Roman" w:eastAsia="宋体" w:hAnsi="Times New Roman" w:cs="Times New Roman" w:hint="eastAsia"/>
                <w:b/>
                <w:bCs/>
                <w:color w:val="auto"/>
                <w:sz w:val="24"/>
                <w:highlight w:val="none"/>
                <w:lang w:val="en-US" w:eastAsia="zh-CN"/>
              </w:rPr>
              <w:t>6</w:t>
            </w:r>
            <w:r>
              <w:rPr>
                <w:rFonts w:ascii="Times New Roman" w:eastAsia="宋体" w:hAnsi="Times New Roman" w:cs="Times New Roman"/>
                <w:b/>
                <w:bCs/>
                <w:color w:val="auto"/>
                <w:sz w:val="24"/>
                <w:highlight w:val="none"/>
              </w:rPr>
              <w:t>环境噪声现状测量方法</w:t>
            </w:r>
          </w:p>
          <w:tbl>
            <w:tblPr>
              <w:tblStyle w:val="TableNormal"/>
              <w:tblW w:w="4998" w:type="pct"/>
              <w:tblInd w:w="5" w:type="dxa"/>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932"/>
              <w:gridCol w:w="996"/>
              <w:gridCol w:w="1082"/>
              <w:gridCol w:w="1100"/>
              <w:gridCol w:w="1274"/>
              <w:gridCol w:w="2587"/>
            </w:tblGrid>
            <w:tr>
              <w:tblPrEx>
                <w:tblW w:w="4998" w:type="pct"/>
                <w:tblInd w:w="5" w:type="dxa"/>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val="114"/>
              </w:trPr>
              <w:tc>
                <w:tcPr>
                  <w:tcW w:w="58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监测点号</w:t>
                  </w:r>
                </w:p>
              </w:tc>
              <w:tc>
                <w:tcPr>
                  <w:tcW w:w="62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监测点位置</w:t>
                  </w:r>
                </w:p>
              </w:tc>
              <w:tc>
                <w:tcPr>
                  <w:tcW w:w="678"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测量</w:t>
                  </w:r>
                </w:p>
              </w:tc>
              <w:tc>
                <w:tcPr>
                  <w:tcW w:w="690"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检测仪器</w:t>
                  </w:r>
                </w:p>
              </w:tc>
              <w:tc>
                <w:tcPr>
                  <w:tcW w:w="799"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测量方法</w:t>
                  </w:r>
                </w:p>
              </w:tc>
              <w:tc>
                <w:tcPr>
                  <w:tcW w:w="1622"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测量时间</w:t>
                  </w:r>
                </w:p>
              </w:tc>
            </w:tr>
            <w:tr>
              <w:tblPrEx>
                <w:tblW w:w="4998" w:type="pct"/>
                <w:tblInd w:w="5" w:type="dxa"/>
                <w:tblLayout w:type="fixed"/>
                <w:tblCellMar>
                  <w:top w:w="0" w:type="dxa"/>
                  <w:left w:w="108" w:type="dxa"/>
                  <w:bottom w:w="0" w:type="dxa"/>
                  <w:right w:w="108" w:type="dxa"/>
                </w:tblCellMar>
              </w:tblPrEx>
              <w:trPr>
                <w:trHeight w:val="408"/>
              </w:trPr>
              <w:tc>
                <w:tcPr>
                  <w:tcW w:w="58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Z1-Z</w:t>
                  </w:r>
                  <w:r>
                    <w:rPr>
                      <w:rFonts w:ascii="Times New Roman" w:eastAsia="宋体" w:hAnsi="Times New Roman" w:cs="Times New Roman" w:hint="eastAsia"/>
                      <w:color w:val="auto"/>
                      <w:szCs w:val="21"/>
                      <w:highlight w:val="none"/>
                    </w:rPr>
                    <w:t>5</w:t>
                  </w:r>
                </w:p>
              </w:tc>
              <w:tc>
                <w:tcPr>
                  <w:tcW w:w="624"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项目厂界</w:t>
                  </w:r>
                  <w:r>
                    <w:rPr>
                      <w:rStyle w:val="CommentReference"/>
                      <w:rFonts w:ascii="Times New Roman" w:eastAsia="宋体" w:hAnsi="Times New Roman" w:cs="Times New Roman"/>
                      <w:color w:val="auto"/>
                      <w:kern w:val="0"/>
                      <w:szCs w:val="20"/>
                      <w:highlight w:val="none"/>
                    </w:rPr>
                    <w:t>、敏感目标处</w:t>
                  </w:r>
                </w:p>
              </w:tc>
              <w:tc>
                <w:tcPr>
                  <w:tcW w:w="678" w:type="pct"/>
                  <w:tcBorders>
                    <w:tl2br w:val="nil"/>
                    <w:tr2bl w:val="nil"/>
                  </w:tcBorders>
                  <w:vAlign w:val="center"/>
                </w:tcPr>
                <w:p>
                  <w:pPr>
                    <w:jc w:val="center"/>
                    <w:rPr>
                      <w:rFonts w:hint="eastAsia"/>
                      <w:color w:val="auto"/>
                      <w:szCs w:val="21"/>
                      <w:highlight w:val="none"/>
                    </w:rPr>
                  </w:pPr>
                  <w:r>
                    <w:rPr>
                      <w:rFonts w:ascii="Times New Roman" w:eastAsia="宋体" w:hAnsi="Times New Roman" w:cs="Times New Roman"/>
                      <w:color w:val="auto"/>
                      <w:szCs w:val="21"/>
                      <w:highlight w:val="none"/>
                    </w:rPr>
                    <w:t>等效声级LeqdB</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color w:val="auto"/>
                      <w:szCs w:val="21"/>
                      <w:highlight w:val="none"/>
                    </w:rPr>
                    <w:t>A</w:t>
                  </w:r>
                  <w:r>
                    <w:rPr>
                      <w:rFonts w:ascii="Times New Roman" w:eastAsia="宋体" w:hAnsi="Times New Roman" w:cs="Times New Roman" w:hint="eastAsia"/>
                      <w:color w:val="auto"/>
                      <w:szCs w:val="21"/>
                      <w:highlight w:val="none"/>
                      <w:lang w:eastAsia="zh-CN"/>
                    </w:rPr>
                    <w:t>）</w:t>
                  </w:r>
                </w:p>
              </w:tc>
              <w:tc>
                <w:tcPr>
                  <w:tcW w:w="690" w:type="pct"/>
                  <w:tcBorders>
                    <w:tl2br w:val="nil"/>
                    <w:tr2bl w:val="nil"/>
                  </w:tcBorders>
                  <w:vAlign w:val="center"/>
                </w:tcPr>
                <w:p>
                  <w:pPr>
                    <w:jc w:val="center"/>
                    <w:rPr>
                      <w:color w:val="auto"/>
                      <w:szCs w:val="21"/>
                      <w:highlight w:val="none"/>
                    </w:rPr>
                  </w:pPr>
                  <w:r>
                    <w:rPr>
                      <w:rFonts w:ascii="Times New Roman" w:eastAsia="宋体" w:hAnsi="Times New Roman" w:cs="Times New Roman"/>
                      <w:color w:val="auto"/>
                      <w:szCs w:val="21"/>
                      <w:highlight w:val="none"/>
                    </w:rPr>
                    <w:t>AWA5688声级计</w:t>
                  </w:r>
                </w:p>
              </w:tc>
              <w:tc>
                <w:tcPr>
                  <w:tcW w:w="799" w:type="pct"/>
                  <w:tcBorders>
                    <w:tl2br w:val="nil"/>
                    <w:tr2bl w:val="nil"/>
                  </w:tcBorders>
                  <w:vAlign w:val="center"/>
                </w:tcPr>
                <w:p>
                  <w:pPr>
                    <w:spacing w:after="0"/>
                    <w:jc w:val="center"/>
                    <w:rPr>
                      <w:rFonts w:hint="eastAsia"/>
                      <w:color w:val="auto"/>
                      <w:szCs w:val="21"/>
                      <w:highlight w:val="none"/>
                    </w:rPr>
                  </w:pPr>
                  <w:r>
                    <w:rPr>
                      <w:rFonts w:ascii="Times New Roman" w:eastAsia="宋体" w:hAnsi="Times New Roman" w:cs="Times New Roman"/>
                      <w:color w:val="auto"/>
                      <w:szCs w:val="21"/>
                      <w:highlight w:val="none"/>
                    </w:rPr>
                    <w:t>《声环境质量标准》</w:t>
                  </w:r>
                  <w:r>
                    <w:rPr>
                      <w:rFonts w:ascii="Times New Roman" w:eastAsia="宋体" w:hAnsi="Times New Roman" w:cs="Times New Roman" w:hint="eastAsia"/>
                      <w:color w:val="auto"/>
                      <w:szCs w:val="21"/>
                      <w:highlight w:val="none"/>
                      <w:lang w:eastAsia="zh-CN"/>
                    </w:rPr>
                    <w:t>（</w:t>
                  </w:r>
                </w:p>
              </w:tc>
              <w:tc>
                <w:tcPr>
                  <w:tcW w:w="1622" w:type="pct"/>
                  <w:tcBorders>
                    <w:tl2br w:val="nil"/>
                    <w:tr2bl w:val="nil"/>
                  </w:tcBorders>
                  <w:vAlign w:val="center"/>
                </w:tcPr>
                <w:p>
                  <w:pPr>
                    <w:jc w:val="center"/>
                    <w:rPr>
                      <w:color w:val="auto"/>
                      <w:szCs w:val="21"/>
                      <w:highlight w:val="none"/>
                    </w:rPr>
                  </w:pPr>
                  <w:r>
                    <w:rPr>
                      <w:rFonts w:ascii="Times New Roman" w:eastAsia="宋体" w:hAnsi="Times New Roman" w:cs="Times New Roman" w:hint="eastAsia"/>
                      <w:color w:val="auto"/>
                      <w:szCs w:val="21"/>
                      <w:highlight w:val="none"/>
                    </w:rPr>
                    <w:t>202</w:t>
                  </w:r>
                  <w:r>
                    <w:rPr>
                      <w:rFonts w:ascii="Times New Roman" w:eastAsia="宋体" w:hAnsi="Times New Roman" w:cs="Times New Roman" w:hint="eastAsia"/>
                      <w:color w:val="auto"/>
                      <w:szCs w:val="21"/>
                      <w:highlight w:val="none"/>
                      <w:lang w:val="en-US" w:eastAsia="zh-CN"/>
                    </w:rPr>
                    <w:t>3</w:t>
                  </w:r>
                  <w:r>
                    <w:rPr>
                      <w:rFonts w:ascii="Times New Roman" w:eastAsia="宋体" w:hAnsi="Times New Roman" w:cs="Times New Roman"/>
                      <w:color w:val="auto"/>
                      <w:szCs w:val="21"/>
                      <w:highlight w:val="none"/>
                    </w:rPr>
                    <w:t>年</w:t>
                  </w:r>
                  <w:r>
                    <w:rPr>
                      <w:rFonts w:ascii="Times New Roman" w:eastAsia="宋体" w:hAnsi="Times New Roman" w:cs="Times New Roman" w:hint="eastAsia"/>
                      <w:color w:val="auto"/>
                      <w:szCs w:val="21"/>
                      <w:highlight w:val="none"/>
                      <w:lang w:val="en-US" w:eastAsia="zh-CN"/>
                    </w:rPr>
                    <w:t>4</w:t>
                  </w:r>
                  <w:r>
                    <w:rPr>
                      <w:rFonts w:ascii="Times New Roman" w:eastAsia="宋体" w:hAnsi="Times New Roman" w:cs="Times New Roman"/>
                      <w:color w:val="auto"/>
                      <w:szCs w:val="21"/>
                      <w:highlight w:val="none"/>
                    </w:rPr>
                    <w:t>月</w:t>
                  </w:r>
                  <w:r>
                    <w:rPr>
                      <w:rFonts w:ascii="Times New Roman" w:eastAsia="宋体" w:hAnsi="Times New Roman" w:cs="Times New Roman" w:hint="eastAsia"/>
                      <w:color w:val="auto"/>
                      <w:szCs w:val="21"/>
                      <w:highlight w:val="none"/>
                      <w:lang w:val="en-US" w:eastAsia="zh-CN"/>
                    </w:rPr>
                    <w:t>18</w:t>
                  </w:r>
                  <w:r>
                    <w:rPr>
                      <w:rFonts w:ascii="Times New Roman" w:eastAsia="宋体" w:hAnsi="Times New Roman" w:cs="Times New Roman"/>
                      <w:color w:val="auto"/>
                      <w:szCs w:val="21"/>
                      <w:highlight w:val="none"/>
                    </w:rPr>
                    <w:t>日至20</w:t>
                  </w:r>
                  <w:r>
                    <w:rPr>
                      <w:rFonts w:ascii="Times New Roman" w:eastAsia="宋体" w:hAnsi="Times New Roman" w:cs="Times New Roman" w:hint="eastAsia"/>
                      <w:color w:val="auto"/>
                      <w:szCs w:val="21"/>
                      <w:highlight w:val="none"/>
                    </w:rPr>
                    <w:t>2</w:t>
                  </w:r>
                  <w:r>
                    <w:rPr>
                      <w:rFonts w:ascii="Times New Roman" w:eastAsia="宋体" w:hAnsi="Times New Roman" w:cs="Times New Roman" w:hint="eastAsia"/>
                      <w:color w:val="auto"/>
                      <w:szCs w:val="21"/>
                      <w:highlight w:val="none"/>
                      <w:lang w:val="en-US" w:eastAsia="zh-CN"/>
                    </w:rPr>
                    <w:t>3</w:t>
                  </w:r>
                  <w:r>
                    <w:rPr>
                      <w:rFonts w:ascii="Times New Roman" w:eastAsia="宋体" w:hAnsi="Times New Roman" w:cs="Times New Roman"/>
                      <w:color w:val="auto"/>
                      <w:szCs w:val="21"/>
                      <w:highlight w:val="none"/>
                    </w:rPr>
                    <w:t>年</w:t>
                  </w:r>
                  <w:r>
                    <w:rPr>
                      <w:rFonts w:ascii="Times New Roman" w:eastAsia="宋体" w:hAnsi="Times New Roman" w:cs="Times New Roman" w:hint="eastAsia"/>
                      <w:color w:val="auto"/>
                      <w:szCs w:val="21"/>
                      <w:highlight w:val="none"/>
                      <w:lang w:val="en-US" w:eastAsia="zh-CN"/>
                    </w:rPr>
                    <w:t>4</w:t>
                  </w:r>
                  <w:r>
                    <w:rPr>
                      <w:rFonts w:ascii="Times New Roman" w:eastAsia="宋体" w:hAnsi="Times New Roman" w:cs="Times New Roman"/>
                      <w:color w:val="auto"/>
                      <w:szCs w:val="21"/>
                      <w:highlight w:val="none"/>
                    </w:rPr>
                    <w:t>月</w:t>
                  </w:r>
                  <w:r>
                    <w:rPr>
                      <w:rFonts w:ascii="Times New Roman" w:eastAsia="宋体" w:hAnsi="Times New Roman" w:cs="Times New Roman" w:hint="eastAsia"/>
                      <w:color w:val="auto"/>
                      <w:szCs w:val="21"/>
                      <w:highlight w:val="none"/>
                    </w:rPr>
                    <w:t>2</w:t>
                  </w:r>
                  <w:r>
                    <w:rPr>
                      <w:rFonts w:ascii="Times New Roman" w:eastAsia="宋体" w:hAnsi="Times New Roman" w:cs="Times New Roman" w:hint="eastAsia"/>
                      <w:color w:val="auto"/>
                      <w:szCs w:val="21"/>
                      <w:highlight w:val="none"/>
                      <w:lang w:val="en-US" w:eastAsia="zh-CN"/>
                    </w:rPr>
                    <w:t>0</w:t>
                  </w:r>
                  <w:r>
                    <w:rPr>
                      <w:rFonts w:ascii="Times New Roman" w:eastAsia="宋体" w:hAnsi="Times New Roman" w:cs="Times New Roman"/>
                      <w:color w:val="auto"/>
                      <w:szCs w:val="21"/>
                      <w:highlight w:val="none"/>
                    </w:rPr>
                    <w:t>日，连续</w:t>
                  </w:r>
                  <w:r>
                    <w:rPr>
                      <w:rFonts w:ascii="Times New Roman" w:eastAsia="宋体" w:hAnsi="Times New Roman" w:cs="Times New Roman" w:hint="eastAsia"/>
                      <w:color w:val="auto"/>
                      <w:szCs w:val="21"/>
                      <w:highlight w:val="none"/>
                      <w:lang w:val="en-US" w:eastAsia="zh-CN"/>
                    </w:rPr>
                    <w:t>三</w:t>
                  </w:r>
                  <w:r>
                    <w:rPr>
                      <w:rFonts w:ascii="Times New Roman" w:eastAsia="宋体" w:hAnsi="Times New Roman" w:cs="Times New Roman"/>
                      <w:color w:val="auto"/>
                      <w:szCs w:val="21"/>
                      <w:highlight w:val="none"/>
                    </w:rPr>
                    <w:t>日，每日昼、夜各一次。</w:t>
                  </w:r>
                </w:p>
              </w:tc>
            </w:tr>
          </w:tbl>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https://d.book118.com/888002137026006047</w:t>
        </w:r>
      </w:hyperlink>
    </w:p>
    <w:p/>
    <w:sectPr>
      <w:footerReference w:type="even" r:id="rId73"/>
      <w:footerReference w:type="default" r:id="rId74"/>
      <w:type w:val="nextPage"/>
      <w:pgSz w:w="11907" w:h="16840"/>
      <w:pgMar w:top="1701" w:right="1531" w:bottom="2127" w:left="1531" w:header="851" w:footer="851" w:gutter="0"/>
      <w:pgBorders>
        <w:top w:val="none" w:sz="0" w:space="0" w:color="auto"/>
        <w:left w:val="none" w:sz="0" w:space="0" w:color="auto"/>
        <w:bottom w:val="none" w:sz="0" w:space="0" w:color="auto"/>
        <w:right w:val="none" w:sz="0" w:space="0" w:color="auto"/>
      </w:pgBorders>
      <w:pgNumType w:start="31"/>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2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Sim Hei">
    <w:altName w:val="宋体"/>
    <w:panose1 w:val="00000000000000000000"/>
    <w:charset w:val="86"/>
    <w:family w:val="swiss"/>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38785" cy="230505"/>
              <wp:effectExtent l="0" t="0" r="0"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878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I</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34.55pt;height:18.15pt;margin-top:0;margin-left:0;mso-position-horizontal:outside;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I</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3"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41.05pt;height:18.15pt;margin-top:0;margin-left:0;mso-position-horizontal:outside;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77129133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41.05pt;height:18.15pt;margin-top:0;margin-left:0;mso-position-horizontal:outside;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366413205"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3</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41.05pt;height:18.15pt;margin-top:0;margin-left:0;mso-position-horizontal:outside;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3</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2033943949"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5</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41.05pt;height:18.15pt;margin-top:0;margin-left:0;mso-position-horizontal:outside;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5</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53534091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6</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41.05pt;height:18.15pt;margin-top:0;margin-left:0;mso-position-horizontal:outside;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6</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7408064"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6</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41.05pt;height:18.15pt;margin-top:0;margin-left:0;mso-position-horizontal:outside;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6</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07538619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8</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41.05pt;height:18.15pt;margin-top:0;margin-left:0;mso-position-horizontal:outside;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8</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82287409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8</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41.05pt;height:18.15pt;margin-top:0;margin-left:0;mso-position-horizontal:outside;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8</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25969192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10</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41.05pt;height:18.15pt;margin-top:0;margin-left:0;mso-position-horizontal:outside;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10</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173526215"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10</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41.05pt;height:18.15pt;margin-top:0;margin-left:0;mso-position-horizontal:outside;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10</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1792"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373053609"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11</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41.05pt;height:18.15pt;margin-top:0;margin-left:0;mso-position-horizontal:outside;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11</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3840"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880435581"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13</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41.05pt;height:18.15pt;margin-top:0;margin-left:0;mso-position-horizontal:outside;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13</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5888"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71741312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13</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41.05pt;height:18.15pt;margin-top:0;margin-left:0;mso-position-horizontal:outside;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13</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7936"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725266915"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14</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41.05pt;height:18.15pt;margin-top:0;margin-left:0;mso-position-horizontal:outside;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14</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89984"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445491414"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15</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41.05pt;height:18.15pt;margin-top:0;margin-left:0;mso-position-horizontal:outside;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15</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92032"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766020953"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16</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41.05pt;height:18.15pt;margin-top:0;margin-left:0;mso-position-horizontal:outside;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16</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94080"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126419778"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17</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41.05pt;height:18.15pt;margin-top:0;margin-left:0;mso-position-horizontal:outside;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17</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96128"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205971758"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18</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7" type="#_x0000_t202" style="width:41.05pt;height:18.15pt;margin-top:0;margin-left:0;mso-position-horizontal:outside;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18</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698176"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656565445"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19</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8" type="#_x0000_t202" style="width:41.05pt;height:18.15pt;margin-top:0;margin-left:0;mso-position-horizontal:outside;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19</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0224"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33734568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20</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41.05pt;height:18.15pt;margin-top:0;margin-left:0;mso-position-horizontal:outside;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20</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2272"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823010873"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21</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0" type="#_x0000_t202" style="width:41.05pt;height:18.15pt;margin-top:0;margin-left:0;mso-position-horizontal:outside;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21</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4320"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725955919"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22</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1" type="#_x0000_t202" style="width:41.05pt;height:18.15pt;margin-top:0;margin-left:0;mso-position-horizontal:outside;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22</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6368"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926855809"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23</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2" type="#_x0000_t202" style="width:41.05pt;height:18.15pt;margin-top:0;margin-left:0;mso-position-horizontal:outside;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23</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08416"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895573391"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24</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3" type="#_x0000_t202" style="width:41.05pt;height:18.15pt;margin-top:0;margin-left:0;mso-position-horizontal:outside;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24</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10464"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567920644"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25</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4" type="#_x0000_t202" style="width:41.05pt;height:18.15pt;margin-top:0;margin-left:0;mso-position-horizontal:outside;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25</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12512"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26351957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27</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5" type="#_x0000_t202" style="width:41.05pt;height:18.15pt;margin-top:0;margin-left:0;mso-position-horizontal:outside;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27</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14560"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251431661"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27</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6" type="#_x0000_t202" style="width:41.05pt;height:18.15pt;margin-top:0;margin-left:0;mso-position-horizontal:outside;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27</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16608"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634889401"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28</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7" type="#_x0000_t202" style="width:41.05pt;height:18.15pt;margin-top:0;margin-left:0;mso-position-horizontal:outside;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28</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18656"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57191683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29</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8" type="#_x0000_t202" style="width:41.05pt;height:18.15pt;margin-top:0;margin-left:0;mso-position-horizontal:outside;mso-position-horizontal-relative:margin;mso-wrap-distance-bottom:0;mso-wrap-distance-left:9pt;mso-wrap-distance-right:9pt;mso-wrap-distance-top:0;mso-wrap-style:none;position:absolute;v-text-anchor:top;z-index:251717632"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29</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20704"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63337718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31</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79" type="#_x0000_t202" style="width:41.05pt;height:18.15pt;margin-top:0;margin-left:0;mso-position-horizontal:outside;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31</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jc w:val="center"/>
    </w:pPr>
    <w:r>
      <mc:AlternateContent>
        <mc:Choice Requires="wps">
          <w:drawing>
            <wp:anchor distT="0" distB="0" distL="114300" distR="114300" simplePos="0" relativeHeight="251722752" behindDoc="0" locked="0" layoutInCell="1" allowOverlap="1">
              <wp:simplePos x="0" y="0"/>
              <wp:positionH relativeFrom="margin">
                <wp:align>outside</wp:align>
              </wp:positionH>
              <wp:positionV relativeFrom="paragraph">
                <wp:posOffset>0</wp:posOffset>
              </wp:positionV>
              <wp:extent cx="521335" cy="230505"/>
              <wp:effectExtent l="0" t="0" r="12065" b="17145"/>
              <wp:wrapNone/>
              <wp:docPr id="162938135"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21335" cy="230505"/>
                      </a:xfrm>
                      <a:prstGeom prst="rect">
                        <a:avLst/>
                      </a:prstGeom>
                      <a:noFill/>
                      <a:ln>
                        <a:noFill/>
                      </a:ln>
                    </wps:spPr>
                    <wps:txbx>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32</w:t>
                          </w:r>
                          <w:r>
                            <w:rPr>
                              <w:rFonts w:ascii="宋体" w:hAnsi="宋体"/>
                              <w:sz w:val="26"/>
                              <w:szCs w:val="26"/>
                            </w:rPr>
                            <w:fldChar w:fldCharType="end"/>
                          </w:r>
                          <w:r>
                            <w:rPr>
                              <w:rStyle w:val="PageNumber"/>
                              <w:rFonts w:ascii="宋体" w:hAnsi="宋体" w:hint="eastAsia"/>
                              <w:sz w:val="28"/>
                              <w:szCs w:val="28"/>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80" type="#_x0000_t202" style="width:41.05pt;height:18.15pt;margin-top:0;margin-left:0;mso-position-horizontal:outside;mso-position-horizontal-relative:margin;mso-wrap-distance-bottom:0;mso-wrap-distance-left:9pt;mso-wrap-distance-right:9pt;mso-wrap-distance-top:0;mso-wrap-style:none;position:absolute;v-text-anchor:top;z-index:251721728" filled="f" fillcolor="this" stroked="f">
              <v:textbox style="mso-fit-shape-to-text:t" inset="0,0,0,0">
                <w:txbxContent>
                  <w:p>
                    <w:pPr>
                      <w:pStyle w:val="Footer"/>
                      <w:rPr>
                        <w:rStyle w:val="PageNumber"/>
                        <w:rFonts w:ascii="宋体" w:hAnsi="宋体"/>
                        <w:sz w:val="28"/>
                        <w:szCs w:val="28"/>
                      </w:rPr>
                    </w:pPr>
                    <w:r>
                      <w:rPr>
                        <w:rStyle w:val="PageNumber"/>
                        <w:rFonts w:ascii="宋体" w:hAnsi="宋体" w:hint="eastAsia"/>
                        <w:sz w:val="28"/>
                        <w:szCs w:val="28"/>
                      </w:rPr>
                      <w:t>—</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32</w:t>
                    </w:r>
                    <w:r>
                      <w:rPr>
                        <w:rFonts w:ascii="宋体" w:hAnsi="宋体"/>
                        <w:sz w:val="26"/>
                        <w:szCs w:val="26"/>
                      </w:rPr>
                      <w:fldChar w:fldCharType="end"/>
                    </w:r>
                    <w:r>
                      <w:rPr>
                        <w:rStyle w:val="PageNumber"/>
                        <w:rFonts w:ascii="宋体" w:hAnsi="宋体" w:hint="eastAsia"/>
                        <w:sz w:val="28"/>
                        <w:szCs w:val="28"/>
                      </w:rPr>
                      <w:t>—</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7BFD1C"/>
    <w:multiLevelType w:val="singleLevel"/>
    <w:tmpl w:val="827BFD1C"/>
    <w:lvl w:ilvl="0">
      <w:start w:val="6"/>
      <w:numFmt w:val="chineseCounting"/>
      <w:suff w:val="nothing"/>
      <w:lvlText w:val="%1、"/>
      <w:lvlJc w:val="left"/>
      <w:rPr>
        <w:rFonts w:hint="eastAsia"/>
      </w:rPr>
    </w:lvl>
  </w:abstractNum>
  <w:abstractNum w:abstractNumId="1">
    <w:nsid w:val="8A69B2A9"/>
    <w:multiLevelType w:val="singleLevel"/>
    <w:tmpl w:val="8A69B2A9"/>
    <w:lvl w:ilvl="0">
      <w:start w:val="4"/>
      <w:numFmt w:val="decimal"/>
      <w:suff w:val="nothing"/>
      <w:lvlText w:val="%1、"/>
      <w:lvlJc w:val="left"/>
      <w:pPr>
        <w:ind w:left="480" w:firstLine="0"/>
      </w:pPr>
    </w:lvl>
  </w:abstractNum>
  <w:abstractNum w:abstractNumId="2">
    <w:nsid w:val="001CC2F1"/>
    <w:multiLevelType w:val="singleLevel"/>
    <w:tmpl w:val="001CC2F1"/>
    <w:lvl w:ilvl="0">
      <w:start w:val="6"/>
      <w:numFmt w:val="decimal"/>
      <w:suff w:val="nothing"/>
      <w:lvlText w:val="（%1）"/>
      <w:lvlJc w:val="left"/>
    </w:lvl>
  </w:abstractNum>
  <w:abstractNum w:abstractNumId="3">
    <w:nsid w:val="18C4D51E"/>
    <w:multiLevelType w:val="singleLevel"/>
    <w:tmpl w:val="18C4D51E"/>
    <w:lvl w:ilvl="0">
      <w:start w:val="1"/>
      <w:numFmt w:val="decimal"/>
      <w:suff w:val="nothing"/>
      <w:lvlText w:val="（%1）"/>
      <w:lvlJc w:val="left"/>
    </w:lvl>
  </w:abstractNum>
  <w:abstractNum w:abstractNumId="4">
    <w:nsid w:val="2BF28D90"/>
    <w:multiLevelType w:val="singleLevel"/>
    <w:tmpl w:val="2BF28D90"/>
    <w:lvl w:ilvl="0">
      <w:start w:val="1"/>
      <w:numFmt w:val="decimal"/>
      <w:suff w:val="space"/>
      <w:lvlText w:val="(%1)"/>
      <w:lvlJc w:val="left"/>
    </w:lvl>
  </w:abstractNum>
  <w:abstractNum w:abstractNumId="5">
    <w:nsid w:val="2E9D0697"/>
    <w:multiLevelType w:val="singleLevel"/>
    <w:tmpl w:val="2E9D0697"/>
    <w:lvl w:ilvl="0">
      <w:start w:val="1"/>
      <w:numFmt w:val="decimal"/>
      <w:suff w:val="space"/>
      <w:lvlText w:val="(%1)"/>
      <w:lvlJc w:val="left"/>
    </w:lvl>
  </w:abstractNum>
  <w:abstractNum w:abstractNumId="6">
    <w:nsid w:val="31823F8F"/>
    <w:multiLevelType w:val="singleLevel"/>
    <w:tmpl w:val="31823F8F"/>
    <w:lvl w:ilvl="0">
      <w:start w:val="1"/>
      <w:numFmt w:val="decimal"/>
      <w:suff w:val="nothing"/>
      <w:lvlText w:val="（%1）"/>
      <w:lvlJc w:val="left"/>
    </w:lvl>
  </w:abstractNum>
  <w:abstractNum w:abstractNumId="7">
    <w:nsid w:val="69C4CC34"/>
    <w:multiLevelType w:val="singleLevel"/>
    <w:tmpl w:val="69C4CC34"/>
    <w:lvl w:ilvl="0">
      <w:start w:val="1"/>
      <w:numFmt w:val="bullet"/>
      <w:pStyle w:val="ListBullet5"/>
      <w:lvlText w:val=""/>
      <w:lvlJc w:val="left"/>
      <w:pPr>
        <w:tabs>
          <w:tab w:val="left" w:pos="2040"/>
        </w:tabs>
        <w:ind w:left="2040" w:hanging="360"/>
      </w:pPr>
      <w:rPr>
        <w:rFonts w:ascii="Wingdings" w:hAnsi="Wingdings" w:hint="default"/>
      </w:rPr>
    </w:lvl>
  </w:abstractNum>
  <w:abstractNum w:abstractNumId="8">
    <w:nsid w:val="7BCAA7C9"/>
    <w:multiLevelType w:val="singleLevel"/>
    <w:tmpl w:val="7BCAA7C9"/>
    <w:lvl w:ilvl="0">
      <w:start w:val="1"/>
      <w:numFmt w:val="decimal"/>
      <w:suff w:val="nothing"/>
      <w:lvlText w:val="（%1）"/>
      <w:lvlJc w:val="left"/>
    </w:lvl>
  </w:abstractNum>
  <w:num w:numId="1">
    <w:abstractNumId w:val="7"/>
  </w:num>
  <w:num w:numId="2">
    <w:abstractNumId w:val="4"/>
  </w:num>
  <w:num w:numId="3">
    <w:abstractNumId w:val="1"/>
  </w:num>
  <w:num w:numId="4">
    <w:abstractNumId w:val="8"/>
  </w:num>
  <w:num w:numId="5">
    <w:abstractNumId w:val="3"/>
  </w:num>
  <w:num w:numId="6">
    <w:abstractNumId w:val="6"/>
  </w:num>
  <w:num w:numId="7">
    <w:abstractNumId w:val="0"/>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oNotHyphenateCaps/>
  <w:drawingGridVerticalSpacing w:val="156"/>
  <w:noPunctuationKerning/>
  <w:characterSpacingControl w:val="compressPunctuation"/>
  <w:doNotEmbedSmartTags/>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60B3"/>
    <w:rsid w:val="00020BE0"/>
    <w:rsid w:val="000343B3"/>
    <w:rsid w:val="0004364B"/>
    <w:rsid w:val="00052943"/>
    <w:rsid w:val="00052C5C"/>
    <w:rsid w:val="00061B1F"/>
    <w:rsid w:val="000733C4"/>
    <w:rsid w:val="00074783"/>
    <w:rsid w:val="0008070B"/>
    <w:rsid w:val="000810AC"/>
    <w:rsid w:val="00081A02"/>
    <w:rsid w:val="00082231"/>
    <w:rsid w:val="00092D38"/>
    <w:rsid w:val="0009377B"/>
    <w:rsid w:val="000A20C9"/>
    <w:rsid w:val="000B058F"/>
    <w:rsid w:val="000B4467"/>
    <w:rsid w:val="000B4DB9"/>
    <w:rsid w:val="000C037E"/>
    <w:rsid w:val="000C09AC"/>
    <w:rsid w:val="000C43AA"/>
    <w:rsid w:val="000C767F"/>
    <w:rsid w:val="000D5A44"/>
    <w:rsid w:val="000E3ED2"/>
    <w:rsid w:val="001202DD"/>
    <w:rsid w:val="001204A3"/>
    <w:rsid w:val="00131F42"/>
    <w:rsid w:val="00133617"/>
    <w:rsid w:val="001357F1"/>
    <w:rsid w:val="00140FA8"/>
    <w:rsid w:val="00142FEB"/>
    <w:rsid w:val="00143A2D"/>
    <w:rsid w:val="00145A41"/>
    <w:rsid w:val="00151675"/>
    <w:rsid w:val="00157435"/>
    <w:rsid w:val="00172A27"/>
    <w:rsid w:val="0017504D"/>
    <w:rsid w:val="0017671A"/>
    <w:rsid w:val="00177422"/>
    <w:rsid w:val="00184590"/>
    <w:rsid w:val="001870D1"/>
    <w:rsid w:val="0018781E"/>
    <w:rsid w:val="0019262D"/>
    <w:rsid w:val="001A1B35"/>
    <w:rsid w:val="001A48A2"/>
    <w:rsid w:val="001A6213"/>
    <w:rsid w:val="001A6F61"/>
    <w:rsid w:val="001A796D"/>
    <w:rsid w:val="001B72B8"/>
    <w:rsid w:val="001C5859"/>
    <w:rsid w:val="001C69B3"/>
    <w:rsid w:val="001D12C1"/>
    <w:rsid w:val="001D4A53"/>
    <w:rsid w:val="001D5595"/>
    <w:rsid w:val="001D7874"/>
    <w:rsid w:val="001D7F22"/>
    <w:rsid w:val="001F0F17"/>
    <w:rsid w:val="001F3347"/>
    <w:rsid w:val="001F69E4"/>
    <w:rsid w:val="001F71E7"/>
    <w:rsid w:val="00200C2B"/>
    <w:rsid w:val="00201009"/>
    <w:rsid w:val="002125B4"/>
    <w:rsid w:val="002155B8"/>
    <w:rsid w:val="00224839"/>
    <w:rsid w:val="002249B2"/>
    <w:rsid w:val="00224C76"/>
    <w:rsid w:val="00226574"/>
    <w:rsid w:val="002278EC"/>
    <w:rsid w:val="0023280E"/>
    <w:rsid w:val="002377D1"/>
    <w:rsid w:val="002506BC"/>
    <w:rsid w:val="00254345"/>
    <w:rsid w:val="002626CE"/>
    <w:rsid w:val="00264557"/>
    <w:rsid w:val="002805AB"/>
    <w:rsid w:val="00284204"/>
    <w:rsid w:val="00291773"/>
    <w:rsid w:val="002A08F3"/>
    <w:rsid w:val="002A168C"/>
    <w:rsid w:val="002A3DC7"/>
    <w:rsid w:val="002B49E2"/>
    <w:rsid w:val="002B7B00"/>
    <w:rsid w:val="002B7C44"/>
    <w:rsid w:val="002C04B2"/>
    <w:rsid w:val="002C2B17"/>
    <w:rsid w:val="002C6B7D"/>
    <w:rsid w:val="002C7E10"/>
    <w:rsid w:val="002C7F82"/>
    <w:rsid w:val="002D3DD0"/>
    <w:rsid w:val="002E1F3A"/>
    <w:rsid w:val="002E298A"/>
    <w:rsid w:val="00301978"/>
    <w:rsid w:val="0030332C"/>
    <w:rsid w:val="003051C2"/>
    <w:rsid w:val="00312296"/>
    <w:rsid w:val="00314F0E"/>
    <w:rsid w:val="003154EA"/>
    <w:rsid w:val="003174AA"/>
    <w:rsid w:val="00321D8E"/>
    <w:rsid w:val="00325928"/>
    <w:rsid w:val="0033100D"/>
    <w:rsid w:val="003317E6"/>
    <w:rsid w:val="00332863"/>
    <w:rsid w:val="0033684D"/>
    <w:rsid w:val="00337B42"/>
    <w:rsid w:val="00341B42"/>
    <w:rsid w:val="00342C5C"/>
    <w:rsid w:val="0034348F"/>
    <w:rsid w:val="00356653"/>
    <w:rsid w:val="0035743F"/>
    <w:rsid w:val="00357BE2"/>
    <w:rsid w:val="0036170C"/>
    <w:rsid w:val="00366E0F"/>
    <w:rsid w:val="003713A2"/>
    <w:rsid w:val="00381A72"/>
    <w:rsid w:val="00384676"/>
    <w:rsid w:val="00387B17"/>
    <w:rsid w:val="00390857"/>
    <w:rsid w:val="003921F0"/>
    <w:rsid w:val="003A17BF"/>
    <w:rsid w:val="003A4BF3"/>
    <w:rsid w:val="003B420D"/>
    <w:rsid w:val="003C5D50"/>
    <w:rsid w:val="003C6C16"/>
    <w:rsid w:val="003D34A8"/>
    <w:rsid w:val="003D4954"/>
    <w:rsid w:val="003D6993"/>
    <w:rsid w:val="003D794D"/>
    <w:rsid w:val="003E3058"/>
    <w:rsid w:val="003E76A9"/>
    <w:rsid w:val="003F0809"/>
    <w:rsid w:val="003F09EA"/>
    <w:rsid w:val="003F6A8C"/>
    <w:rsid w:val="003F755C"/>
    <w:rsid w:val="00406F01"/>
    <w:rsid w:val="00407080"/>
    <w:rsid w:val="00415188"/>
    <w:rsid w:val="00416D50"/>
    <w:rsid w:val="00416FBF"/>
    <w:rsid w:val="00416FD5"/>
    <w:rsid w:val="00417772"/>
    <w:rsid w:val="00420E6A"/>
    <w:rsid w:val="00425A9E"/>
    <w:rsid w:val="00426D6B"/>
    <w:rsid w:val="00431E6C"/>
    <w:rsid w:val="00433CE7"/>
    <w:rsid w:val="00440F0B"/>
    <w:rsid w:val="004500FA"/>
    <w:rsid w:val="00452738"/>
    <w:rsid w:val="00456091"/>
    <w:rsid w:val="00457550"/>
    <w:rsid w:val="00457EE3"/>
    <w:rsid w:val="004618DB"/>
    <w:rsid w:val="00466321"/>
    <w:rsid w:val="0047226C"/>
    <w:rsid w:val="00476C0E"/>
    <w:rsid w:val="00480D97"/>
    <w:rsid w:val="00484B9B"/>
    <w:rsid w:val="004855F6"/>
    <w:rsid w:val="0048661E"/>
    <w:rsid w:val="0049019F"/>
    <w:rsid w:val="00494670"/>
    <w:rsid w:val="004A1CB5"/>
    <w:rsid w:val="004A3823"/>
    <w:rsid w:val="004B2622"/>
    <w:rsid w:val="004B7C77"/>
    <w:rsid w:val="004C0133"/>
    <w:rsid w:val="004C2109"/>
    <w:rsid w:val="004D38D3"/>
    <w:rsid w:val="004E3E74"/>
    <w:rsid w:val="004E6946"/>
    <w:rsid w:val="004F1AD8"/>
    <w:rsid w:val="004F5196"/>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672"/>
    <w:rsid w:val="0055572C"/>
    <w:rsid w:val="0056106A"/>
    <w:rsid w:val="00564E15"/>
    <w:rsid w:val="005720AE"/>
    <w:rsid w:val="00572B41"/>
    <w:rsid w:val="00594D77"/>
    <w:rsid w:val="005969E4"/>
    <w:rsid w:val="005A06B7"/>
    <w:rsid w:val="005A1759"/>
    <w:rsid w:val="005A26EB"/>
    <w:rsid w:val="005A68A7"/>
    <w:rsid w:val="005D36AB"/>
    <w:rsid w:val="005D5245"/>
    <w:rsid w:val="005E5E6C"/>
    <w:rsid w:val="005F567F"/>
    <w:rsid w:val="00607731"/>
    <w:rsid w:val="00617CC3"/>
    <w:rsid w:val="006377A6"/>
    <w:rsid w:val="00637A3D"/>
    <w:rsid w:val="006411EF"/>
    <w:rsid w:val="006449A1"/>
    <w:rsid w:val="006457EC"/>
    <w:rsid w:val="006748B8"/>
    <w:rsid w:val="006775C3"/>
    <w:rsid w:val="00683CD9"/>
    <w:rsid w:val="0069290A"/>
    <w:rsid w:val="0069775A"/>
    <w:rsid w:val="00697813"/>
    <w:rsid w:val="006A3EE8"/>
    <w:rsid w:val="006A72BF"/>
    <w:rsid w:val="006B03F2"/>
    <w:rsid w:val="006B37DC"/>
    <w:rsid w:val="006B4F68"/>
    <w:rsid w:val="006B769C"/>
    <w:rsid w:val="006C0592"/>
    <w:rsid w:val="006C1234"/>
    <w:rsid w:val="006C272E"/>
    <w:rsid w:val="006C5479"/>
    <w:rsid w:val="006D13B5"/>
    <w:rsid w:val="006D423E"/>
    <w:rsid w:val="006E12FF"/>
    <w:rsid w:val="006E36C0"/>
    <w:rsid w:val="006E607E"/>
    <w:rsid w:val="006F694E"/>
    <w:rsid w:val="00702696"/>
    <w:rsid w:val="00706C5D"/>
    <w:rsid w:val="00710479"/>
    <w:rsid w:val="00712C76"/>
    <w:rsid w:val="00724C43"/>
    <w:rsid w:val="00732922"/>
    <w:rsid w:val="0073793A"/>
    <w:rsid w:val="0075162E"/>
    <w:rsid w:val="00754034"/>
    <w:rsid w:val="00756556"/>
    <w:rsid w:val="00756904"/>
    <w:rsid w:val="007618C4"/>
    <w:rsid w:val="00767980"/>
    <w:rsid w:val="00770B19"/>
    <w:rsid w:val="0077463F"/>
    <w:rsid w:val="007836EA"/>
    <w:rsid w:val="00784CDA"/>
    <w:rsid w:val="00786CE8"/>
    <w:rsid w:val="00786FBA"/>
    <w:rsid w:val="007906C4"/>
    <w:rsid w:val="007940EA"/>
    <w:rsid w:val="007967E8"/>
    <w:rsid w:val="00796C5F"/>
    <w:rsid w:val="007A008A"/>
    <w:rsid w:val="007A2170"/>
    <w:rsid w:val="007A22BF"/>
    <w:rsid w:val="007A3323"/>
    <w:rsid w:val="007B72B8"/>
    <w:rsid w:val="007B7A58"/>
    <w:rsid w:val="007C21B5"/>
    <w:rsid w:val="007E2FFB"/>
    <w:rsid w:val="007E4BD2"/>
    <w:rsid w:val="00801393"/>
    <w:rsid w:val="00802F88"/>
    <w:rsid w:val="0081293E"/>
    <w:rsid w:val="00815465"/>
    <w:rsid w:val="00817E9A"/>
    <w:rsid w:val="008223DE"/>
    <w:rsid w:val="008306BD"/>
    <w:rsid w:val="00831A80"/>
    <w:rsid w:val="00833743"/>
    <w:rsid w:val="008340A4"/>
    <w:rsid w:val="0083690C"/>
    <w:rsid w:val="0087072F"/>
    <w:rsid w:val="008707E1"/>
    <w:rsid w:val="0087135F"/>
    <w:rsid w:val="00872D94"/>
    <w:rsid w:val="00875691"/>
    <w:rsid w:val="008772FF"/>
    <w:rsid w:val="00880364"/>
    <w:rsid w:val="00891592"/>
    <w:rsid w:val="00891E9E"/>
    <w:rsid w:val="008A2F68"/>
    <w:rsid w:val="008B1DDF"/>
    <w:rsid w:val="008B4FA6"/>
    <w:rsid w:val="008B5282"/>
    <w:rsid w:val="008B7C17"/>
    <w:rsid w:val="008C2D01"/>
    <w:rsid w:val="008C3E87"/>
    <w:rsid w:val="008C40E6"/>
    <w:rsid w:val="008C5E7E"/>
    <w:rsid w:val="008D0F7A"/>
    <w:rsid w:val="008D5602"/>
    <w:rsid w:val="008D68E4"/>
    <w:rsid w:val="008E0506"/>
    <w:rsid w:val="008E0CFF"/>
    <w:rsid w:val="008E5D6B"/>
    <w:rsid w:val="008E76F0"/>
    <w:rsid w:val="008F002C"/>
    <w:rsid w:val="008F15FE"/>
    <w:rsid w:val="008F2D29"/>
    <w:rsid w:val="008F3609"/>
    <w:rsid w:val="008F5187"/>
    <w:rsid w:val="008F60D8"/>
    <w:rsid w:val="00902727"/>
    <w:rsid w:val="0090312B"/>
    <w:rsid w:val="0090777E"/>
    <w:rsid w:val="00916445"/>
    <w:rsid w:val="0091736D"/>
    <w:rsid w:val="0092720A"/>
    <w:rsid w:val="0093037A"/>
    <w:rsid w:val="0094154D"/>
    <w:rsid w:val="0095155F"/>
    <w:rsid w:val="00954429"/>
    <w:rsid w:val="009563CE"/>
    <w:rsid w:val="00964C17"/>
    <w:rsid w:val="00970A88"/>
    <w:rsid w:val="00976328"/>
    <w:rsid w:val="0097680D"/>
    <w:rsid w:val="00982438"/>
    <w:rsid w:val="0098404C"/>
    <w:rsid w:val="00985283"/>
    <w:rsid w:val="00991707"/>
    <w:rsid w:val="00995992"/>
    <w:rsid w:val="009A03E5"/>
    <w:rsid w:val="009A0F3B"/>
    <w:rsid w:val="009A1BB4"/>
    <w:rsid w:val="009A2628"/>
    <w:rsid w:val="009A3200"/>
    <w:rsid w:val="009B0897"/>
    <w:rsid w:val="009B7BD9"/>
    <w:rsid w:val="009C7DD5"/>
    <w:rsid w:val="009D6653"/>
    <w:rsid w:val="009E227D"/>
    <w:rsid w:val="009E5019"/>
    <w:rsid w:val="009F7B4B"/>
    <w:rsid w:val="00A04F1B"/>
    <w:rsid w:val="00A0501B"/>
    <w:rsid w:val="00A14947"/>
    <w:rsid w:val="00A157E0"/>
    <w:rsid w:val="00A15DAC"/>
    <w:rsid w:val="00A32A83"/>
    <w:rsid w:val="00A35865"/>
    <w:rsid w:val="00A368DB"/>
    <w:rsid w:val="00A37FCF"/>
    <w:rsid w:val="00A41E9D"/>
    <w:rsid w:val="00A423AA"/>
    <w:rsid w:val="00A53EC6"/>
    <w:rsid w:val="00A55C0F"/>
    <w:rsid w:val="00A5798D"/>
    <w:rsid w:val="00A64D57"/>
    <w:rsid w:val="00A73250"/>
    <w:rsid w:val="00A76CD3"/>
    <w:rsid w:val="00A8713F"/>
    <w:rsid w:val="00A90BA1"/>
    <w:rsid w:val="00A97A9A"/>
    <w:rsid w:val="00AA0671"/>
    <w:rsid w:val="00AA2531"/>
    <w:rsid w:val="00AB034C"/>
    <w:rsid w:val="00AB051A"/>
    <w:rsid w:val="00AB1E09"/>
    <w:rsid w:val="00AB5330"/>
    <w:rsid w:val="00AB7747"/>
    <w:rsid w:val="00AC14CE"/>
    <w:rsid w:val="00AC243A"/>
    <w:rsid w:val="00AC2A56"/>
    <w:rsid w:val="00AC40F7"/>
    <w:rsid w:val="00AC79C1"/>
    <w:rsid w:val="00AD055E"/>
    <w:rsid w:val="00AD189C"/>
    <w:rsid w:val="00AD47A7"/>
    <w:rsid w:val="00AE28D2"/>
    <w:rsid w:val="00AE4C8E"/>
    <w:rsid w:val="00AF0CBF"/>
    <w:rsid w:val="00AF257F"/>
    <w:rsid w:val="00AF33CF"/>
    <w:rsid w:val="00AF4D50"/>
    <w:rsid w:val="00AF6179"/>
    <w:rsid w:val="00AF676F"/>
    <w:rsid w:val="00B1295A"/>
    <w:rsid w:val="00B13421"/>
    <w:rsid w:val="00B20A45"/>
    <w:rsid w:val="00B22C5C"/>
    <w:rsid w:val="00B24BF5"/>
    <w:rsid w:val="00B24F30"/>
    <w:rsid w:val="00B31ABF"/>
    <w:rsid w:val="00B33BE3"/>
    <w:rsid w:val="00B36680"/>
    <w:rsid w:val="00B465CC"/>
    <w:rsid w:val="00B4783E"/>
    <w:rsid w:val="00B53B5D"/>
    <w:rsid w:val="00B6055E"/>
    <w:rsid w:val="00B607F7"/>
    <w:rsid w:val="00B61610"/>
    <w:rsid w:val="00B62785"/>
    <w:rsid w:val="00B6317D"/>
    <w:rsid w:val="00B70C80"/>
    <w:rsid w:val="00B7723F"/>
    <w:rsid w:val="00B80534"/>
    <w:rsid w:val="00B8433C"/>
    <w:rsid w:val="00B87491"/>
    <w:rsid w:val="00B9294D"/>
    <w:rsid w:val="00B96C2E"/>
    <w:rsid w:val="00BA29E9"/>
    <w:rsid w:val="00BA7142"/>
    <w:rsid w:val="00BB237C"/>
    <w:rsid w:val="00BB41A3"/>
    <w:rsid w:val="00BC32DC"/>
    <w:rsid w:val="00BC35B6"/>
    <w:rsid w:val="00BD0245"/>
    <w:rsid w:val="00BD1B51"/>
    <w:rsid w:val="00BD4596"/>
    <w:rsid w:val="00BE1405"/>
    <w:rsid w:val="00BE312D"/>
    <w:rsid w:val="00BE6A9D"/>
    <w:rsid w:val="00BF1C20"/>
    <w:rsid w:val="00BF29DE"/>
    <w:rsid w:val="00BF4959"/>
    <w:rsid w:val="00C10578"/>
    <w:rsid w:val="00C135BC"/>
    <w:rsid w:val="00C15C95"/>
    <w:rsid w:val="00C1636A"/>
    <w:rsid w:val="00C2224D"/>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1AF5"/>
    <w:rsid w:val="00C91C9C"/>
    <w:rsid w:val="00C972B1"/>
    <w:rsid w:val="00CA2CCE"/>
    <w:rsid w:val="00CA43FD"/>
    <w:rsid w:val="00CA7EF8"/>
    <w:rsid w:val="00CB44DF"/>
    <w:rsid w:val="00CB6A49"/>
    <w:rsid w:val="00CC33BE"/>
    <w:rsid w:val="00CC43D5"/>
    <w:rsid w:val="00CC489B"/>
    <w:rsid w:val="00CD2BCD"/>
    <w:rsid w:val="00CD3A4C"/>
    <w:rsid w:val="00CE10E9"/>
    <w:rsid w:val="00CE2910"/>
    <w:rsid w:val="00CE5393"/>
    <w:rsid w:val="00CF36BE"/>
    <w:rsid w:val="00CF6000"/>
    <w:rsid w:val="00D003F3"/>
    <w:rsid w:val="00D0364F"/>
    <w:rsid w:val="00D06834"/>
    <w:rsid w:val="00D10109"/>
    <w:rsid w:val="00D1563C"/>
    <w:rsid w:val="00D20B33"/>
    <w:rsid w:val="00D308ED"/>
    <w:rsid w:val="00D32ED4"/>
    <w:rsid w:val="00D36D86"/>
    <w:rsid w:val="00D377A1"/>
    <w:rsid w:val="00D428AA"/>
    <w:rsid w:val="00D44361"/>
    <w:rsid w:val="00D44950"/>
    <w:rsid w:val="00D50A34"/>
    <w:rsid w:val="00D53EFA"/>
    <w:rsid w:val="00D57777"/>
    <w:rsid w:val="00D6680D"/>
    <w:rsid w:val="00D836FB"/>
    <w:rsid w:val="00D94A7C"/>
    <w:rsid w:val="00D95896"/>
    <w:rsid w:val="00DB2983"/>
    <w:rsid w:val="00DC1257"/>
    <w:rsid w:val="00DC38B5"/>
    <w:rsid w:val="00DC3DC0"/>
    <w:rsid w:val="00DC5B2B"/>
    <w:rsid w:val="00DD318D"/>
    <w:rsid w:val="00DD646A"/>
    <w:rsid w:val="00DE4D0B"/>
    <w:rsid w:val="00DE77FB"/>
    <w:rsid w:val="00DF2E12"/>
    <w:rsid w:val="00DF514A"/>
    <w:rsid w:val="00DF6690"/>
    <w:rsid w:val="00DF6804"/>
    <w:rsid w:val="00DF798C"/>
    <w:rsid w:val="00E0358D"/>
    <w:rsid w:val="00E04323"/>
    <w:rsid w:val="00E070A2"/>
    <w:rsid w:val="00E2656A"/>
    <w:rsid w:val="00E33582"/>
    <w:rsid w:val="00E407F7"/>
    <w:rsid w:val="00E412D0"/>
    <w:rsid w:val="00E41CE7"/>
    <w:rsid w:val="00E56322"/>
    <w:rsid w:val="00E60982"/>
    <w:rsid w:val="00E62C62"/>
    <w:rsid w:val="00E654C1"/>
    <w:rsid w:val="00E65D97"/>
    <w:rsid w:val="00E70B22"/>
    <w:rsid w:val="00E715F4"/>
    <w:rsid w:val="00E72A5A"/>
    <w:rsid w:val="00E73354"/>
    <w:rsid w:val="00E87334"/>
    <w:rsid w:val="00E905E5"/>
    <w:rsid w:val="00E9242D"/>
    <w:rsid w:val="00EB223F"/>
    <w:rsid w:val="00EB4DF6"/>
    <w:rsid w:val="00EB5255"/>
    <w:rsid w:val="00EB5C47"/>
    <w:rsid w:val="00ED0639"/>
    <w:rsid w:val="00EE1C9C"/>
    <w:rsid w:val="00EE37B8"/>
    <w:rsid w:val="00EF4755"/>
    <w:rsid w:val="00EF7135"/>
    <w:rsid w:val="00F027DB"/>
    <w:rsid w:val="00F149EF"/>
    <w:rsid w:val="00F14A7A"/>
    <w:rsid w:val="00F22985"/>
    <w:rsid w:val="00F3383E"/>
    <w:rsid w:val="00F33ED5"/>
    <w:rsid w:val="00F431E8"/>
    <w:rsid w:val="00F465A7"/>
    <w:rsid w:val="00F50B7C"/>
    <w:rsid w:val="00F550E6"/>
    <w:rsid w:val="00F65AC8"/>
    <w:rsid w:val="00F74345"/>
    <w:rsid w:val="00F80A0A"/>
    <w:rsid w:val="00F82B19"/>
    <w:rsid w:val="00F9212D"/>
    <w:rsid w:val="00F965DA"/>
    <w:rsid w:val="00FA406A"/>
    <w:rsid w:val="00FB503A"/>
    <w:rsid w:val="00FB516C"/>
    <w:rsid w:val="00FC4794"/>
    <w:rsid w:val="00FD0236"/>
    <w:rsid w:val="00FD18F4"/>
    <w:rsid w:val="00FD54DB"/>
    <w:rsid w:val="00FD619F"/>
    <w:rsid w:val="00FD652F"/>
    <w:rsid w:val="00FE499A"/>
    <w:rsid w:val="00FE5A25"/>
    <w:rsid w:val="01094A91"/>
    <w:rsid w:val="01096D73"/>
    <w:rsid w:val="0111130F"/>
    <w:rsid w:val="01217ADB"/>
    <w:rsid w:val="01290F7E"/>
    <w:rsid w:val="0139526F"/>
    <w:rsid w:val="015D1E09"/>
    <w:rsid w:val="0162278D"/>
    <w:rsid w:val="0169209B"/>
    <w:rsid w:val="017822D6"/>
    <w:rsid w:val="017C518F"/>
    <w:rsid w:val="017E60AF"/>
    <w:rsid w:val="017F6262"/>
    <w:rsid w:val="018346AC"/>
    <w:rsid w:val="01903C5E"/>
    <w:rsid w:val="0199296A"/>
    <w:rsid w:val="01AD135B"/>
    <w:rsid w:val="01BF0DFD"/>
    <w:rsid w:val="01C72B55"/>
    <w:rsid w:val="01CA2061"/>
    <w:rsid w:val="01E8245B"/>
    <w:rsid w:val="01F6607E"/>
    <w:rsid w:val="01FC3537"/>
    <w:rsid w:val="02175E9B"/>
    <w:rsid w:val="02205796"/>
    <w:rsid w:val="022F781B"/>
    <w:rsid w:val="02362D77"/>
    <w:rsid w:val="0242698B"/>
    <w:rsid w:val="02650F08"/>
    <w:rsid w:val="02697903"/>
    <w:rsid w:val="026E018C"/>
    <w:rsid w:val="026F1F67"/>
    <w:rsid w:val="027E243E"/>
    <w:rsid w:val="027E665E"/>
    <w:rsid w:val="0283142C"/>
    <w:rsid w:val="028815BA"/>
    <w:rsid w:val="02886A00"/>
    <w:rsid w:val="02C26D7C"/>
    <w:rsid w:val="02CE6AF3"/>
    <w:rsid w:val="02D67FB3"/>
    <w:rsid w:val="02E04D9B"/>
    <w:rsid w:val="02E45292"/>
    <w:rsid w:val="02EA4E12"/>
    <w:rsid w:val="02EF5BCB"/>
    <w:rsid w:val="02F758D2"/>
    <w:rsid w:val="02F92928"/>
    <w:rsid w:val="02F96569"/>
    <w:rsid w:val="030D4C62"/>
    <w:rsid w:val="03124B2A"/>
    <w:rsid w:val="031307B6"/>
    <w:rsid w:val="031C2D26"/>
    <w:rsid w:val="031E36A7"/>
    <w:rsid w:val="03202E65"/>
    <w:rsid w:val="03282ECB"/>
    <w:rsid w:val="035B7EC6"/>
    <w:rsid w:val="036020DE"/>
    <w:rsid w:val="03616F9A"/>
    <w:rsid w:val="036E6F7C"/>
    <w:rsid w:val="038D3428"/>
    <w:rsid w:val="03933CFC"/>
    <w:rsid w:val="03B04D0C"/>
    <w:rsid w:val="03B36B2F"/>
    <w:rsid w:val="03EA7B21"/>
    <w:rsid w:val="03FA1CB9"/>
    <w:rsid w:val="03FD3E42"/>
    <w:rsid w:val="040637B2"/>
    <w:rsid w:val="04082D33"/>
    <w:rsid w:val="04106723"/>
    <w:rsid w:val="0420652F"/>
    <w:rsid w:val="042A0B92"/>
    <w:rsid w:val="04367B66"/>
    <w:rsid w:val="04371F0E"/>
    <w:rsid w:val="044E0528"/>
    <w:rsid w:val="04520EFF"/>
    <w:rsid w:val="04552FF9"/>
    <w:rsid w:val="04677841"/>
    <w:rsid w:val="04726AD7"/>
    <w:rsid w:val="047D7EE3"/>
    <w:rsid w:val="04884CBC"/>
    <w:rsid w:val="0491136A"/>
    <w:rsid w:val="04963522"/>
    <w:rsid w:val="049C1D8A"/>
    <w:rsid w:val="04A25C2E"/>
    <w:rsid w:val="04C66F59"/>
    <w:rsid w:val="04D3476A"/>
    <w:rsid w:val="04D738DF"/>
    <w:rsid w:val="050200C3"/>
    <w:rsid w:val="05127AB0"/>
    <w:rsid w:val="05135A2C"/>
    <w:rsid w:val="05230F10"/>
    <w:rsid w:val="0528113E"/>
    <w:rsid w:val="052D15A6"/>
    <w:rsid w:val="054B0E66"/>
    <w:rsid w:val="054D53D2"/>
    <w:rsid w:val="054D543A"/>
    <w:rsid w:val="055A637E"/>
    <w:rsid w:val="058911C9"/>
    <w:rsid w:val="05903ADA"/>
    <w:rsid w:val="05975734"/>
    <w:rsid w:val="05A165ED"/>
    <w:rsid w:val="05AA1B3D"/>
    <w:rsid w:val="05B14708"/>
    <w:rsid w:val="05C978A9"/>
    <w:rsid w:val="05CA1529"/>
    <w:rsid w:val="05E32021"/>
    <w:rsid w:val="05EA39E7"/>
    <w:rsid w:val="05EC0015"/>
    <w:rsid w:val="05EE40D1"/>
    <w:rsid w:val="05EE79F2"/>
    <w:rsid w:val="05EF5A01"/>
    <w:rsid w:val="05F50CE8"/>
    <w:rsid w:val="05F83EAE"/>
    <w:rsid w:val="06016A1D"/>
    <w:rsid w:val="061206C5"/>
    <w:rsid w:val="06193F2D"/>
    <w:rsid w:val="06342846"/>
    <w:rsid w:val="06372AD6"/>
    <w:rsid w:val="063C684F"/>
    <w:rsid w:val="063E7223"/>
    <w:rsid w:val="063E7D85"/>
    <w:rsid w:val="06410A48"/>
    <w:rsid w:val="06452193"/>
    <w:rsid w:val="06467570"/>
    <w:rsid w:val="066A39D5"/>
    <w:rsid w:val="06726C02"/>
    <w:rsid w:val="06821EFC"/>
    <w:rsid w:val="06890B47"/>
    <w:rsid w:val="06970176"/>
    <w:rsid w:val="069B254B"/>
    <w:rsid w:val="06A717A4"/>
    <w:rsid w:val="06BD25A3"/>
    <w:rsid w:val="06C13442"/>
    <w:rsid w:val="06DF2819"/>
    <w:rsid w:val="06E801CD"/>
    <w:rsid w:val="06F349CC"/>
    <w:rsid w:val="06F6375B"/>
    <w:rsid w:val="06F86C67"/>
    <w:rsid w:val="06FA689C"/>
    <w:rsid w:val="06FA7B9F"/>
    <w:rsid w:val="07003924"/>
    <w:rsid w:val="070C2192"/>
    <w:rsid w:val="071846D2"/>
    <w:rsid w:val="071E3916"/>
    <w:rsid w:val="0728129B"/>
    <w:rsid w:val="07293586"/>
    <w:rsid w:val="07295285"/>
    <w:rsid w:val="072C5BCB"/>
    <w:rsid w:val="07302EAF"/>
    <w:rsid w:val="0734505F"/>
    <w:rsid w:val="0742194C"/>
    <w:rsid w:val="074350BA"/>
    <w:rsid w:val="075B76C3"/>
    <w:rsid w:val="07636392"/>
    <w:rsid w:val="0766014E"/>
    <w:rsid w:val="07714C2E"/>
    <w:rsid w:val="07770C56"/>
    <w:rsid w:val="079E6A94"/>
    <w:rsid w:val="07A251CC"/>
    <w:rsid w:val="07AE4415"/>
    <w:rsid w:val="07B0032E"/>
    <w:rsid w:val="07C01DA1"/>
    <w:rsid w:val="07CD713C"/>
    <w:rsid w:val="07D82793"/>
    <w:rsid w:val="07D971F1"/>
    <w:rsid w:val="07E10CEF"/>
    <w:rsid w:val="07F22F36"/>
    <w:rsid w:val="07FA401E"/>
    <w:rsid w:val="08083C19"/>
    <w:rsid w:val="080A0097"/>
    <w:rsid w:val="08134E3A"/>
    <w:rsid w:val="081D5A0A"/>
    <w:rsid w:val="081F4EFF"/>
    <w:rsid w:val="08231B5B"/>
    <w:rsid w:val="08416B81"/>
    <w:rsid w:val="085564FD"/>
    <w:rsid w:val="0864742E"/>
    <w:rsid w:val="086A563C"/>
    <w:rsid w:val="08792C2C"/>
    <w:rsid w:val="08811E44"/>
    <w:rsid w:val="088626AB"/>
    <w:rsid w:val="089E78E0"/>
    <w:rsid w:val="08A33AA2"/>
    <w:rsid w:val="08A4453E"/>
    <w:rsid w:val="08A576C9"/>
    <w:rsid w:val="08A62D43"/>
    <w:rsid w:val="08CB4E1F"/>
    <w:rsid w:val="08E278C3"/>
    <w:rsid w:val="08E66CDF"/>
    <w:rsid w:val="08FB6DA8"/>
    <w:rsid w:val="090C42AC"/>
    <w:rsid w:val="09110D0F"/>
    <w:rsid w:val="09120C1D"/>
    <w:rsid w:val="091C7AEA"/>
    <w:rsid w:val="092217DD"/>
    <w:rsid w:val="092E75C3"/>
    <w:rsid w:val="09353B5E"/>
    <w:rsid w:val="093A7294"/>
    <w:rsid w:val="093E768B"/>
    <w:rsid w:val="093F1003"/>
    <w:rsid w:val="09483F77"/>
    <w:rsid w:val="094D73D8"/>
    <w:rsid w:val="096023BB"/>
    <w:rsid w:val="096B5649"/>
    <w:rsid w:val="09714DC6"/>
    <w:rsid w:val="097B55F6"/>
    <w:rsid w:val="097D6694"/>
    <w:rsid w:val="098179AB"/>
    <w:rsid w:val="098C54B4"/>
    <w:rsid w:val="09A8477C"/>
    <w:rsid w:val="09A859A1"/>
    <w:rsid w:val="09C04DEA"/>
    <w:rsid w:val="09C75305"/>
    <w:rsid w:val="09D73B0F"/>
    <w:rsid w:val="09DC1727"/>
    <w:rsid w:val="09DF75FA"/>
    <w:rsid w:val="09EB40A4"/>
    <w:rsid w:val="09FD39FC"/>
    <w:rsid w:val="0A006583"/>
    <w:rsid w:val="0A12593D"/>
    <w:rsid w:val="0A263993"/>
    <w:rsid w:val="0A2A4266"/>
    <w:rsid w:val="0A2D3AC2"/>
    <w:rsid w:val="0A4757A9"/>
    <w:rsid w:val="0A6374D5"/>
    <w:rsid w:val="0A7E5E6F"/>
    <w:rsid w:val="0A845787"/>
    <w:rsid w:val="0A8B6BD8"/>
    <w:rsid w:val="0A9202C9"/>
    <w:rsid w:val="0A9753A3"/>
    <w:rsid w:val="0AA001FA"/>
    <w:rsid w:val="0AA755DF"/>
    <w:rsid w:val="0AAD49B9"/>
    <w:rsid w:val="0ABB7AC7"/>
    <w:rsid w:val="0B120D44"/>
    <w:rsid w:val="0B1722D5"/>
    <w:rsid w:val="0B185442"/>
    <w:rsid w:val="0B1E3ED5"/>
    <w:rsid w:val="0B240916"/>
    <w:rsid w:val="0B302E79"/>
    <w:rsid w:val="0B3459AE"/>
    <w:rsid w:val="0B361C5F"/>
    <w:rsid w:val="0B3755A5"/>
    <w:rsid w:val="0B502DEA"/>
    <w:rsid w:val="0B565A44"/>
    <w:rsid w:val="0B5F65DA"/>
    <w:rsid w:val="0B6A3820"/>
    <w:rsid w:val="0B6E3F5C"/>
    <w:rsid w:val="0B7334BC"/>
    <w:rsid w:val="0B740858"/>
    <w:rsid w:val="0B773D8A"/>
    <w:rsid w:val="0B805989"/>
    <w:rsid w:val="0BA22872"/>
    <w:rsid w:val="0BD27BF6"/>
    <w:rsid w:val="0BD3758F"/>
    <w:rsid w:val="0BD74AFC"/>
    <w:rsid w:val="0BED2996"/>
    <w:rsid w:val="0BF434D9"/>
    <w:rsid w:val="0BFF564E"/>
    <w:rsid w:val="0C0F5AB9"/>
    <w:rsid w:val="0C110776"/>
    <w:rsid w:val="0C164D8E"/>
    <w:rsid w:val="0C1B20B2"/>
    <w:rsid w:val="0C1C5E0E"/>
    <w:rsid w:val="0C3B3C7D"/>
    <w:rsid w:val="0C3C145A"/>
    <w:rsid w:val="0C4450A5"/>
    <w:rsid w:val="0C460933"/>
    <w:rsid w:val="0C4A67C2"/>
    <w:rsid w:val="0C552D7B"/>
    <w:rsid w:val="0C57537D"/>
    <w:rsid w:val="0C6A3F71"/>
    <w:rsid w:val="0C6F57E1"/>
    <w:rsid w:val="0C7622FA"/>
    <w:rsid w:val="0C8A3A90"/>
    <w:rsid w:val="0C8B167A"/>
    <w:rsid w:val="0C8E583F"/>
    <w:rsid w:val="0CAB2EAE"/>
    <w:rsid w:val="0CAC3615"/>
    <w:rsid w:val="0CC03663"/>
    <w:rsid w:val="0CC05349"/>
    <w:rsid w:val="0CD27715"/>
    <w:rsid w:val="0CE671A2"/>
    <w:rsid w:val="0CE84CAF"/>
    <w:rsid w:val="0CEA5265"/>
    <w:rsid w:val="0CFA6C91"/>
    <w:rsid w:val="0D025E75"/>
    <w:rsid w:val="0D041A0F"/>
    <w:rsid w:val="0D1165DB"/>
    <w:rsid w:val="0D130F9A"/>
    <w:rsid w:val="0D170ADC"/>
    <w:rsid w:val="0D1A44D0"/>
    <w:rsid w:val="0D1D6464"/>
    <w:rsid w:val="0D216088"/>
    <w:rsid w:val="0D25761D"/>
    <w:rsid w:val="0D260632"/>
    <w:rsid w:val="0D267386"/>
    <w:rsid w:val="0D272DEB"/>
    <w:rsid w:val="0D3903A1"/>
    <w:rsid w:val="0D420A6B"/>
    <w:rsid w:val="0D4218B7"/>
    <w:rsid w:val="0D621C7D"/>
    <w:rsid w:val="0D6E7B9F"/>
    <w:rsid w:val="0D812ACB"/>
    <w:rsid w:val="0D8B6A83"/>
    <w:rsid w:val="0DA254E0"/>
    <w:rsid w:val="0DB97FFD"/>
    <w:rsid w:val="0DC712F5"/>
    <w:rsid w:val="0DCA6A96"/>
    <w:rsid w:val="0DD839D9"/>
    <w:rsid w:val="0DDA222B"/>
    <w:rsid w:val="0DE23FB7"/>
    <w:rsid w:val="0DE66187"/>
    <w:rsid w:val="0E04218C"/>
    <w:rsid w:val="0E0B1624"/>
    <w:rsid w:val="0E2E6450"/>
    <w:rsid w:val="0E471CF8"/>
    <w:rsid w:val="0E5F5ADF"/>
    <w:rsid w:val="0E73034D"/>
    <w:rsid w:val="0E852024"/>
    <w:rsid w:val="0E8655C6"/>
    <w:rsid w:val="0E88042E"/>
    <w:rsid w:val="0E8A5A6A"/>
    <w:rsid w:val="0E9E1BAE"/>
    <w:rsid w:val="0ECF1C3A"/>
    <w:rsid w:val="0EDE1666"/>
    <w:rsid w:val="0EEE4154"/>
    <w:rsid w:val="0F0231F9"/>
    <w:rsid w:val="0F13775A"/>
    <w:rsid w:val="0F193908"/>
    <w:rsid w:val="0F2179CD"/>
    <w:rsid w:val="0F260BA4"/>
    <w:rsid w:val="0F2C3289"/>
    <w:rsid w:val="0F380A10"/>
    <w:rsid w:val="0F394BD3"/>
    <w:rsid w:val="0F3A3A46"/>
    <w:rsid w:val="0F3E497A"/>
    <w:rsid w:val="0F441876"/>
    <w:rsid w:val="0F4700DB"/>
    <w:rsid w:val="0F5F45FE"/>
    <w:rsid w:val="0F64503F"/>
    <w:rsid w:val="0F72063E"/>
    <w:rsid w:val="0F764867"/>
    <w:rsid w:val="0F7715E3"/>
    <w:rsid w:val="0F7F4DB9"/>
    <w:rsid w:val="0F983B59"/>
    <w:rsid w:val="0F9A112B"/>
    <w:rsid w:val="0FA63A2A"/>
    <w:rsid w:val="0FA66109"/>
    <w:rsid w:val="0FB76475"/>
    <w:rsid w:val="0FB84BB3"/>
    <w:rsid w:val="0FC3096D"/>
    <w:rsid w:val="0FC80292"/>
    <w:rsid w:val="0FD10743"/>
    <w:rsid w:val="0FD608DC"/>
    <w:rsid w:val="0FDA6C36"/>
    <w:rsid w:val="0FE628FD"/>
    <w:rsid w:val="0FEF2F0E"/>
    <w:rsid w:val="0FF5173F"/>
    <w:rsid w:val="10033580"/>
    <w:rsid w:val="100641F6"/>
    <w:rsid w:val="1014164F"/>
    <w:rsid w:val="101952F5"/>
    <w:rsid w:val="103D3E37"/>
    <w:rsid w:val="104931BF"/>
    <w:rsid w:val="105B4A92"/>
    <w:rsid w:val="106D2F64"/>
    <w:rsid w:val="107E2969"/>
    <w:rsid w:val="108328E2"/>
    <w:rsid w:val="10902010"/>
    <w:rsid w:val="10984959"/>
    <w:rsid w:val="10A04F01"/>
    <w:rsid w:val="10A4213B"/>
    <w:rsid w:val="10AF6022"/>
    <w:rsid w:val="10B63710"/>
    <w:rsid w:val="10CC3A3D"/>
    <w:rsid w:val="10EB08EC"/>
    <w:rsid w:val="10F10820"/>
    <w:rsid w:val="111C2F7A"/>
    <w:rsid w:val="11272E32"/>
    <w:rsid w:val="11351FF3"/>
    <w:rsid w:val="11665CA1"/>
    <w:rsid w:val="117C258C"/>
    <w:rsid w:val="11940C9D"/>
    <w:rsid w:val="1198025D"/>
    <w:rsid w:val="11A835AE"/>
    <w:rsid w:val="11BA33C0"/>
    <w:rsid w:val="11E05964"/>
    <w:rsid w:val="11E35CF0"/>
    <w:rsid w:val="11F41123"/>
    <w:rsid w:val="12083E4A"/>
    <w:rsid w:val="120C331C"/>
    <w:rsid w:val="1215622F"/>
    <w:rsid w:val="121C355D"/>
    <w:rsid w:val="121C3923"/>
    <w:rsid w:val="122A5B8A"/>
    <w:rsid w:val="1234457C"/>
    <w:rsid w:val="123710AB"/>
    <w:rsid w:val="12466B79"/>
    <w:rsid w:val="124B4C7A"/>
    <w:rsid w:val="1250514F"/>
    <w:rsid w:val="12561002"/>
    <w:rsid w:val="126459B8"/>
    <w:rsid w:val="12741640"/>
    <w:rsid w:val="1299383E"/>
    <w:rsid w:val="12A473FB"/>
    <w:rsid w:val="12D17B98"/>
    <w:rsid w:val="12D44055"/>
    <w:rsid w:val="12F333FB"/>
    <w:rsid w:val="13037223"/>
    <w:rsid w:val="13052041"/>
    <w:rsid w:val="130A64B6"/>
    <w:rsid w:val="131138B7"/>
    <w:rsid w:val="131F3543"/>
    <w:rsid w:val="13256215"/>
    <w:rsid w:val="132C7BE5"/>
    <w:rsid w:val="133133DC"/>
    <w:rsid w:val="133D7211"/>
    <w:rsid w:val="13463CC5"/>
    <w:rsid w:val="13517BA9"/>
    <w:rsid w:val="135D0AE8"/>
    <w:rsid w:val="13714736"/>
    <w:rsid w:val="13951726"/>
    <w:rsid w:val="13AF5293"/>
    <w:rsid w:val="13AF5627"/>
    <w:rsid w:val="13B0633A"/>
    <w:rsid w:val="13B64BA3"/>
    <w:rsid w:val="13C223C3"/>
    <w:rsid w:val="13C44321"/>
    <w:rsid w:val="13DD7680"/>
    <w:rsid w:val="13EE1B22"/>
    <w:rsid w:val="140625F2"/>
    <w:rsid w:val="14064A51"/>
    <w:rsid w:val="140B2E65"/>
    <w:rsid w:val="14106640"/>
    <w:rsid w:val="142014F1"/>
    <w:rsid w:val="1430588F"/>
    <w:rsid w:val="14396509"/>
    <w:rsid w:val="143C428A"/>
    <w:rsid w:val="146D4D6C"/>
    <w:rsid w:val="14713DF9"/>
    <w:rsid w:val="148E08D9"/>
    <w:rsid w:val="149E004E"/>
    <w:rsid w:val="14AD465F"/>
    <w:rsid w:val="14B42CA7"/>
    <w:rsid w:val="14B52495"/>
    <w:rsid w:val="14D1165D"/>
    <w:rsid w:val="14DD2C3C"/>
    <w:rsid w:val="14E172E9"/>
    <w:rsid w:val="14F854AD"/>
    <w:rsid w:val="151075A4"/>
    <w:rsid w:val="151633D0"/>
    <w:rsid w:val="151F45B3"/>
    <w:rsid w:val="15454741"/>
    <w:rsid w:val="154A2976"/>
    <w:rsid w:val="156522AE"/>
    <w:rsid w:val="156F592A"/>
    <w:rsid w:val="15866C37"/>
    <w:rsid w:val="1587573F"/>
    <w:rsid w:val="158B5FE0"/>
    <w:rsid w:val="158C0447"/>
    <w:rsid w:val="15970F7A"/>
    <w:rsid w:val="159C502E"/>
    <w:rsid w:val="15A221BE"/>
    <w:rsid w:val="15C32636"/>
    <w:rsid w:val="15CA2B13"/>
    <w:rsid w:val="15DC4438"/>
    <w:rsid w:val="15DE40D2"/>
    <w:rsid w:val="15DE7EED"/>
    <w:rsid w:val="15E156DB"/>
    <w:rsid w:val="15E375A1"/>
    <w:rsid w:val="15F05B4E"/>
    <w:rsid w:val="15F852AD"/>
    <w:rsid w:val="160260B9"/>
    <w:rsid w:val="16087E1D"/>
    <w:rsid w:val="16095BC7"/>
    <w:rsid w:val="160A506D"/>
    <w:rsid w:val="161C0509"/>
    <w:rsid w:val="161C1F05"/>
    <w:rsid w:val="162208F2"/>
    <w:rsid w:val="162A5AD2"/>
    <w:rsid w:val="162E3C6F"/>
    <w:rsid w:val="16300B54"/>
    <w:rsid w:val="163E47BF"/>
    <w:rsid w:val="1650210F"/>
    <w:rsid w:val="16510B6B"/>
    <w:rsid w:val="1658174B"/>
    <w:rsid w:val="165D0458"/>
    <w:rsid w:val="165F613A"/>
    <w:rsid w:val="1691092A"/>
    <w:rsid w:val="169851A9"/>
    <w:rsid w:val="169F5518"/>
    <w:rsid w:val="16B339A7"/>
    <w:rsid w:val="16C31BC1"/>
    <w:rsid w:val="16D94CB8"/>
    <w:rsid w:val="16ED6FD9"/>
    <w:rsid w:val="16F2514E"/>
    <w:rsid w:val="16F377DA"/>
    <w:rsid w:val="1713042F"/>
    <w:rsid w:val="1717553D"/>
    <w:rsid w:val="17247A7A"/>
    <w:rsid w:val="174B0774"/>
    <w:rsid w:val="174F7818"/>
    <w:rsid w:val="175C22D1"/>
    <w:rsid w:val="17701D14"/>
    <w:rsid w:val="17735226"/>
    <w:rsid w:val="17806A06"/>
    <w:rsid w:val="178C6C4A"/>
    <w:rsid w:val="17A778C2"/>
    <w:rsid w:val="17AA3DCF"/>
    <w:rsid w:val="17C352D7"/>
    <w:rsid w:val="17C61019"/>
    <w:rsid w:val="17D8159A"/>
    <w:rsid w:val="17E82428"/>
    <w:rsid w:val="17ED2B14"/>
    <w:rsid w:val="17F3443B"/>
    <w:rsid w:val="18036D0D"/>
    <w:rsid w:val="18116D15"/>
    <w:rsid w:val="18196F73"/>
    <w:rsid w:val="18262DFB"/>
    <w:rsid w:val="182C45C9"/>
    <w:rsid w:val="18794428"/>
    <w:rsid w:val="188143E0"/>
    <w:rsid w:val="18877388"/>
    <w:rsid w:val="188E3C5B"/>
    <w:rsid w:val="189C2BE9"/>
    <w:rsid w:val="189F624C"/>
    <w:rsid w:val="18A02BE8"/>
    <w:rsid w:val="18A53C3D"/>
    <w:rsid w:val="18A96408"/>
    <w:rsid w:val="18B72209"/>
    <w:rsid w:val="18CA3D62"/>
    <w:rsid w:val="18CB1833"/>
    <w:rsid w:val="18DB4004"/>
    <w:rsid w:val="18EE769D"/>
    <w:rsid w:val="18F72ADF"/>
    <w:rsid w:val="18F800BF"/>
    <w:rsid w:val="18FB301E"/>
    <w:rsid w:val="19004097"/>
    <w:rsid w:val="19110C8C"/>
    <w:rsid w:val="19205FE5"/>
    <w:rsid w:val="19251554"/>
    <w:rsid w:val="194105D2"/>
    <w:rsid w:val="19640D9A"/>
    <w:rsid w:val="19844020"/>
    <w:rsid w:val="198B5C9E"/>
    <w:rsid w:val="19941846"/>
    <w:rsid w:val="19B53A61"/>
    <w:rsid w:val="19B94792"/>
    <w:rsid w:val="19C65F52"/>
    <w:rsid w:val="19D7767A"/>
    <w:rsid w:val="19D94FEB"/>
    <w:rsid w:val="19DB4738"/>
    <w:rsid w:val="19EA5F4D"/>
    <w:rsid w:val="19FC27DB"/>
    <w:rsid w:val="19FF32DC"/>
    <w:rsid w:val="1A0B3034"/>
    <w:rsid w:val="1A1C66C0"/>
    <w:rsid w:val="1A221870"/>
    <w:rsid w:val="1A2B66A8"/>
    <w:rsid w:val="1A3E4182"/>
    <w:rsid w:val="1A42393B"/>
    <w:rsid w:val="1A442C03"/>
    <w:rsid w:val="1A477682"/>
    <w:rsid w:val="1A4D7DFA"/>
    <w:rsid w:val="1A516941"/>
    <w:rsid w:val="1A5A79AE"/>
    <w:rsid w:val="1A683EE3"/>
    <w:rsid w:val="1A6A546F"/>
    <w:rsid w:val="1A776932"/>
    <w:rsid w:val="1A7F42FE"/>
    <w:rsid w:val="1A850F77"/>
    <w:rsid w:val="1A927E8C"/>
    <w:rsid w:val="1AA60D1A"/>
    <w:rsid w:val="1AAD45DE"/>
    <w:rsid w:val="1ACD0172"/>
    <w:rsid w:val="1AD10414"/>
    <w:rsid w:val="1AD4750B"/>
    <w:rsid w:val="1AD75C16"/>
    <w:rsid w:val="1AEE62C5"/>
    <w:rsid w:val="1B046F80"/>
    <w:rsid w:val="1B0639B5"/>
    <w:rsid w:val="1B1C020F"/>
    <w:rsid w:val="1B3267B5"/>
    <w:rsid w:val="1B32709F"/>
    <w:rsid w:val="1B3818A7"/>
    <w:rsid w:val="1B40161D"/>
    <w:rsid w:val="1B441859"/>
    <w:rsid w:val="1B48354D"/>
    <w:rsid w:val="1B4C2E10"/>
    <w:rsid w:val="1B501CBE"/>
    <w:rsid w:val="1B573D9E"/>
    <w:rsid w:val="1B6606B1"/>
    <w:rsid w:val="1B906CF8"/>
    <w:rsid w:val="1BA46D6A"/>
    <w:rsid w:val="1BB478BC"/>
    <w:rsid w:val="1BBD2D96"/>
    <w:rsid w:val="1BD0154E"/>
    <w:rsid w:val="1BE4134D"/>
    <w:rsid w:val="1BF178B6"/>
    <w:rsid w:val="1BFB05EC"/>
    <w:rsid w:val="1BFC7F5A"/>
    <w:rsid w:val="1C14658D"/>
    <w:rsid w:val="1C2B0CDF"/>
    <w:rsid w:val="1C2C0FB4"/>
    <w:rsid w:val="1C421E1A"/>
    <w:rsid w:val="1C470BD1"/>
    <w:rsid w:val="1C4B2FDE"/>
    <w:rsid w:val="1C5E7925"/>
    <w:rsid w:val="1C683C70"/>
    <w:rsid w:val="1C747995"/>
    <w:rsid w:val="1C787768"/>
    <w:rsid w:val="1C7A1290"/>
    <w:rsid w:val="1C940F4E"/>
    <w:rsid w:val="1C947FD3"/>
    <w:rsid w:val="1C963843"/>
    <w:rsid w:val="1C9A3128"/>
    <w:rsid w:val="1CAA78FB"/>
    <w:rsid w:val="1CAD6D94"/>
    <w:rsid w:val="1CB57AC6"/>
    <w:rsid w:val="1CC56F23"/>
    <w:rsid w:val="1CD01750"/>
    <w:rsid w:val="1CFC5A57"/>
    <w:rsid w:val="1CFD070F"/>
    <w:rsid w:val="1D0B6C71"/>
    <w:rsid w:val="1D0E213C"/>
    <w:rsid w:val="1D1F5007"/>
    <w:rsid w:val="1D297CCA"/>
    <w:rsid w:val="1D2D71FC"/>
    <w:rsid w:val="1D3169F2"/>
    <w:rsid w:val="1D365C32"/>
    <w:rsid w:val="1D370BA3"/>
    <w:rsid w:val="1D3F38C9"/>
    <w:rsid w:val="1D402EBB"/>
    <w:rsid w:val="1D500799"/>
    <w:rsid w:val="1D5575A5"/>
    <w:rsid w:val="1D5F6196"/>
    <w:rsid w:val="1D6132A5"/>
    <w:rsid w:val="1D74076E"/>
    <w:rsid w:val="1D747207"/>
    <w:rsid w:val="1D7C4D72"/>
    <w:rsid w:val="1D7C62F8"/>
    <w:rsid w:val="1D821BA0"/>
    <w:rsid w:val="1D8D66B3"/>
    <w:rsid w:val="1D8E56D5"/>
    <w:rsid w:val="1D9567C2"/>
    <w:rsid w:val="1DA80BFE"/>
    <w:rsid w:val="1DC54439"/>
    <w:rsid w:val="1DEB40CE"/>
    <w:rsid w:val="1DF64A17"/>
    <w:rsid w:val="1DF80051"/>
    <w:rsid w:val="1E102833"/>
    <w:rsid w:val="1E1E39C7"/>
    <w:rsid w:val="1E276647"/>
    <w:rsid w:val="1E3012E9"/>
    <w:rsid w:val="1E330A99"/>
    <w:rsid w:val="1E3336B5"/>
    <w:rsid w:val="1E542A58"/>
    <w:rsid w:val="1E5D1C12"/>
    <w:rsid w:val="1E6476B9"/>
    <w:rsid w:val="1E793117"/>
    <w:rsid w:val="1E7A43DA"/>
    <w:rsid w:val="1E7B7EB9"/>
    <w:rsid w:val="1E806A29"/>
    <w:rsid w:val="1E8C3280"/>
    <w:rsid w:val="1EB92D0A"/>
    <w:rsid w:val="1EBF3C4F"/>
    <w:rsid w:val="1EE008E7"/>
    <w:rsid w:val="1EE90FF8"/>
    <w:rsid w:val="1EE9793D"/>
    <w:rsid w:val="1EF07174"/>
    <w:rsid w:val="1F3532AA"/>
    <w:rsid w:val="1F4E5AC8"/>
    <w:rsid w:val="1F4E7D59"/>
    <w:rsid w:val="1F4F727A"/>
    <w:rsid w:val="1F555594"/>
    <w:rsid w:val="1F570E8C"/>
    <w:rsid w:val="1F716663"/>
    <w:rsid w:val="1F7B68B1"/>
    <w:rsid w:val="1F903EE0"/>
    <w:rsid w:val="1FAD6688"/>
    <w:rsid w:val="1FC61A1E"/>
    <w:rsid w:val="1FC932AF"/>
    <w:rsid w:val="1FD628F5"/>
    <w:rsid w:val="1FE7539E"/>
    <w:rsid w:val="1FF10AAF"/>
    <w:rsid w:val="1FF429D1"/>
    <w:rsid w:val="1FF67596"/>
    <w:rsid w:val="1FF93F57"/>
    <w:rsid w:val="1FFC06AD"/>
    <w:rsid w:val="1FFC4DBC"/>
    <w:rsid w:val="2006463B"/>
    <w:rsid w:val="201835CC"/>
    <w:rsid w:val="201F2AB8"/>
    <w:rsid w:val="20266D07"/>
    <w:rsid w:val="20272E40"/>
    <w:rsid w:val="2043722F"/>
    <w:rsid w:val="20471F5F"/>
    <w:rsid w:val="20565C97"/>
    <w:rsid w:val="205A31D5"/>
    <w:rsid w:val="205F2A53"/>
    <w:rsid w:val="20671BE0"/>
    <w:rsid w:val="20730310"/>
    <w:rsid w:val="208F497F"/>
    <w:rsid w:val="20963CB8"/>
    <w:rsid w:val="20A81A1B"/>
    <w:rsid w:val="20A84F0E"/>
    <w:rsid w:val="20B07FB6"/>
    <w:rsid w:val="20B11B6B"/>
    <w:rsid w:val="20B12336"/>
    <w:rsid w:val="20B646FB"/>
    <w:rsid w:val="20BB6900"/>
    <w:rsid w:val="20C22577"/>
    <w:rsid w:val="20CE432F"/>
    <w:rsid w:val="20E266AE"/>
    <w:rsid w:val="20E55407"/>
    <w:rsid w:val="20EA6ABC"/>
    <w:rsid w:val="20FA1EB2"/>
    <w:rsid w:val="2106789D"/>
    <w:rsid w:val="210B2D82"/>
    <w:rsid w:val="212157E2"/>
    <w:rsid w:val="21290CD5"/>
    <w:rsid w:val="21334396"/>
    <w:rsid w:val="21356A17"/>
    <w:rsid w:val="213823E5"/>
    <w:rsid w:val="213B74B1"/>
    <w:rsid w:val="214955D2"/>
    <w:rsid w:val="215A2310"/>
    <w:rsid w:val="216B283D"/>
    <w:rsid w:val="2175358C"/>
    <w:rsid w:val="21755F6E"/>
    <w:rsid w:val="2179204D"/>
    <w:rsid w:val="217C3C14"/>
    <w:rsid w:val="219968B4"/>
    <w:rsid w:val="219D0F7A"/>
    <w:rsid w:val="219E6615"/>
    <w:rsid w:val="21A85854"/>
    <w:rsid w:val="21B66454"/>
    <w:rsid w:val="21BB4881"/>
    <w:rsid w:val="21C6316E"/>
    <w:rsid w:val="21C81B72"/>
    <w:rsid w:val="21CC0144"/>
    <w:rsid w:val="21DE318A"/>
    <w:rsid w:val="21DE79D9"/>
    <w:rsid w:val="21E3466E"/>
    <w:rsid w:val="21EF5B80"/>
    <w:rsid w:val="22094A43"/>
    <w:rsid w:val="22162A84"/>
    <w:rsid w:val="22211EF7"/>
    <w:rsid w:val="223202F7"/>
    <w:rsid w:val="224C45A0"/>
    <w:rsid w:val="224E3C52"/>
    <w:rsid w:val="224F71D4"/>
    <w:rsid w:val="225461AB"/>
    <w:rsid w:val="22576990"/>
    <w:rsid w:val="22707B7C"/>
    <w:rsid w:val="227D4257"/>
    <w:rsid w:val="228A2AF8"/>
    <w:rsid w:val="229357B0"/>
    <w:rsid w:val="22940F7A"/>
    <w:rsid w:val="2299209C"/>
    <w:rsid w:val="229A4FCF"/>
    <w:rsid w:val="229C17E5"/>
    <w:rsid w:val="229D177F"/>
    <w:rsid w:val="229F339A"/>
    <w:rsid w:val="22C20DAB"/>
    <w:rsid w:val="22C86435"/>
    <w:rsid w:val="22D92178"/>
    <w:rsid w:val="22E06D1C"/>
    <w:rsid w:val="22F47480"/>
    <w:rsid w:val="22F65F71"/>
    <w:rsid w:val="23005322"/>
    <w:rsid w:val="23100BFC"/>
    <w:rsid w:val="23146469"/>
    <w:rsid w:val="231A567C"/>
    <w:rsid w:val="231B1CF3"/>
    <w:rsid w:val="231D05AD"/>
    <w:rsid w:val="234975F2"/>
    <w:rsid w:val="235938B1"/>
    <w:rsid w:val="235B2962"/>
    <w:rsid w:val="23654DB6"/>
    <w:rsid w:val="23662E0C"/>
    <w:rsid w:val="23665B43"/>
    <w:rsid w:val="2374470E"/>
    <w:rsid w:val="23771233"/>
    <w:rsid w:val="237E2E0A"/>
    <w:rsid w:val="238C12C7"/>
    <w:rsid w:val="23A033A3"/>
    <w:rsid w:val="23A866CF"/>
    <w:rsid w:val="23B03709"/>
    <w:rsid w:val="23B745C3"/>
    <w:rsid w:val="23C2149D"/>
    <w:rsid w:val="23D2369E"/>
    <w:rsid w:val="23DE1C48"/>
    <w:rsid w:val="23DE2EA0"/>
    <w:rsid w:val="23E426ED"/>
    <w:rsid w:val="23E61CAB"/>
    <w:rsid w:val="23F67E31"/>
    <w:rsid w:val="23FC57AD"/>
    <w:rsid w:val="240122A7"/>
    <w:rsid w:val="240210CD"/>
    <w:rsid w:val="241C2FEE"/>
    <w:rsid w:val="24271392"/>
    <w:rsid w:val="243D799C"/>
    <w:rsid w:val="243F17AD"/>
    <w:rsid w:val="245E0644"/>
    <w:rsid w:val="24640CE9"/>
    <w:rsid w:val="24735F32"/>
    <w:rsid w:val="247502F1"/>
    <w:rsid w:val="249A674A"/>
    <w:rsid w:val="24A615A8"/>
    <w:rsid w:val="24B33B74"/>
    <w:rsid w:val="24B60BA0"/>
    <w:rsid w:val="24BF09F7"/>
    <w:rsid w:val="24D55D9A"/>
    <w:rsid w:val="24DA11AE"/>
    <w:rsid w:val="251948D8"/>
    <w:rsid w:val="251F1F89"/>
    <w:rsid w:val="25234792"/>
    <w:rsid w:val="25280C02"/>
    <w:rsid w:val="252D53FE"/>
    <w:rsid w:val="25424DFB"/>
    <w:rsid w:val="25520B23"/>
    <w:rsid w:val="255226A7"/>
    <w:rsid w:val="255778BC"/>
    <w:rsid w:val="255A0B3D"/>
    <w:rsid w:val="25814D1D"/>
    <w:rsid w:val="25880EDF"/>
    <w:rsid w:val="258977E6"/>
    <w:rsid w:val="258C2420"/>
    <w:rsid w:val="259C42D0"/>
    <w:rsid w:val="25E87F1C"/>
    <w:rsid w:val="25EC2D81"/>
    <w:rsid w:val="25F65C84"/>
    <w:rsid w:val="25FA3688"/>
    <w:rsid w:val="26016ECE"/>
    <w:rsid w:val="260323EF"/>
    <w:rsid w:val="260D3368"/>
    <w:rsid w:val="2613207E"/>
    <w:rsid w:val="26244B3A"/>
    <w:rsid w:val="262F2153"/>
    <w:rsid w:val="26516AE7"/>
    <w:rsid w:val="26562469"/>
    <w:rsid w:val="2656753F"/>
    <w:rsid w:val="265F782E"/>
    <w:rsid w:val="266B3DEE"/>
    <w:rsid w:val="267B1726"/>
    <w:rsid w:val="267F6769"/>
    <w:rsid w:val="26834B4B"/>
    <w:rsid w:val="26895D53"/>
    <w:rsid w:val="269D7A80"/>
    <w:rsid w:val="26A45B5A"/>
    <w:rsid w:val="26AE755A"/>
    <w:rsid w:val="26CD7C24"/>
    <w:rsid w:val="26DB3A5E"/>
    <w:rsid w:val="26DF58BF"/>
    <w:rsid w:val="26EA557F"/>
    <w:rsid w:val="27083E8E"/>
    <w:rsid w:val="272B12EF"/>
    <w:rsid w:val="27310257"/>
    <w:rsid w:val="27345CDF"/>
    <w:rsid w:val="27347943"/>
    <w:rsid w:val="2759709A"/>
    <w:rsid w:val="276D0F92"/>
    <w:rsid w:val="277057A2"/>
    <w:rsid w:val="27852141"/>
    <w:rsid w:val="278647A9"/>
    <w:rsid w:val="27922022"/>
    <w:rsid w:val="2798640C"/>
    <w:rsid w:val="279B49FF"/>
    <w:rsid w:val="27A3481E"/>
    <w:rsid w:val="27A56AC6"/>
    <w:rsid w:val="27AD2107"/>
    <w:rsid w:val="27BA66D8"/>
    <w:rsid w:val="27E43408"/>
    <w:rsid w:val="27EC0687"/>
    <w:rsid w:val="27F219E9"/>
    <w:rsid w:val="280028C3"/>
    <w:rsid w:val="281A0904"/>
    <w:rsid w:val="28202527"/>
    <w:rsid w:val="28217D9A"/>
    <w:rsid w:val="2822051F"/>
    <w:rsid w:val="283118B8"/>
    <w:rsid w:val="285620A5"/>
    <w:rsid w:val="285B3C44"/>
    <w:rsid w:val="286851C7"/>
    <w:rsid w:val="286F7ABE"/>
    <w:rsid w:val="287E1CA4"/>
    <w:rsid w:val="288736ED"/>
    <w:rsid w:val="2894319E"/>
    <w:rsid w:val="28B01C6B"/>
    <w:rsid w:val="28B84494"/>
    <w:rsid w:val="28B96EEE"/>
    <w:rsid w:val="28C0243D"/>
    <w:rsid w:val="28D423AB"/>
    <w:rsid w:val="28D76CD2"/>
    <w:rsid w:val="28EA0FDF"/>
    <w:rsid w:val="28EC7785"/>
    <w:rsid w:val="28EE0301"/>
    <w:rsid w:val="28EF5659"/>
    <w:rsid w:val="28F42C32"/>
    <w:rsid w:val="29021347"/>
    <w:rsid w:val="290F70F5"/>
    <w:rsid w:val="29142DD1"/>
    <w:rsid w:val="29150D44"/>
    <w:rsid w:val="29206EB8"/>
    <w:rsid w:val="29242D97"/>
    <w:rsid w:val="29403AC2"/>
    <w:rsid w:val="29595666"/>
    <w:rsid w:val="297C0619"/>
    <w:rsid w:val="29856755"/>
    <w:rsid w:val="29874881"/>
    <w:rsid w:val="29974E25"/>
    <w:rsid w:val="29A32901"/>
    <w:rsid w:val="29B20504"/>
    <w:rsid w:val="29B23823"/>
    <w:rsid w:val="29B630A8"/>
    <w:rsid w:val="29C21ADA"/>
    <w:rsid w:val="29C81E71"/>
    <w:rsid w:val="29CD5764"/>
    <w:rsid w:val="29CE42FE"/>
    <w:rsid w:val="29CE7798"/>
    <w:rsid w:val="29D06CE7"/>
    <w:rsid w:val="29D97E36"/>
    <w:rsid w:val="29DA2117"/>
    <w:rsid w:val="29DD776D"/>
    <w:rsid w:val="29E325E0"/>
    <w:rsid w:val="29E562E3"/>
    <w:rsid w:val="29FA61AF"/>
    <w:rsid w:val="29FC68E4"/>
    <w:rsid w:val="2A016C39"/>
    <w:rsid w:val="2A165FD2"/>
    <w:rsid w:val="2A193660"/>
    <w:rsid w:val="2A2E22E9"/>
    <w:rsid w:val="2A3776AB"/>
    <w:rsid w:val="2A3C0B37"/>
    <w:rsid w:val="2A413097"/>
    <w:rsid w:val="2A452503"/>
    <w:rsid w:val="2A54435D"/>
    <w:rsid w:val="2A711983"/>
    <w:rsid w:val="2A735FA7"/>
    <w:rsid w:val="2A7807FA"/>
    <w:rsid w:val="2A7A73C2"/>
    <w:rsid w:val="2A8A143F"/>
    <w:rsid w:val="2ABB52C3"/>
    <w:rsid w:val="2ABB6F9B"/>
    <w:rsid w:val="2ACF4B49"/>
    <w:rsid w:val="2AD02ED1"/>
    <w:rsid w:val="2AE82331"/>
    <w:rsid w:val="2AF8586D"/>
    <w:rsid w:val="2AFB25FE"/>
    <w:rsid w:val="2AFD37CE"/>
    <w:rsid w:val="2AFF33D6"/>
    <w:rsid w:val="2B2F0ECF"/>
    <w:rsid w:val="2B492610"/>
    <w:rsid w:val="2B4A78AF"/>
    <w:rsid w:val="2B527C69"/>
    <w:rsid w:val="2B586C9A"/>
    <w:rsid w:val="2B7B1C23"/>
    <w:rsid w:val="2BA13E1E"/>
    <w:rsid w:val="2BA50E23"/>
    <w:rsid w:val="2BA936A8"/>
    <w:rsid w:val="2BAE1E64"/>
    <w:rsid w:val="2BAE6919"/>
    <w:rsid w:val="2BBC14D1"/>
    <w:rsid w:val="2BD71446"/>
    <w:rsid w:val="2BDA7F8A"/>
    <w:rsid w:val="2BDD4F62"/>
    <w:rsid w:val="2BF828F7"/>
    <w:rsid w:val="2C11352A"/>
    <w:rsid w:val="2C116419"/>
    <w:rsid w:val="2C1F7B3C"/>
    <w:rsid w:val="2C2A6DDD"/>
    <w:rsid w:val="2C306450"/>
    <w:rsid w:val="2C315A5A"/>
    <w:rsid w:val="2C333333"/>
    <w:rsid w:val="2C351F57"/>
    <w:rsid w:val="2C3524F3"/>
    <w:rsid w:val="2C376F7B"/>
    <w:rsid w:val="2C39337D"/>
    <w:rsid w:val="2C4572F6"/>
    <w:rsid w:val="2C4865C3"/>
    <w:rsid w:val="2C4A3D32"/>
    <w:rsid w:val="2C4B1C25"/>
    <w:rsid w:val="2C5327D8"/>
    <w:rsid w:val="2C5868C7"/>
    <w:rsid w:val="2C6C7E26"/>
    <w:rsid w:val="2C852770"/>
    <w:rsid w:val="2C8F1C78"/>
    <w:rsid w:val="2C940240"/>
    <w:rsid w:val="2C9462CA"/>
    <w:rsid w:val="2CA12EC9"/>
    <w:rsid w:val="2CAD7F8B"/>
    <w:rsid w:val="2CAE560C"/>
    <w:rsid w:val="2CB8454A"/>
    <w:rsid w:val="2CB851C6"/>
    <w:rsid w:val="2CBE77F3"/>
    <w:rsid w:val="2CBF3D07"/>
    <w:rsid w:val="2CC60A6F"/>
    <w:rsid w:val="2CC7331C"/>
    <w:rsid w:val="2CD4350D"/>
    <w:rsid w:val="2CEA6813"/>
    <w:rsid w:val="2D0A548E"/>
    <w:rsid w:val="2D2D47EF"/>
    <w:rsid w:val="2D38455A"/>
    <w:rsid w:val="2D4E5449"/>
    <w:rsid w:val="2D5A65DB"/>
    <w:rsid w:val="2D5E5184"/>
    <w:rsid w:val="2D652731"/>
    <w:rsid w:val="2D6F79D7"/>
    <w:rsid w:val="2D861D47"/>
    <w:rsid w:val="2D961C9C"/>
    <w:rsid w:val="2D976A52"/>
    <w:rsid w:val="2D9E56F5"/>
    <w:rsid w:val="2DA13B83"/>
    <w:rsid w:val="2DA808DA"/>
    <w:rsid w:val="2DB64F25"/>
    <w:rsid w:val="2DBC7E2B"/>
    <w:rsid w:val="2DBF5505"/>
    <w:rsid w:val="2DBF7611"/>
    <w:rsid w:val="2DC0426B"/>
    <w:rsid w:val="2DC9413A"/>
    <w:rsid w:val="2DCC02AF"/>
    <w:rsid w:val="2DD36BAE"/>
    <w:rsid w:val="2DD46863"/>
    <w:rsid w:val="2DDC50E0"/>
    <w:rsid w:val="2DDD2065"/>
    <w:rsid w:val="2DE445CF"/>
    <w:rsid w:val="2DE84571"/>
    <w:rsid w:val="2DE8667A"/>
    <w:rsid w:val="2DE960D2"/>
    <w:rsid w:val="2DEA12D6"/>
    <w:rsid w:val="2DEA3D04"/>
    <w:rsid w:val="2DF26B41"/>
    <w:rsid w:val="2E100972"/>
    <w:rsid w:val="2E2817A7"/>
    <w:rsid w:val="2E4012B5"/>
    <w:rsid w:val="2E4D2F43"/>
    <w:rsid w:val="2E581913"/>
    <w:rsid w:val="2E5831BF"/>
    <w:rsid w:val="2E667F96"/>
    <w:rsid w:val="2E7916A3"/>
    <w:rsid w:val="2E8226AB"/>
    <w:rsid w:val="2E9A136A"/>
    <w:rsid w:val="2E9F61F8"/>
    <w:rsid w:val="2EA22E2E"/>
    <w:rsid w:val="2EBD2289"/>
    <w:rsid w:val="2EE02C54"/>
    <w:rsid w:val="2EE0784F"/>
    <w:rsid w:val="2EFC465B"/>
    <w:rsid w:val="2F047F50"/>
    <w:rsid w:val="2F1D0716"/>
    <w:rsid w:val="2F2A1D52"/>
    <w:rsid w:val="2F2A23EA"/>
    <w:rsid w:val="2F2E4E64"/>
    <w:rsid w:val="2F33393A"/>
    <w:rsid w:val="2F336A94"/>
    <w:rsid w:val="2F3A5848"/>
    <w:rsid w:val="2F451706"/>
    <w:rsid w:val="2F481ABB"/>
    <w:rsid w:val="2F8D34BD"/>
    <w:rsid w:val="2FB1461E"/>
    <w:rsid w:val="2FBE0FEC"/>
    <w:rsid w:val="2FD03BBF"/>
    <w:rsid w:val="2FD065E6"/>
    <w:rsid w:val="2FD13299"/>
    <w:rsid w:val="2FD30A70"/>
    <w:rsid w:val="2FD430EF"/>
    <w:rsid w:val="2FD96870"/>
    <w:rsid w:val="2FE91341"/>
    <w:rsid w:val="2FF15FDE"/>
    <w:rsid w:val="2FF41138"/>
    <w:rsid w:val="2FF72E45"/>
    <w:rsid w:val="3001573E"/>
    <w:rsid w:val="30152244"/>
    <w:rsid w:val="301D31D4"/>
    <w:rsid w:val="304B0456"/>
    <w:rsid w:val="304B0BB9"/>
    <w:rsid w:val="3052296B"/>
    <w:rsid w:val="305453D8"/>
    <w:rsid w:val="30580BC9"/>
    <w:rsid w:val="306422A1"/>
    <w:rsid w:val="30711F87"/>
    <w:rsid w:val="3082018B"/>
    <w:rsid w:val="30835235"/>
    <w:rsid w:val="309825C4"/>
    <w:rsid w:val="30A326AB"/>
    <w:rsid w:val="30B70DF2"/>
    <w:rsid w:val="30C720A0"/>
    <w:rsid w:val="30D20AAB"/>
    <w:rsid w:val="30D718B8"/>
    <w:rsid w:val="30F22B45"/>
    <w:rsid w:val="30F70B79"/>
    <w:rsid w:val="30F738E3"/>
    <w:rsid w:val="30FC5C70"/>
    <w:rsid w:val="30FD0F01"/>
    <w:rsid w:val="30FD7ED1"/>
    <w:rsid w:val="310D623F"/>
    <w:rsid w:val="31103624"/>
    <w:rsid w:val="31121DBB"/>
    <w:rsid w:val="311E2ED7"/>
    <w:rsid w:val="312F4EC7"/>
    <w:rsid w:val="313E7F46"/>
    <w:rsid w:val="314A6F6D"/>
    <w:rsid w:val="315619EE"/>
    <w:rsid w:val="315969EF"/>
    <w:rsid w:val="315C449C"/>
    <w:rsid w:val="316F0ED1"/>
    <w:rsid w:val="317D1B7C"/>
    <w:rsid w:val="318F28FB"/>
    <w:rsid w:val="31953DE2"/>
    <w:rsid w:val="31A10174"/>
    <w:rsid w:val="31A16521"/>
    <w:rsid w:val="31A858DF"/>
    <w:rsid w:val="31AA2EA0"/>
    <w:rsid w:val="31B82709"/>
    <w:rsid w:val="31C32433"/>
    <w:rsid w:val="31C76A8A"/>
    <w:rsid w:val="31D05482"/>
    <w:rsid w:val="31D25762"/>
    <w:rsid w:val="31EA4311"/>
    <w:rsid w:val="320604D1"/>
    <w:rsid w:val="32090139"/>
    <w:rsid w:val="32102E4D"/>
    <w:rsid w:val="32120B6A"/>
    <w:rsid w:val="32197218"/>
    <w:rsid w:val="321A6E8C"/>
    <w:rsid w:val="32370963"/>
    <w:rsid w:val="32400B34"/>
    <w:rsid w:val="32445D3E"/>
    <w:rsid w:val="325138F5"/>
    <w:rsid w:val="32550F77"/>
    <w:rsid w:val="3269699E"/>
    <w:rsid w:val="326E23FE"/>
    <w:rsid w:val="327D6561"/>
    <w:rsid w:val="328139F5"/>
    <w:rsid w:val="32842307"/>
    <w:rsid w:val="32985FCA"/>
    <w:rsid w:val="329E6876"/>
    <w:rsid w:val="32C64DE1"/>
    <w:rsid w:val="32C80E87"/>
    <w:rsid w:val="32D4402B"/>
    <w:rsid w:val="32D66278"/>
    <w:rsid w:val="32D802AD"/>
    <w:rsid w:val="32DF549D"/>
    <w:rsid w:val="32E93046"/>
    <w:rsid w:val="32FB4532"/>
    <w:rsid w:val="33196CA0"/>
    <w:rsid w:val="331E118A"/>
    <w:rsid w:val="33217CC8"/>
    <w:rsid w:val="33256A41"/>
    <w:rsid w:val="333015F2"/>
    <w:rsid w:val="334A7E07"/>
    <w:rsid w:val="334B6320"/>
    <w:rsid w:val="335D4BBB"/>
    <w:rsid w:val="338B1EA8"/>
    <w:rsid w:val="338F2C39"/>
    <w:rsid w:val="339616F9"/>
    <w:rsid w:val="33A52D8F"/>
    <w:rsid w:val="33AA6AC0"/>
    <w:rsid w:val="33B05F06"/>
    <w:rsid w:val="33B30337"/>
    <w:rsid w:val="33BB688F"/>
    <w:rsid w:val="33CA7E30"/>
    <w:rsid w:val="33CE4266"/>
    <w:rsid w:val="33D010F5"/>
    <w:rsid w:val="33D934D4"/>
    <w:rsid w:val="33DF002B"/>
    <w:rsid w:val="33E537F2"/>
    <w:rsid w:val="33E745CD"/>
    <w:rsid w:val="33EB6CD7"/>
    <w:rsid w:val="33EF791C"/>
    <w:rsid w:val="33F96FA9"/>
    <w:rsid w:val="33FE2F6A"/>
    <w:rsid w:val="34032EA9"/>
    <w:rsid w:val="340E07E5"/>
    <w:rsid w:val="34201EC4"/>
    <w:rsid w:val="34235BF7"/>
    <w:rsid w:val="3443693A"/>
    <w:rsid w:val="345D4065"/>
    <w:rsid w:val="345F301A"/>
    <w:rsid w:val="34874AA7"/>
    <w:rsid w:val="34905400"/>
    <w:rsid w:val="349E7F4A"/>
    <w:rsid w:val="34A441C5"/>
    <w:rsid w:val="34B4710F"/>
    <w:rsid w:val="34B53459"/>
    <w:rsid w:val="34BD694E"/>
    <w:rsid w:val="34C03753"/>
    <w:rsid w:val="34C7270F"/>
    <w:rsid w:val="34CB1811"/>
    <w:rsid w:val="34E71A46"/>
    <w:rsid w:val="34ED0A63"/>
    <w:rsid w:val="34F176B1"/>
    <w:rsid w:val="3503695D"/>
    <w:rsid w:val="35064014"/>
    <w:rsid w:val="35097C1C"/>
    <w:rsid w:val="350E513D"/>
    <w:rsid w:val="35141C94"/>
    <w:rsid w:val="351A2088"/>
    <w:rsid w:val="35211DEC"/>
    <w:rsid w:val="352E6B9D"/>
    <w:rsid w:val="352F41AF"/>
    <w:rsid w:val="35427316"/>
    <w:rsid w:val="35521CA3"/>
    <w:rsid w:val="35784E07"/>
    <w:rsid w:val="357A0888"/>
    <w:rsid w:val="358C5FA8"/>
    <w:rsid w:val="35961D92"/>
    <w:rsid w:val="35AC4C3A"/>
    <w:rsid w:val="35C15DF1"/>
    <w:rsid w:val="35DF614B"/>
    <w:rsid w:val="35EB05A7"/>
    <w:rsid w:val="36000D47"/>
    <w:rsid w:val="36012EA4"/>
    <w:rsid w:val="36066A6B"/>
    <w:rsid w:val="36074A7F"/>
    <w:rsid w:val="36313553"/>
    <w:rsid w:val="363D346E"/>
    <w:rsid w:val="36594DC4"/>
    <w:rsid w:val="365C36DE"/>
    <w:rsid w:val="36734A6F"/>
    <w:rsid w:val="368A30F6"/>
    <w:rsid w:val="36923549"/>
    <w:rsid w:val="36A02FA6"/>
    <w:rsid w:val="36A417D0"/>
    <w:rsid w:val="36AD192A"/>
    <w:rsid w:val="36B75FBF"/>
    <w:rsid w:val="36BB2C62"/>
    <w:rsid w:val="36BD0C45"/>
    <w:rsid w:val="36C903A2"/>
    <w:rsid w:val="36CB3007"/>
    <w:rsid w:val="36D179CD"/>
    <w:rsid w:val="36D23426"/>
    <w:rsid w:val="36E20E24"/>
    <w:rsid w:val="36E426DE"/>
    <w:rsid w:val="36E5316B"/>
    <w:rsid w:val="36E62CED"/>
    <w:rsid w:val="36F23915"/>
    <w:rsid w:val="37052BD4"/>
    <w:rsid w:val="370E0B11"/>
    <w:rsid w:val="372428E2"/>
    <w:rsid w:val="37251CD0"/>
    <w:rsid w:val="37260780"/>
    <w:rsid w:val="372B413F"/>
    <w:rsid w:val="37377A74"/>
    <w:rsid w:val="373B6499"/>
    <w:rsid w:val="3745377A"/>
    <w:rsid w:val="374D2054"/>
    <w:rsid w:val="3752231C"/>
    <w:rsid w:val="375712BC"/>
    <w:rsid w:val="37630480"/>
    <w:rsid w:val="376741BD"/>
    <w:rsid w:val="37687ABE"/>
    <w:rsid w:val="3775617B"/>
    <w:rsid w:val="37767F14"/>
    <w:rsid w:val="37820B45"/>
    <w:rsid w:val="37875624"/>
    <w:rsid w:val="379A1948"/>
    <w:rsid w:val="37BC6D6D"/>
    <w:rsid w:val="37CF3940"/>
    <w:rsid w:val="37D9595F"/>
    <w:rsid w:val="37E00298"/>
    <w:rsid w:val="37E10659"/>
    <w:rsid w:val="37FB6AAB"/>
    <w:rsid w:val="380D13BA"/>
    <w:rsid w:val="38250B7E"/>
    <w:rsid w:val="383108FF"/>
    <w:rsid w:val="38406B0B"/>
    <w:rsid w:val="384B7098"/>
    <w:rsid w:val="386605F5"/>
    <w:rsid w:val="38810D45"/>
    <w:rsid w:val="3881120E"/>
    <w:rsid w:val="388A280C"/>
    <w:rsid w:val="388C373A"/>
    <w:rsid w:val="388E1D44"/>
    <w:rsid w:val="388F692F"/>
    <w:rsid w:val="38B302F9"/>
    <w:rsid w:val="38C023F5"/>
    <w:rsid w:val="38CC49E5"/>
    <w:rsid w:val="38CE4170"/>
    <w:rsid w:val="38D433DD"/>
    <w:rsid w:val="38D97DC7"/>
    <w:rsid w:val="38E453AC"/>
    <w:rsid w:val="38E50FC4"/>
    <w:rsid w:val="38E63030"/>
    <w:rsid w:val="38EC4BE3"/>
    <w:rsid w:val="38EE3CDE"/>
    <w:rsid w:val="38F00E38"/>
    <w:rsid w:val="38F12CD3"/>
    <w:rsid w:val="38F94775"/>
    <w:rsid w:val="391C6533"/>
    <w:rsid w:val="39203F21"/>
    <w:rsid w:val="392971ED"/>
    <w:rsid w:val="39325651"/>
    <w:rsid w:val="393A5596"/>
    <w:rsid w:val="39545F0D"/>
    <w:rsid w:val="39590175"/>
    <w:rsid w:val="395F3EDF"/>
    <w:rsid w:val="396E51E3"/>
    <w:rsid w:val="398021AF"/>
    <w:rsid w:val="399E0960"/>
    <w:rsid w:val="39A22340"/>
    <w:rsid w:val="39A31581"/>
    <w:rsid w:val="39AE6FF2"/>
    <w:rsid w:val="39AF7DE7"/>
    <w:rsid w:val="39B20D32"/>
    <w:rsid w:val="39B529C7"/>
    <w:rsid w:val="39C61EA9"/>
    <w:rsid w:val="39CE3286"/>
    <w:rsid w:val="39E42370"/>
    <w:rsid w:val="39E7451D"/>
    <w:rsid w:val="39E84E10"/>
    <w:rsid w:val="3A0E5BED"/>
    <w:rsid w:val="3A14240E"/>
    <w:rsid w:val="3A171668"/>
    <w:rsid w:val="3A2A774D"/>
    <w:rsid w:val="3A2C2A46"/>
    <w:rsid w:val="3A44452C"/>
    <w:rsid w:val="3A462EE8"/>
    <w:rsid w:val="3A4F7BA3"/>
    <w:rsid w:val="3A654029"/>
    <w:rsid w:val="3A6B4A89"/>
    <w:rsid w:val="3A8360A9"/>
    <w:rsid w:val="3A867254"/>
    <w:rsid w:val="3A872856"/>
    <w:rsid w:val="3A8D7C14"/>
    <w:rsid w:val="3AA2005D"/>
    <w:rsid w:val="3AA63322"/>
    <w:rsid w:val="3AA7206C"/>
    <w:rsid w:val="3AAB60F3"/>
    <w:rsid w:val="3AB15557"/>
    <w:rsid w:val="3AB625DB"/>
    <w:rsid w:val="3ABC4088"/>
    <w:rsid w:val="3ACB2B15"/>
    <w:rsid w:val="3AF02DDC"/>
    <w:rsid w:val="3B012F16"/>
    <w:rsid w:val="3B06579C"/>
    <w:rsid w:val="3B116A2B"/>
    <w:rsid w:val="3B133265"/>
    <w:rsid w:val="3B1366EA"/>
    <w:rsid w:val="3B1454B9"/>
    <w:rsid w:val="3B324CDD"/>
    <w:rsid w:val="3B3763D1"/>
    <w:rsid w:val="3B396245"/>
    <w:rsid w:val="3B3A053D"/>
    <w:rsid w:val="3B434555"/>
    <w:rsid w:val="3B4767E0"/>
    <w:rsid w:val="3B4C5DEC"/>
    <w:rsid w:val="3B4D7605"/>
    <w:rsid w:val="3B51750D"/>
    <w:rsid w:val="3B5B0C88"/>
    <w:rsid w:val="3B5F2372"/>
    <w:rsid w:val="3B6128CF"/>
    <w:rsid w:val="3B623B66"/>
    <w:rsid w:val="3B6922E1"/>
    <w:rsid w:val="3B6E293D"/>
    <w:rsid w:val="3B7D2153"/>
    <w:rsid w:val="3B870098"/>
    <w:rsid w:val="3B890BEE"/>
    <w:rsid w:val="3BA44176"/>
    <w:rsid w:val="3BB23697"/>
    <w:rsid w:val="3BB55123"/>
    <w:rsid w:val="3BBB3137"/>
    <w:rsid w:val="3BC0501C"/>
    <w:rsid w:val="3BCC3A57"/>
    <w:rsid w:val="3BDB5E38"/>
    <w:rsid w:val="3BDF69EF"/>
    <w:rsid w:val="3BF73289"/>
    <w:rsid w:val="3BF75907"/>
    <w:rsid w:val="3BFE3C92"/>
    <w:rsid w:val="3C0718EF"/>
    <w:rsid w:val="3C0E2D70"/>
    <w:rsid w:val="3C0E3A2F"/>
    <w:rsid w:val="3C24369D"/>
    <w:rsid w:val="3C2F359C"/>
    <w:rsid w:val="3C2F6E1E"/>
    <w:rsid w:val="3C3C1CD4"/>
    <w:rsid w:val="3C3C4CC2"/>
    <w:rsid w:val="3C417F07"/>
    <w:rsid w:val="3C4D0CFE"/>
    <w:rsid w:val="3C4F64BA"/>
    <w:rsid w:val="3C6C4933"/>
    <w:rsid w:val="3C7052A5"/>
    <w:rsid w:val="3C7472F2"/>
    <w:rsid w:val="3C782992"/>
    <w:rsid w:val="3C784728"/>
    <w:rsid w:val="3C796FD1"/>
    <w:rsid w:val="3C7C51B2"/>
    <w:rsid w:val="3C7E2CF4"/>
    <w:rsid w:val="3C8C0AC5"/>
    <w:rsid w:val="3C9F28AA"/>
    <w:rsid w:val="3CAB5A98"/>
    <w:rsid w:val="3CAC4604"/>
    <w:rsid w:val="3CC20416"/>
    <w:rsid w:val="3CDA245A"/>
    <w:rsid w:val="3CF53223"/>
    <w:rsid w:val="3D0113C6"/>
    <w:rsid w:val="3D1148CA"/>
    <w:rsid w:val="3D1C2F52"/>
    <w:rsid w:val="3D1E06B7"/>
    <w:rsid w:val="3D24220C"/>
    <w:rsid w:val="3D377E45"/>
    <w:rsid w:val="3D4B2896"/>
    <w:rsid w:val="3D4B3B1D"/>
    <w:rsid w:val="3D4B4377"/>
    <w:rsid w:val="3D542ED0"/>
    <w:rsid w:val="3D54386A"/>
    <w:rsid w:val="3D570684"/>
    <w:rsid w:val="3D577B26"/>
    <w:rsid w:val="3D604B7C"/>
    <w:rsid w:val="3D63207F"/>
    <w:rsid w:val="3D672B82"/>
    <w:rsid w:val="3D6A0B97"/>
    <w:rsid w:val="3D751802"/>
    <w:rsid w:val="3D8B0291"/>
    <w:rsid w:val="3D900ABB"/>
    <w:rsid w:val="3DA7207B"/>
    <w:rsid w:val="3DB1596A"/>
    <w:rsid w:val="3DB2585D"/>
    <w:rsid w:val="3DB519ED"/>
    <w:rsid w:val="3DBE4353"/>
    <w:rsid w:val="3DCC0A26"/>
    <w:rsid w:val="3DD869DE"/>
    <w:rsid w:val="3DE04A58"/>
    <w:rsid w:val="3DFC6ED7"/>
    <w:rsid w:val="3E32435D"/>
    <w:rsid w:val="3E3F5921"/>
    <w:rsid w:val="3E541BC2"/>
    <w:rsid w:val="3E5B39AC"/>
    <w:rsid w:val="3E5E00C9"/>
    <w:rsid w:val="3E6C4643"/>
    <w:rsid w:val="3E6F4B66"/>
    <w:rsid w:val="3E782A32"/>
    <w:rsid w:val="3E8A2DA7"/>
    <w:rsid w:val="3E93114E"/>
    <w:rsid w:val="3E954621"/>
    <w:rsid w:val="3E9A4665"/>
    <w:rsid w:val="3E9A577F"/>
    <w:rsid w:val="3EA23510"/>
    <w:rsid w:val="3EA5551E"/>
    <w:rsid w:val="3EB912DA"/>
    <w:rsid w:val="3EB9218C"/>
    <w:rsid w:val="3EC23510"/>
    <w:rsid w:val="3ECF0527"/>
    <w:rsid w:val="3ED65721"/>
    <w:rsid w:val="3ED957CC"/>
    <w:rsid w:val="3EDA0523"/>
    <w:rsid w:val="3EE016F1"/>
    <w:rsid w:val="3EE604FB"/>
    <w:rsid w:val="3EF6367F"/>
    <w:rsid w:val="3F092E50"/>
    <w:rsid w:val="3F0D2CA0"/>
    <w:rsid w:val="3F0E5175"/>
    <w:rsid w:val="3F111E96"/>
    <w:rsid w:val="3F497ECA"/>
    <w:rsid w:val="3F525C5C"/>
    <w:rsid w:val="3F5E5BF3"/>
    <w:rsid w:val="3F684425"/>
    <w:rsid w:val="3F7275E2"/>
    <w:rsid w:val="3F800F5B"/>
    <w:rsid w:val="3F805728"/>
    <w:rsid w:val="3F824C4B"/>
    <w:rsid w:val="3F8739EC"/>
    <w:rsid w:val="3F8D2964"/>
    <w:rsid w:val="3FA10739"/>
    <w:rsid w:val="3FAB3253"/>
    <w:rsid w:val="3FBA671B"/>
    <w:rsid w:val="3FBD1105"/>
    <w:rsid w:val="3FC03640"/>
    <w:rsid w:val="3FC05DFA"/>
    <w:rsid w:val="3FC61457"/>
    <w:rsid w:val="3FCE36B8"/>
    <w:rsid w:val="3FCF0D15"/>
    <w:rsid w:val="3FEA0CD6"/>
    <w:rsid w:val="40126836"/>
    <w:rsid w:val="401B3E6F"/>
    <w:rsid w:val="401D0D38"/>
    <w:rsid w:val="402C09D6"/>
    <w:rsid w:val="4042777F"/>
    <w:rsid w:val="405063EE"/>
    <w:rsid w:val="40595950"/>
    <w:rsid w:val="405F6652"/>
    <w:rsid w:val="4077466F"/>
    <w:rsid w:val="407A6407"/>
    <w:rsid w:val="40A64B82"/>
    <w:rsid w:val="40BB03BF"/>
    <w:rsid w:val="40C46242"/>
    <w:rsid w:val="40C631BD"/>
    <w:rsid w:val="40CD2C43"/>
    <w:rsid w:val="40FB33C5"/>
    <w:rsid w:val="410C014A"/>
    <w:rsid w:val="412B665D"/>
    <w:rsid w:val="41453CC2"/>
    <w:rsid w:val="41565A0C"/>
    <w:rsid w:val="41584FC3"/>
    <w:rsid w:val="418411C4"/>
    <w:rsid w:val="4185241D"/>
    <w:rsid w:val="41952324"/>
    <w:rsid w:val="419E32DE"/>
    <w:rsid w:val="41AB6385"/>
    <w:rsid w:val="41B52F0B"/>
    <w:rsid w:val="41B5751D"/>
    <w:rsid w:val="41CC0839"/>
    <w:rsid w:val="41D96D88"/>
    <w:rsid w:val="41DC1E93"/>
    <w:rsid w:val="41DE2A30"/>
    <w:rsid w:val="41E27162"/>
    <w:rsid w:val="41E30420"/>
    <w:rsid w:val="41E55A23"/>
    <w:rsid w:val="41EA3013"/>
    <w:rsid w:val="41ED0258"/>
    <w:rsid w:val="41EF3FB3"/>
    <w:rsid w:val="41FE7B14"/>
    <w:rsid w:val="4200449D"/>
    <w:rsid w:val="4218760B"/>
    <w:rsid w:val="423813FF"/>
    <w:rsid w:val="423A3BCC"/>
    <w:rsid w:val="42435814"/>
    <w:rsid w:val="424731A9"/>
    <w:rsid w:val="424E57D2"/>
    <w:rsid w:val="42636D26"/>
    <w:rsid w:val="42954B73"/>
    <w:rsid w:val="429A25AE"/>
    <w:rsid w:val="42AB5B4E"/>
    <w:rsid w:val="42AD147D"/>
    <w:rsid w:val="42B26C49"/>
    <w:rsid w:val="42B649D7"/>
    <w:rsid w:val="42B96521"/>
    <w:rsid w:val="42BD0F8F"/>
    <w:rsid w:val="43025F3D"/>
    <w:rsid w:val="43086A70"/>
    <w:rsid w:val="430A46C7"/>
    <w:rsid w:val="430B7FC7"/>
    <w:rsid w:val="43177D2D"/>
    <w:rsid w:val="43220852"/>
    <w:rsid w:val="432C0349"/>
    <w:rsid w:val="433A6FE6"/>
    <w:rsid w:val="4343220B"/>
    <w:rsid w:val="43480868"/>
    <w:rsid w:val="434F0384"/>
    <w:rsid w:val="4350713C"/>
    <w:rsid w:val="43616130"/>
    <w:rsid w:val="43616415"/>
    <w:rsid w:val="436653E0"/>
    <w:rsid w:val="43703B9C"/>
    <w:rsid w:val="438F4893"/>
    <w:rsid w:val="43957A26"/>
    <w:rsid w:val="43972DEF"/>
    <w:rsid w:val="43AA3609"/>
    <w:rsid w:val="43C4431A"/>
    <w:rsid w:val="43D12AE9"/>
    <w:rsid w:val="43DB05DE"/>
    <w:rsid w:val="43DB568A"/>
    <w:rsid w:val="43DE4A5B"/>
    <w:rsid w:val="43E66E0E"/>
    <w:rsid w:val="43F46A7A"/>
    <w:rsid w:val="43FA4E08"/>
    <w:rsid w:val="441A4C22"/>
    <w:rsid w:val="442A4B7C"/>
    <w:rsid w:val="443D0F56"/>
    <w:rsid w:val="443E0177"/>
    <w:rsid w:val="44441066"/>
    <w:rsid w:val="444819B5"/>
    <w:rsid w:val="44551D2C"/>
    <w:rsid w:val="44587C40"/>
    <w:rsid w:val="44643EE3"/>
    <w:rsid w:val="44662D3F"/>
    <w:rsid w:val="4474115A"/>
    <w:rsid w:val="44795014"/>
    <w:rsid w:val="4486267D"/>
    <w:rsid w:val="449A7275"/>
    <w:rsid w:val="449D74E8"/>
    <w:rsid w:val="449F67AD"/>
    <w:rsid w:val="44A62AE6"/>
    <w:rsid w:val="44A752C7"/>
    <w:rsid w:val="44B951CC"/>
    <w:rsid w:val="44BB74C3"/>
    <w:rsid w:val="44CD14E0"/>
    <w:rsid w:val="44D05825"/>
    <w:rsid w:val="44D97CF6"/>
    <w:rsid w:val="44E530F7"/>
    <w:rsid w:val="44E83EB8"/>
    <w:rsid w:val="44EA44B0"/>
    <w:rsid w:val="44ED1187"/>
    <w:rsid w:val="44F20B0B"/>
    <w:rsid w:val="44F27ACD"/>
    <w:rsid w:val="44FB4928"/>
    <w:rsid w:val="45164F6C"/>
    <w:rsid w:val="45187A49"/>
    <w:rsid w:val="45235E8C"/>
    <w:rsid w:val="452E5F4C"/>
    <w:rsid w:val="453A7744"/>
    <w:rsid w:val="454202D8"/>
    <w:rsid w:val="454C1796"/>
    <w:rsid w:val="45612018"/>
    <w:rsid w:val="45781176"/>
    <w:rsid w:val="457955A8"/>
    <w:rsid w:val="458946E9"/>
    <w:rsid w:val="45A00773"/>
    <w:rsid w:val="45A47C0E"/>
    <w:rsid w:val="45BF50A7"/>
    <w:rsid w:val="45C14957"/>
    <w:rsid w:val="45C364AE"/>
    <w:rsid w:val="45D71EBE"/>
    <w:rsid w:val="45DF57EA"/>
    <w:rsid w:val="45E24A95"/>
    <w:rsid w:val="45F92E34"/>
    <w:rsid w:val="46006743"/>
    <w:rsid w:val="46134343"/>
    <w:rsid w:val="461C2517"/>
    <w:rsid w:val="461D7B90"/>
    <w:rsid w:val="463405E8"/>
    <w:rsid w:val="46577FD6"/>
    <w:rsid w:val="465B5F61"/>
    <w:rsid w:val="46603C74"/>
    <w:rsid w:val="46607741"/>
    <w:rsid w:val="46667C4F"/>
    <w:rsid w:val="466A06E9"/>
    <w:rsid w:val="46725557"/>
    <w:rsid w:val="46A239B4"/>
    <w:rsid w:val="46A43522"/>
    <w:rsid w:val="46AC4AB1"/>
    <w:rsid w:val="46AC6F96"/>
    <w:rsid w:val="46AD45B6"/>
    <w:rsid w:val="46C452F2"/>
    <w:rsid w:val="46C531C5"/>
    <w:rsid w:val="46D1062F"/>
    <w:rsid w:val="46D955A7"/>
    <w:rsid w:val="47133957"/>
    <w:rsid w:val="47192B92"/>
    <w:rsid w:val="472121ED"/>
    <w:rsid w:val="47394055"/>
    <w:rsid w:val="474D03D1"/>
    <w:rsid w:val="47517497"/>
    <w:rsid w:val="476664DD"/>
    <w:rsid w:val="4784254F"/>
    <w:rsid w:val="47A07E0C"/>
    <w:rsid w:val="47AF4A5F"/>
    <w:rsid w:val="47B3065E"/>
    <w:rsid w:val="47B30AD5"/>
    <w:rsid w:val="47BF0B36"/>
    <w:rsid w:val="47C40DC4"/>
    <w:rsid w:val="47C83C13"/>
    <w:rsid w:val="47E86C1A"/>
    <w:rsid w:val="47F64BAC"/>
    <w:rsid w:val="48063D3F"/>
    <w:rsid w:val="48367ACF"/>
    <w:rsid w:val="485527E9"/>
    <w:rsid w:val="48566260"/>
    <w:rsid w:val="485A0808"/>
    <w:rsid w:val="486C17B9"/>
    <w:rsid w:val="4870272E"/>
    <w:rsid w:val="489C4967"/>
    <w:rsid w:val="48A91014"/>
    <w:rsid w:val="48B05A80"/>
    <w:rsid w:val="48B83417"/>
    <w:rsid w:val="48C60B5A"/>
    <w:rsid w:val="48D215C4"/>
    <w:rsid w:val="48D6499C"/>
    <w:rsid w:val="48E91963"/>
    <w:rsid w:val="48F82E8E"/>
    <w:rsid w:val="48FC7324"/>
    <w:rsid w:val="48FF34D3"/>
    <w:rsid w:val="490D6FF4"/>
    <w:rsid w:val="491E46DD"/>
    <w:rsid w:val="49210A9B"/>
    <w:rsid w:val="492D22F4"/>
    <w:rsid w:val="49304FD0"/>
    <w:rsid w:val="4933583E"/>
    <w:rsid w:val="49473CE6"/>
    <w:rsid w:val="494B50DC"/>
    <w:rsid w:val="495D789B"/>
    <w:rsid w:val="49672BDA"/>
    <w:rsid w:val="496A24AB"/>
    <w:rsid w:val="497D3F4C"/>
    <w:rsid w:val="49930541"/>
    <w:rsid w:val="49B110F5"/>
    <w:rsid w:val="49D27FDA"/>
    <w:rsid w:val="49DC7715"/>
    <w:rsid w:val="49E044F4"/>
    <w:rsid w:val="49E27BF7"/>
    <w:rsid w:val="49F94B7B"/>
    <w:rsid w:val="49FE1CF0"/>
    <w:rsid w:val="4A011573"/>
    <w:rsid w:val="4A01779A"/>
    <w:rsid w:val="4A023139"/>
    <w:rsid w:val="4A10136A"/>
    <w:rsid w:val="4A226FF9"/>
    <w:rsid w:val="4A296C7B"/>
    <w:rsid w:val="4A297347"/>
    <w:rsid w:val="4A2F5049"/>
    <w:rsid w:val="4A397DCD"/>
    <w:rsid w:val="4A3C6B4A"/>
    <w:rsid w:val="4A5365DC"/>
    <w:rsid w:val="4A575610"/>
    <w:rsid w:val="4A617AF7"/>
    <w:rsid w:val="4A6D3544"/>
    <w:rsid w:val="4A7B576F"/>
    <w:rsid w:val="4A8D7E49"/>
    <w:rsid w:val="4AA2168A"/>
    <w:rsid w:val="4AAE3EA1"/>
    <w:rsid w:val="4AB73206"/>
    <w:rsid w:val="4ACA1D4D"/>
    <w:rsid w:val="4ACC6830"/>
    <w:rsid w:val="4AD540F2"/>
    <w:rsid w:val="4AE2050C"/>
    <w:rsid w:val="4AE4068A"/>
    <w:rsid w:val="4AE72EE8"/>
    <w:rsid w:val="4AF47116"/>
    <w:rsid w:val="4AF561A9"/>
    <w:rsid w:val="4B0078EB"/>
    <w:rsid w:val="4B0C263A"/>
    <w:rsid w:val="4B233F8C"/>
    <w:rsid w:val="4B29521A"/>
    <w:rsid w:val="4B4B33FB"/>
    <w:rsid w:val="4B547419"/>
    <w:rsid w:val="4B6A3CB2"/>
    <w:rsid w:val="4B6B680D"/>
    <w:rsid w:val="4B84557B"/>
    <w:rsid w:val="4B871C59"/>
    <w:rsid w:val="4B8821BE"/>
    <w:rsid w:val="4B8A316D"/>
    <w:rsid w:val="4BA24CA1"/>
    <w:rsid w:val="4BEF5ADE"/>
    <w:rsid w:val="4C0E49DD"/>
    <w:rsid w:val="4C14279F"/>
    <w:rsid w:val="4C264736"/>
    <w:rsid w:val="4C4548DC"/>
    <w:rsid w:val="4C456F55"/>
    <w:rsid w:val="4C474778"/>
    <w:rsid w:val="4C4A0649"/>
    <w:rsid w:val="4C5A57B1"/>
    <w:rsid w:val="4C5E3DD0"/>
    <w:rsid w:val="4C674BB5"/>
    <w:rsid w:val="4C710ECA"/>
    <w:rsid w:val="4C772376"/>
    <w:rsid w:val="4C7E1DD8"/>
    <w:rsid w:val="4C7E5ECA"/>
    <w:rsid w:val="4C870905"/>
    <w:rsid w:val="4C876AA5"/>
    <w:rsid w:val="4C8A2587"/>
    <w:rsid w:val="4C8E4950"/>
    <w:rsid w:val="4CAB4CA4"/>
    <w:rsid w:val="4CB17D4A"/>
    <w:rsid w:val="4CB6025A"/>
    <w:rsid w:val="4CBB38B7"/>
    <w:rsid w:val="4CCE3BE0"/>
    <w:rsid w:val="4CD301B1"/>
    <w:rsid w:val="4CDB025E"/>
    <w:rsid w:val="4CDF61FD"/>
    <w:rsid w:val="4CE832C3"/>
    <w:rsid w:val="4CF127E9"/>
    <w:rsid w:val="4CF33507"/>
    <w:rsid w:val="4D0977C8"/>
    <w:rsid w:val="4D0E00FB"/>
    <w:rsid w:val="4D1127B8"/>
    <w:rsid w:val="4D176606"/>
    <w:rsid w:val="4D392E05"/>
    <w:rsid w:val="4D69615C"/>
    <w:rsid w:val="4D737B36"/>
    <w:rsid w:val="4D7B6513"/>
    <w:rsid w:val="4D884AF7"/>
    <w:rsid w:val="4D8D1BC1"/>
    <w:rsid w:val="4D957D09"/>
    <w:rsid w:val="4D9F790D"/>
    <w:rsid w:val="4DB07600"/>
    <w:rsid w:val="4DBC350E"/>
    <w:rsid w:val="4DC31261"/>
    <w:rsid w:val="4DC5749E"/>
    <w:rsid w:val="4DC61411"/>
    <w:rsid w:val="4DC904B1"/>
    <w:rsid w:val="4DD10952"/>
    <w:rsid w:val="4DD1314E"/>
    <w:rsid w:val="4DD45A1C"/>
    <w:rsid w:val="4DDA23BB"/>
    <w:rsid w:val="4DDB5D10"/>
    <w:rsid w:val="4DE120BE"/>
    <w:rsid w:val="4DE57253"/>
    <w:rsid w:val="4DEC4FB0"/>
    <w:rsid w:val="4E026EAF"/>
    <w:rsid w:val="4E06510F"/>
    <w:rsid w:val="4E075D8A"/>
    <w:rsid w:val="4E0C5738"/>
    <w:rsid w:val="4E171417"/>
    <w:rsid w:val="4E2177DD"/>
    <w:rsid w:val="4E231E27"/>
    <w:rsid w:val="4E2850CF"/>
    <w:rsid w:val="4E2916A1"/>
    <w:rsid w:val="4E3E1722"/>
    <w:rsid w:val="4E4222CF"/>
    <w:rsid w:val="4E5276FF"/>
    <w:rsid w:val="4E6D7ABF"/>
    <w:rsid w:val="4E717257"/>
    <w:rsid w:val="4E763928"/>
    <w:rsid w:val="4E7F6DDD"/>
    <w:rsid w:val="4E942AD4"/>
    <w:rsid w:val="4E975975"/>
    <w:rsid w:val="4E9D3EA8"/>
    <w:rsid w:val="4EA230AE"/>
    <w:rsid w:val="4EA24B1B"/>
    <w:rsid w:val="4EB8569E"/>
    <w:rsid w:val="4EBA30E8"/>
    <w:rsid w:val="4EC00FAD"/>
    <w:rsid w:val="4ED36741"/>
    <w:rsid w:val="4EDC53E2"/>
    <w:rsid w:val="4EEB6CE7"/>
    <w:rsid w:val="4EF018DF"/>
    <w:rsid w:val="4F0179D1"/>
    <w:rsid w:val="4F0E2A45"/>
    <w:rsid w:val="4F14443F"/>
    <w:rsid w:val="4F150D7A"/>
    <w:rsid w:val="4F194E0A"/>
    <w:rsid w:val="4F25033F"/>
    <w:rsid w:val="4F25169E"/>
    <w:rsid w:val="4F272095"/>
    <w:rsid w:val="4F4A6170"/>
    <w:rsid w:val="4F66640E"/>
    <w:rsid w:val="4F7422C0"/>
    <w:rsid w:val="4F9843DC"/>
    <w:rsid w:val="4F9D1C6B"/>
    <w:rsid w:val="4F9D4BF3"/>
    <w:rsid w:val="4FA74009"/>
    <w:rsid w:val="4FA82770"/>
    <w:rsid w:val="4FAA261E"/>
    <w:rsid w:val="4FB21BFB"/>
    <w:rsid w:val="4FBA27ED"/>
    <w:rsid w:val="4FC11626"/>
    <w:rsid w:val="4FC62A8C"/>
    <w:rsid w:val="4FD473B3"/>
    <w:rsid w:val="4FE20F0D"/>
    <w:rsid w:val="4FE46F83"/>
    <w:rsid w:val="4FE51552"/>
    <w:rsid w:val="4FED4F9F"/>
    <w:rsid w:val="4FEF139B"/>
    <w:rsid w:val="5006533D"/>
    <w:rsid w:val="50122187"/>
    <w:rsid w:val="50192708"/>
    <w:rsid w:val="501A35B7"/>
    <w:rsid w:val="50211971"/>
    <w:rsid w:val="50352299"/>
    <w:rsid w:val="50372F17"/>
    <w:rsid w:val="503E0832"/>
    <w:rsid w:val="504C1724"/>
    <w:rsid w:val="50504C4B"/>
    <w:rsid w:val="505F7D04"/>
    <w:rsid w:val="50637432"/>
    <w:rsid w:val="506E0E1A"/>
    <w:rsid w:val="50996C9D"/>
    <w:rsid w:val="509C6E7C"/>
    <w:rsid w:val="50A346A5"/>
    <w:rsid w:val="50A35CD4"/>
    <w:rsid w:val="50A5616E"/>
    <w:rsid w:val="50AC4221"/>
    <w:rsid w:val="50B544C7"/>
    <w:rsid w:val="50BA0652"/>
    <w:rsid w:val="50CE25B8"/>
    <w:rsid w:val="50D0259B"/>
    <w:rsid w:val="50D926EA"/>
    <w:rsid w:val="50F77BC7"/>
    <w:rsid w:val="50FB42A7"/>
    <w:rsid w:val="51040CCE"/>
    <w:rsid w:val="510D6C39"/>
    <w:rsid w:val="51122301"/>
    <w:rsid w:val="51197291"/>
    <w:rsid w:val="511B08B3"/>
    <w:rsid w:val="511E2F2B"/>
    <w:rsid w:val="51206B07"/>
    <w:rsid w:val="51334EC2"/>
    <w:rsid w:val="513E49F8"/>
    <w:rsid w:val="5142410D"/>
    <w:rsid w:val="51597601"/>
    <w:rsid w:val="5162104E"/>
    <w:rsid w:val="519022FF"/>
    <w:rsid w:val="51A73406"/>
    <w:rsid w:val="51A80AD2"/>
    <w:rsid w:val="51A943A7"/>
    <w:rsid w:val="51AA19CF"/>
    <w:rsid w:val="51BF68CB"/>
    <w:rsid w:val="51C54395"/>
    <w:rsid w:val="51CF4B5F"/>
    <w:rsid w:val="51D06112"/>
    <w:rsid w:val="5206774E"/>
    <w:rsid w:val="520F5F80"/>
    <w:rsid w:val="52144A7E"/>
    <w:rsid w:val="521C3F26"/>
    <w:rsid w:val="521C6EA3"/>
    <w:rsid w:val="52282FF6"/>
    <w:rsid w:val="52321195"/>
    <w:rsid w:val="52371C26"/>
    <w:rsid w:val="523D78CE"/>
    <w:rsid w:val="52493E78"/>
    <w:rsid w:val="52662C98"/>
    <w:rsid w:val="527B5A31"/>
    <w:rsid w:val="527C7187"/>
    <w:rsid w:val="527C7F80"/>
    <w:rsid w:val="528373FD"/>
    <w:rsid w:val="528603C9"/>
    <w:rsid w:val="52862660"/>
    <w:rsid w:val="52972F1A"/>
    <w:rsid w:val="529C7462"/>
    <w:rsid w:val="52B556BB"/>
    <w:rsid w:val="52B7654F"/>
    <w:rsid w:val="52C26F55"/>
    <w:rsid w:val="52C61538"/>
    <w:rsid w:val="5305574E"/>
    <w:rsid w:val="531734D4"/>
    <w:rsid w:val="532E3B9D"/>
    <w:rsid w:val="53302B9A"/>
    <w:rsid w:val="53394F26"/>
    <w:rsid w:val="533B5524"/>
    <w:rsid w:val="53466724"/>
    <w:rsid w:val="535834D7"/>
    <w:rsid w:val="53625263"/>
    <w:rsid w:val="53640FA4"/>
    <w:rsid w:val="5379677E"/>
    <w:rsid w:val="53804A05"/>
    <w:rsid w:val="53A039CC"/>
    <w:rsid w:val="53A1505A"/>
    <w:rsid w:val="53AF4B64"/>
    <w:rsid w:val="53E037B7"/>
    <w:rsid w:val="54063E08"/>
    <w:rsid w:val="5407276F"/>
    <w:rsid w:val="54156AC8"/>
    <w:rsid w:val="5416220F"/>
    <w:rsid w:val="5426708D"/>
    <w:rsid w:val="543071D9"/>
    <w:rsid w:val="543437E8"/>
    <w:rsid w:val="544041B6"/>
    <w:rsid w:val="54570ED0"/>
    <w:rsid w:val="54592D7F"/>
    <w:rsid w:val="546764AA"/>
    <w:rsid w:val="5469389C"/>
    <w:rsid w:val="547C78FF"/>
    <w:rsid w:val="549B541E"/>
    <w:rsid w:val="549C7CBB"/>
    <w:rsid w:val="54A07ECC"/>
    <w:rsid w:val="54A13C65"/>
    <w:rsid w:val="54AE06E1"/>
    <w:rsid w:val="54B616BC"/>
    <w:rsid w:val="54BF1992"/>
    <w:rsid w:val="54CA602D"/>
    <w:rsid w:val="54CE08FD"/>
    <w:rsid w:val="54CF48C5"/>
    <w:rsid w:val="54DE6DFA"/>
    <w:rsid w:val="54E2305A"/>
    <w:rsid w:val="54F73313"/>
    <w:rsid w:val="54F80955"/>
    <w:rsid w:val="54FD0CBE"/>
    <w:rsid w:val="55014461"/>
    <w:rsid w:val="550727F9"/>
    <w:rsid w:val="5508554B"/>
    <w:rsid w:val="55146AAB"/>
    <w:rsid w:val="551625A8"/>
    <w:rsid w:val="551F6D52"/>
    <w:rsid w:val="55260BF8"/>
    <w:rsid w:val="552A78D6"/>
    <w:rsid w:val="55306C1F"/>
    <w:rsid w:val="553E4A93"/>
    <w:rsid w:val="55401945"/>
    <w:rsid w:val="554A79E4"/>
    <w:rsid w:val="555170A7"/>
    <w:rsid w:val="5587536D"/>
    <w:rsid w:val="5589534A"/>
    <w:rsid w:val="55935513"/>
    <w:rsid w:val="559811A5"/>
    <w:rsid w:val="559B174B"/>
    <w:rsid w:val="559B5348"/>
    <w:rsid w:val="559C6407"/>
    <w:rsid w:val="55AA6070"/>
    <w:rsid w:val="55CA42A3"/>
    <w:rsid w:val="55CE0CF4"/>
    <w:rsid w:val="55D11913"/>
    <w:rsid w:val="55D24F6B"/>
    <w:rsid w:val="55DC125A"/>
    <w:rsid w:val="55DD71AE"/>
    <w:rsid w:val="55E046FB"/>
    <w:rsid w:val="55F96F9C"/>
    <w:rsid w:val="560373B7"/>
    <w:rsid w:val="56075710"/>
    <w:rsid w:val="562A7820"/>
    <w:rsid w:val="562C6E26"/>
    <w:rsid w:val="564567B6"/>
    <w:rsid w:val="564B0C16"/>
    <w:rsid w:val="564E7922"/>
    <w:rsid w:val="565D7449"/>
    <w:rsid w:val="565F6586"/>
    <w:rsid w:val="56627821"/>
    <w:rsid w:val="566E37A9"/>
    <w:rsid w:val="569A6979"/>
    <w:rsid w:val="56A55C8E"/>
    <w:rsid w:val="56AA3522"/>
    <w:rsid w:val="56B22A9C"/>
    <w:rsid w:val="56C80BBE"/>
    <w:rsid w:val="56CE7EC0"/>
    <w:rsid w:val="56DE275A"/>
    <w:rsid w:val="56EF5667"/>
    <w:rsid w:val="5711424A"/>
    <w:rsid w:val="57287EAA"/>
    <w:rsid w:val="57590761"/>
    <w:rsid w:val="575A7252"/>
    <w:rsid w:val="575B4E8A"/>
    <w:rsid w:val="57881E4C"/>
    <w:rsid w:val="578C2F4B"/>
    <w:rsid w:val="57923A8B"/>
    <w:rsid w:val="57A23C75"/>
    <w:rsid w:val="57AE53E6"/>
    <w:rsid w:val="57B72A76"/>
    <w:rsid w:val="57C3426C"/>
    <w:rsid w:val="57CE1F93"/>
    <w:rsid w:val="57CE717C"/>
    <w:rsid w:val="57D60663"/>
    <w:rsid w:val="57D61326"/>
    <w:rsid w:val="57D73D36"/>
    <w:rsid w:val="57E75D16"/>
    <w:rsid w:val="57F63EA4"/>
    <w:rsid w:val="57F7620C"/>
    <w:rsid w:val="5809380C"/>
    <w:rsid w:val="580B4352"/>
    <w:rsid w:val="580C74AD"/>
    <w:rsid w:val="580D7DB0"/>
    <w:rsid w:val="58153CD7"/>
    <w:rsid w:val="58175C84"/>
    <w:rsid w:val="58266FD9"/>
    <w:rsid w:val="583B465C"/>
    <w:rsid w:val="58401BFA"/>
    <w:rsid w:val="58440A13"/>
    <w:rsid w:val="584B01C3"/>
    <w:rsid w:val="584D4A52"/>
    <w:rsid w:val="585F7862"/>
    <w:rsid w:val="586847DA"/>
    <w:rsid w:val="58684F54"/>
    <w:rsid w:val="586A1120"/>
    <w:rsid w:val="586D0275"/>
    <w:rsid w:val="587F61F6"/>
    <w:rsid w:val="588743D1"/>
    <w:rsid w:val="5887626D"/>
    <w:rsid w:val="5887701A"/>
    <w:rsid w:val="588E74AD"/>
    <w:rsid w:val="58AD39C3"/>
    <w:rsid w:val="58D01DF4"/>
    <w:rsid w:val="58D0455D"/>
    <w:rsid w:val="58D87449"/>
    <w:rsid w:val="58F84BCC"/>
    <w:rsid w:val="59012CF8"/>
    <w:rsid w:val="59115D5E"/>
    <w:rsid w:val="59181BB6"/>
    <w:rsid w:val="592875AB"/>
    <w:rsid w:val="594323C0"/>
    <w:rsid w:val="59526389"/>
    <w:rsid w:val="59530958"/>
    <w:rsid w:val="596C528A"/>
    <w:rsid w:val="59716840"/>
    <w:rsid w:val="597A413D"/>
    <w:rsid w:val="5996150F"/>
    <w:rsid w:val="599D5B72"/>
    <w:rsid w:val="59A171C4"/>
    <w:rsid w:val="59C0439F"/>
    <w:rsid w:val="59CD07DE"/>
    <w:rsid w:val="59DA4454"/>
    <w:rsid w:val="59F25861"/>
    <w:rsid w:val="59F82915"/>
    <w:rsid w:val="5A025A8B"/>
    <w:rsid w:val="5A08786F"/>
    <w:rsid w:val="5A190025"/>
    <w:rsid w:val="5A1D306E"/>
    <w:rsid w:val="5A40610D"/>
    <w:rsid w:val="5A4911E3"/>
    <w:rsid w:val="5A4E5442"/>
    <w:rsid w:val="5A5B2615"/>
    <w:rsid w:val="5A6169ED"/>
    <w:rsid w:val="5A98268B"/>
    <w:rsid w:val="5A983A39"/>
    <w:rsid w:val="5AA44774"/>
    <w:rsid w:val="5AB85B9A"/>
    <w:rsid w:val="5ABE2233"/>
    <w:rsid w:val="5ACB3EDA"/>
    <w:rsid w:val="5ACF2444"/>
    <w:rsid w:val="5AD27C00"/>
    <w:rsid w:val="5ADD409C"/>
    <w:rsid w:val="5AE26AB6"/>
    <w:rsid w:val="5B05369D"/>
    <w:rsid w:val="5B0C5864"/>
    <w:rsid w:val="5B0E7876"/>
    <w:rsid w:val="5B111334"/>
    <w:rsid w:val="5B48573E"/>
    <w:rsid w:val="5B487F95"/>
    <w:rsid w:val="5B4D28CC"/>
    <w:rsid w:val="5B5E6E75"/>
    <w:rsid w:val="5B633965"/>
    <w:rsid w:val="5B677C50"/>
    <w:rsid w:val="5B7057DA"/>
    <w:rsid w:val="5B996F3C"/>
    <w:rsid w:val="5B9E6C5A"/>
    <w:rsid w:val="5BA02A1E"/>
    <w:rsid w:val="5BBC54A9"/>
    <w:rsid w:val="5BC66BF1"/>
    <w:rsid w:val="5BDF5D95"/>
    <w:rsid w:val="5BEC6196"/>
    <w:rsid w:val="5BFC2F2C"/>
    <w:rsid w:val="5BFE7528"/>
    <w:rsid w:val="5C0152C7"/>
    <w:rsid w:val="5C817153"/>
    <w:rsid w:val="5CBB29A8"/>
    <w:rsid w:val="5CCB26F8"/>
    <w:rsid w:val="5CCE08BA"/>
    <w:rsid w:val="5CD74FE3"/>
    <w:rsid w:val="5CD84BAF"/>
    <w:rsid w:val="5CDF5B4F"/>
    <w:rsid w:val="5CE449BB"/>
    <w:rsid w:val="5CEB4B03"/>
    <w:rsid w:val="5CFD0520"/>
    <w:rsid w:val="5CFD383B"/>
    <w:rsid w:val="5D10505C"/>
    <w:rsid w:val="5D2740F2"/>
    <w:rsid w:val="5D2C1447"/>
    <w:rsid w:val="5D317767"/>
    <w:rsid w:val="5D3E00E3"/>
    <w:rsid w:val="5D4D5AA9"/>
    <w:rsid w:val="5D5935AD"/>
    <w:rsid w:val="5D5A7219"/>
    <w:rsid w:val="5D5F763B"/>
    <w:rsid w:val="5D6055F0"/>
    <w:rsid w:val="5D644A89"/>
    <w:rsid w:val="5D645CBA"/>
    <w:rsid w:val="5D647A66"/>
    <w:rsid w:val="5D734243"/>
    <w:rsid w:val="5D76378C"/>
    <w:rsid w:val="5D7C73D4"/>
    <w:rsid w:val="5D9826F7"/>
    <w:rsid w:val="5D986AE6"/>
    <w:rsid w:val="5D9E2A1D"/>
    <w:rsid w:val="5D9E426E"/>
    <w:rsid w:val="5D9F2BDF"/>
    <w:rsid w:val="5DAD6BF4"/>
    <w:rsid w:val="5DB21294"/>
    <w:rsid w:val="5DB373BD"/>
    <w:rsid w:val="5DB96221"/>
    <w:rsid w:val="5DBA75F1"/>
    <w:rsid w:val="5DC13E79"/>
    <w:rsid w:val="5DCC21ED"/>
    <w:rsid w:val="5DD57157"/>
    <w:rsid w:val="5DF64CCD"/>
    <w:rsid w:val="5E021629"/>
    <w:rsid w:val="5E0309B1"/>
    <w:rsid w:val="5E19157B"/>
    <w:rsid w:val="5E1A7F9A"/>
    <w:rsid w:val="5E2467F1"/>
    <w:rsid w:val="5E292DF6"/>
    <w:rsid w:val="5E301D73"/>
    <w:rsid w:val="5E3D3450"/>
    <w:rsid w:val="5E4F1865"/>
    <w:rsid w:val="5E5005FC"/>
    <w:rsid w:val="5E553CF5"/>
    <w:rsid w:val="5E555199"/>
    <w:rsid w:val="5E6F46AA"/>
    <w:rsid w:val="5E845DC0"/>
    <w:rsid w:val="5E8656C4"/>
    <w:rsid w:val="5E8F0203"/>
    <w:rsid w:val="5E9803D8"/>
    <w:rsid w:val="5EA51192"/>
    <w:rsid w:val="5EA53302"/>
    <w:rsid w:val="5EB3328B"/>
    <w:rsid w:val="5EB45395"/>
    <w:rsid w:val="5EB9251E"/>
    <w:rsid w:val="5EBD4309"/>
    <w:rsid w:val="5EC254D2"/>
    <w:rsid w:val="5ECF3A3C"/>
    <w:rsid w:val="5EDC598C"/>
    <w:rsid w:val="5EF66A27"/>
    <w:rsid w:val="5F127F63"/>
    <w:rsid w:val="5F1A2B43"/>
    <w:rsid w:val="5F273707"/>
    <w:rsid w:val="5F2C0727"/>
    <w:rsid w:val="5F343CC2"/>
    <w:rsid w:val="5F3F50E1"/>
    <w:rsid w:val="5F4D4BBD"/>
    <w:rsid w:val="5F783EEF"/>
    <w:rsid w:val="5F8472EE"/>
    <w:rsid w:val="5F9141C4"/>
    <w:rsid w:val="5F984E99"/>
    <w:rsid w:val="5F9B5B4F"/>
    <w:rsid w:val="5F9F4682"/>
    <w:rsid w:val="5F9F4D10"/>
    <w:rsid w:val="5FA45B62"/>
    <w:rsid w:val="5FB660FA"/>
    <w:rsid w:val="5FB837BB"/>
    <w:rsid w:val="5FD3572C"/>
    <w:rsid w:val="5FD747DD"/>
    <w:rsid w:val="5FE035D5"/>
    <w:rsid w:val="5FEA2672"/>
    <w:rsid w:val="5FF11C1B"/>
    <w:rsid w:val="5FF74D8C"/>
    <w:rsid w:val="5FFC09EA"/>
    <w:rsid w:val="600350C0"/>
    <w:rsid w:val="600C10F4"/>
    <w:rsid w:val="60122BE0"/>
    <w:rsid w:val="602A7CAE"/>
    <w:rsid w:val="60635904"/>
    <w:rsid w:val="606A6751"/>
    <w:rsid w:val="60823E04"/>
    <w:rsid w:val="60A339AA"/>
    <w:rsid w:val="60BE4B5E"/>
    <w:rsid w:val="60C40ED7"/>
    <w:rsid w:val="60CC405A"/>
    <w:rsid w:val="60E764B8"/>
    <w:rsid w:val="611D12D5"/>
    <w:rsid w:val="612266EB"/>
    <w:rsid w:val="61236723"/>
    <w:rsid w:val="612766FC"/>
    <w:rsid w:val="613658F8"/>
    <w:rsid w:val="61436130"/>
    <w:rsid w:val="614A1D03"/>
    <w:rsid w:val="615625EF"/>
    <w:rsid w:val="61580305"/>
    <w:rsid w:val="615A39C9"/>
    <w:rsid w:val="61623082"/>
    <w:rsid w:val="6179589E"/>
    <w:rsid w:val="61800376"/>
    <w:rsid w:val="6181045E"/>
    <w:rsid w:val="61813D8D"/>
    <w:rsid w:val="61844B6C"/>
    <w:rsid w:val="61902C76"/>
    <w:rsid w:val="619B54A5"/>
    <w:rsid w:val="61AA0DC1"/>
    <w:rsid w:val="61BA3EDF"/>
    <w:rsid w:val="61C257D2"/>
    <w:rsid w:val="61D76D58"/>
    <w:rsid w:val="61D90EB0"/>
    <w:rsid w:val="61DA4643"/>
    <w:rsid w:val="61E0056E"/>
    <w:rsid w:val="61E215D8"/>
    <w:rsid w:val="61E47282"/>
    <w:rsid w:val="61E57DA8"/>
    <w:rsid w:val="61F64632"/>
    <w:rsid w:val="620F2F03"/>
    <w:rsid w:val="6213786B"/>
    <w:rsid w:val="621815DF"/>
    <w:rsid w:val="621B3775"/>
    <w:rsid w:val="62242681"/>
    <w:rsid w:val="622548A1"/>
    <w:rsid w:val="622B5CE3"/>
    <w:rsid w:val="622E3986"/>
    <w:rsid w:val="62364782"/>
    <w:rsid w:val="623D16BD"/>
    <w:rsid w:val="62484EDE"/>
    <w:rsid w:val="625063AA"/>
    <w:rsid w:val="62543597"/>
    <w:rsid w:val="62544F26"/>
    <w:rsid w:val="62871406"/>
    <w:rsid w:val="628D335D"/>
    <w:rsid w:val="629005E2"/>
    <w:rsid w:val="62A53D44"/>
    <w:rsid w:val="62AC2209"/>
    <w:rsid w:val="62E745EE"/>
    <w:rsid w:val="62F117CE"/>
    <w:rsid w:val="62FB1800"/>
    <w:rsid w:val="63192292"/>
    <w:rsid w:val="631E6AB5"/>
    <w:rsid w:val="6329713C"/>
    <w:rsid w:val="63445D30"/>
    <w:rsid w:val="634B0A8F"/>
    <w:rsid w:val="634F4ED6"/>
    <w:rsid w:val="63745369"/>
    <w:rsid w:val="63761B08"/>
    <w:rsid w:val="637E4B9B"/>
    <w:rsid w:val="638867A1"/>
    <w:rsid w:val="6394356A"/>
    <w:rsid w:val="639A57CF"/>
    <w:rsid w:val="63AB4A71"/>
    <w:rsid w:val="63BB755A"/>
    <w:rsid w:val="63C61B2C"/>
    <w:rsid w:val="63C84980"/>
    <w:rsid w:val="63C976A1"/>
    <w:rsid w:val="63CC4ED4"/>
    <w:rsid w:val="63CF017D"/>
    <w:rsid w:val="63D27B01"/>
    <w:rsid w:val="63D40BE9"/>
    <w:rsid w:val="63E173AA"/>
    <w:rsid w:val="64057361"/>
    <w:rsid w:val="64057974"/>
    <w:rsid w:val="64102431"/>
    <w:rsid w:val="64152505"/>
    <w:rsid w:val="64230924"/>
    <w:rsid w:val="64246C5D"/>
    <w:rsid w:val="642E1B18"/>
    <w:rsid w:val="643A4DAE"/>
    <w:rsid w:val="643C41E6"/>
    <w:rsid w:val="643E182F"/>
    <w:rsid w:val="64446C94"/>
    <w:rsid w:val="64502E7B"/>
    <w:rsid w:val="64782EFA"/>
    <w:rsid w:val="649B6D31"/>
    <w:rsid w:val="64A5243A"/>
    <w:rsid w:val="64B65DD5"/>
    <w:rsid w:val="64C01EB3"/>
    <w:rsid w:val="64C24CA0"/>
    <w:rsid w:val="64C650D2"/>
    <w:rsid w:val="64C81023"/>
    <w:rsid w:val="64D416E5"/>
    <w:rsid w:val="64D5138D"/>
    <w:rsid w:val="64D62261"/>
    <w:rsid w:val="64E119AC"/>
    <w:rsid w:val="64F531DE"/>
    <w:rsid w:val="65016478"/>
    <w:rsid w:val="651E7F4E"/>
    <w:rsid w:val="65210852"/>
    <w:rsid w:val="65230934"/>
    <w:rsid w:val="65373578"/>
    <w:rsid w:val="653A39F6"/>
    <w:rsid w:val="654547DD"/>
    <w:rsid w:val="65524E82"/>
    <w:rsid w:val="65583569"/>
    <w:rsid w:val="6563154A"/>
    <w:rsid w:val="65672B8E"/>
    <w:rsid w:val="65706369"/>
    <w:rsid w:val="65796209"/>
    <w:rsid w:val="657B15E9"/>
    <w:rsid w:val="657C53F2"/>
    <w:rsid w:val="658A789C"/>
    <w:rsid w:val="65A622D5"/>
    <w:rsid w:val="65BC1B21"/>
    <w:rsid w:val="65D16DE8"/>
    <w:rsid w:val="65D859BA"/>
    <w:rsid w:val="65DA7359"/>
    <w:rsid w:val="65DB21BD"/>
    <w:rsid w:val="65DB7AD9"/>
    <w:rsid w:val="65F11BCA"/>
    <w:rsid w:val="660320B4"/>
    <w:rsid w:val="66117D16"/>
    <w:rsid w:val="66200F79"/>
    <w:rsid w:val="663B52A6"/>
    <w:rsid w:val="664F09BE"/>
    <w:rsid w:val="66587913"/>
    <w:rsid w:val="666627DF"/>
    <w:rsid w:val="6674462D"/>
    <w:rsid w:val="668E34F1"/>
    <w:rsid w:val="66973D3E"/>
    <w:rsid w:val="66A251F2"/>
    <w:rsid w:val="66AF7835"/>
    <w:rsid w:val="66BE5477"/>
    <w:rsid w:val="66C70CF3"/>
    <w:rsid w:val="66C7354B"/>
    <w:rsid w:val="66CF4DB3"/>
    <w:rsid w:val="66E62BEE"/>
    <w:rsid w:val="66E76407"/>
    <w:rsid w:val="66ED1255"/>
    <w:rsid w:val="66F139B0"/>
    <w:rsid w:val="66FB576A"/>
    <w:rsid w:val="66FC3E9E"/>
    <w:rsid w:val="670F7855"/>
    <w:rsid w:val="671A3CD8"/>
    <w:rsid w:val="671C6809"/>
    <w:rsid w:val="671F124A"/>
    <w:rsid w:val="6726140C"/>
    <w:rsid w:val="672E0196"/>
    <w:rsid w:val="672F7F28"/>
    <w:rsid w:val="67483B30"/>
    <w:rsid w:val="675C5524"/>
    <w:rsid w:val="676A51CF"/>
    <w:rsid w:val="677A33C6"/>
    <w:rsid w:val="677D7586"/>
    <w:rsid w:val="6786122A"/>
    <w:rsid w:val="678C36EB"/>
    <w:rsid w:val="678E5866"/>
    <w:rsid w:val="67A25316"/>
    <w:rsid w:val="67AB06C3"/>
    <w:rsid w:val="67B32D9F"/>
    <w:rsid w:val="67C60096"/>
    <w:rsid w:val="67D03154"/>
    <w:rsid w:val="67DF6A6F"/>
    <w:rsid w:val="67EF32DA"/>
    <w:rsid w:val="680373D6"/>
    <w:rsid w:val="68061202"/>
    <w:rsid w:val="680703AA"/>
    <w:rsid w:val="680743B8"/>
    <w:rsid w:val="681F6961"/>
    <w:rsid w:val="683E6B66"/>
    <w:rsid w:val="6843402F"/>
    <w:rsid w:val="68445DBA"/>
    <w:rsid w:val="68591049"/>
    <w:rsid w:val="68600F14"/>
    <w:rsid w:val="68610A2F"/>
    <w:rsid w:val="68775298"/>
    <w:rsid w:val="68790D23"/>
    <w:rsid w:val="68805514"/>
    <w:rsid w:val="68830082"/>
    <w:rsid w:val="68900AF2"/>
    <w:rsid w:val="68934A3C"/>
    <w:rsid w:val="689E20FC"/>
    <w:rsid w:val="689F7E73"/>
    <w:rsid w:val="68A326D2"/>
    <w:rsid w:val="68B07858"/>
    <w:rsid w:val="68BB5F8B"/>
    <w:rsid w:val="68C85EB5"/>
    <w:rsid w:val="68CA4319"/>
    <w:rsid w:val="68D00A56"/>
    <w:rsid w:val="68D41E78"/>
    <w:rsid w:val="68D90DFB"/>
    <w:rsid w:val="68FF548D"/>
    <w:rsid w:val="690D22A8"/>
    <w:rsid w:val="6923563F"/>
    <w:rsid w:val="693038F2"/>
    <w:rsid w:val="69316E2F"/>
    <w:rsid w:val="693B00AA"/>
    <w:rsid w:val="69437B0A"/>
    <w:rsid w:val="694E2071"/>
    <w:rsid w:val="694E38C8"/>
    <w:rsid w:val="6956617B"/>
    <w:rsid w:val="696362FA"/>
    <w:rsid w:val="696B7409"/>
    <w:rsid w:val="69760340"/>
    <w:rsid w:val="69766163"/>
    <w:rsid w:val="697A3B33"/>
    <w:rsid w:val="69811204"/>
    <w:rsid w:val="69833D2F"/>
    <w:rsid w:val="69871832"/>
    <w:rsid w:val="698A5453"/>
    <w:rsid w:val="6990414B"/>
    <w:rsid w:val="699E288A"/>
    <w:rsid w:val="69A23E51"/>
    <w:rsid w:val="69B275B8"/>
    <w:rsid w:val="69B37EDD"/>
    <w:rsid w:val="69B43A87"/>
    <w:rsid w:val="69B86BA0"/>
    <w:rsid w:val="69D44760"/>
    <w:rsid w:val="69D65E9A"/>
    <w:rsid w:val="69D814F7"/>
    <w:rsid w:val="69F14ED7"/>
    <w:rsid w:val="6A03296B"/>
    <w:rsid w:val="6A177325"/>
    <w:rsid w:val="6A297B86"/>
    <w:rsid w:val="6A2A7DED"/>
    <w:rsid w:val="6A2C0E4D"/>
    <w:rsid w:val="6A39381D"/>
    <w:rsid w:val="6A492544"/>
    <w:rsid w:val="6A520EC7"/>
    <w:rsid w:val="6A570E90"/>
    <w:rsid w:val="6A5A5C41"/>
    <w:rsid w:val="6A5C6ABD"/>
    <w:rsid w:val="6A5E0046"/>
    <w:rsid w:val="6A6B1EA3"/>
    <w:rsid w:val="6A6B6369"/>
    <w:rsid w:val="6A7C1CA8"/>
    <w:rsid w:val="6A822C45"/>
    <w:rsid w:val="6A8B2F96"/>
    <w:rsid w:val="6AA7671D"/>
    <w:rsid w:val="6AAC50D4"/>
    <w:rsid w:val="6AC4149A"/>
    <w:rsid w:val="6AC55E2A"/>
    <w:rsid w:val="6AE6201C"/>
    <w:rsid w:val="6AF87E20"/>
    <w:rsid w:val="6B0B2440"/>
    <w:rsid w:val="6B1244C6"/>
    <w:rsid w:val="6B1C6797"/>
    <w:rsid w:val="6B2F3D5E"/>
    <w:rsid w:val="6B322639"/>
    <w:rsid w:val="6B3237E7"/>
    <w:rsid w:val="6B444D9A"/>
    <w:rsid w:val="6B4D403B"/>
    <w:rsid w:val="6B537F08"/>
    <w:rsid w:val="6B5B0051"/>
    <w:rsid w:val="6B616585"/>
    <w:rsid w:val="6B622501"/>
    <w:rsid w:val="6B692164"/>
    <w:rsid w:val="6B794DCC"/>
    <w:rsid w:val="6B7C1CAB"/>
    <w:rsid w:val="6B7C4A0A"/>
    <w:rsid w:val="6B7D6514"/>
    <w:rsid w:val="6B841815"/>
    <w:rsid w:val="6B8A3562"/>
    <w:rsid w:val="6B8F0F81"/>
    <w:rsid w:val="6B98368F"/>
    <w:rsid w:val="6B992ED5"/>
    <w:rsid w:val="6B9B16B7"/>
    <w:rsid w:val="6BA139AD"/>
    <w:rsid w:val="6BBC3829"/>
    <w:rsid w:val="6BC349B1"/>
    <w:rsid w:val="6BD00210"/>
    <w:rsid w:val="6BE14C1A"/>
    <w:rsid w:val="6BF32A03"/>
    <w:rsid w:val="6C1018A2"/>
    <w:rsid w:val="6C3314D8"/>
    <w:rsid w:val="6C392228"/>
    <w:rsid w:val="6C600C89"/>
    <w:rsid w:val="6C636C38"/>
    <w:rsid w:val="6C7C349E"/>
    <w:rsid w:val="6C807575"/>
    <w:rsid w:val="6C856407"/>
    <w:rsid w:val="6C904BC1"/>
    <w:rsid w:val="6C9D701E"/>
    <w:rsid w:val="6CB32394"/>
    <w:rsid w:val="6CC876E2"/>
    <w:rsid w:val="6CD11091"/>
    <w:rsid w:val="6CD341CA"/>
    <w:rsid w:val="6CE24F37"/>
    <w:rsid w:val="6D1B07A8"/>
    <w:rsid w:val="6D305A34"/>
    <w:rsid w:val="6D596A37"/>
    <w:rsid w:val="6D685364"/>
    <w:rsid w:val="6D714E43"/>
    <w:rsid w:val="6D7D387F"/>
    <w:rsid w:val="6D8C72B2"/>
    <w:rsid w:val="6DAC7C25"/>
    <w:rsid w:val="6DB2562D"/>
    <w:rsid w:val="6DB34098"/>
    <w:rsid w:val="6DB545B6"/>
    <w:rsid w:val="6DC416DC"/>
    <w:rsid w:val="6DCC05C6"/>
    <w:rsid w:val="6DCD0AB3"/>
    <w:rsid w:val="6DD8596E"/>
    <w:rsid w:val="6DD85CBD"/>
    <w:rsid w:val="6DDC0B61"/>
    <w:rsid w:val="6DE02FB4"/>
    <w:rsid w:val="6DE87FBD"/>
    <w:rsid w:val="6DF35E1A"/>
    <w:rsid w:val="6DF75C5E"/>
    <w:rsid w:val="6E1972E4"/>
    <w:rsid w:val="6E2D74AD"/>
    <w:rsid w:val="6E3546E2"/>
    <w:rsid w:val="6E3638E7"/>
    <w:rsid w:val="6E390812"/>
    <w:rsid w:val="6E3D7A65"/>
    <w:rsid w:val="6E416582"/>
    <w:rsid w:val="6E424AD0"/>
    <w:rsid w:val="6E514CED"/>
    <w:rsid w:val="6E5927E3"/>
    <w:rsid w:val="6E6D23FD"/>
    <w:rsid w:val="6E804EC7"/>
    <w:rsid w:val="6EAC7002"/>
    <w:rsid w:val="6EB563D5"/>
    <w:rsid w:val="6EB94D34"/>
    <w:rsid w:val="6EBF5DEA"/>
    <w:rsid w:val="6EC140E3"/>
    <w:rsid w:val="6EC34670"/>
    <w:rsid w:val="6ECF02BE"/>
    <w:rsid w:val="6ED92677"/>
    <w:rsid w:val="6EDE64EA"/>
    <w:rsid w:val="6EFD2D98"/>
    <w:rsid w:val="6F0B4C03"/>
    <w:rsid w:val="6F0D1377"/>
    <w:rsid w:val="6F0D17FC"/>
    <w:rsid w:val="6F225983"/>
    <w:rsid w:val="6F2F0E57"/>
    <w:rsid w:val="6F330C51"/>
    <w:rsid w:val="6F332250"/>
    <w:rsid w:val="6F372D3C"/>
    <w:rsid w:val="6F542F7C"/>
    <w:rsid w:val="6F657126"/>
    <w:rsid w:val="6F693DF5"/>
    <w:rsid w:val="6F6A5543"/>
    <w:rsid w:val="6F7D5815"/>
    <w:rsid w:val="6F882A00"/>
    <w:rsid w:val="6F8F1C5F"/>
    <w:rsid w:val="6FA16FB6"/>
    <w:rsid w:val="6FA40FF2"/>
    <w:rsid w:val="6FA7549B"/>
    <w:rsid w:val="6FB35381"/>
    <w:rsid w:val="6FCB135F"/>
    <w:rsid w:val="6FCF4EB5"/>
    <w:rsid w:val="6FD2349D"/>
    <w:rsid w:val="6FF0742E"/>
    <w:rsid w:val="6FFC5590"/>
    <w:rsid w:val="700374C3"/>
    <w:rsid w:val="70084774"/>
    <w:rsid w:val="700873B2"/>
    <w:rsid w:val="700E3089"/>
    <w:rsid w:val="7026140A"/>
    <w:rsid w:val="702E342D"/>
    <w:rsid w:val="703D43B7"/>
    <w:rsid w:val="7050166E"/>
    <w:rsid w:val="705663F6"/>
    <w:rsid w:val="705C62C4"/>
    <w:rsid w:val="705E4CEE"/>
    <w:rsid w:val="70611EEC"/>
    <w:rsid w:val="706D1DD0"/>
    <w:rsid w:val="706F143F"/>
    <w:rsid w:val="707E5B69"/>
    <w:rsid w:val="707E771E"/>
    <w:rsid w:val="70821633"/>
    <w:rsid w:val="708453C7"/>
    <w:rsid w:val="70856B87"/>
    <w:rsid w:val="70892E72"/>
    <w:rsid w:val="709057A2"/>
    <w:rsid w:val="70977835"/>
    <w:rsid w:val="70A01571"/>
    <w:rsid w:val="70B91A5D"/>
    <w:rsid w:val="70BD2571"/>
    <w:rsid w:val="70D527EE"/>
    <w:rsid w:val="70E80F12"/>
    <w:rsid w:val="70F7125F"/>
    <w:rsid w:val="70FF1E36"/>
    <w:rsid w:val="7107285C"/>
    <w:rsid w:val="711A429E"/>
    <w:rsid w:val="711F36C4"/>
    <w:rsid w:val="711F6AA8"/>
    <w:rsid w:val="713113EE"/>
    <w:rsid w:val="71426988"/>
    <w:rsid w:val="714C0343"/>
    <w:rsid w:val="715B5300"/>
    <w:rsid w:val="716F1AC2"/>
    <w:rsid w:val="71735814"/>
    <w:rsid w:val="71772D10"/>
    <w:rsid w:val="718F7EF4"/>
    <w:rsid w:val="719B0430"/>
    <w:rsid w:val="71A0458B"/>
    <w:rsid w:val="71A67EA7"/>
    <w:rsid w:val="71AD65F7"/>
    <w:rsid w:val="71B3150D"/>
    <w:rsid w:val="71CB275D"/>
    <w:rsid w:val="71D14DAA"/>
    <w:rsid w:val="71D27F8A"/>
    <w:rsid w:val="71FC5F2C"/>
    <w:rsid w:val="72045610"/>
    <w:rsid w:val="720553CF"/>
    <w:rsid w:val="72093AEA"/>
    <w:rsid w:val="720C6720"/>
    <w:rsid w:val="72395807"/>
    <w:rsid w:val="72483244"/>
    <w:rsid w:val="7254669A"/>
    <w:rsid w:val="72553024"/>
    <w:rsid w:val="7257463C"/>
    <w:rsid w:val="725D1079"/>
    <w:rsid w:val="72632407"/>
    <w:rsid w:val="726350AE"/>
    <w:rsid w:val="726F1212"/>
    <w:rsid w:val="726F2C0F"/>
    <w:rsid w:val="728B615A"/>
    <w:rsid w:val="728E2A98"/>
    <w:rsid w:val="72C47644"/>
    <w:rsid w:val="72C852BC"/>
    <w:rsid w:val="72DD4EA8"/>
    <w:rsid w:val="72E05F04"/>
    <w:rsid w:val="72E94891"/>
    <w:rsid w:val="72F6682E"/>
    <w:rsid w:val="73083025"/>
    <w:rsid w:val="73104939"/>
    <w:rsid w:val="73122968"/>
    <w:rsid w:val="731417CA"/>
    <w:rsid w:val="7315104A"/>
    <w:rsid w:val="731F5D5E"/>
    <w:rsid w:val="73307D66"/>
    <w:rsid w:val="73422EE0"/>
    <w:rsid w:val="7355258A"/>
    <w:rsid w:val="73686D29"/>
    <w:rsid w:val="7372721D"/>
    <w:rsid w:val="73774C60"/>
    <w:rsid w:val="73934E15"/>
    <w:rsid w:val="73A74A06"/>
    <w:rsid w:val="73A8590F"/>
    <w:rsid w:val="73AF493B"/>
    <w:rsid w:val="73BC6CE9"/>
    <w:rsid w:val="73C51AD5"/>
    <w:rsid w:val="73D55EE9"/>
    <w:rsid w:val="73DC42D5"/>
    <w:rsid w:val="740D1FD5"/>
    <w:rsid w:val="74166776"/>
    <w:rsid w:val="741E793C"/>
    <w:rsid w:val="74231E78"/>
    <w:rsid w:val="743A5963"/>
    <w:rsid w:val="743C1A24"/>
    <w:rsid w:val="743C612F"/>
    <w:rsid w:val="743C7B6F"/>
    <w:rsid w:val="743F696F"/>
    <w:rsid w:val="7445545E"/>
    <w:rsid w:val="74494BC1"/>
    <w:rsid w:val="745E3944"/>
    <w:rsid w:val="746E1472"/>
    <w:rsid w:val="74761071"/>
    <w:rsid w:val="747A2D23"/>
    <w:rsid w:val="74884D3B"/>
    <w:rsid w:val="748A5A64"/>
    <w:rsid w:val="74961AEE"/>
    <w:rsid w:val="74B65A0B"/>
    <w:rsid w:val="74BD7FBC"/>
    <w:rsid w:val="74C30A45"/>
    <w:rsid w:val="74C84E08"/>
    <w:rsid w:val="74C930D3"/>
    <w:rsid w:val="74CA2739"/>
    <w:rsid w:val="74E51B82"/>
    <w:rsid w:val="74E51D8E"/>
    <w:rsid w:val="74FC64AD"/>
    <w:rsid w:val="75083109"/>
    <w:rsid w:val="7508601F"/>
    <w:rsid w:val="7513153E"/>
    <w:rsid w:val="751E4FE9"/>
    <w:rsid w:val="75312B75"/>
    <w:rsid w:val="753A1938"/>
    <w:rsid w:val="7541175B"/>
    <w:rsid w:val="754D64CD"/>
    <w:rsid w:val="75566433"/>
    <w:rsid w:val="755A1A02"/>
    <w:rsid w:val="757E5CE6"/>
    <w:rsid w:val="75976FE0"/>
    <w:rsid w:val="75B149F8"/>
    <w:rsid w:val="75B57606"/>
    <w:rsid w:val="75B861B1"/>
    <w:rsid w:val="75C819A9"/>
    <w:rsid w:val="75EA74DA"/>
    <w:rsid w:val="75F13B2A"/>
    <w:rsid w:val="75F77BF1"/>
    <w:rsid w:val="762D01AD"/>
    <w:rsid w:val="762F35E6"/>
    <w:rsid w:val="7635099D"/>
    <w:rsid w:val="763A7D9E"/>
    <w:rsid w:val="764354D2"/>
    <w:rsid w:val="76464506"/>
    <w:rsid w:val="765A7EBA"/>
    <w:rsid w:val="76614E8A"/>
    <w:rsid w:val="767A51DE"/>
    <w:rsid w:val="768473EB"/>
    <w:rsid w:val="76A5661D"/>
    <w:rsid w:val="76A77EAD"/>
    <w:rsid w:val="76A97A8F"/>
    <w:rsid w:val="76B2767B"/>
    <w:rsid w:val="76BA4209"/>
    <w:rsid w:val="76C54241"/>
    <w:rsid w:val="76C7474C"/>
    <w:rsid w:val="76C80290"/>
    <w:rsid w:val="76D92B26"/>
    <w:rsid w:val="76DA4DFA"/>
    <w:rsid w:val="76DE0C8F"/>
    <w:rsid w:val="76DF5028"/>
    <w:rsid w:val="76E65822"/>
    <w:rsid w:val="76F65736"/>
    <w:rsid w:val="771A1593"/>
    <w:rsid w:val="77203011"/>
    <w:rsid w:val="772218E8"/>
    <w:rsid w:val="773B64E5"/>
    <w:rsid w:val="773D2C01"/>
    <w:rsid w:val="7756172C"/>
    <w:rsid w:val="776F0E9B"/>
    <w:rsid w:val="77762421"/>
    <w:rsid w:val="77B56B1F"/>
    <w:rsid w:val="77C24663"/>
    <w:rsid w:val="77DD5A4C"/>
    <w:rsid w:val="77DF3615"/>
    <w:rsid w:val="77E85C0A"/>
    <w:rsid w:val="77EF20DF"/>
    <w:rsid w:val="77EF3605"/>
    <w:rsid w:val="780F09F4"/>
    <w:rsid w:val="78270D80"/>
    <w:rsid w:val="783001C9"/>
    <w:rsid w:val="7832198C"/>
    <w:rsid w:val="784561E6"/>
    <w:rsid w:val="784D2FAE"/>
    <w:rsid w:val="785B2E00"/>
    <w:rsid w:val="7865167E"/>
    <w:rsid w:val="7890268E"/>
    <w:rsid w:val="78973FB8"/>
    <w:rsid w:val="789A3EF5"/>
    <w:rsid w:val="78A319FF"/>
    <w:rsid w:val="78A33BDF"/>
    <w:rsid w:val="78A90480"/>
    <w:rsid w:val="78AA14C6"/>
    <w:rsid w:val="78B436CA"/>
    <w:rsid w:val="78C81D63"/>
    <w:rsid w:val="78DA04ED"/>
    <w:rsid w:val="78DC67FA"/>
    <w:rsid w:val="78DD11DF"/>
    <w:rsid w:val="78E15014"/>
    <w:rsid w:val="78E16079"/>
    <w:rsid w:val="79083435"/>
    <w:rsid w:val="79093E8F"/>
    <w:rsid w:val="7909541F"/>
    <w:rsid w:val="790A1830"/>
    <w:rsid w:val="791B1979"/>
    <w:rsid w:val="792D5034"/>
    <w:rsid w:val="79516A9F"/>
    <w:rsid w:val="795D1D3B"/>
    <w:rsid w:val="799E374A"/>
    <w:rsid w:val="799F2860"/>
    <w:rsid w:val="79AC4598"/>
    <w:rsid w:val="79AE424A"/>
    <w:rsid w:val="79B02D09"/>
    <w:rsid w:val="79BA48E1"/>
    <w:rsid w:val="79C93F43"/>
    <w:rsid w:val="79CD0959"/>
    <w:rsid w:val="79D40E8D"/>
    <w:rsid w:val="79E2427F"/>
    <w:rsid w:val="79F6662A"/>
    <w:rsid w:val="7A181C21"/>
    <w:rsid w:val="7A1B33E0"/>
    <w:rsid w:val="7A227E92"/>
    <w:rsid w:val="7A2470B2"/>
    <w:rsid w:val="7A350592"/>
    <w:rsid w:val="7A364017"/>
    <w:rsid w:val="7A41527D"/>
    <w:rsid w:val="7A421FEC"/>
    <w:rsid w:val="7A44055B"/>
    <w:rsid w:val="7A4E2BBC"/>
    <w:rsid w:val="7A507C26"/>
    <w:rsid w:val="7A5351E4"/>
    <w:rsid w:val="7A8265E1"/>
    <w:rsid w:val="7A9B6F6E"/>
    <w:rsid w:val="7AB73DE2"/>
    <w:rsid w:val="7AC97363"/>
    <w:rsid w:val="7ACE6B19"/>
    <w:rsid w:val="7AF1471D"/>
    <w:rsid w:val="7AF56A58"/>
    <w:rsid w:val="7AF96FAF"/>
    <w:rsid w:val="7B070B3D"/>
    <w:rsid w:val="7B0E7697"/>
    <w:rsid w:val="7B232C8A"/>
    <w:rsid w:val="7B306246"/>
    <w:rsid w:val="7B4A5C5B"/>
    <w:rsid w:val="7B4D50C8"/>
    <w:rsid w:val="7B4E75D8"/>
    <w:rsid w:val="7B5F08FE"/>
    <w:rsid w:val="7B686D42"/>
    <w:rsid w:val="7B6F2993"/>
    <w:rsid w:val="7B7C7FF5"/>
    <w:rsid w:val="7B837B02"/>
    <w:rsid w:val="7B841746"/>
    <w:rsid w:val="7B974653"/>
    <w:rsid w:val="7B9F081E"/>
    <w:rsid w:val="7BEA1D1C"/>
    <w:rsid w:val="7BF179B8"/>
    <w:rsid w:val="7C0E3F96"/>
    <w:rsid w:val="7C246010"/>
    <w:rsid w:val="7C2E3AF5"/>
    <w:rsid w:val="7C3956DA"/>
    <w:rsid w:val="7C3A42AE"/>
    <w:rsid w:val="7C3A756B"/>
    <w:rsid w:val="7C4B001D"/>
    <w:rsid w:val="7C507E35"/>
    <w:rsid w:val="7C5E59D8"/>
    <w:rsid w:val="7C6C5AC7"/>
    <w:rsid w:val="7C83718E"/>
    <w:rsid w:val="7C9C7A1F"/>
    <w:rsid w:val="7CA2353C"/>
    <w:rsid w:val="7CA55DA7"/>
    <w:rsid w:val="7CAF5EEE"/>
    <w:rsid w:val="7CB12051"/>
    <w:rsid w:val="7CB84B7D"/>
    <w:rsid w:val="7CBF1850"/>
    <w:rsid w:val="7CC55EB2"/>
    <w:rsid w:val="7CC6544B"/>
    <w:rsid w:val="7CCE2417"/>
    <w:rsid w:val="7CDB2C26"/>
    <w:rsid w:val="7CE20E49"/>
    <w:rsid w:val="7CFF6424"/>
    <w:rsid w:val="7D0239FF"/>
    <w:rsid w:val="7D0D4541"/>
    <w:rsid w:val="7D142B0A"/>
    <w:rsid w:val="7D15127F"/>
    <w:rsid w:val="7D3221BD"/>
    <w:rsid w:val="7D392AAB"/>
    <w:rsid w:val="7D416B3C"/>
    <w:rsid w:val="7D4B7369"/>
    <w:rsid w:val="7D5829DD"/>
    <w:rsid w:val="7D5E40CD"/>
    <w:rsid w:val="7D8D6CB5"/>
    <w:rsid w:val="7D996D3D"/>
    <w:rsid w:val="7DA00841"/>
    <w:rsid w:val="7DB06D5A"/>
    <w:rsid w:val="7DB3479F"/>
    <w:rsid w:val="7DC0636B"/>
    <w:rsid w:val="7DCD56F2"/>
    <w:rsid w:val="7DD846D8"/>
    <w:rsid w:val="7DFF3019"/>
    <w:rsid w:val="7E046839"/>
    <w:rsid w:val="7E19613B"/>
    <w:rsid w:val="7E4562BD"/>
    <w:rsid w:val="7E4858BC"/>
    <w:rsid w:val="7E593A8E"/>
    <w:rsid w:val="7E5A47E8"/>
    <w:rsid w:val="7E7F1BC5"/>
    <w:rsid w:val="7E856F3F"/>
    <w:rsid w:val="7EA546EB"/>
    <w:rsid w:val="7EAA77D0"/>
    <w:rsid w:val="7EAC3119"/>
    <w:rsid w:val="7EBA1AF3"/>
    <w:rsid w:val="7EC90F0F"/>
    <w:rsid w:val="7EE5456F"/>
    <w:rsid w:val="7EE56186"/>
    <w:rsid w:val="7EEB197A"/>
    <w:rsid w:val="7EEE02DC"/>
    <w:rsid w:val="7EFB2BD0"/>
    <w:rsid w:val="7EFD3CA7"/>
    <w:rsid w:val="7F001CE7"/>
    <w:rsid w:val="7F032B6F"/>
    <w:rsid w:val="7F0F014E"/>
    <w:rsid w:val="7F19546F"/>
    <w:rsid w:val="7F1F71A5"/>
    <w:rsid w:val="7F3078A7"/>
    <w:rsid w:val="7F360BAD"/>
    <w:rsid w:val="7F382314"/>
    <w:rsid w:val="7F411EE1"/>
    <w:rsid w:val="7F734905"/>
    <w:rsid w:val="7F7C05FC"/>
    <w:rsid w:val="7F7C3C96"/>
    <w:rsid w:val="7F885C27"/>
    <w:rsid w:val="7FB91AEE"/>
    <w:rsid w:val="7FD5760E"/>
    <w:rsid w:val="7FD8724A"/>
    <w:rsid w:val="7FE47E50"/>
  </w:rsids>
  <w:docVars>
    <w:docVar w:name="commondata" w:val="eyJoZGlkIjoiYmZlMmUzNDZjZDAzZjNiNWQ3ZDFhNmRmYTJmYWZmN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locked="1" w:semiHidden="0" w:unhideWhenUsed="0" w:qFormat="1"/>
    <w:lsdException w:name="heading 2" w:locked="1" w:uiPriority="0" w:qFormat="1"/>
    <w:lsdException w:name="heading 3" w:locked="1" w:semiHidden="0" w:uiPriority="9"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semiHidden="0" w:uiPriority="0" w:unhideWhenUsed="0"/>
    <w:lsdException w:name="index 2" w:locked="1" w:semiHidden="0" w:uiPriority="0" w:unhideWhenUsed="0"/>
    <w:lsdException w:name="index 3" w:locked="1" w:semiHidden="0" w:uiPriority="0" w:unhideWhenUsed="0"/>
    <w:lsdException w:name="index 4" w:locked="1" w:semiHidden="0" w:uiPriority="0" w:unhideWhenUsed="0"/>
    <w:lsdException w:name="index 5" w:locked="1" w:semiHidden="0" w:uiPriority="0" w:unhideWhenUsed="0"/>
    <w:lsdException w:name="index 6" w:locked="1" w:semiHidden="0" w:uiPriority="0" w:unhideWhenUsed="0"/>
    <w:lsdException w:name="index 7" w:locked="1" w:semiHidden="0" w:uiPriority="0" w:unhideWhenUsed="0"/>
    <w:lsdException w:name="index 8" w:locked="1" w:semiHidden="0" w:uiPriority="0" w:unhideWhenUsed="0"/>
    <w:lsdException w:name="index 9" w:locked="1" w:semiHidden="0" w:uiPriority="0" w:unhideWhenUsed="0"/>
    <w:lsdException w:name="toc 1" w:locked="1" w:semiHidden="0" w:uiPriority="0" w:unhideWhenUsed="0" w:qFormat="1"/>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ocked="1" w:semiHidden="0" w:uiPriority="0" w:unhideWhenUsed="0" w:qFormat="1"/>
    <w:lsdException w:name="footnote text" w:locked="1" w:semiHidden="0" w:uiPriority="0" w:unhideWhenUsed="0"/>
    <w:lsdException w:name="annotation text" w:uiPriority="0" w:unhideWhenUsed="0" w:qFormat="1"/>
    <w:lsdException w:name="header" w:semiHidden="0" w:uiPriority="0" w:unhideWhenUsed="0" w:qFormat="1"/>
    <w:lsdException w:name="footer" w:semiHidden="0" w:unhideWhenUsed="0" w:qFormat="1"/>
    <w:lsdException w:name="index heading" w:locked="1" w:semiHidden="0" w:uiPriority="0" w:unhideWhenUsed="0"/>
    <w:lsdException w:name="caption" w:locked="1" w:uiPriority="0" w:qFormat="1"/>
    <w:lsdException w:name="table of figures" w:locked="1" w:semiHidden="0" w:uiPriority="0" w:unhideWhenUsed="0"/>
    <w:lsdException w:name="envelope address" w:locked="1" w:semiHidden="0" w:uiPriority="0" w:unhideWhenUsed="0"/>
    <w:lsdException w:name="envelope return" w:locked="1" w:semiHidden="0" w:uiPriority="0" w:unhideWhenUsed="0"/>
    <w:lsdException w:name="footnote reference" w:locked="1" w:semiHidden="0" w:uiPriority="0" w:unhideWhenUsed="0"/>
    <w:lsdException w:name="annotation reference" w:uiPriority="0" w:unhideWhenUsed="0" w:qFormat="1"/>
    <w:lsdException w:name="line number" w:locked="1" w:semiHidden="0" w:uiPriority="0" w:unhideWhenUsed="0"/>
    <w:lsdException w:name="page number" w:locked="1" w:semiHidden="0" w:uiPriority="0" w:unhideWhenUsed="0" w:qFormat="1"/>
    <w:lsdException w:name="endnote reference" w:locked="1" w:semiHidden="0" w:uiPriority="0" w:unhideWhenUsed="0"/>
    <w:lsdException w:name="endnote text" w:locked="1" w:semiHidden="0" w:uiPriority="0" w:unhideWhenUsed="0"/>
    <w:lsdException w:name="table of authorities" w:locked="1" w:semiHidden="0" w:uiPriority="0" w:unhideWhenUsed="0"/>
    <w:lsdException w:name="macro" w:locked="1" w:semiHidden="0" w:uiPriority="0" w:unhideWhenUsed="0"/>
    <w:lsdException w:name="toa heading" w:locked="1" w:semiHidden="0" w:uiPriority="0" w:unhideWhenUsed="0"/>
    <w:lsdException w:name="List" w:locked="1" w:semiHidden="0" w:uiPriority="0" w:unhideWhenUsed="0" w:qFormat="1"/>
    <w:lsdException w:name="List Bullet" w:locked="1" w:semiHidden="0" w:uiPriority="0" w:unhideWhenUsed="0"/>
    <w:lsdException w:name="List Number" w:locked="1" w:semiHidden="0" w:uiPriority="0" w:unhideWhenUsed="0"/>
    <w:lsdException w:name="List 2" w:locked="1" w:semiHidden="0" w:uiPriority="0" w:unhideWhenUsed="0"/>
    <w:lsdException w:name="List 3" w:locked="1" w:semiHidden="0" w:uiPriority="0" w:unhideWhenUsed="0"/>
    <w:lsdException w:name="List 4" w:locked="1" w:semiHidden="0" w:uiPriority="0" w:unhideWhenUsed="0"/>
    <w:lsdException w:name="List 5" w:locked="1" w:semiHidden="0" w:uiPriority="0" w:unhideWhenUsed="0"/>
    <w:lsdException w:name="List Bullet 2" w:locked="1" w:semiHidden="0" w:uiPriority="0" w:unhideWhenUsed="0"/>
    <w:lsdException w:name="List Bullet 3" w:locked="1" w:semiHidden="0" w:uiPriority="0" w:unhideWhenUsed="0"/>
    <w:lsdException w:name="List Bullet 4" w:locked="1" w:semiHidden="0" w:uiPriority="0" w:unhideWhenUsed="0"/>
    <w:lsdException w:name="List Bullet 5" w:locked="1" w:semiHidden="0" w:uiPriority="0" w:unhideWhenUsed="0" w:qFormat="1"/>
    <w:lsdException w:name="List Number 2" w:locked="1" w:semiHidden="0" w:uiPriority="0" w:unhideWhenUsed="0"/>
    <w:lsdException w:name="List Number 3" w:locked="1" w:semiHidden="0" w:uiPriority="0" w:unhideWhenUsed="0"/>
    <w:lsdException w:name="List Number 4" w:locked="1" w:semiHidden="0" w:uiPriority="0" w:unhideWhenUsed="0"/>
    <w:lsdException w:name="List Number 5" w:locked="1" w:semiHidden="0" w:uiPriority="0" w:unhideWhenUsed="0"/>
    <w:lsdException w:name="Title" w:locked="1" w:semiHidden="0" w:uiPriority="0" w:unhideWhenUsed="0" w:qFormat="1"/>
    <w:lsdException w:name="Closing" w:locked="1" w:semiHidden="0" w:uiPriority="0" w:unhideWhenUsed="0"/>
    <w:lsdException w:name="Signature" w:locked="1"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locked="1" w:semiHidden="0" w:uiPriority="0" w:unhideWhenUsed="0"/>
    <w:lsdException w:name="List Continue 2" w:locked="1" w:semiHidden="0" w:uiPriority="0" w:unhideWhenUsed="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semiHidden="0" w:uiPriority="0" w:unhideWhenUsed="0"/>
    <w:lsdException w:name="Subtitle" w:locked="1" w:semiHidden="0" w:uiPriority="0" w:unhideWhenUsed="0" w:qFormat="1"/>
    <w:lsdException w:name="Salutation" w:locked="1" w:semiHidden="0" w:uiPriority="0" w:unhideWhenUsed="0"/>
    <w:lsdException w:name="Date" w:semiHidden="0" w:uiPriority="0" w:unhideWhenUsed="0" w:qFormat="1"/>
    <w:lsdException w:name="Body Text First Indent" w:locked="1" w:semiHidden="0" w:uiPriority="0" w:unhideWhenUsed="0" w:qFormat="1"/>
    <w:lsdException w:name="Body Text First Indent 2" w:locked="1" w:semiHidden="0" w:uiPriority="0" w:unhideWhenUsed="0" w:qFormat="1"/>
    <w:lsdException w:name="Note Heading" w:locked="1" w:semiHidden="0" w:uiPriority="0" w:unhideWhenUsed="0"/>
    <w:lsdException w:name="Body Text 2" w:locked="1" w:semiHidden="0" w:uiPriority="0" w:unhideWhenUsed="0"/>
    <w:lsdException w:name="Body Text 3" w:locked="1" w:semiHidden="0" w:uiPriority="0" w:unhideWhenUsed="0"/>
    <w:lsdException w:name="Body Text Indent 2" w:locked="1" w:semiHidden="0" w:uiPriority="0" w:unhideWhenUsed="0"/>
    <w:lsdException w:name="Body Text Indent 3" w:locked="1" w:semiHidden="0" w:uiPriority="0" w:unhideWhenUsed="0"/>
    <w:lsdException w:name="Block Text" w:locked="1" w:semiHidden="0" w:uiPriority="0" w:unhideWhenUsed="0"/>
    <w:lsdException w:name="Hyperlink"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Document Map" w:locked="1" w:semiHidden="0" w:uiPriority="0" w:unhideWhenUsed="0" w:qFormat="1"/>
    <w:lsdException w:name="Plain Text" w:locked="1" w:semiHidden="0" w:uiPriority="0" w:unhideWhenUsed="0"/>
    <w:lsdException w:name="E-mail Signature" w:locked="1" w:semiHidden="0" w:uiPriority="0" w:unhideWhenUsed="0"/>
    <w:lsdException w:name="Normal (Web)" w:semiHidden="0" w:uiPriority="0" w:unhideWhenUsed="0" w:qFormat="1"/>
    <w:lsdException w:name="HTML Acronym" w:locked="1" w:semiHidden="0" w:uiPriority="0" w:unhideWhenUsed="0"/>
    <w:lsdException w:name="HTML Address" w:locked="1" w:semiHidden="0" w:uiPriority="0" w:unhideWhenUsed="0"/>
    <w:lsdException w:name="HTML Cite" w:locked="1" w:semiHidden="0" w:uiPriority="0" w:unhideWhenUsed="0"/>
    <w:lsdException w:name="HTML Code" w:locked="1" w:semiHidden="0" w:uiPriority="0" w:unhideWhenUsed="0"/>
    <w:lsdException w:name="HTML Definition" w:locked="1" w:semiHidden="0" w:uiPriority="0" w:unhideWhenUsed="0"/>
    <w:lsdException w:name="HTML Keyboard" w:locked="1" w:semiHidden="0" w:uiPriority="0" w:unhideWhenUsed="0"/>
    <w:lsdException w:name="HTML Preformatted" w:locked="1" w:semiHidden="0" w:uiPriority="0" w:unhideWhenUsed="0"/>
    <w:lsdException w:name="HTML Sample" w:locked="1" w:semiHidden="0" w:uiPriority="0" w:unhideWhenUsed="0"/>
    <w:lsdException w:name="HTML Typewriter" w:locked="1" w:semiHidden="0" w:uiPriority="0" w:unhideWhenUsed="0"/>
    <w:lsdException w:name="HTML Variable" w:locked="1" w:semiHidden="0" w:uiPriority="0" w:unhideWhenUsed="0"/>
    <w:lsdException w:name="Normal Table" w:qFormat="1"/>
    <w:lsdException w:name="annotation subject" w:uiPriority="0" w:unhideWhenUsed="0" w:qFormat="1"/>
    <w:lsdException w:name="Table Simple 1" w:locked="1" w:semiHidden="0" w:uiPriority="0" w:unhideWhenUsed="0"/>
    <w:lsdException w:name="Table Simple 2" w:locked="1" w:semiHidden="0" w:uiPriority="0" w:unhideWhenUsed="0"/>
    <w:lsdException w:name="Table Simple 3" w:locked="1" w:semiHidden="0" w:uiPriority="0" w:unhideWhenUsed="0"/>
    <w:lsdException w:name="Table Classic 1" w:locked="1" w:semiHidden="0" w:uiPriority="0" w:unhideWhenUsed="0"/>
    <w:lsdException w:name="Table Classic 2" w:locked="1" w:semiHidden="0" w:uiPriority="0" w:unhideWhenUsed="0"/>
    <w:lsdException w:name="Table Classic 3" w:locked="1" w:semiHidden="0" w:uiPriority="0" w:unhideWhenUsed="0"/>
    <w:lsdException w:name="Table Classic 4" w:locked="1" w:semiHidden="0" w:uiPriority="0" w:unhideWhenUsed="0"/>
    <w:lsdException w:name="Table Colorful 1" w:locked="1" w:semiHidden="0" w:uiPriority="0" w:unhideWhenUsed="0"/>
    <w:lsdException w:name="Table Colorful 2" w:locked="1" w:semiHidden="0" w:uiPriority="0" w:unhideWhenUsed="0"/>
    <w:lsdException w:name="Table Colorful 3" w:locked="1" w:semiHidden="0" w:uiPriority="0" w:unhideWhenUsed="0"/>
    <w:lsdException w:name="Table Columns 1" w:locked="1" w:semiHidden="0" w:uiPriority="0" w:unhideWhenUsed="0"/>
    <w:lsdException w:name="Table Columns 2" w:locked="1" w:semiHidden="0" w:uiPriority="0" w:unhideWhenUsed="0"/>
    <w:lsdException w:name="Table Columns 3" w:locked="1" w:semiHidden="0" w:uiPriority="0" w:unhideWhenUsed="0"/>
    <w:lsdException w:name="Table Columns 4" w:locked="1" w:semiHidden="0" w:uiPriority="0" w:unhideWhenUsed="0"/>
    <w:lsdException w:name="Table Columns 5" w:locked="1" w:semiHidden="0" w:uiPriority="0" w:unhideWhenUsed="0"/>
    <w:lsdException w:name="Table Grid 1" w:locked="1" w:semiHidden="0" w:uiPriority="0" w:unhideWhenUsed="0"/>
    <w:lsdException w:name="Table Grid 2" w:locked="1" w:semiHidden="0" w:uiPriority="0" w:unhideWhenUsed="0"/>
    <w:lsdException w:name="Table Grid 3" w:locked="1" w:semiHidden="0" w:uiPriority="0" w:unhideWhenUsed="0"/>
    <w:lsdException w:name="Table Grid 4" w:locked="1" w:semiHidden="0" w:uiPriority="0" w:unhideWhenUsed="0"/>
    <w:lsdException w:name="Table Grid 5" w:locked="1" w:semiHidden="0" w:uiPriority="0" w:unhideWhenUsed="0"/>
    <w:lsdException w:name="Table Grid 6" w:locked="1" w:semiHidden="0" w:uiPriority="0" w:unhideWhenUsed="0"/>
    <w:lsdException w:name="Table Grid 7" w:locked="1" w:semiHidden="0" w:uiPriority="0" w:unhideWhenUsed="0"/>
    <w:lsdException w:name="Table Grid 8" w:locked="1" w:semiHidden="0" w:uiPriority="0" w:unhideWhenUsed="0"/>
    <w:lsdException w:name="Table List 1" w:locked="1" w:semiHidden="0" w:uiPriority="0" w:unhideWhenUsed="0"/>
    <w:lsdException w:name="Table List 2" w:locked="1" w:semiHidden="0" w:uiPriority="0" w:unhideWhenUsed="0"/>
    <w:lsdException w:name="Table List 3" w:locked="1" w:semiHidden="0" w:uiPriority="0" w:unhideWhenUsed="0"/>
    <w:lsdException w:name="Table List 4" w:locked="1" w:semiHidden="0" w:uiPriority="0" w:unhideWhenUsed="0"/>
    <w:lsdException w:name="Table List 5" w:locked="1" w:semiHidden="0" w:uiPriority="0" w:unhideWhenUsed="0"/>
    <w:lsdException w:name="Table List 6" w:locked="1" w:semiHidden="0" w:uiPriority="0" w:unhideWhenUsed="0"/>
    <w:lsdException w:name="Table List 7" w:locked="1" w:semiHidden="0" w:uiPriority="0" w:unhideWhenUsed="0"/>
    <w:lsdException w:name="Table List 8" w:locked="1" w:semiHidden="0" w:uiPriority="0" w:unhideWhenUsed="0"/>
    <w:lsdException w:name="Table 3D effects 1" w:locked="1" w:semiHidden="0" w:uiPriority="0" w:unhideWhenUsed="0"/>
    <w:lsdException w:name="Table 3D effects 2" w:locked="1" w:semiHidden="0" w:uiPriority="0" w:unhideWhenUsed="0"/>
    <w:lsdException w:name="Table 3D effects 3" w:locked="1" w:semiHidden="0" w:uiPriority="0" w:unhideWhenUsed="0"/>
    <w:lsdException w:name="Table Contemporary" w:locked="1" w:semiHidden="0" w:uiPriority="0" w:unhideWhenUsed="0"/>
    <w:lsdException w:name="Table Elegant" w:locked="1" w:semiHidden="0" w:uiPriority="0" w:unhideWhenUsed="0"/>
    <w:lsdException w:name="Table Professional" w:locked="1" w:semiHidden="0" w:uiPriority="0" w:unhideWhenUsed="0"/>
    <w:lsdException w:name="Table Subtle 1" w:locked="1" w:semiHidden="0" w:uiPriority="0" w:unhideWhenUsed="0"/>
    <w:lsdException w:name="Table Subtle 2" w:locked="1" w:semiHidden="0" w:uiPriority="0" w:unhideWhenUsed="0"/>
    <w:lsdException w:name="Table Web 1" w:locked="1" w:semiHidden="0" w:uiPriority="0" w:unhideWhenUsed="0"/>
    <w:lsdException w:name="Table Web 2" w:locked="1" w:semiHidden="0" w:uiPriority="0" w:unhideWhenUsed="0"/>
    <w:lsdException w:name="Table Web 3" w:locked="1" w:semiHidden="0" w:uiPriority="0" w:unhideWhenUsed="0"/>
    <w:lsdException w:name="Balloon Text" w:uiPriority="0" w:unhideWhenUsed="0" w:qFormat="1"/>
    <w:lsdException w:name="Table Grid" w:semiHidden="0" w:uiPriority="0" w:unhideWhenUsed="0" w:qFormat="1"/>
    <w:lsdException w:name="Table Theme"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Heading3">
    <w:name w:val="heading 3"/>
    <w:basedOn w:val="Normal"/>
    <w:next w:val="Normal"/>
    <w:uiPriority w:val="9"/>
    <w:qFormat/>
    <w:locked/>
    <w:pPr>
      <w:keepNext/>
      <w:keepLines/>
      <w:jc w:val="left"/>
      <w:outlineLvl w:val="2"/>
    </w:pPr>
    <w:rPr>
      <w:b/>
      <w:bCs/>
      <w:sz w:val="28"/>
      <w:szCs w:val="32"/>
    </w:rPr>
  </w:style>
  <w:style w:type="paragraph" w:styleId="Heading4">
    <w:name w:val="heading 4"/>
    <w:basedOn w:val="Normal"/>
    <w:next w:val="Normal"/>
    <w:qFormat/>
    <w:locked/>
    <w:pPr>
      <w:keepNext/>
      <w:keepLines/>
      <w:spacing w:before="280" w:after="290" w:line="372" w:lineRule="auto"/>
      <w:outlineLvl w:val="3"/>
    </w:pPr>
    <w:rPr>
      <w:rFonts w:ascii="Arial" w:eastAsia="黑体" w:hAnsi="Arial"/>
      <w:b/>
      <w:bCs/>
      <w:sz w:val="28"/>
      <w:szCs w:val="28"/>
    </w:rPr>
  </w:style>
  <w:style w:type="paragraph" w:styleId="Heading5">
    <w:name w:val="heading 5"/>
    <w:basedOn w:val="Normal"/>
    <w:next w:val="Normal"/>
    <w:qFormat/>
    <w:locked/>
    <w:pPr>
      <w:keepNext/>
      <w:keepLines/>
      <w:spacing w:before="280" w:after="290" w:line="372" w:lineRule="auto"/>
      <w:outlineLvl w:val="4"/>
    </w:pPr>
    <w:rPr>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next w:val="Normal"/>
    <w:qFormat/>
    <w:locked/>
    <w:pPr>
      <w:spacing w:line="360" w:lineRule="auto"/>
      <w:ind w:firstLine="420"/>
    </w:pPr>
  </w:style>
  <w:style w:type="paragraph" w:styleId="DocumentMap">
    <w:name w:val="Document Map"/>
    <w:basedOn w:val="Normal"/>
    <w:link w:val="Char0"/>
    <w:qFormat/>
    <w:locked/>
    <w:rPr>
      <w:rFonts w:ascii="宋体"/>
      <w:sz w:val="18"/>
      <w:szCs w:val="18"/>
    </w:rPr>
  </w:style>
  <w:style w:type="paragraph" w:styleId="CommentText">
    <w:name w:val="annotation text"/>
    <w:basedOn w:val="Normal"/>
    <w:link w:val="Char3"/>
    <w:semiHidden/>
    <w:qFormat/>
    <w:pPr>
      <w:jc w:val="left"/>
    </w:pPr>
    <w:rPr>
      <w:kern w:val="0"/>
      <w:sz w:val="24"/>
      <w:szCs w:val="20"/>
    </w:rPr>
  </w:style>
  <w:style w:type="paragraph" w:styleId="BodyText">
    <w:name w:val="Body Text"/>
    <w:basedOn w:val="Normal"/>
    <w:next w:val="ListBullet5"/>
    <w:link w:val="Char7"/>
    <w:qFormat/>
    <w:pPr>
      <w:widowControl/>
      <w:snapToGrid w:val="0"/>
      <w:spacing w:before="60" w:after="160" w:line="259" w:lineRule="auto"/>
      <w:ind w:right="113"/>
    </w:pPr>
    <w:rPr>
      <w:kern w:val="0"/>
      <w:sz w:val="18"/>
      <w:szCs w:val="20"/>
    </w:rPr>
  </w:style>
  <w:style w:type="paragraph" w:styleId="ListBullet5">
    <w:name w:val="List Bullet 5"/>
    <w:basedOn w:val="Normal"/>
    <w:qFormat/>
    <w:locked/>
    <w:pPr>
      <w:numPr>
        <w:ilvl w:val="0"/>
        <w:numId w:val="1"/>
      </w:numPr>
    </w:pPr>
  </w:style>
  <w:style w:type="paragraph" w:styleId="BodyTextIndent">
    <w:name w:val="Body Text Indent"/>
    <w:basedOn w:val="Normal"/>
    <w:next w:val="Normal"/>
    <w:link w:val="Char"/>
    <w:qFormat/>
    <w:pPr>
      <w:spacing w:after="120"/>
      <w:ind w:left="420" w:leftChars="200"/>
    </w:pPr>
    <w:rPr>
      <w:kern w:val="0"/>
      <w:sz w:val="24"/>
      <w:szCs w:val="20"/>
    </w:rPr>
  </w:style>
  <w:style w:type="paragraph" w:styleId="Date">
    <w:name w:val="Date"/>
    <w:basedOn w:val="Normal"/>
    <w:next w:val="Normal"/>
    <w:link w:val="Char8"/>
    <w:qFormat/>
    <w:pPr>
      <w:ind w:left="100" w:leftChars="2500"/>
    </w:pPr>
    <w:rPr>
      <w:kern w:val="0"/>
      <w:sz w:val="24"/>
      <w:szCs w:val="20"/>
    </w:rPr>
  </w:style>
  <w:style w:type="paragraph" w:styleId="BalloonText">
    <w:name w:val="Balloon Text"/>
    <w:basedOn w:val="Normal"/>
    <w:link w:val="Char9"/>
    <w:semiHidden/>
    <w:qFormat/>
    <w:rPr>
      <w:kern w:val="0"/>
      <w:sz w:val="18"/>
      <w:szCs w:val="20"/>
    </w:rPr>
  </w:style>
  <w:style w:type="paragraph" w:styleId="Footer">
    <w:name w:val="footer"/>
    <w:basedOn w:val="Normal"/>
    <w:link w:val="Char4"/>
    <w:uiPriority w:val="99"/>
    <w:qFormat/>
    <w:pPr>
      <w:tabs>
        <w:tab w:val="center" w:pos="4153"/>
        <w:tab w:val="right" w:pos="8306"/>
      </w:tabs>
      <w:snapToGrid w:val="0"/>
      <w:jc w:val="left"/>
    </w:pPr>
    <w:rPr>
      <w:kern w:val="0"/>
      <w:sz w:val="18"/>
      <w:szCs w:val="20"/>
    </w:rPr>
  </w:style>
  <w:style w:type="paragraph" w:styleId="Header">
    <w:name w:val="header"/>
    <w:basedOn w:val="Normal"/>
    <w:next w:val="Normal"/>
    <w:link w:val="Char1"/>
    <w:qFormat/>
    <w:pPr>
      <w:pBdr>
        <w:bottom w:val="single" w:sz="6" w:space="1" w:color="auto"/>
      </w:pBdr>
      <w:tabs>
        <w:tab w:val="center" w:pos="4153"/>
        <w:tab w:val="right" w:pos="8306"/>
      </w:tabs>
      <w:snapToGrid w:val="0"/>
      <w:jc w:val="center"/>
    </w:pPr>
    <w:rPr>
      <w:kern w:val="0"/>
      <w:sz w:val="18"/>
      <w:szCs w:val="20"/>
    </w:rPr>
  </w:style>
  <w:style w:type="paragraph" w:styleId="TOC1">
    <w:name w:val="toc 1"/>
    <w:basedOn w:val="Normal"/>
    <w:next w:val="Normal"/>
    <w:qFormat/>
    <w:locked/>
  </w:style>
  <w:style w:type="paragraph" w:styleId="List">
    <w:name w:val="List"/>
    <w:basedOn w:val="Normal"/>
    <w:qFormat/>
    <w:locked/>
    <w:pPr>
      <w:spacing w:line="360" w:lineRule="exact"/>
      <w:jc w:val="center"/>
    </w:pPr>
    <w:rPr>
      <w:rFonts w:ascii="仿宋_GB2312" w:eastAsia="仿宋_GB2312"/>
    </w:rPr>
  </w:style>
  <w:style w:type="paragraph" w:styleId="NormalWeb">
    <w:name w:val="Normal (Web)"/>
    <w:basedOn w:val="Normal"/>
    <w:link w:val="Char5"/>
    <w:qFormat/>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2"/>
    <w:semiHidden/>
    <w:qFormat/>
    <w:rPr>
      <w:b/>
      <w:kern w:val="2"/>
    </w:rPr>
  </w:style>
  <w:style w:type="paragraph" w:styleId="BodyTextFirstIndent">
    <w:name w:val="Body Text First Indent"/>
    <w:basedOn w:val="Normal"/>
    <w:next w:val="BodyTextFirstIndent2"/>
    <w:qFormat/>
    <w:locked/>
    <w:pPr>
      <w:ind w:firstLine="420" w:firstLineChars="100"/>
    </w:pPr>
  </w:style>
  <w:style w:type="paragraph" w:styleId="BodyTextFirstIndent2">
    <w:name w:val="Body Text First Indent 2"/>
    <w:basedOn w:val="BodyTextIndent"/>
    <w:next w:val="2"/>
    <w:qFormat/>
    <w:locked/>
    <w:pPr>
      <w:spacing w:after="120"/>
      <w:ind w:left="420" w:firstLine="420" w:leftChars="200"/>
    </w:pPr>
    <w:rPr>
      <w:rFonts w:ascii="Times New Roman"/>
    </w:rPr>
  </w:style>
  <w:style w:type="paragraph" w:customStyle="1" w:styleId="2">
    <w:name w:val="正文首行缩进  2字符"/>
    <w:basedOn w:val="Normal"/>
    <w:qFormat/>
    <w:pPr>
      <w:widowControl/>
      <w:ind w:firstLine="480"/>
    </w:p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locked/>
    <w:rPr>
      <w:b/>
    </w:rPr>
  </w:style>
  <w:style w:type="character" w:styleId="PageNumber">
    <w:name w:val="page number"/>
    <w:basedOn w:val="DefaultParagraphFont"/>
    <w:qFormat/>
    <w:locked/>
  </w:style>
  <w:style w:type="character" w:styleId="Hyperlink">
    <w:name w:val="Hyperlink"/>
    <w:qFormat/>
    <w:locked/>
    <w:rPr>
      <w:color w:val="0000FF"/>
      <w:u w:val="single"/>
    </w:rPr>
  </w:style>
  <w:style w:type="character" w:styleId="CommentReference">
    <w:name w:val="annotation reference"/>
    <w:semiHidden/>
    <w:qFormat/>
    <w:rPr>
      <w:sz w:val="21"/>
    </w:rPr>
  </w:style>
  <w:style w:type="paragraph" w:customStyle="1" w:styleId="Default">
    <w:name w:val="Default"/>
    <w:basedOn w:val="4"/>
    <w:next w:val="Normal"/>
    <w:qFormat/>
    <w:pPr>
      <w:widowControl w:val="0"/>
      <w:autoSpaceDE w:val="0"/>
      <w:autoSpaceDN w:val="0"/>
      <w:adjustRightInd w:val="0"/>
    </w:pPr>
    <w:rPr>
      <w:rFonts w:ascii="Sim Hei" w:eastAsia="Sim Hei"/>
      <w:color w:val="000000"/>
      <w:sz w:val="24"/>
    </w:rPr>
  </w:style>
  <w:style w:type="paragraph" w:customStyle="1" w:styleId="4">
    <w:name w:val="标题 段落4级"/>
    <w:basedOn w:val="a"/>
    <w:next w:val="CommentText"/>
    <w:qFormat/>
    <w:pPr>
      <w:spacing w:line="500" w:lineRule="exact"/>
      <w:outlineLvl w:val="3"/>
    </w:pPr>
    <w:rPr>
      <w:rFonts w:ascii="Times New Roman" w:eastAsia="仿宋_GB2312" w:hAnsi="Times New Roman" w:cs="Calibri"/>
      <w:b/>
      <w:kern w:val="2"/>
      <w:sz w:val="28"/>
      <w:szCs w:val="24"/>
      <w:lang w:val="en-US" w:eastAsia="zh-CN" w:bidi="ar-SA"/>
    </w:rPr>
  </w:style>
  <w:style w:type="paragraph" w:customStyle="1" w:styleId="a">
    <w:name w:val="研究生姓名"/>
    <w:qFormat/>
    <w:pPr>
      <w:widowControl w:val="0"/>
      <w:ind w:firstLine="700" w:firstLineChars="700"/>
      <w:jc w:val="both"/>
    </w:pPr>
    <w:rPr>
      <w:rFonts w:ascii="Times New Roman" w:eastAsia="宋体" w:hAnsi="Times New Roman" w:cs="Times New Roman"/>
      <w:bCs/>
      <w:kern w:val="2"/>
      <w:sz w:val="28"/>
      <w:szCs w:val="28"/>
      <w:lang w:val="en-US" w:eastAsia="zh-CN" w:bidi="ar-SA"/>
    </w:rPr>
  </w:style>
  <w:style w:type="character" w:customStyle="1" w:styleId="Char">
    <w:name w:val="正文文本缩进 Char"/>
    <w:link w:val="BodyTextIndent"/>
    <w:semiHidden/>
    <w:qFormat/>
    <w:locked/>
    <w:rPr>
      <w:rFonts w:ascii="Times New Roman" w:eastAsia="宋体" w:hAnsi="Times New Roman"/>
      <w:sz w:val="24"/>
    </w:rPr>
  </w:style>
  <w:style w:type="character" w:customStyle="1" w:styleId="Char0">
    <w:name w:val="文档结构图 Char"/>
    <w:link w:val="DocumentMap"/>
    <w:qFormat/>
    <w:rPr>
      <w:rFonts w:ascii="宋体"/>
      <w:kern w:val="2"/>
      <w:sz w:val="18"/>
      <w:szCs w:val="18"/>
    </w:rPr>
  </w:style>
  <w:style w:type="character" w:customStyle="1" w:styleId="Char1">
    <w:name w:val="页眉 Char"/>
    <w:link w:val="Header"/>
    <w:qFormat/>
    <w:locked/>
    <w:rPr>
      <w:sz w:val="18"/>
    </w:rPr>
  </w:style>
  <w:style w:type="character" w:customStyle="1" w:styleId="Char2">
    <w:name w:val="批注主题 Char"/>
    <w:link w:val="CommentSubject"/>
    <w:semiHidden/>
    <w:qFormat/>
    <w:locked/>
    <w:rPr>
      <w:rFonts w:ascii="Times New Roman" w:eastAsia="宋体" w:hAnsi="Times New Roman"/>
      <w:b/>
      <w:kern w:val="2"/>
      <w:sz w:val="24"/>
    </w:rPr>
  </w:style>
  <w:style w:type="character" w:customStyle="1" w:styleId="1">
    <w:name w:val="正文文本 字符1"/>
    <w:semiHidden/>
    <w:qFormat/>
    <w:rPr>
      <w:rFonts w:ascii="Times New Roman" w:eastAsia="宋体" w:hAnsi="Times New Roman"/>
      <w:sz w:val="24"/>
    </w:rPr>
  </w:style>
  <w:style w:type="character" w:customStyle="1" w:styleId="a0">
    <w:name w:val="日期 字符"/>
    <w:semiHidden/>
    <w:qFormat/>
    <w:rPr>
      <w:rFonts w:ascii="Times New Roman" w:eastAsia="宋体" w:hAnsi="Times New Roman"/>
      <w:sz w:val="24"/>
    </w:rPr>
  </w:style>
  <w:style w:type="character" w:customStyle="1" w:styleId="Char3">
    <w:name w:val="批注文字 Char"/>
    <w:link w:val="CommentText"/>
    <w:qFormat/>
    <w:locked/>
    <w:rPr>
      <w:rFonts w:ascii="Times New Roman" w:eastAsia="宋体" w:hAnsi="Times New Roman"/>
      <w:sz w:val="24"/>
    </w:rPr>
  </w:style>
  <w:style w:type="character" w:customStyle="1" w:styleId="Char4">
    <w:name w:val="页脚 Char"/>
    <w:link w:val="Footer"/>
    <w:uiPriority w:val="99"/>
    <w:qFormat/>
    <w:locked/>
    <w:rPr>
      <w:sz w:val="18"/>
    </w:rPr>
  </w:style>
  <w:style w:type="character" w:customStyle="1" w:styleId="10">
    <w:name w:val="批注文字 字符1"/>
    <w:semiHidden/>
    <w:qFormat/>
    <w:rPr>
      <w:rFonts w:ascii="Times New Roman" w:eastAsia="宋体" w:hAnsi="Times New Roman"/>
      <w:sz w:val="24"/>
    </w:rPr>
  </w:style>
  <w:style w:type="character" w:customStyle="1" w:styleId="a1">
    <w:name w:val="页脚 字符"/>
    <w:basedOn w:val="DefaultParagraphFont"/>
    <w:uiPriority w:val="99"/>
    <w:qFormat/>
  </w:style>
  <w:style w:type="character" w:customStyle="1" w:styleId="Char5">
    <w:name w:val="普通(网站) Char"/>
    <w:link w:val="NormalWeb"/>
    <w:qFormat/>
    <w:locked/>
    <w:rPr>
      <w:rFonts w:ascii="宋体" w:eastAsia="宋体" w:hAnsi="宋体"/>
      <w:sz w:val="24"/>
    </w:rPr>
  </w:style>
  <w:style w:type="character" w:customStyle="1" w:styleId="Char6">
    <w:name w:val="表格 Char"/>
    <w:link w:val="a2"/>
    <w:qFormat/>
    <w:locked/>
    <w:rPr>
      <w:rFonts w:ascii="宋体"/>
      <w:sz w:val="21"/>
    </w:rPr>
  </w:style>
  <w:style w:type="paragraph" w:customStyle="1" w:styleId="a2">
    <w:name w:val="表格"/>
    <w:basedOn w:val="a3"/>
    <w:next w:val="Normal"/>
    <w:link w:val="Char6"/>
    <w:qFormat/>
    <w:pPr>
      <w:adjustRightInd w:val="0"/>
      <w:snapToGrid w:val="0"/>
      <w:spacing w:beforeLines="10" w:afterLines="10" w:line="259" w:lineRule="auto"/>
      <w:jc w:val="center"/>
    </w:pPr>
    <w:rPr>
      <w:rFonts w:ascii="宋体"/>
      <w:kern w:val="0"/>
      <w:szCs w:val="20"/>
    </w:rPr>
  </w:style>
  <w:style w:type="paragraph" w:customStyle="1" w:styleId="a3">
    <w:name w:val="表头"/>
    <w:basedOn w:val="NormalIndent"/>
    <w:next w:val="Normal"/>
    <w:qFormat/>
    <w:pPr>
      <w:adjustRightInd w:val="0"/>
      <w:snapToGrid w:val="0"/>
      <w:spacing w:line="320" w:lineRule="atLeast"/>
      <w:jc w:val="center"/>
      <w:textAlignment w:val="baseline"/>
    </w:pPr>
    <w:rPr>
      <w:rFonts w:eastAsia="黑体"/>
      <w:spacing w:val="-10"/>
      <w:kern w:val="0"/>
      <w:szCs w:val="20"/>
    </w:rPr>
  </w:style>
  <w:style w:type="character" w:customStyle="1" w:styleId="Char7">
    <w:name w:val="正文文本 Char"/>
    <w:link w:val="BodyText"/>
    <w:qFormat/>
    <w:locked/>
    <w:rPr>
      <w:sz w:val="18"/>
    </w:rPr>
  </w:style>
  <w:style w:type="character" w:customStyle="1" w:styleId="Char8">
    <w:name w:val="日期 Char"/>
    <w:link w:val="Date"/>
    <w:qFormat/>
    <w:locked/>
    <w:rPr>
      <w:rFonts w:ascii="Times New Roman" w:eastAsia="宋体" w:hAnsi="Times New Roman"/>
      <w:sz w:val="24"/>
    </w:rPr>
  </w:style>
  <w:style w:type="character" w:customStyle="1" w:styleId="Char9">
    <w:name w:val="批注框文本 Char"/>
    <w:link w:val="BalloonText"/>
    <w:semiHidden/>
    <w:qFormat/>
    <w:locked/>
    <w:rPr>
      <w:rFonts w:ascii="Times New Roman" w:eastAsia="宋体" w:hAnsi="Times New Roman"/>
      <w:sz w:val="18"/>
    </w:rPr>
  </w:style>
  <w:style w:type="paragraph" w:customStyle="1" w:styleId="11">
    <w:name w:val="正文_11"/>
    <w:qFormat/>
    <w:pPr>
      <w:widowControl w:val="0"/>
      <w:jc w:val="both"/>
    </w:pPr>
    <w:rPr>
      <w:rFonts w:ascii="Calibri" w:eastAsia="宋体" w:hAnsi="Calibri" w:cs="Times New Roman"/>
      <w:kern w:val="2"/>
      <w:sz w:val="21"/>
      <w:lang w:val="en-US" w:eastAsia="zh-CN" w:bidi="ar-SA"/>
    </w:rPr>
  </w:style>
  <w:style w:type="paragraph" w:customStyle="1" w:styleId="12">
    <w:name w:val="列出段落1"/>
    <w:basedOn w:val="Normal"/>
    <w:qFormat/>
    <w:pPr>
      <w:ind w:firstLine="420" w:firstLineChars="200"/>
    </w:pPr>
    <w:rPr>
      <w:rFonts w:ascii="Calibri" w:hAnsi="Calibri"/>
      <w:szCs w:val="22"/>
    </w:rPr>
  </w:style>
  <w:style w:type="paragraph" w:styleId="ListParagraph">
    <w:name w:val="List Paragraph"/>
    <w:basedOn w:val="Normal"/>
    <w:uiPriority w:val="34"/>
    <w:qFormat/>
    <w:pPr>
      <w:ind w:firstLine="420" w:firstLineChars="200"/>
    </w:pPr>
  </w:style>
  <w:style w:type="paragraph" w:customStyle="1" w:styleId="a4">
    <w:name w:val="单学凯环表头"/>
    <w:basedOn w:val="Normal"/>
    <w:uiPriority w:val="99"/>
    <w:qFormat/>
    <w:pPr>
      <w:widowControl/>
      <w:tabs>
        <w:tab w:val="left" w:pos="-1008"/>
        <w:tab w:val="left" w:pos="4873"/>
      </w:tabs>
      <w:spacing w:line="360" w:lineRule="auto"/>
      <w:ind w:firstLine="468" w:firstLineChars="195"/>
    </w:pPr>
    <w:rPr>
      <w:bCs/>
      <w:color w:val="000000"/>
    </w:rPr>
  </w:style>
  <w:style w:type="paragraph" w:customStyle="1" w:styleId="a5">
    <w:name w:val="表格下方正文"/>
    <w:basedOn w:val="Normal"/>
    <w:qFormat/>
    <w:pPr>
      <w:spacing w:before="300" w:line="460" w:lineRule="exact"/>
      <w:ind w:firstLine="200" w:firstLineChars="200"/>
    </w:pPr>
  </w:style>
  <w:style w:type="paragraph" w:customStyle="1" w:styleId="a6">
    <w:name w:val="单学凯表格新"/>
    <w:basedOn w:val="Normal"/>
    <w:qFormat/>
    <w:pPr>
      <w:tabs>
        <w:tab w:val="left" w:pos="360"/>
      </w:tabs>
      <w:adjustRightInd w:val="0"/>
      <w:snapToGrid w:val="0"/>
      <w:ind w:left="-37" w:hanging="13" w:leftChars="-24" w:hangingChars="6"/>
      <w:jc w:val="center"/>
      <w:outlineLvl w:val="2"/>
    </w:pPr>
    <w:rPr>
      <w:rFonts w:eastAsia="仿宋_GB2312"/>
      <w:szCs w:val="21"/>
    </w:rPr>
  </w:style>
  <w:style w:type="paragraph" w:customStyle="1" w:styleId="20">
    <w:name w:val="正文（行首缩进2字）"/>
    <w:basedOn w:val="Normal"/>
    <w:qFormat/>
    <w:pPr>
      <w:spacing w:line="500" w:lineRule="exact"/>
    </w:pPr>
  </w:style>
  <w:style w:type="paragraph" w:customStyle="1" w:styleId="21">
    <w:name w:val="正文 首行缩进:  2 字符"/>
    <w:basedOn w:val="Normal"/>
    <w:qFormat/>
    <w:pPr>
      <w:ind w:firstLine="579"/>
    </w:pPr>
    <w:rPr>
      <w:rFonts w:cs="宋体"/>
      <w:kern w:val="0"/>
      <w:szCs w:val="20"/>
    </w:rPr>
  </w:style>
  <w:style w:type="paragraph" w:customStyle="1" w:styleId="40">
    <w:name w:val="正文_4"/>
    <w:qFormat/>
    <w:pPr>
      <w:widowControl w:val="0"/>
      <w:jc w:val="both"/>
    </w:pPr>
    <w:rPr>
      <w:rFonts w:ascii="Calibri" w:eastAsia="宋体" w:hAnsi="Calibri" w:cs="Times New Roman"/>
      <w:kern w:val="2"/>
      <w:sz w:val="21"/>
      <w:lang w:val="en-US" w:eastAsia="zh-CN" w:bidi="ar-SA"/>
    </w:rPr>
  </w:style>
  <w:style w:type="paragraph" w:customStyle="1" w:styleId="a7">
    <w:name w:val="表格内容"/>
    <w:basedOn w:val="Normal"/>
    <w:qFormat/>
    <w:pPr>
      <w:overflowPunct w:val="0"/>
      <w:adjustRightInd w:val="0"/>
      <w:spacing w:line="360" w:lineRule="auto"/>
      <w:jc w:val="center"/>
      <w:textAlignment w:val="baseline"/>
    </w:pPr>
    <w:rPr>
      <w:kern w:val="0"/>
      <w:szCs w:val="20"/>
    </w:rPr>
  </w:style>
  <w:style w:type="paragraph" w:customStyle="1" w:styleId="a8">
    <w:name w:val="报告表 表内 一级"/>
    <w:basedOn w:val="Normal"/>
    <w:qFormat/>
    <w:pPr>
      <w:keepNext/>
      <w:spacing w:line="400" w:lineRule="exact"/>
    </w:pPr>
    <w:rPr>
      <w:rFonts w:eastAsia="仿宋_GB2312"/>
      <w:b/>
      <w:sz w:val="24"/>
    </w:rPr>
  </w:style>
  <w:style w:type="paragraph" w:customStyle="1" w:styleId="a9">
    <w:name w:val="文本"/>
    <w:qFormat/>
    <w:pPr>
      <w:spacing w:line="360" w:lineRule="auto"/>
      <w:ind w:firstLine="200" w:firstLineChars="200"/>
    </w:pPr>
    <w:rPr>
      <w:rFonts w:ascii="仿宋_GB2312" w:eastAsia="仿宋_GB2312" w:hAnsi="仿宋_GB2312" w:cs="Times New Roman"/>
      <w:kern w:val="2"/>
      <w:sz w:val="24"/>
      <w:lang w:val="en-US" w:eastAsia="zh-CN" w:bidi="ar-SA"/>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Char1CharCharChar">
    <w:name w:val="Char1 Char Char Char"/>
    <w:basedOn w:val="Normal"/>
    <w:qFormat/>
  </w:style>
  <w:style w:type="paragraph" w:customStyle="1" w:styleId="100">
    <w:name w:val="正文_10"/>
    <w:qFormat/>
    <w:pPr>
      <w:widowControl w:val="0"/>
      <w:jc w:val="both"/>
    </w:pPr>
    <w:rPr>
      <w:rFonts w:ascii="Times New Roman" w:eastAsia="宋体" w:hAnsi="Times New Roman" w:cs="Times New Roman"/>
      <w:kern w:val="2"/>
      <w:sz w:val="21"/>
      <w:szCs w:val="22"/>
      <w:lang w:val="en-US" w:eastAsia="zh-CN" w:bidi="ar-SA"/>
    </w:rPr>
  </w:style>
  <w:style w:type="paragraph" w:customStyle="1" w:styleId="0585">
    <w:name w:val="样式 列表 + 左侧:  0 厘米 悬挂缩进: 5.85 字符"/>
    <w:basedOn w:val="List"/>
    <w:qFormat/>
    <w:pPr>
      <w:autoSpaceDE w:val="0"/>
      <w:autoSpaceDN w:val="0"/>
      <w:adjustRightInd w:val="0"/>
      <w:snapToGrid w:val="0"/>
      <w:ind w:left="-2" w:hanging="17" w:leftChars="-8" w:hangingChars="8"/>
    </w:pPr>
    <w:rPr>
      <w:rFonts w:ascii="宋体" w:hAnsi="宋体" w:cs="宋体"/>
      <w:szCs w:val="21"/>
      <w:lang w:val="zh-CN"/>
    </w:rPr>
  </w:style>
  <w:style w:type="paragraph" w:customStyle="1" w:styleId="18">
    <w:name w:val="正文_18"/>
    <w:qFormat/>
    <w:pPr>
      <w:widowControl w:val="0"/>
      <w:jc w:val="both"/>
    </w:pPr>
    <w:rPr>
      <w:rFonts w:ascii="等线" w:eastAsia="等线" w:hAnsi="等线" w:cs="Times New Roman"/>
      <w:kern w:val="2"/>
      <w:sz w:val="21"/>
      <w:szCs w:val="22"/>
      <w:lang w:val="en-US" w:eastAsia="zh-CN" w:bidi="ar-SA"/>
    </w:rPr>
  </w:style>
  <w:style w:type="paragraph" w:customStyle="1" w:styleId="a10">
    <w:name w:val="单学凯段落格式"/>
    <w:basedOn w:val="Normal"/>
    <w:qFormat/>
    <w:pPr>
      <w:adjustRightInd w:val="0"/>
      <w:snapToGrid w:val="0"/>
      <w:spacing w:line="500" w:lineRule="exact"/>
      <w:ind w:firstLine="560" w:firstLineChars="200"/>
      <w:jc w:val="left"/>
    </w:pPr>
    <w:rPr>
      <w:rFonts w:eastAsia="仿宋_GB2312"/>
      <w:color w:val="000000"/>
      <w:kern w:val="0"/>
      <w:sz w:val="28"/>
      <w:szCs w:val="28"/>
    </w:rPr>
  </w:style>
  <w:style w:type="paragraph" w:customStyle="1" w:styleId="22">
    <w:name w:val="普通(网站)2"/>
    <w:basedOn w:val="Normal"/>
    <w:qFormat/>
    <w:pPr>
      <w:widowControl/>
      <w:spacing w:before="100" w:beforeAutospacing="1" w:after="100" w:afterAutospacing="1"/>
      <w:jc w:val="left"/>
    </w:pPr>
    <w:rPr>
      <w:rFonts w:ascii="宋体" w:hAnsi="宋体"/>
      <w:sz w:val="24"/>
      <w:szCs w:val="20"/>
    </w:rPr>
  </w:style>
  <w:style w:type="paragraph" w:customStyle="1" w:styleId="TableParagraph">
    <w:name w:val="Table Paragraph"/>
    <w:basedOn w:val="Normal"/>
    <w:qFormat/>
    <w:pPr>
      <w:widowControl/>
      <w:jc w:val="left"/>
    </w:pPr>
    <w:rPr>
      <w:rFonts w:ascii="Calibri" w:hAnsi="Calibri"/>
      <w:kern w:val="0"/>
      <w:sz w:val="22"/>
      <w:szCs w:val="22"/>
    </w:rPr>
  </w:style>
  <w:style w:type="paragraph" w:customStyle="1" w:styleId="p0">
    <w:name w:val="p0"/>
    <w:basedOn w:val="Normal"/>
    <w:qFormat/>
    <w:pPr>
      <w:widowControl/>
    </w:pPr>
    <w:rPr>
      <w:kern w:val="0"/>
    </w:rPr>
  </w:style>
  <w:style w:type="paragraph" w:customStyle="1" w:styleId="a11">
    <w:name w:val="表中文字"/>
    <w:basedOn w:val="a12"/>
    <w:qFormat/>
    <w:pPr>
      <w:spacing w:line="440" w:lineRule="exact"/>
    </w:pPr>
    <w:rPr>
      <w:rFonts w:ascii="Calibri" w:hAnsi="Calibri"/>
      <w:spacing w:val="8"/>
      <w:szCs w:val="28"/>
    </w:rPr>
  </w:style>
  <w:style w:type="paragraph" w:customStyle="1" w:styleId="a12">
    <w:name w:val="表格文字"/>
    <w:basedOn w:val="Normal"/>
    <w:next w:val="BodyText"/>
    <w:qFormat/>
    <w:pPr>
      <w:jc w:val="center"/>
    </w:pPr>
    <w:rPr>
      <w:rFonts w:ascii="楷体_GB2312" w:eastAsia="楷体_GB2312" w:hAnsi="Arial"/>
      <w:kern w:val="44"/>
      <w:szCs w:val="20"/>
    </w:rPr>
  </w:style>
  <w:style w:type="paragraph" w:customStyle="1" w:styleId="a13">
    <w:name w:val="环正文"/>
    <w:basedOn w:val="Normal"/>
    <w:qFormat/>
    <w:pPr>
      <w:tabs>
        <w:tab w:val="left" w:pos="5094"/>
      </w:tabs>
      <w:adjustRightInd w:val="0"/>
      <w:ind w:firstLine="482"/>
      <w:jc w:val="center"/>
      <w:textAlignment w:val="baseline"/>
    </w:pPr>
    <w:rPr>
      <w:rFonts w:eastAsia="仿宋_GB2312"/>
      <w:b/>
      <w:kern w:val="24"/>
    </w:rPr>
  </w:style>
  <w:style w:type="paragraph" w:customStyle="1" w:styleId="CharCharCharChar">
    <w:name w:val="Char Char Char Char"/>
    <w:basedOn w:val="Normal"/>
    <w:qFormat/>
  </w:style>
  <w:style w:type="paragraph" w:customStyle="1" w:styleId="CharCharCharChar1">
    <w:name w:val="Char Char Char Char1"/>
    <w:basedOn w:val="Normal"/>
    <w:qFormat/>
  </w:style>
  <w:style w:type="paragraph" w:customStyle="1" w:styleId="13">
    <w:name w:val="标题1"/>
    <w:basedOn w:val="Normal"/>
    <w:next w:val="Normal"/>
    <w:qFormat/>
    <w:pPr>
      <w:tabs>
        <w:tab w:val="left" w:pos="9193"/>
        <w:tab w:val="left" w:pos="9827"/>
      </w:tabs>
      <w:spacing w:line="700" w:lineRule="atLeast"/>
      <w:jc w:val="center"/>
    </w:pPr>
    <w:rPr>
      <w:rFonts w:eastAsia="方正小标宋_GBK"/>
      <w:sz w:val="44"/>
    </w:rPr>
  </w:style>
  <w:style w:type="table" w:customStyle="1" w:styleId="110">
    <w:name w:val="网格型11"/>
    <w:uiPriority w:val="59"/>
    <w:qFormat/>
    <w:rPr>
      <w:rFonts w:ascii="Calibri" w:hAnsi="Calibri"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14">
    <w:name w:val="表标题"/>
    <w:basedOn w:val="Normal"/>
    <w:next w:val="Normal"/>
    <w:qFormat/>
    <w:pPr>
      <w:adjustRightInd w:val="0"/>
      <w:snapToGrid w:val="0"/>
      <w:jc w:val="center"/>
    </w:pPr>
    <w:rPr>
      <w:rFonts w:ascii="仿宋" w:eastAsia="仿宋" w:hAnsi="仿宋"/>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footer" Target="footer32.xml" /><Relationship Id="rId38" Type="http://schemas.openxmlformats.org/officeDocument/2006/relationships/footer" Target="footer33.xml" /><Relationship Id="rId39" Type="http://schemas.openxmlformats.org/officeDocument/2006/relationships/footer" Target="footer34.xml" /><Relationship Id="rId4" Type="http://schemas.openxmlformats.org/officeDocument/2006/relationships/customXml" Target="../customXml/item1.xml" /><Relationship Id="rId40" Type="http://schemas.openxmlformats.org/officeDocument/2006/relationships/footer" Target="footer35.xml" /><Relationship Id="rId41" Type="http://schemas.openxmlformats.org/officeDocument/2006/relationships/footer" Target="footer36.xml" /><Relationship Id="rId42" Type="http://schemas.openxmlformats.org/officeDocument/2006/relationships/footer" Target="footer37.xml" /><Relationship Id="rId43" Type="http://schemas.openxmlformats.org/officeDocument/2006/relationships/footer" Target="footer38.xml" /><Relationship Id="rId44" Type="http://schemas.openxmlformats.org/officeDocument/2006/relationships/footer" Target="footer39.xml" /><Relationship Id="rId45" Type="http://schemas.openxmlformats.org/officeDocument/2006/relationships/footer" Target="footer40.xml" /><Relationship Id="rId46" Type="http://schemas.openxmlformats.org/officeDocument/2006/relationships/image" Target="media/image1.emf" /><Relationship Id="rId47" Type="http://schemas.openxmlformats.org/officeDocument/2006/relationships/oleObject" Target="embeddings/oleObject1.vsd" /><Relationship Id="rId48" Type="http://schemas.openxmlformats.org/officeDocument/2006/relationships/footer" Target="footer41.xml" /><Relationship Id="rId49" Type="http://schemas.openxmlformats.org/officeDocument/2006/relationships/footer" Target="footer42.xml" /><Relationship Id="rId5" Type="http://schemas.openxmlformats.org/officeDocument/2006/relationships/customXml" Target="../customXml/item2.xml" /><Relationship Id="rId50" Type="http://schemas.openxmlformats.org/officeDocument/2006/relationships/footer" Target="footer43.xml" /><Relationship Id="rId51" Type="http://schemas.openxmlformats.org/officeDocument/2006/relationships/footer" Target="footer44.xml" /><Relationship Id="rId52" Type="http://schemas.openxmlformats.org/officeDocument/2006/relationships/footer" Target="footer45.xml" /><Relationship Id="rId53" Type="http://schemas.openxmlformats.org/officeDocument/2006/relationships/footer" Target="footer46.xml" /><Relationship Id="rId54" Type="http://schemas.openxmlformats.org/officeDocument/2006/relationships/footer" Target="footer47.xml" /><Relationship Id="rId55" Type="http://schemas.openxmlformats.org/officeDocument/2006/relationships/footer" Target="footer48.xml" /><Relationship Id="rId56" Type="http://schemas.openxmlformats.org/officeDocument/2006/relationships/footer" Target="footer49.xml" /><Relationship Id="rId57" Type="http://schemas.openxmlformats.org/officeDocument/2006/relationships/footer" Target="footer50.xml" /><Relationship Id="rId58" Type="http://schemas.openxmlformats.org/officeDocument/2006/relationships/footer" Target="footer51.xml" /><Relationship Id="rId59" Type="http://schemas.openxmlformats.org/officeDocument/2006/relationships/footer" Target="footer52.xml" /><Relationship Id="rId6" Type="http://schemas.openxmlformats.org/officeDocument/2006/relationships/footer" Target="footer1.xml" /><Relationship Id="rId60" Type="http://schemas.openxmlformats.org/officeDocument/2006/relationships/footer" Target="footer53.xml" /><Relationship Id="rId61" Type="http://schemas.openxmlformats.org/officeDocument/2006/relationships/footer" Target="footer54.xml" /><Relationship Id="rId62" Type="http://schemas.openxmlformats.org/officeDocument/2006/relationships/footer" Target="footer55.xml" /><Relationship Id="rId63" Type="http://schemas.openxmlformats.org/officeDocument/2006/relationships/footer" Target="footer56.xml" /><Relationship Id="rId64" Type="http://schemas.openxmlformats.org/officeDocument/2006/relationships/footer" Target="footer57.xml" /><Relationship Id="rId65" Type="http://schemas.openxmlformats.org/officeDocument/2006/relationships/footer" Target="footer58.xml" /><Relationship Id="rId66" Type="http://schemas.openxmlformats.org/officeDocument/2006/relationships/footer" Target="footer59.xml" /><Relationship Id="rId67" Type="http://schemas.openxmlformats.org/officeDocument/2006/relationships/footer" Target="footer60.xml" /><Relationship Id="rId68" Type="http://schemas.openxmlformats.org/officeDocument/2006/relationships/footer" Target="footer61.xml" /><Relationship Id="rId69" Type="http://schemas.openxmlformats.org/officeDocument/2006/relationships/footer" Target="footer62.xml" /><Relationship Id="rId7" Type="http://schemas.openxmlformats.org/officeDocument/2006/relationships/footer" Target="footer2.xml" /><Relationship Id="rId70" Type="http://schemas.openxmlformats.org/officeDocument/2006/relationships/footer" Target="footer63.xml" /><Relationship Id="rId71" Type="http://schemas.openxmlformats.org/officeDocument/2006/relationships/footer" Target="footer64.xml" /><Relationship Id="rId72" Type="http://schemas.openxmlformats.org/officeDocument/2006/relationships/hyperlink" Target="https://d.book118.com/888002137026006047" TargetMode="External" /><Relationship Id="rId73" Type="http://schemas.openxmlformats.org/officeDocument/2006/relationships/footer" Target="footer65.xml" /><Relationship Id="rId74" Type="http://schemas.openxmlformats.org/officeDocument/2006/relationships/footer" Target="footer66.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012649-A8A2-40DF-B56E-5EAE7818B606}">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42298</Words>
  <Characters>47587</Characters>
  <Application>Microsoft Office Word</Application>
  <DocSecurity>0</DocSecurity>
  <Lines>456</Lines>
  <Paragraphs>128</Paragraphs>
  <ScaleCrop>false</ScaleCrop>
  <Company>微软中国</Company>
  <LinksUpToDate>false</LinksUpToDate>
  <CharactersWithSpaces>47855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26</cp:revision>
  <cp:lastPrinted>2021-10-20T09:17:00Z</cp:lastPrinted>
  <dcterms:created xsi:type="dcterms:W3CDTF">2021-06-30T02:47:00Z</dcterms:created>
  <dcterms:modified xsi:type="dcterms:W3CDTF">2024-03-14T03:27:55Z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9B1725EB73A643DDAB4153C933A75633_13</vt:lpwstr>
  </property>
  <property fmtid="{D5CDD505-2E9C-101B-9397-08002B2CF9AE}" pid="3" name="KSOProductBuildVer">
    <vt:lpwstr>2052-11.1.0.10463</vt:lpwstr>
  </property>
</Properties>
</file>