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氢化可的松项目融资计划书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一、氢化可的松项目建设背景及必要性分析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二、氢化可的松企业经营决策的方法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三、公司简介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四、建设用地征地拆迁及移民安置分析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(一)、氢化可的松项目选址及用地方案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(二)、氢化可的松项目工艺技术设计方案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1" w:history="1">
        <w:r>
          <w:rPr>
            <w:rFonts w:ascii="仿宋" w:eastAsia="仿宋" w:hAnsi="仿宋" w:cs="仿宋" w:hint="eastAsia"/>
            <w:lang w:eastAsia="zh-CN"/>
          </w:rPr>
          <w:t>八、项目验收与总结</w:t>
        </w:r>
        <w:r>
          <w:tab/>
        </w:r>
        <w:r>
          <w:fldChar w:fldCharType="begin"/>
        </w:r>
        <w:r>
          <w:instrText xml:space="preserve"> PAGEREF _Toc5181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九、选址方案评估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(一)、氢化可的松项目选址原则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(二)、氢化可的松项目选址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十、氢化可的松项目选址方案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(一)、氢化可的松项目选址原则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(五)、氢化可的松项目选址综合评价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十二、氢化可的松整合营销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十三、氢化可的松项目经营效益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eastAsia="zh-CN"/>
          </w:rPr>
          <w:t>(二)、氢化可的松项目盈利能力分析</w:t>
        </w:r>
        <w:r>
          <w:tab/>
        </w:r>
        <w:r>
          <w:fldChar w:fldCharType="begin"/>
        </w:r>
        <w:r>
          <w:instrText xml:space="preserve"> PAGEREF _Toc10621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十四、营销策略与品牌推广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十五、生产调度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十六、总结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十七、品牌建设与市场定位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9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_Toc7279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二十一、合作与交流机制建立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81"/>
      <w:r>
        <w:rPr>
          <w:rFonts w:ascii="仿宋" w:eastAsia="仿宋" w:hAnsi="仿宋" w:cs="仿宋" w:hint="eastAsia"/>
          <w:sz w:val="28"/>
          <w:lang w:eastAsia="zh-CN"/>
        </w:rPr>
        <w:t>一、氢化可的松项目建设背景及必要性分析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99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https://d.book118.com/888034112031006041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9805C1"/>
    <w:rsid w:val="339805C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3411203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2024-02-20T19:23:00Z</dcterms:created>
  <dcterms:modified xsi:type="dcterms:W3CDTF">2024-02-20T19:23:13Z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EF79BBD36EDB495EA5048DC708880446_11</vt:lpwstr>
  </property>
  <property fmtid="{D5CDD505-2E9C-101B-9397-08002B2CF9AE}" pid="3" name="KSOProductBuildVer">
    <vt:lpwstr>2052-12.1.0.16250</vt:lpwstr>
  </property>
</Properties>
</file>