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2024年骨科器械行业分析报告及未来五到十年行业发展趋势报告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23997" w:history="1">
        <w:r>
          <w:rPr>
            <w:rFonts w:eastAsia="微软雅黑" w:hint="eastAsia"/>
            <w:snapToGrid/>
            <w:lang w:val="en-US" w:eastAsia="en-US"/>
          </w:rPr>
          <w:t>一、关于未来5-10年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行业发展机遇与挑战的建议</w:t>
        </w:r>
        <w:r>
          <w:tab/>
        </w:r>
        <w:r>
          <w:fldChar w:fldCharType="begin"/>
        </w:r>
        <w:r>
          <w:instrText xml:space="preserve"> PAGEREF _Toc23997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834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行业发展趋势展望</w:t>
        </w:r>
        <w:r>
          <w:tab/>
        </w:r>
        <w:r>
          <w:fldChar w:fldCharType="begin"/>
        </w:r>
        <w:r>
          <w:instrText xml:space="preserve"> PAGEREF _Toc28834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939" w:history="1">
        <w:r>
          <w:rPr>
            <w:rFonts w:eastAsia="微软雅黑" w:hint="eastAsia"/>
            <w:snapToGrid/>
            <w:lang w:val="en-US" w:eastAsia="zh-CN"/>
          </w:rPr>
          <w:t>(二)、2024-2029年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行业宏观政策指导的机遇</w:t>
        </w:r>
        <w:r>
          <w:tab/>
        </w:r>
        <w:r>
          <w:fldChar w:fldCharType="begin"/>
        </w:r>
        <w:r>
          <w:instrText xml:space="preserve"> PAGEREF _Toc5939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849" w:history="1">
        <w:r>
          <w:rPr>
            <w:rFonts w:eastAsia="微软雅黑" w:hint="eastAsia"/>
            <w:snapToGrid/>
            <w:lang w:val="en-US" w:eastAsia="zh-CN"/>
          </w:rPr>
          <w:t>(三)、2024-2029年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产业结构调整的机遇</w:t>
        </w:r>
        <w:r>
          <w:tab/>
        </w:r>
        <w:r>
          <w:fldChar w:fldCharType="begin"/>
        </w:r>
        <w:r>
          <w:instrText xml:space="preserve"> PAGEREF _Toc20849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160" w:history="1">
        <w:r>
          <w:rPr>
            <w:rFonts w:eastAsia="微软雅黑" w:hint="eastAsia"/>
            <w:snapToGrid/>
            <w:lang w:val="en-US" w:eastAsia="zh-CN"/>
          </w:rPr>
          <w:t>(四)、2024-2029年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行业面临的挑战与对策</w:t>
        </w:r>
        <w:r>
          <w:tab/>
        </w:r>
        <w:r>
          <w:fldChar w:fldCharType="begin"/>
        </w:r>
        <w:r>
          <w:instrText xml:space="preserve"> PAGEREF _Toc30160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4490" w:history="1">
        <w:r>
          <w:rPr>
            <w:rFonts w:eastAsia="微软雅黑" w:hint="eastAsia"/>
            <w:snapToGrid/>
            <w:lang w:val="en-US" w:eastAsia="en-US"/>
          </w:rPr>
          <w:t>二、宏观经济对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行业的影响</w:t>
        </w:r>
        <w:r>
          <w:tab/>
        </w:r>
        <w:r>
          <w:fldChar w:fldCharType="begin"/>
        </w:r>
        <w:r>
          <w:instrText xml:space="preserve"> PAGEREF _Toc14490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464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行业线性决策机制分析</w:t>
        </w:r>
        <w:r>
          <w:tab/>
        </w:r>
        <w:r>
          <w:fldChar w:fldCharType="begin"/>
        </w:r>
        <w:r>
          <w:instrText xml:space="preserve"> PAGEREF _Toc9464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400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行业竞争与行业壁垒分析</w:t>
        </w:r>
        <w:r>
          <w:tab/>
        </w:r>
        <w:r>
          <w:fldChar w:fldCharType="begin"/>
        </w:r>
        <w:r>
          <w:instrText xml:space="preserve"> PAGEREF _Toc13400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862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行业库存管理波动分析</w:t>
        </w:r>
        <w:r>
          <w:tab/>
        </w:r>
        <w:r>
          <w:fldChar w:fldCharType="begin"/>
        </w:r>
        <w:r>
          <w:instrText xml:space="preserve"> PAGEREF _Toc28862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070" w:history="1">
        <w:r>
          <w:rPr>
            <w:rFonts w:eastAsia="微软雅黑" w:hint="eastAsia"/>
            <w:snapToGrid/>
            <w:lang w:val="en-US" w:eastAsia="en-US"/>
          </w:rPr>
          <w:t>三、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行业“专业化能力”对盈利模式的影响分析</w:t>
        </w:r>
        <w:r>
          <w:tab/>
        </w:r>
        <w:r>
          <w:fldChar w:fldCharType="begin"/>
        </w:r>
        <w:r>
          <w:instrText xml:space="preserve"> PAGEREF _Toc1070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988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行业企业盈利模式运作的关键</w:t>
        </w:r>
        <w:r>
          <w:tab/>
        </w:r>
        <w:r>
          <w:fldChar w:fldCharType="begin"/>
        </w:r>
        <w:r>
          <w:instrText xml:space="preserve"> PAGEREF _Toc5988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096" w:history="1">
        <w:r>
          <w:rPr>
            <w:rFonts w:eastAsia="微软雅黑" w:hint="eastAsia"/>
            <w:snapToGrid/>
            <w:lang w:val="en-US" w:eastAsia="zh-CN"/>
          </w:rPr>
          <w:t>(二)、怎样培养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行业的业务能力</w:t>
        </w:r>
        <w:r>
          <w:tab/>
        </w:r>
        <w:r>
          <w:fldChar w:fldCharType="begin"/>
        </w:r>
        <w:r>
          <w:instrText xml:space="preserve"> PAGEREF _Toc16096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055" w:history="1">
        <w:r>
          <w:rPr>
            <w:rFonts w:eastAsia="微软雅黑" w:hint="eastAsia"/>
            <w:snapToGrid/>
            <w:lang w:val="en-US" w:eastAsia="en-US"/>
          </w:rPr>
          <w:t>四、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行业数据预测与分析</w:t>
        </w:r>
        <w:r>
          <w:tab/>
        </w:r>
        <w:r>
          <w:fldChar w:fldCharType="begin"/>
        </w:r>
        <w:r>
          <w:instrText xml:space="preserve"> PAGEREF _Toc2055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61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行业时间序列预测与分析</w:t>
        </w:r>
        <w:r>
          <w:tab/>
        </w:r>
        <w:r>
          <w:fldChar w:fldCharType="begin"/>
        </w:r>
        <w:r>
          <w:instrText xml:space="preserve"> PAGEREF _Toc1261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2664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行业时间曲线预测模型分析</w:t>
        </w:r>
        <w:r>
          <w:tab/>
        </w:r>
        <w:r>
          <w:fldChar w:fldCharType="begin"/>
        </w:r>
        <w:r>
          <w:instrText xml:space="preserve"> PAGEREF _Toc32664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23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行业差分方程预测模型分析</w:t>
        </w:r>
        <w:r>
          <w:tab/>
        </w:r>
        <w:r>
          <w:fldChar w:fldCharType="begin"/>
        </w:r>
        <w:r>
          <w:instrText xml:space="preserve"> PAGEREF _Toc3123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001" w:history="1">
        <w:r>
          <w:rPr>
            <w:rFonts w:eastAsia="微软雅黑" w:hint="eastAsia"/>
            <w:snapToGrid/>
            <w:lang w:val="en-US" w:eastAsia="zh-CN"/>
          </w:rPr>
          <w:t>(四)、未来5-10年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行业预测结论</w:t>
        </w:r>
        <w:r>
          <w:tab/>
        </w:r>
        <w:r>
          <w:fldChar w:fldCharType="begin"/>
        </w:r>
        <w:r>
          <w:instrText xml:space="preserve"> PAGEREF _Toc16001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30054" w:history="1">
        <w:r>
          <w:rPr>
            <w:rFonts w:eastAsia="微软雅黑" w:hint="eastAsia"/>
            <w:snapToGrid/>
            <w:lang w:val="en-US" w:eastAsia="en-US"/>
          </w:rPr>
          <w:t>五、2024-2029年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行业企业市场突破具体策略</w:t>
        </w:r>
        <w:r>
          <w:tab/>
        </w:r>
        <w:r>
          <w:fldChar w:fldCharType="begin"/>
        </w:r>
        <w:r>
          <w:instrText xml:space="preserve"> PAGEREF _Toc30054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398" w:history="1">
        <w:r>
          <w:rPr>
            <w:rFonts w:eastAsia="微软雅黑" w:hint="eastAsia"/>
            <w:snapToGrid/>
            <w:lang w:val="en-US" w:eastAsia="en-US"/>
          </w:rPr>
          <w:t>(一)、密切关注竞争对手的策略，提高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行业产品在行业内的竞争力</w:t>
        </w:r>
        <w:r>
          <w:tab/>
        </w:r>
        <w:r>
          <w:fldChar w:fldCharType="begin"/>
        </w:r>
        <w:r>
          <w:instrText xml:space="preserve"> PAGEREF _Toc9398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827" w:history="1">
        <w:r>
          <w:rPr>
            <w:rFonts w:eastAsia="微软雅黑" w:hint="eastAsia"/>
            <w:snapToGrid/>
            <w:lang w:val="en-US" w:eastAsia="zh-CN"/>
          </w:rPr>
          <w:t>(二)、使用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行业市场渗透策略，不断开发新客户</w:t>
        </w:r>
        <w:r>
          <w:tab/>
        </w:r>
        <w:r>
          <w:fldChar w:fldCharType="begin"/>
        </w:r>
        <w:r>
          <w:instrText xml:space="preserve"> PAGEREF _Toc8827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027" w:history="1">
        <w:r>
          <w:rPr>
            <w:rFonts w:eastAsia="微软雅黑" w:hint="eastAsia"/>
            <w:snapToGrid/>
            <w:lang w:val="en-US" w:eastAsia="zh-CN"/>
          </w:rPr>
          <w:t>(三)、实施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行业市场发展战略，不断开拓各类市场创新源</w:t>
        </w:r>
        <w:r>
          <w:tab/>
        </w:r>
        <w:r>
          <w:fldChar w:fldCharType="begin"/>
        </w:r>
        <w:r>
          <w:instrText xml:space="preserve"> PAGEREF _Toc12027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677" w:history="1">
        <w:r>
          <w:rPr>
            <w:rFonts w:eastAsia="微软雅黑" w:hint="eastAsia"/>
            <w:snapToGrid/>
            <w:lang w:val="en-US" w:eastAsia="zh-CN"/>
          </w:rPr>
          <w:t>(四)、不断提高产品质量，建立覆盖完善的服务体系</w:t>
        </w:r>
        <w:r>
          <w:tab/>
        </w:r>
        <w:r>
          <w:fldChar w:fldCharType="begin"/>
        </w:r>
        <w:r>
          <w:instrText xml:space="preserve"> PAGEREF _Toc15677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532" w:history="1">
        <w:r>
          <w:rPr>
            <w:rFonts w:eastAsia="微软雅黑" w:hint="eastAsia"/>
            <w:snapToGrid/>
            <w:lang w:val="en-US" w:eastAsia="zh-CN"/>
          </w:rPr>
          <w:t>(五)、实施线上线下融合，深化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行业国内外市场拓展</w:t>
        </w:r>
        <w:r>
          <w:tab/>
        </w:r>
        <w:r>
          <w:fldChar w:fldCharType="begin"/>
        </w:r>
        <w:r>
          <w:instrText xml:space="preserve"> PAGEREF _Toc26532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427" w:history="1">
        <w:r>
          <w:rPr>
            <w:rFonts w:eastAsia="微软雅黑" w:hint="eastAsia"/>
            <w:snapToGrid/>
            <w:lang w:val="en-US" w:eastAsia="zh-CN"/>
          </w:rPr>
          <w:t>(六)、在市场开发中结合渗透和其他策略</w:t>
        </w:r>
        <w:r>
          <w:tab/>
        </w:r>
        <w:r>
          <w:fldChar w:fldCharType="begin"/>
        </w:r>
        <w:r>
          <w:instrText xml:space="preserve"> PAGEREF _Toc22427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1809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行业财务状况分析</w:t>
        </w:r>
        <w:r>
          <w:tab/>
        </w:r>
        <w:r>
          <w:fldChar w:fldCharType="begin"/>
        </w:r>
        <w:r>
          <w:instrText xml:space="preserve"> PAGEREF _Toc11809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038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行业近三年财务数据及指标分析</w:t>
        </w:r>
        <w:r>
          <w:tab/>
        </w:r>
        <w:r>
          <w:fldChar w:fldCharType="begin"/>
        </w:r>
        <w:r>
          <w:instrText xml:space="preserve"> PAGEREF _Toc7038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133" w:history="1">
        <w:r>
          <w:rPr>
            <w:rFonts w:eastAsia="微软雅黑" w:hint="eastAsia"/>
            <w:snapToGrid/>
            <w:lang w:val="en-US" w:eastAsia="zh-CN"/>
          </w:rPr>
          <w:t>(二)、现金流对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_Toc5133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8190" w:history="1">
        <w:r>
          <w:rPr>
            <w:rFonts w:eastAsia="微软雅黑" w:hint="eastAsia"/>
            <w:snapToGrid/>
            <w:lang w:val="en-US" w:eastAsia="en-US"/>
          </w:rPr>
          <w:t>七、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行业风险控制解析</w:t>
        </w:r>
        <w:r>
          <w:tab/>
        </w:r>
        <w:r>
          <w:fldChar w:fldCharType="begin"/>
        </w:r>
        <w:r>
          <w:instrText xml:space="preserve"> PAGEREF _Toc28190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312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行业系统风险分析</w:t>
        </w:r>
        <w:r>
          <w:tab/>
        </w:r>
        <w:r>
          <w:fldChar w:fldCharType="begin"/>
        </w:r>
        <w:r>
          <w:instrText xml:space="preserve"> PAGEREF _Toc17312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248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行业第二产业的经营风险</w:t>
        </w:r>
        <w:r>
          <w:tab/>
        </w:r>
        <w:r>
          <w:fldChar w:fldCharType="begin"/>
        </w:r>
        <w:r>
          <w:instrText xml:space="preserve"> PAGEREF _Toc19248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7065" w:history="1">
        <w:r>
          <w:rPr>
            <w:rFonts w:eastAsia="微软雅黑" w:hint="eastAsia"/>
            <w:snapToGrid/>
            <w:lang w:val="en-US" w:eastAsia="en-US"/>
          </w:rPr>
          <w:t>八、2024-2029年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行业市场运行趋势及存在问题分析</w:t>
        </w:r>
        <w:r>
          <w:tab/>
        </w:r>
        <w:r>
          <w:fldChar w:fldCharType="begin"/>
        </w:r>
        <w:r>
          <w:instrText xml:space="preserve"> PAGEREF _Toc17065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2364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行业市场运行动态分析</w:t>
        </w:r>
        <w:r>
          <w:tab/>
        </w:r>
        <w:r>
          <w:fldChar w:fldCharType="begin"/>
        </w:r>
        <w:r>
          <w:instrText xml:space="preserve"> PAGEREF _Toc32364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010" w:history="1">
        <w:r>
          <w:rPr>
            <w:rFonts w:eastAsia="微软雅黑" w:hint="eastAsia"/>
            <w:snapToGrid/>
            <w:lang w:val="en-US" w:eastAsia="zh-CN"/>
          </w:rPr>
          <w:t>(二)、现阶段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_Toc16010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062" w:history="1">
        <w:r>
          <w:rPr>
            <w:rFonts w:eastAsia="微软雅黑" w:hint="eastAsia"/>
            <w:snapToGrid/>
            <w:lang w:val="en-US" w:eastAsia="zh-CN"/>
          </w:rPr>
          <w:t>(三)、现阶段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_Toc22062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12479" w:history="1">
        <w:r>
          <w:rPr>
            <w:rFonts w:eastAsia="微软雅黑" w:hint="eastAsia"/>
            <w:snapToGrid/>
            <w:lang w:val="en-US" w:eastAsia="zh-CN"/>
          </w:rPr>
          <w:t>(四)、规范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行业的发展</w:t>
        </w:r>
        <w:r>
          <w:tab/>
        </w:r>
        <w:r>
          <w:fldChar w:fldCharType="begin"/>
        </w:r>
        <w:r>
          <w:instrText xml:space="preserve"> PAGEREF _Toc12479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68" w:history="1">
        <w:r>
          <w:rPr>
            <w:rFonts w:eastAsia="微软雅黑" w:hint="eastAsia"/>
            <w:snapToGrid/>
            <w:lang w:val="en-US" w:eastAsia="en-US"/>
          </w:rPr>
          <w:t>九、关于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行业发展战略规划的建议</w:t>
        </w:r>
        <w:r>
          <w:tab/>
        </w:r>
        <w:r>
          <w:fldChar w:fldCharType="begin"/>
        </w:r>
        <w:r>
          <w:instrText xml:space="preserve"> PAGEREF _Toc68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875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行业战略规划简介</w:t>
        </w:r>
        <w:r>
          <w:tab/>
        </w:r>
        <w:r>
          <w:fldChar w:fldCharType="begin"/>
        </w:r>
        <w:r>
          <w:instrText xml:space="preserve"> PAGEREF _Toc26875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610" w:history="1">
        <w:r>
          <w:rPr>
            <w:rFonts w:eastAsia="微软雅黑" w:hint="eastAsia"/>
            <w:snapToGrid/>
            <w:lang w:val="en-US" w:eastAsia="zh-CN"/>
          </w:rPr>
          <w:t>1、行业的社会化</w:t>
        </w:r>
        <w:r>
          <w:tab/>
        </w:r>
        <w:r>
          <w:fldChar w:fldCharType="begin"/>
        </w:r>
        <w:r>
          <w:instrText xml:space="preserve"> PAGEREF _Toc2610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2520" w:history="1">
        <w:r>
          <w:rPr>
            <w:rFonts w:eastAsia="微软雅黑" w:hint="eastAsia"/>
            <w:snapToGrid/>
            <w:lang w:val="en-US" w:eastAsia="zh-CN"/>
          </w:rPr>
          <w:t>2、行业的规模化</w:t>
        </w:r>
        <w:r>
          <w:tab/>
        </w:r>
        <w:r>
          <w:fldChar w:fldCharType="begin"/>
        </w:r>
        <w:r>
          <w:instrText xml:space="preserve"> PAGEREF _Toc12520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50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行业的市场应用方向</w:t>
        </w:r>
        <w:r>
          <w:tab/>
        </w:r>
        <w:r>
          <w:fldChar w:fldCharType="begin"/>
        </w:r>
        <w:r>
          <w:instrText xml:space="preserve"> PAGEREF _Toc2150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933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行业的发展重点</w:t>
        </w:r>
        <w:r>
          <w:tab/>
        </w:r>
        <w:r>
          <w:fldChar w:fldCharType="begin"/>
        </w:r>
        <w:r>
          <w:instrText xml:space="preserve"> PAGEREF _Toc7933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7459" w:history="1">
        <w:r>
          <w:rPr>
            <w:rFonts w:eastAsia="微软雅黑" w:hint="eastAsia"/>
            <w:snapToGrid/>
            <w:lang w:val="en-US" w:eastAsia="en-US"/>
          </w:rPr>
          <w:t>十、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行业企业战略选择</w:t>
        </w:r>
        <w:r>
          <w:tab/>
        </w:r>
        <w:r>
          <w:fldChar w:fldCharType="begin"/>
        </w:r>
        <w:r>
          <w:instrText xml:space="preserve"> PAGEREF _Toc17459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421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行业SWOT分析</w:t>
        </w:r>
        <w:r>
          <w:tab/>
        </w:r>
        <w:r>
          <w:fldChar w:fldCharType="begin"/>
        </w:r>
        <w:r>
          <w:instrText xml:space="preserve"> PAGEREF _Toc6421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728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行业企业战略确定</w:t>
        </w:r>
        <w:r>
          <w:tab/>
        </w:r>
        <w:r>
          <w:fldChar w:fldCharType="begin"/>
        </w:r>
        <w:r>
          <w:instrText xml:space="preserve"> PAGEREF _Toc3728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625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行业PEST分析</w:t>
        </w:r>
        <w:r>
          <w:tab/>
        </w:r>
        <w:r>
          <w:fldChar w:fldCharType="begin"/>
        </w:r>
        <w:r>
          <w:instrText xml:space="preserve"> PAGEREF _Toc19625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521" w:history="1">
        <w:r>
          <w:rPr>
            <w:rFonts w:eastAsia="微软雅黑" w:hint="eastAsia"/>
            <w:snapToGrid/>
            <w:lang w:val="en-US" w:eastAsia="zh-CN"/>
          </w:rPr>
          <w:t>1、政策因素</w:t>
        </w:r>
        <w:r>
          <w:tab/>
        </w:r>
        <w:r>
          <w:fldChar w:fldCharType="begin"/>
        </w:r>
        <w:r>
          <w:instrText xml:space="preserve"> PAGEREF _Toc1521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0947" w:history="1">
        <w:r>
          <w:rPr>
            <w:rFonts w:eastAsia="微软雅黑" w:hint="eastAsia"/>
            <w:snapToGrid/>
            <w:lang w:val="en-US" w:eastAsia="zh-CN"/>
          </w:rPr>
          <w:t>2、经济因素</w:t>
        </w:r>
        <w:r>
          <w:tab/>
        </w:r>
        <w:r>
          <w:fldChar w:fldCharType="begin"/>
        </w:r>
        <w:r>
          <w:instrText xml:space="preserve"> PAGEREF _Toc20947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0396" w:history="1">
        <w:r>
          <w:rPr>
            <w:rFonts w:eastAsia="微软雅黑" w:hint="eastAsia"/>
            <w:snapToGrid/>
            <w:lang w:val="en-US" w:eastAsia="zh-CN"/>
          </w:rPr>
          <w:t>3、社会因素</w:t>
        </w:r>
        <w:r>
          <w:tab/>
        </w:r>
        <w:r>
          <w:fldChar w:fldCharType="begin"/>
        </w:r>
        <w:r>
          <w:instrText xml:space="preserve"> PAGEREF _Toc20396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6031" w:history="1">
        <w:r>
          <w:rPr>
            <w:rFonts w:eastAsia="微软雅黑" w:hint="eastAsia"/>
            <w:snapToGrid/>
            <w:lang w:val="en-US" w:eastAsia="zh-CN"/>
          </w:rPr>
          <w:t>4、技术因素</w:t>
        </w:r>
        <w:r>
          <w:tab/>
        </w:r>
        <w:r>
          <w:fldChar w:fldCharType="begin"/>
        </w:r>
        <w:r>
          <w:instrText xml:space="preserve"> PAGEREF _Toc6031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510" w:history="1">
        <w:r>
          <w:rPr>
            <w:rFonts w:eastAsia="微软雅黑" w:hint="eastAsia"/>
            <w:snapToGrid/>
            <w:lang w:val="en-US" w:eastAsia="en-US"/>
          </w:rPr>
          <w:t>十一、2024-2029年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行业竞争格局展望</w:t>
        </w:r>
        <w:r>
          <w:tab/>
        </w:r>
        <w:r>
          <w:fldChar w:fldCharType="begin"/>
        </w:r>
        <w:r>
          <w:instrText xml:space="preserve"> PAGEREF _Toc2510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342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行业经济周期分析</w:t>
        </w:r>
        <w:r>
          <w:tab/>
        </w:r>
        <w:r>
          <w:fldChar w:fldCharType="begin"/>
        </w:r>
        <w:r>
          <w:instrText xml:space="preserve"> PAGEREF _Toc27342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264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行业的增长与波动分析</w:t>
        </w:r>
        <w:r>
          <w:tab/>
        </w:r>
        <w:r>
          <w:fldChar w:fldCharType="begin"/>
        </w:r>
        <w:r>
          <w:instrText xml:space="preserve"> PAGEREF _Toc8264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168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行业市场成熟度分析</w:t>
        </w:r>
        <w:r>
          <w:tab/>
        </w:r>
        <w:r>
          <w:fldChar w:fldCharType="begin"/>
        </w:r>
        <w:r>
          <w:instrText xml:space="preserve"> PAGEREF _Toc14168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8655" w:history="1">
        <w:r>
          <w:rPr>
            <w:rFonts w:eastAsia="微软雅黑" w:hint="eastAsia"/>
            <w:snapToGrid/>
            <w:lang w:val="en-US" w:eastAsia="en-US"/>
          </w:rPr>
          <w:t>十二、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行业多元化趋势</w:t>
        </w:r>
        <w:r>
          <w:tab/>
        </w:r>
        <w:r>
          <w:fldChar w:fldCharType="begin"/>
        </w:r>
        <w:r>
          <w:instrText xml:space="preserve"> PAGEREF _Toc18655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676" w:history="1">
        <w:r>
          <w:rPr>
            <w:rFonts w:eastAsia="微软雅黑" w:hint="eastAsia"/>
            <w:snapToGrid/>
            <w:lang w:val="en-US" w:eastAsia="en-US"/>
          </w:rPr>
          <w:t>(一)、宏观机制升级</w:t>
        </w:r>
        <w:r>
          <w:tab/>
        </w:r>
        <w:r>
          <w:fldChar w:fldCharType="begin"/>
        </w:r>
        <w:r>
          <w:instrText xml:space="preserve"> PAGEREF _Toc22676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222" w:history="1">
        <w:r>
          <w:rPr>
            <w:rFonts w:eastAsia="微软雅黑" w:hint="eastAsia"/>
            <w:snapToGrid/>
            <w:lang w:val="en-US" w:eastAsia="zh-CN"/>
          </w:rPr>
          <w:t>(二)、服务模式多元化</w:t>
        </w:r>
        <w:r>
          <w:tab/>
        </w:r>
        <w:r>
          <w:fldChar w:fldCharType="begin"/>
        </w:r>
        <w:r>
          <w:instrText xml:space="preserve"> PAGEREF _Toc17222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810" w:history="1">
        <w:r>
          <w:rPr>
            <w:rFonts w:eastAsia="微软雅黑" w:hint="eastAsia"/>
            <w:snapToGrid/>
            <w:lang w:val="en-US" w:eastAsia="zh-CN"/>
          </w:rPr>
          <w:t>(三)、新的价格战将不可避免</w:t>
        </w:r>
        <w:r>
          <w:tab/>
        </w:r>
        <w:r>
          <w:fldChar w:fldCharType="begin"/>
        </w:r>
        <w:r>
          <w:instrText xml:space="preserve"> PAGEREF _Toc16810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051" w:history="1">
        <w:r>
          <w:rPr>
            <w:rFonts w:eastAsia="微软雅黑" w:hint="eastAsia"/>
            <w:snapToGrid/>
            <w:lang w:val="en-US" w:eastAsia="zh-CN"/>
          </w:rPr>
          <w:t>(四)、社会化特征增强</w:t>
        </w:r>
        <w:r>
          <w:tab/>
        </w:r>
        <w:r>
          <w:fldChar w:fldCharType="begin"/>
        </w:r>
        <w:r>
          <w:instrText xml:space="preserve"> PAGEREF _Toc10051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284" w:history="1">
        <w:r>
          <w:rPr>
            <w:rFonts w:eastAsia="微软雅黑" w:hint="eastAsia"/>
            <w:snapToGrid/>
            <w:lang w:val="en-US" w:eastAsia="zh-CN"/>
          </w:rPr>
          <w:t>(五)、信息化实施力度加大</w:t>
        </w:r>
        <w:r>
          <w:tab/>
        </w:r>
        <w:r>
          <w:fldChar w:fldCharType="begin"/>
        </w:r>
        <w:r>
          <w:instrText xml:space="preserve"> PAGEREF _Toc16284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357" w:history="1">
        <w:r>
          <w:rPr>
            <w:rFonts w:eastAsia="微软雅黑" w:hint="eastAsia"/>
            <w:snapToGrid/>
            <w:lang w:val="en-US" w:eastAsia="zh-CN"/>
          </w:rPr>
          <w:t>(六)、生态化建设进一步开放</w:t>
        </w:r>
        <w:r>
          <w:tab/>
        </w:r>
        <w:r>
          <w:fldChar w:fldCharType="begin"/>
        </w:r>
        <w:r>
          <w:instrText xml:space="preserve"> PAGEREF _Toc6357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980" w:history="1">
        <w:r>
          <w:rPr>
            <w:rFonts w:eastAsia="微软雅黑" w:hint="eastAsia"/>
            <w:snapToGrid/>
            <w:lang w:val="en-US" w:eastAsia="zh-CN"/>
          </w:rPr>
          <w:t>(七)、呈现集群化分布</w:t>
        </w:r>
        <w:r>
          <w:tab/>
        </w:r>
        <w:r>
          <w:fldChar w:fldCharType="begin"/>
        </w:r>
        <w:r>
          <w:instrText xml:space="preserve"> PAGEREF </w:instrText>
        </w:r>
        <w:r>
          <w:instrText xml:space="preserve">_Toc27980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027" w:history="1">
        <w:r>
          <w:rPr>
            <w:rFonts w:eastAsia="微软雅黑" w:hint="eastAsia"/>
            <w:snapToGrid/>
            <w:lang w:val="en-US" w:eastAsia="zh-CN"/>
          </w:rPr>
          <w:t>(八)、各信息化厂商推动</w:t>
        </w:r>
        <w:r>
          <w:rPr>
            <w:rFonts w:eastAsia="微软雅黑" w:hint="eastAsia"/>
            <w:snapToGrid/>
            <w:lang w:val="en-US" w:eastAsia="zh-CN"/>
          </w:rPr>
          <w:t>骨科器械</w:t>
        </w:r>
        <w:r>
          <w:rPr>
            <w:rFonts w:eastAsia="微软雅黑" w:hint="eastAsia"/>
            <w:snapToGrid/>
            <w:lang w:val="en-US" w:eastAsia="zh-CN"/>
          </w:rPr>
          <w:t>行业发展</w:t>
        </w:r>
        <w:r>
          <w:tab/>
        </w:r>
        <w:r>
          <w:fldChar w:fldCharType="begin"/>
        </w:r>
        <w:r>
          <w:instrText xml:space="preserve"> PAGEREF _Toc15027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807" w:history="1">
        <w:r>
          <w:rPr>
            <w:rFonts w:eastAsia="微软雅黑" w:hint="eastAsia"/>
            <w:snapToGrid/>
            <w:lang w:val="en-US" w:eastAsia="zh-CN"/>
          </w:rPr>
          <w:t>(九)、政府采购政策加码</w:t>
        </w:r>
        <w:r>
          <w:tab/>
        </w:r>
        <w:r>
          <w:fldChar w:fldCharType="begin"/>
        </w:r>
        <w:r>
          <w:instrText xml:space="preserve"> PAGEREF _Toc28807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752" w:history="1">
        <w:r>
          <w:rPr>
            <w:rFonts w:eastAsia="微软雅黑" w:hint="eastAsia"/>
            <w:snapToGrid/>
            <w:lang w:val="en-US" w:eastAsia="zh-CN"/>
          </w:rPr>
          <w:t>(十)、个性化定制受宠</w:t>
        </w:r>
        <w:r>
          <w:tab/>
        </w:r>
        <w:r>
          <w:fldChar w:fldCharType="begin"/>
        </w:r>
        <w:r>
          <w:instrText xml:space="preserve"> PAGEREF _Toc14752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235" w:history="1">
        <w:r>
          <w:rPr>
            <w:rFonts w:eastAsia="微软雅黑" w:hint="eastAsia"/>
            <w:snapToGrid/>
            <w:lang w:val="en-US" w:eastAsia="zh-CN"/>
          </w:rPr>
          <w:t>(十一)、品牌不断强化</w:t>
        </w:r>
        <w:r>
          <w:tab/>
        </w:r>
        <w:r>
          <w:fldChar w:fldCharType="begin"/>
        </w:r>
        <w:r>
          <w:instrText xml:space="preserve"> PAGEREF _Toc4235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411" w:history="1">
        <w:r>
          <w:rPr>
            <w:rFonts w:eastAsia="微软雅黑" w:hint="eastAsia"/>
            <w:snapToGrid/>
            <w:lang w:val="en-US" w:eastAsia="zh-CN"/>
          </w:rPr>
          <w:t>(十二)、互联网已经成为标配“风生水起“</w:t>
        </w:r>
        <w:r>
          <w:tab/>
        </w:r>
        <w:r>
          <w:fldChar w:fldCharType="begin"/>
        </w:r>
        <w:r>
          <w:instrText xml:space="preserve"> PAGEREF _Toc24411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141" w:history="1">
        <w:r>
          <w:rPr>
            <w:rFonts w:eastAsia="微软雅黑" w:hint="eastAsia"/>
            <w:snapToGrid/>
            <w:lang w:val="en-US" w:eastAsia="zh-CN"/>
          </w:rPr>
          <w:t>(十三)、一体式服务为发展趋势</w:t>
        </w:r>
        <w:r>
          <w:tab/>
        </w:r>
        <w:r>
          <w:fldChar w:fldCharType="begin"/>
        </w:r>
        <w:r>
          <w:instrText xml:space="preserve"> PAGEREF _Toc31141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061" w:history="1">
        <w:r>
          <w:rPr>
            <w:rFonts w:eastAsia="微软雅黑" w:hint="eastAsia"/>
            <w:snapToGrid/>
            <w:lang w:val="en-US" w:eastAsia="zh-CN"/>
          </w:rPr>
          <w:t>(十四)、政策手段的奖惩力度加大</w:t>
        </w:r>
        <w:r>
          <w:tab/>
        </w:r>
        <w:r>
          <w:fldChar w:fldCharType="begin"/>
        </w:r>
        <w:r>
          <w:instrText xml:space="preserve"> PAGEREF _Toc21061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4284" w:history="1">
        <w:r>
          <w:rPr>
            <w:rFonts w:eastAsia="微软雅黑" w:hint="eastAsia"/>
            <w:snapToGrid/>
            <w:lang w:val="en-US" w:eastAsia="en-US"/>
          </w:rPr>
          <w:t>十三、</w:t>
        </w:r>
        <w:r>
          <w:rPr>
            <w:rFonts w:eastAsia="微软雅黑" w:hint="eastAsia"/>
            <w:snapToGrid/>
            <w:lang w:val="en-US" w:eastAsia="en-US"/>
          </w:rPr>
          <w:t>骨科器械</w:t>
        </w:r>
        <w:r>
          <w:rPr>
            <w:rFonts w:eastAsia="微软雅黑" w:hint="eastAsia"/>
            <w:snapToGrid/>
            <w:lang w:val="en-US" w:eastAsia="en-US"/>
          </w:rPr>
          <w:t>行业企业战略目标</w:t>
        </w:r>
        <w:r>
          <w:tab/>
        </w:r>
        <w:r>
          <w:fldChar w:fldCharType="begin"/>
        </w:r>
        <w:r>
          <w:instrText xml:space="preserve"> PAGEREF _Toc24284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Normal0"/>
        <w:spacing w:after="260" w:line="360" w:lineRule="auto"/>
        <w:jc w:val="center"/>
        <w:rPr>
          <w:rFonts w:ascii="微软雅黑" w:eastAsia="微软雅黑" w:hAnsi="微软雅黑" w:cs="微软雅黑"/>
          <w:b w:val="0"/>
        </w:rPr>
      </w:pPr>
      <w:r>
        <w:fldChar w:fldCharType="end"/>
      </w:r>
      <w:r>
        <w:rPr>
          <w:rFonts w:ascii="微软雅黑" w:eastAsia="微软雅黑" w:hAnsi="微软雅黑" w:cs="微软雅黑"/>
          <w:b w:val="0"/>
        </w:rPr>
        <w:br/>
      </w:r>
      <w:r>
        <w:rPr>
          <w:rFonts w:ascii="微软雅黑" w:eastAsia="微软雅黑" w:hAnsi="微软雅黑" w:cs="微软雅黑"/>
          <w:b w:val="0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https://d.book118.com/888044062065006023</w:t>
        </w:r>
      </w:hyperlink>
    </w:p>
    <w:p>
      <w:pPr>
        <w:pStyle w:val="Normal0"/>
        <w:spacing w:after="260" w:line="360" w:lineRule="auto"/>
        <w:jc w:val="center"/>
        <w:rPr>
          <w:rFonts w:ascii="微软雅黑" w:eastAsia="微软雅黑" w:hAnsi="微软雅黑" w:cs="微软雅黑"/>
          <w:b w:val="0"/>
        </w:rPr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paragraph" w:styleId="Heading3">
    <w:name w:val="heading 3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等线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OC3">
    <w:name w:val="toc 3"/>
    <w:basedOn w:val="Normal"/>
    <w:next w:val="Normal0"/>
    <w:pPr>
      <w:ind w:left="840" w:leftChars="4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8804406206500602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