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数控冲床项目风险可行性方案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7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_Toc29977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8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_Toc25178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_Toc11081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8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_Toc10138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2" w:history="1">
        <w:r>
          <w:rPr>
            <w:rFonts w:ascii="仿宋" w:eastAsia="仿宋" w:hAnsi="仿宋" w:cs="仿宋" w:hint="eastAsia"/>
            <w:lang w:eastAsia="zh-CN"/>
          </w:rPr>
          <w:t>二、数控冲床项目建设背景</w:t>
        </w:r>
        <w:r>
          <w:tab/>
        </w:r>
        <w:r>
          <w:fldChar w:fldCharType="begin"/>
        </w:r>
        <w:r>
          <w:instrText xml:space="preserve"> PAGEREF _Toc18632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5" w:history="1">
        <w:r>
          <w:rPr>
            <w:rFonts w:ascii="仿宋" w:eastAsia="仿宋" w:hAnsi="仿宋" w:cs="仿宋" w:hint="eastAsia"/>
            <w:lang w:eastAsia="zh-CN"/>
          </w:rPr>
          <w:t>(一)、数控冲床项目提出背景</w:t>
        </w:r>
        <w:r>
          <w:tab/>
        </w:r>
        <w:r>
          <w:fldChar w:fldCharType="begin"/>
        </w:r>
        <w:r>
          <w:instrText xml:space="preserve"> PAGEREF _Toc19265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eastAsia="zh-CN"/>
          </w:rPr>
          <w:t>(二)、数控冲床项目建设的必要性</w:t>
        </w:r>
        <w:r>
          <w:tab/>
        </w:r>
        <w:r>
          <w:fldChar w:fldCharType="begin"/>
        </w:r>
        <w:r>
          <w:instrText xml:space="preserve"> PAGEREF _Toc30001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7" w:history="1">
        <w:r>
          <w:rPr>
            <w:rFonts w:ascii="仿宋" w:eastAsia="仿宋" w:hAnsi="仿宋" w:cs="仿宋" w:hint="eastAsia"/>
            <w:lang w:eastAsia="zh-CN"/>
          </w:rPr>
          <w:t>(三)、数控冲床项目建设的可行性</w:t>
        </w:r>
        <w:r>
          <w:tab/>
        </w:r>
        <w:r>
          <w:fldChar w:fldCharType="begin"/>
        </w:r>
        <w:r>
          <w:instrText xml:space="preserve"> PAGEREF _Toc27327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2" w:history="1">
        <w:r>
          <w:rPr>
            <w:rFonts w:ascii="仿宋" w:eastAsia="仿宋" w:hAnsi="仿宋" w:cs="仿宋" w:hint="eastAsia"/>
            <w:lang w:eastAsia="zh-CN"/>
          </w:rPr>
          <w:t>三、数控冲床项目建设目标</w:t>
        </w:r>
        <w:r>
          <w:tab/>
        </w:r>
        <w:r>
          <w:fldChar w:fldCharType="begin"/>
        </w:r>
        <w:r>
          <w:instrText xml:space="preserve"> PAGEREF _Toc22952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6" w:history="1">
        <w:r>
          <w:rPr>
            <w:rFonts w:ascii="仿宋" w:eastAsia="仿宋" w:hAnsi="仿宋" w:cs="仿宋" w:hint="eastAsia"/>
            <w:lang w:eastAsia="zh-CN"/>
          </w:rPr>
          <w:t>(一)、数控冲床项目建设目标</w:t>
        </w:r>
        <w:r>
          <w:tab/>
        </w:r>
        <w:r>
          <w:fldChar w:fldCharType="begin"/>
        </w:r>
        <w:r>
          <w:instrText xml:space="preserve"> PAGEREF _Toc24866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34" w:history="1">
        <w:r>
          <w:rPr>
            <w:rFonts w:ascii="仿宋" w:eastAsia="仿宋" w:hAnsi="仿宋" w:cs="仿宋" w:hint="eastAsia"/>
            <w:lang w:eastAsia="zh-CN"/>
          </w:rPr>
          <w:t>四、数控冲床项目建设内容</w:t>
        </w:r>
        <w:r>
          <w:tab/>
        </w:r>
        <w:r>
          <w:fldChar w:fldCharType="begin"/>
        </w:r>
        <w:r>
          <w:instrText xml:space="preserve"> PAGEREF _Toc17734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_Toc910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_Toc14667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_Toc29771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3" w:history="1">
        <w:r>
          <w:rPr>
            <w:rFonts w:ascii="仿宋" w:eastAsia="仿宋" w:hAnsi="仿宋" w:cs="仿宋" w:hint="eastAsia"/>
            <w:lang w:eastAsia="zh-CN"/>
          </w:rPr>
          <w:t>五、数控冲床项目建设符合性</w:t>
        </w:r>
        <w:r>
          <w:tab/>
        </w:r>
        <w:r>
          <w:fldChar w:fldCharType="begin"/>
        </w:r>
        <w:r>
          <w:instrText xml:space="preserve"> PAGEREF _Toc19473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_Toc21380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(二)、数控冲床项目选址与用地规划相容性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六、数控冲床项目承办单位基本情况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_Toc19574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_Toc10334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_Toc9772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3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_Toc15463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_Toc15922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6" w:history="1">
        <w:r>
          <w:rPr>
            <w:rFonts w:ascii="仿宋" w:eastAsia="仿宋" w:hAnsi="仿宋" w:cs="仿宋" w:hint="eastAsia"/>
            <w:lang w:eastAsia="zh-CN"/>
          </w:rPr>
          <w:t>(二)、数控冲床项目拟采用的环境保护标准</w:t>
        </w:r>
        <w:r>
          <w:tab/>
        </w:r>
        <w:r>
          <w:fldChar w:fldCharType="begin"/>
        </w:r>
        <w:r>
          <w:instrText xml:space="preserve"> PAGEREF _Toc20746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9" w:history="1">
        <w:r>
          <w:rPr>
            <w:rFonts w:ascii="仿宋" w:eastAsia="仿宋" w:hAnsi="仿宋" w:cs="仿宋" w:hint="eastAsia"/>
            <w:lang w:eastAsia="zh-CN"/>
          </w:rPr>
          <w:t>(三)、数控冲床项目对环境的影响及治理对策</w:t>
        </w:r>
        <w:r>
          <w:tab/>
        </w:r>
        <w:r>
          <w:fldChar w:fldCharType="begin"/>
        </w:r>
        <w:r>
          <w:instrText xml:space="preserve"> PAGEREF _Toc24269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_Toc30274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_Toc20763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_Toc26127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_Toc18662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1" w:history="1">
        <w:r>
          <w:rPr>
            <w:rFonts w:ascii="仿宋" w:eastAsia="仿宋" w:hAnsi="仿宋" w:cs="仿宋" w:hint="eastAsia"/>
            <w:lang w:eastAsia="zh-CN"/>
          </w:rPr>
          <w:t>八、数控冲床项目组织管理与招投标</w:t>
        </w:r>
        <w:r>
          <w:tab/>
        </w:r>
        <w:r>
          <w:fldChar w:fldCharType="begin"/>
        </w:r>
        <w:r>
          <w:instrText xml:space="preserve"> PAGEREF _Toc17591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" w:history="1">
        <w:r>
          <w:rPr>
            <w:rFonts w:ascii="仿宋" w:eastAsia="仿宋" w:hAnsi="仿宋" w:cs="仿宋" w:hint="eastAsia"/>
            <w:lang w:eastAsia="zh-CN"/>
          </w:rPr>
          <w:t>(一)、数控冲床项目筹建时期的组织与管理</w:t>
        </w:r>
        <w:r>
          <w:tab/>
        </w:r>
        <w:r>
          <w:fldChar w:fldCharType="begin"/>
        </w:r>
        <w:r>
          <w:instrText xml:space="preserve"> PAGEREF _Toc2038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(二)、数控冲床项目运行时期的组织与管理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3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_Toc26693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_Toc28017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7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_Toc22147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_Toc4471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_Toc7756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23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_Toc7723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3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_Toc19753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0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_Toc3920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_Toc30202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_Toc18105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_Toc24090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_Toc28811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_Toc3882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_Toc21091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9" w:history="1">
        <w:r>
          <w:rPr>
            <w:rFonts w:ascii="仿宋" w:eastAsia="仿宋" w:hAnsi="仿宋" w:cs="仿宋" w:hint="eastAsia"/>
            <w:lang w:eastAsia="zh-CN"/>
          </w:rPr>
          <w:t>十一、市场趋势与竞争分析</w:t>
        </w:r>
        <w:r>
          <w:tab/>
        </w:r>
        <w:r>
          <w:fldChar w:fldCharType="begin"/>
        </w:r>
        <w:r>
          <w:instrText xml:space="preserve"> PAGEREF _Toc3709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6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_Toc18886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_Toc7549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0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_Toc3540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7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_Toc17867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8" w:history="1">
        <w:r>
          <w:rPr>
            <w:rFonts w:ascii="仿宋" w:eastAsia="仿宋" w:hAnsi="仿宋" w:cs="仿宋" w:hint="eastAsia"/>
            <w:lang w:eastAsia="zh-CN"/>
          </w:rPr>
          <w:t>十二、供应链管理与物流优化</w:t>
        </w:r>
        <w:r>
          <w:tab/>
        </w:r>
        <w:r>
          <w:fldChar w:fldCharType="begin"/>
        </w:r>
        <w:r>
          <w:instrText xml:space="preserve"> PAGEREF _Toc24738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3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_Toc28373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6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_Toc29506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4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_Toc14174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0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_Toc7060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7" w:history="1">
        <w:r>
          <w:rPr>
            <w:rFonts w:ascii="仿宋" w:eastAsia="仿宋" w:hAnsi="仿宋" w:cs="仿宋" w:hint="eastAsia"/>
            <w:lang w:eastAsia="zh-CN"/>
          </w:rPr>
          <w:t>十三、危机管理与应急预案</w:t>
        </w:r>
        <w:r>
          <w:tab/>
        </w:r>
        <w:r>
          <w:fldChar w:fldCharType="begin"/>
        </w:r>
        <w:r>
          <w:instrText xml:space="preserve"> PAGEREF _Toc12097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1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_Toc32131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8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_Toc22608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_Toc4831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7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_Toc28477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977"/>
      <w:r>
        <w:rPr>
          <w:rFonts w:ascii="仿宋" w:eastAsia="仿宋" w:hAnsi="仿宋" w:cs="仿宋" w:hint="eastAsia"/>
          <w:sz w:val="28"/>
          <w:lang w:eastAsia="zh-CN"/>
        </w:rPr>
        <w:t>一、投资估算与资金筹措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178"/>
      <w:r>
        <w:rPr>
          <w:rFonts w:ascii="仿宋" w:eastAsia="仿宋" w:hAnsi="仿宋" w:cs="仿宋" w:hint="eastAsia"/>
          <w:lang w:eastAsia="zh-CN"/>
        </w:rPr>
        <w:t>(一)、投资估算依据及范围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数控冲床项目投资估算的依据是基于全面考虑多方面的因素，以确保对数控冲床项目各方面费用的准确评估。依据主要包括以下几个方面：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国内设备生产厂家的近期报价： 通过对国内设备生产厂家的最新报价进行调查和比较，获取设备的市场价格。这有助于确定设备购置费用的合理估算。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建筑安装定额资料： 参考国家建筑安装定额资料，对建筑工程和安装工程的费用进行合理估算。这包括各项施工工艺所需的人工、材料和机械设备的费用。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数控冲床项目建设总体规划资料：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https://d.book118.com/888044112105006032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数控冲床项目风险可行性方案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数控冲床项目风险可行性方案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数控冲床项目风险可行性方案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数控冲床项目风险可行性方案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112A9E"/>
    <w:rsid w:val="4B112A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8044112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2024-01-26T08:09:00Z</dcterms:created>
  <dcterms:modified xsi:type="dcterms:W3CDTF">2024-01-26T08:09:50Z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99DEC72E5E4C40099F30508712BE4187_11</vt:lpwstr>
  </property>
  <property fmtid="{D5CDD505-2E9C-101B-9397-08002B2CF9AE}" pid="3" name="KSOProductBuildVer">
    <vt:lpwstr>2052-12.1.0.16250</vt:lpwstr>
  </property>
</Properties>
</file>