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熨斗专题展望报告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8577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_Toc8577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8" w:history="1">
        <w:r>
          <w:rPr>
            <w:rFonts w:ascii="仿宋" w:eastAsia="仿宋" w:hAnsi="仿宋" w:cs="仿宋" w:hint="eastAsia"/>
            <w:lang w:eastAsia="zh-CN"/>
          </w:rPr>
          <w:t>一、熨斗选址方案分析</w:t>
        </w:r>
        <w:r>
          <w:tab/>
        </w:r>
        <w:r>
          <w:fldChar w:fldCharType="begin"/>
        </w:r>
        <w:r>
          <w:instrText xml:space="preserve"> PAGEREF _Toc2328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10" w:history="1">
        <w:r>
          <w:rPr>
            <w:rFonts w:ascii="仿宋" w:eastAsia="仿宋" w:hAnsi="仿宋" w:cs="仿宋" w:hint="eastAsia"/>
            <w:lang w:eastAsia="zh-CN"/>
          </w:rPr>
          <w:t>(一)、熨斗选址影响因素</w:t>
        </w:r>
        <w:r>
          <w:tab/>
        </w:r>
        <w:r>
          <w:fldChar w:fldCharType="begin"/>
        </w:r>
        <w:r>
          <w:instrText xml:space="preserve"> PAGEREF _Toc22910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8" w:history="1">
        <w:r>
          <w:rPr>
            <w:rFonts w:ascii="仿宋" w:eastAsia="仿宋" w:hAnsi="仿宋" w:cs="仿宋" w:hint="eastAsia"/>
            <w:lang w:eastAsia="zh-CN"/>
          </w:rPr>
          <w:t>(二)、熨斗选址原则</w:t>
        </w:r>
        <w:r>
          <w:tab/>
        </w:r>
        <w:r>
          <w:fldChar w:fldCharType="begin"/>
        </w:r>
        <w:r>
          <w:instrText xml:space="preserve"> PAGEREF _Toc698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05" w:history="1">
        <w:r>
          <w:rPr>
            <w:rFonts w:ascii="仿宋" w:eastAsia="仿宋" w:hAnsi="仿宋" w:cs="仿宋" w:hint="eastAsia"/>
            <w:lang w:eastAsia="zh-CN"/>
          </w:rPr>
          <w:t>(三)、消费习惯对熨斗选址的影响</w:t>
        </w:r>
        <w:r>
          <w:tab/>
        </w:r>
        <w:r>
          <w:fldChar w:fldCharType="begin"/>
        </w:r>
        <w:r>
          <w:instrText xml:space="preserve"> PAGEREF _Toc26605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84" w:history="1">
        <w:r>
          <w:rPr>
            <w:rFonts w:ascii="仿宋" w:eastAsia="仿宋" w:hAnsi="仿宋" w:cs="仿宋" w:hint="eastAsia"/>
            <w:lang w:eastAsia="zh-CN"/>
          </w:rPr>
          <w:t>(四)、消费能力对熨斗选址的影响</w:t>
        </w:r>
        <w:r>
          <w:tab/>
        </w:r>
        <w:r>
          <w:fldChar w:fldCharType="begin"/>
        </w:r>
        <w:r>
          <w:instrText xml:space="preserve"> PAGEREF _Toc17684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03" w:history="1">
        <w:r>
          <w:rPr>
            <w:rFonts w:ascii="仿宋" w:eastAsia="仿宋" w:hAnsi="仿宋" w:cs="仿宋" w:hint="eastAsia"/>
            <w:lang w:eastAsia="zh-CN"/>
          </w:rPr>
          <w:t>(五)、经营成本对熨斗选址的影响</w:t>
        </w:r>
        <w:r>
          <w:tab/>
        </w:r>
        <w:r>
          <w:fldChar w:fldCharType="begin"/>
        </w:r>
        <w:r>
          <w:instrText xml:space="preserve"> PAGEREF _Toc14603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60" w:history="1">
        <w:r>
          <w:rPr>
            <w:rFonts w:ascii="仿宋" w:eastAsia="仿宋" w:hAnsi="仿宋" w:cs="仿宋" w:hint="eastAsia"/>
            <w:lang w:eastAsia="zh-CN"/>
          </w:rPr>
          <w:t>(六)、交通条件对熨斗选址的影响</w:t>
        </w:r>
        <w:r>
          <w:tab/>
        </w:r>
        <w:r>
          <w:fldChar w:fldCharType="begin"/>
        </w:r>
        <w:r>
          <w:instrText xml:space="preserve"> PAGEREF _Toc26060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3" w:history="1">
        <w:r>
          <w:rPr>
            <w:rFonts w:ascii="仿宋" w:eastAsia="仿宋" w:hAnsi="仿宋" w:cs="仿宋" w:hint="eastAsia"/>
            <w:lang w:eastAsia="zh-CN"/>
          </w:rPr>
          <w:t>二、熨斗投资管理策略</w:t>
        </w:r>
        <w:r>
          <w:tab/>
        </w:r>
        <w:r>
          <w:fldChar w:fldCharType="begin"/>
        </w:r>
        <w:r>
          <w:instrText xml:space="preserve"> PAGEREF _Toc1223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90" w:history="1">
        <w:r>
          <w:rPr>
            <w:rFonts w:ascii="仿宋" w:eastAsia="仿宋" w:hAnsi="仿宋" w:cs="仿宋" w:hint="eastAsia"/>
            <w:lang w:eastAsia="zh-CN"/>
          </w:rPr>
          <w:t>(一)、熨斗投资估算主要内容</w:t>
        </w:r>
        <w:r>
          <w:tab/>
        </w:r>
        <w:r>
          <w:fldChar w:fldCharType="begin"/>
        </w:r>
        <w:r>
          <w:instrText xml:space="preserve"> PAGEREF _Toc14990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98" w:history="1">
        <w:r>
          <w:rPr>
            <w:rFonts w:ascii="仿宋" w:eastAsia="仿宋" w:hAnsi="仿宋" w:cs="仿宋" w:hint="eastAsia"/>
            <w:lang w:eastAsia="zh-CN"/>
          </w:rPr>
          <w:t>(二)、熨斗设备购置投资费用管理</w:t>
        </w:r>
        <w:r>
          <w:tab/>
        </w:r>
        <w:r>
          <w:fldChar w:fldCharType="begin"/>
        </w:r>
        <w:r>
          <w:instrText xml:space="preserve"> PAGEREF _Toc6598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99" w:history="1">
        <w:r>
          <w:rPr>
            <w:rFonts w:ascii="仿宋" w:eastAsia="仿宋" w:hAnsi="仿宋" w:cs="仿宋" w:hint="eastAsia"/>
            <w:lang w:eastAsia="zh-CN"/>
          </w:rPr>
          <w:t>(三)、熨斗装修施工投资费用管理</w:t>
        </w:r>
        <w:r>
          <w:tab/>
        </w:r>
        <w:r>
          <w:fldChar w:fldCharType="begin"/>
        </w:r>
        <w:r>
          <w:instrText xml:space="preserve"> PAGEREF _Toc4199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17" w:history="1">
        <w:r>
          <w:rPr>
            <w:rFonts w:ascii="仿宋" w:eastAsia="仿宋" w:hAnsi="仿宋" w:cs="仿宋" w:hint="eastAsia"/>
            <w:lang w:eastAsia="zh-CN"/>
          </w:rPr>
          <w:t>(四)、熨斗流动资金管理</w:t>
        </w:r>
        <w:r>
          <w:tab/>
        </w:r>
        <w:r>
          <w:fldChar w:fldCharType="begin"/>
        </w:r>
        <w:r>
          <w:instrText xml:space="preserve"> PAGEREF _Toc28117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276" w:history="1">
        <w:r>
          <w:rPr>
            <w:rFonts w:ascii="仿宋" w:eastAsia="仿宋" w:hAnsi="仿宋" w:cs="仿宋" w:hint="eastAsia"/>
            <w:lang w:eastAsia="zh-CN"/>
          </w:rPr>
          <w:t>三、熨斗人力资源管理策略</w:t>
        </w:r>
        <w:r>
          <w:tab/>
        </w:r>
        <w:r>
          <w:fldChar w:fldCharType="begin"/>
        </w:r>
        <w:r>
          <w:instrText xml:space="preserve"> PAGEREF _Toc22276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7" w:history="1">
        <w:r>
          <w:rPr>
            <w:rFonts w:ascii="仿宋" w:eastAsia="仿宋" w:hAnsi="仿宋" w:cs="仿宋" w:hint="eastAsia"/>
            <w:lang w:eastAsia="zh-CN"/>
          </w:rPr>
          <w:t>(一)、熨斗劳动关系管理</w:t>
        </w:r>
        <w:r>
          <w:tab/>
        </w:r>
        <w:r>
          <w:fldChar w:fldCharType="begin"/>
        </w:r>
        <w:r>
          <w:instrText xml:space="preserve"> PAGEREF _Toc1727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96" w:history="1">
        <w:r>
          <w:rPr>
            <w:rFonts w:ascii="仿宋" w:eastAsia="仿宋" w:hAnsi="仿宋" w:cs="仿宋" w:hint="eastAsia"/>
            <w:lang w:eastAsia="zh-CN"/>
          </w:rPr>
          <w:t>(二)、熨斗人力资源管理原则</w:t>
        </w:r>
        <w:r>
          <w:tab/>
        </w:r>
        <w:r>
          <w:fldChar w:fldCharType="begin"/>
        </w:r>
        <w:r>
          <w:instrText xml:space="preserve"> PAGEREF _Toc9896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37" w:history="1">
        <w:r>
          <w:rPr>
            <w:rFonts w:ascii="仿宋" w:eastAsia="仿宋" w:hAnsi="仿宋" w:cs="仿宋" w:hint="eastAsia"/>
            <w:lang w:eastAsia="zh-CN"/>
          </w:rPr>
          <w:t>(三)、熨斗人员配置方案</w:t>
        </w:r>
        <w:r>
          <w:tab/>
        </w:r>
        <w:r>
          <w:fldChar w:fldCharType="begin"/>
        </w:r>
        <w:r>
          <w:instrText xml:space="preserve"> PAGEREF _Toc9937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38" w:history="1">
        <w:r>
          <w:rPr>
            <w:rFonts w:ascii="仿宋" w:eastAsia="仿宋" w:hAnsi="仿宋" w:cs="仿宋" w:hint="eastAsia"/>
            <w:lang w:eastAsia="zh-CN"/>
          </w:rPr>
          <w:t>(四)、熨斗员工招聘方案</w:t>
        </w:r>
        <w:r>
          <w:tab/>
        </w:r>
        <w:r>
          <w:fldChar w:fldCharType="begin"/>
        </w:r>
        <w:r>
          <w:instrText xml:space="preserve"> PAGEREF _Toc32538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54" w:history="1">
        <w:r>
          <w:rPr>
            <w:rFonts w:ascii="仿宋" w:eastAsia="仿宋" w:hAnsi="仿宋" w:cs="仿宋" w:hint="eastAsia"/>
            <w:lang w:eastAsia="zh-CN"/>
          </w:rPr>
          <w:t>(五)、熨斗绩效和薪酬管理方案</w:t>
        </w:r>
        <w:r>
          <w:tab/>
        </w:r>
        <w:r>
          <w:fldChar w:fldCharType="begin"/>
        </w:r>
        <w:r>
          <w:instrText xml:space="preserve"> PAGEREF _Toc17054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99" w:history="1">
        <w:r>
          <w:rPr>
            <w:rFonts w:ascii="仿宋" w:eastAsia="仿宋" w:hAnsi="仿宋" w:cs="仿宋" w:hint="eastAsia"/>
            <w:lang w:eastAsia="zh-CN"/>
          </w:rPr>
          <w:t>(六)、熨斗员工福利管理方案</w:t>
        </w:r>
        <w:r>
          <w:tab/>
        </w:r>
        <w:r>
          <w:fldChar w:fldCharType="begin"/>
        </w:r>
        <w:r>
          <w:instrText xml:space="preserve"> PAGEREF _Toc20199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33" w:history="1">
        <w:r>
          <w:rPr>
            <w:rFonts w:ascii="仿宋" w:eastAsia="仿宋" w:hAnsi="仿宋" w:cs="仿宋" w:hint="eastAsia"/>
            <w:lang w:eastAsia="zh-CN"/>
          </w:rPr>
          <w:t>四、熨斗市场营销分析</w:t>
        </w:r>
        <w:r>
          <w:tab/>
        </w:r>
        <w:r>
          <w:fldChar w:fldCharType="begin"/>
        </w:r>
        <w:r>
          <w:instrText xml:space="preserve"> PAGEREF _Toc12733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82" w:history="1">
        <w:r>
          <w:rPr>
            <w:rFonts w:ascii="仿宋" w:eastAsia="仿宋" w:hAnsi="仿宋" w:cs="仿宋" w:hint="eastAsia"/>
            <w:lang w:eastAsia="zh-CN"/>
          </w:rPr>
          <w:t>(一)、熨斗市场营销总体思路</w:t>
        </w:r>
        <w:r>
          <w:tab/>
        </w:r>
        <w:r>
          <w:fldChar w:fldCharType="begin"/>
        </w:r>
        <w:r>
          <w:instrText xml:space="preserve"> PAGEREF _Toc3482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89" w:history="1">
        <w:r>
          <w:rPr>
            <w:rFonts w:ascii="仿宋" w:eastAsia="仿宋" w:hAnsi="仿宋" w:cs="仿宋" w:hint="eastAsia"/>
            <w:lang w:eastAsia="zh-CN"/>
          </w:rPr>
          <w:t>(二)、熨斗组织市场分析</w:t>
        </w:r>
        <w:r>
          <w:tab/>
        </w:r>
        <w:r>
          <w:fldChar w:fldCharType="begin"/>
        </w:r>
        <w:r>
          <w:instrText xml:space="preserve"> PAGEREF _Toc23189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56" w:history="1">
        <w:r>
          <w:rPr>
            <w:rFonts w:ascii="仿宋" w:eastAsia="仿宋" w:hAnsi="仿宋" w:cs="仿宋" w:hint="eastAsia"/>
            <w:lang w:eastAsia="zh-CN"/>
          </w:rPr>
          <w:t>(三)、熨斗目标市场营销战略</w:t>
        </w:r>
        <w:r>
          <w:tab/>
        </w:r>
        <w:r>
          <w:fldChar w:fldCharType="begin"/>
        </w:r>
        <w:r>
          <w:instrText xml:space="preserve"> PAGEREF _Toc18656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03" w:history="1">
        <w:r>
          <w:rPr>
            <w:rFonts w:ascii="仿宋" w:eastAsia="仿宋" w:hAnsi="仿宋" w:cs="仿宋" w:hint="eastAsia"/>
            <w:lang w:eastAsia="zh-CN"/>
          </w:rPr>
          <w:t>(四)、熨斗定价策略</w:t>
        </w:r>
        <w:r>
          <w:tab/>
        </w:r>
        <w:r>
          <w:fldChar w:fldCharType="begin"/>
        </w:r>
        <w:r>
          <w:instrText xml:space="preserve"> PAGEREF _Toc22903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37" w:history="1">
        <w:r>
          <w:rPr>
            <w:rFonts w:ascii="仿宋" w:eastAsia="仿宋" w:hAnsi="仿宋" w:cs="仿宋" w:hint="eastAsia"/>
            <w:lang w:eastAsia="zh-CN"/>
          </w:rPr>
          <w:t>(五)、熨斗促销策略</w:t>
        </w:r>
        <w:r>
          <w:tab/>
        </w:r>
        <w:r>
          <w:fldChar w:fldCharType="begin"/>
        </w:r>
        <w:r>
          <w:instrText xml:space="preserve"> PAGEREF _Toc17337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03" w:history="1">
        <w:r>
          <w:rPr>
            <w:rFonts w:ascii="仿宋" w:eastAsia="仿宋" w:hAnsi="仿宋" w:cs="仿宋" w:hint="eastAsia"/>
            <w:lang w:eastAsia="zh-CN"/>
          </w:rPr>
          <w:t>(六)、熨斗品牌策略</w:t>
        </w:r>
        <w:r>
          <w:tab/>
        </w:r>
        <w:r>
          <w:fldChar w:fldCharType="begin"/>
        </w:r>
        <w:r>
          <w:instrText xml:space="preserve"> PAGEREF _Toc26003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" w:history="1">
        <w:r>
          <w:rPr>
            <w:rFonts w:ascii="仿宋" w:eastAsia="仿宋" w:hAnsi="仿宋" w:cs="仿宋" w:hint="eastAsia"/>
            <w:lang w:eastAsia="zh-CN"/>
          </w:rPr>
          <w:t>(七)、熨斗关系营销</w:t>
        </w:r>
        <w:r>
          <w:tab/>
        </w:r>
        <w:r>
          <w:fldChar w:fldCharType="begin"/>
        </w:r>
        <w:r>
          <w:instrText xml:space="preserve"> PAGEREF _Toc21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1" w:history="1">
        <w:r>
          <w:rPr>
            <w:rFonts w:ascii="仿宋" w:eastAsia="仿宋" w:hAnsi="仿宋" w:cs="仿宋" w:hint="eastAsia"/>
            <w:lang w:eastAsia="zh-CN"/>
          </w:rPr>
          <w:t>(八)、熨斗体验营销</w:t>
        </w:r>
        <w:r>
          <w:tab/>
        </w:r>
        <w:r>
          <w:fldChar w:fldCharType="begin"/>
        </w:r>
        <w:r>
          <w:instrText xml:space="preserve"> PAGEREF _Toc2701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40" w:history="1">
        <w:r>
          <w:rPr>
            <w:rFonts w:ascii="仿宋" w:eastAsia="仿宋" w:hAnsi="仿宋" w:cs="仿宋" w:hint="eastAsia"/>
            <w:lang w:eastAsia="zh-CN"/>
          </w:rPr>
          <w:t>(九)、熨斗互联网营销</w:t>
        </w:r>
        <w:r>
          <w:tab/>
        </w:r>
        <w:r>
          <w:fldChar w:fldCharType="begin"/>
        </w:r>
        <w:r>
          <w:instrText xml:space="preserve"> PAGEREF _Toc3740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39" w:history="1">
        <w:r>
          <w:rPr>
            <w:rFonts w:ascii="仿宋" w:eastAsia="仿宋" w:hAnsi="仿宋" w:cs="仿宋" w:hint="eastAsia"/>
            <w:lang w:eastAsia="zh-CN"/>
          </w:rPr>
          <w:t>五、项目实施与进度安排</w:t>
        </w:r>
        <w:r>
          <w:tab/>
        </w:r>
        <w:r>
          <w:fldChar w:fldCharType="begin"/>
        </w:r>
        <w:r>
          <w:instrText xml:space="preserve"> PAGEREF _Toc17339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34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_Toc7534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8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_Toc11858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46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_Toc17946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04" w:history="1">
        <w:r>
          <w:rPr>
            <w:rFonts w:ascii="仿宋" w:eastAsia="仿宋" w:hAnsi="仿宋" w:cs="仿宋" w:hint="eastAsia"/>
            <w:lang w:eastAsia="zh-CN"/>
          </w:rPr>
          <w:t>六、熨斗人才招聘与发展</w:t>
        </w:r>
        <w:r>
          <w:tab/>
        </w:r>
        <w:r>
          <w:fldChar w:fldCharType="begin"/>
        </w:r>
        <w:r>
          <w:instrText xml:space="preserve"> PAGEREF _Toc29204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87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_Toc23587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10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_Toc15410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28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_Toc18628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50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_Toc18050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91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_Toc9691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18" w:history="1">
        <w:r>
          <w:rPr>
            <w:rFonts w:ascii="仿宋" w:eastAsia="仿宋" w:hAnsi="仿宋" w:cs="仿宋" w:hint="eastAsia"/>
            <w:lang w:eastAsia="zh-CN"/>
          </w:rPr>
          <w:t>七、熨斗制度建设与执行</w:t>
        </w:r>
        <w:r>
          <w:tab/>
        </w:r>
        <w:r>
          <w:fldChar w:fldCharType="begin"/>
        </w:r>
        <w:r>
          <w:instrText xml:space="preserve"> PAGEREF _Toc30018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6434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_Toc6434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29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_Toc10229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0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_Toc14870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83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_Toc32283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40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_Toc24640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56" w:history="1">
        <w:r>
          <w:rPr>
            <w:rFonts w:ascii="仿宋" w:eastAsia="仿宋" w:hAnsi="仿宋" w:cs="仿宋" w:hint="eastAsia"/>
            <w:lang w:eastAsia="zh-CN"/>
          </w:rPr>
          <w:t>八、熨斗公司治理与社会责任</w:t>
        </w:r>
        <w:r>
          <w:tab/>
        </w:r>
        <w:r>
          <w:fldChar w:fldCharType="begin"/>
        </w:r>
        <w:r>
          <w:instrText xml:space="preserve"> PAGEREF _Toc5856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00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_Toc25800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77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_Toc19177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81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_Toc31081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37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_Toc6637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8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_Toc2118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43" w:history="1">
        <w:r>
          <w:rPr>
            <w:rFonts w:ascii="仿宋" w:eastAsia="仿宋" w:hAnsi="仿宋" w:cs="仿宋" w:hint="eastAsia"/>
            <w:lang w:eastAsia="zh-CN"/>
          </w:rPr>
          <w:t>九、制度建设与管理</w:t>
        </w:r>
        <w:r>
          <w:tab/>
        </w:r>
        <w:r>
          <w:fldChar w:fldCharType="begin"/>
        </w:r>
        <w:r>
          <w:instrText xml:space="preserve"> PAGEREF _Toc4543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43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_Toc27443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7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_Toc25327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58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_Toc32358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126" w:history="1">
        <w:r>
          <w:rPr>
            <w:rFonts w:ascii="仿宋" w:eastAsia="仿宋" w:hAnsi="仿宋" w:cs="仿宋" w:hint="eastAsia"/>
            <w:lang w:eastAsia="zh-CN"/>
          </w:rPr>
          <w:t>十、市场营销与推广策略</w:t>
        </w:r>
        <w:r>
          <w:tab/>
        </w:r>
        <w:r>
          <w:fldChar w:fldCharType="begin"/>
        </w:r>
        <w:r>
          <w:instrText xml:space="preserve"> PAGEREF _Toc14126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16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_Toc29116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07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_Toc16407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46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_Toc5346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01" w:history="1">
        <w:r>
          <w:rPr>
            <w:rFonts w:ascii="仿宋" w:eastAsia="仿宋" w:hAnsi="仿宋" w:cs="仿宋" w:hint="eastAsia"/>
            <w:lang w:eastAsia="zh-CN"/>
          </w:rPr>
          <w:t>十一、安全与劳动保护</w:t>
        </w:r>
        <w:r>
          <w:tab/>
        </w:r>
        <w:r>
          <w:fldChar w:fldCharType="begin"/>
        </w:r>
        <w:r>
          <w:instrText xml:space="preserve"> PAGEREF _Toc26901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06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_Toc32306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28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_Toc11628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94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_Toc10494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482" w:history="1">
        <w:r>
          <w:rPr>
            <w:rFonts w:ascii="仿宋" w:eastAsia="仿宋" w:hAnsi="仿宋" w:cs="仿宋" w:hint="eastAsia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_Toc23482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77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_Toc20377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3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_Toc6773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35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_Toc9835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34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_Toc23834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8577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熨斗行业研究报告是对熨斗行业深入剖析的结果，旨在为熨斗行业从业人员提供参考和借鉴。该报告所涉及的内容仅供学术研究和学习交流，不可用于商业用途。通过对熨斗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328"/>
      <w:r>
        <w:rPr>
          <w:rFonts w:ascii="仿宋" w:eastAsia="仿宋" w:hAnsi="仿宋" w:cs="仿宋" w:hint="eastAsia"/>
          <w:sz w:val="28"/>
          <w:lang w:eastAsia="zh-CN"/>
        </w:rPr>
        <w:t>一、熨斗选址方案分析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2910"/>
      <w:r>
        <w:rPr>
          <w:rFonts w:ascii="仿宋" w:eastAsia="仿宋" w:hAnsi="仿宋" w:cs="仿宋" w:hint="eastAsia"/>
          <w:lang w:eastAsia="zh-CN"/>
        </w:rPr>
        <w:t>(一)、熨斗选址影响因素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市场需求与目标客户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首要因素之一是市场需求和目标客户的分析。了解目标客户群体的特征、消费习惯以及对产品或服务的需求，有助于确定最适合的选址地点。市场需求的研究可通过调查、市场分析和消费者行为研究等手段进行，为选址提供有力的数据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交通便利度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交通便利度是影响选址的重要因素之一。选址应考虑附近交通网络的完善程度，包括道路、公共交通和停车设施等。一个交通便利的地点有助于吸引更多的顾客，提高企业的可达性，从而增加潜在客户的流量。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周边竞争格局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周边竞争格局是选址决策的关键考量之一。了解附近竞争对手的数量、类型、规模和定位，有助于评估市场的竞争强度。避免过于密集的竞争，同时找到有利于自身业务发展的市场空白区域，是选择合适选址的重要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租金和成本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租金和成本是企业运营不可忽视的成本因素。在选址过程中，需要综合考虑租金水平、人工成本、税费等因素，确保选址地点的运营成本能够与预期收益相匹配。通过合理的成本控制，提高企业的盈利能力。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商业环境和消费氛围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商业环境和消费氛围直接影响到企业的形象和吸引力。选择位于商业繁华区域或具有良好商业氛围的地段，有助于提升品牌知名度，并吸引更多目标客户。良好的商业环境有助于形成良好的口碑和顾客忠诚度。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安全与便利设施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安全性和周边便利设施也是重要的考虑因素。安全的选址有助于提高员工和顾客的安全感，同时便利设施如医疗机构、银行、公共服务设施等的存在，可提升周边环境的整体品质，对企业形象产生积极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未来发展潜力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https://d.book118.com/888060076142006030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熨斗专题展望报告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熨斗专题展望报告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熨斗专题展望报告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熨斗专题展望报告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熨斗专题展望报告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B82E80"/>
    <w:rsid w:val="32B82E8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88060076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2023-12-03T07:42:00Z</dcterms:created>
  <dcterms:modified xsi:type="dcterms:W3CDTF">2023-12-03T07:43:03Z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BB2980D285AD4DCABF4736FCE36D0D2C_11</vt:lpwstr>
  </property>
  <property fmtid="{D5CDD505-2E9C-101B-9397-08002B2CF9AE}" pid="3" name="KSOProductBuildVer">
    <vt:lpwstr>2052-12.1.0.15712</vt:lpwstr>
  </property>
</Properties>
</file>