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射频同轴电缆组件项目规划设计蓝图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93" w:history="1">
        <w:r>
          <w:rPr>
            <w:rFonts w:ascii="仿宋" w:eastAsia="仿宋" w:hAnsi="仿宋" w:cs="仿宋" w:hint="eastAsia"/>
            <w:lang w:eastAsia="zh-CN"/>
          </w:rPr>
          <w:t>序言</w:t>
        </w:r>
        <w:r>
          <w:tab/>
        </w:r>
        <w:r>
          <w:fldChar w:fldCharType="begin"/>
        </w:r>
        <w:r>
          <w:instrText xml:space="preserve"> PAGEREF _Toc18293 \h </w:instrText>
        </w:r>
        <w:r>
          <w:fldChar w:fldCharType="separate"/>
        </w:r>
        <w:r>
          <w:t>3</w:t>
        </w:r>
        <w:r>
          <w:fldChar w:fldCharType="end"/>
        </w:r>
      </w:hyperlink>
    </w:p>
    <w:p>
      <w:pPr>
        <w:pStyle w:val="TOC1"/>
        <w:tabs>
          <w:tab w:val="right" w:leader="dot" w:pos="8306"/>
        </w:tabs>
      </w:pPr>
      <w:hyperlink w:anchor="_Toc18714" w:history="1">
        <w:r>
          <w:rPr>
            <w:rFonts w:ascii="仿宋" w:eastAsia="仿宋" w:hAnsi="仿宋" w:cs="仿宋" w:hint="eastAsia"/>
            <w:lang w:eastAsia="zh-CN"/>
          </w:rPr>
          <w:t>一、产品规划分析</w:t>
        </w:r>
        <w:r>
          <w:tab/>
        </w:r>
        <w:r>
          <w:fldChar w:fldCharType="begin"/>
        </w:r>
        <w:r>
          <w:instrText xml:space="preserve"> PAGEREF _Toc18714 \h </w:instrText>
        </w:r>
        <w:r>
          <w:fldChar w:fldCharType="separate"/>
        </w:r>
        <w:r>
          <w:t>3</w:t>
        </w:r>
        <w:r>
          <w:fldChar w:fldCharType="end"/>
        </w:r>
      </w:hyperlink>
    </w:p>
    <w:p>
      <w:pPr>
        <w:pStyle w:val="TOC2"/>
        <w:tabs>
          <w:tab w:val="right" w:leader="dot" w:pos="8306"/>
        </w:tabs>
      </w:pPr>
      <w:hyperlink w:anchor="_Toc4960" w:history="1">
        <w:r>
          <w:rPr>
            <w:rFonts w:ascii="仿宋" w:eastAsia="仿宋" w:hAnsi="仿宋" w:cs="仿宋" w:hint="eastAsia"/>
            <w:lang w:eastAsia="zh-CN"/>
          </w:rPr>
          <w:t>(一)、产品规划</w:t>
        </w:r>
        <w:r>
          <w:tab/>
        </w:r>
        <w:r>
          <w:fldChar w:fldCharType="begin"/>
        </w:r>
        <w:r>
          <w:instrText xml:space="preserve"> PAGEREF _Toc4960 \h </w:instrText>
        </w:r>
        <w:r>
          <w:fldChar w:fldCharType="separate"/>
        </w:r>
        <w:r>
          <w:t>3</w:t>
        </w:r>
        <w:r>
          <w:fldChar w:fldCharType="end"/>
        </w:r>
      </w:hyperlink>
    </w:p>
    <w:p>
      <w:pPr>
        <w:pStyle w:val="TOC2"/>
        <w:tabs>
          <w:tab w:val="right" w:leader="dot" w:pos="8306"/>
        </w:tabs>
      </w:pPr>
      <w:hyperlink w:anchor="_Toc14561" w:history="1">
        <w:r>
          <w:rPr>
            <w:rFonts w:ascii="仿宋" w:eastAsia="仿宋" w:hAnsi="仿宋" w:cs="仿宋" w:hint="eastAsia"/>
            <w:lang w:eastAsia="zh-CN"/>
          </w:rPr>
          <w:t>(二)、建设规模</w:t>
        </w:r>
        <w:r>
          <w:tab/>
        </w:r>
        <w:r>
          <w:fldChar w:fldCharType="begin"/>
        </w:r>
        <w:r>
          <w:instrText xml:space="preserve"> PAGEREF _Toc14561 \h </w:instrText>
        </w:r>
        <w:r>
          <w:fldChar w:fldCharType="separate"/>
        </w:r>
        <w:r>
          <w:t>4</w:t>
        </w:r>
        <w:r>
          <w:fldChar w:fldCharType="end"/>
        </w:r>
      </w:hyperlink>
    </w:p>
    <w:p>
      <w:pPr>
        <w:pStyle w:val="TOC1"/>
        <w:tabs>
          <w:tab w:val="right" w:leader="dot" w:pos="8306"/>
        </w:tabs>
      </w:pPr>
      <w:hyperlink w:anchor="_Toc9616" w:history="1">
        <w:r>
          <w:rPr>
            <w:rFonts w:ascii="仿宋" w:eastAsia="仿宋" w:hAnsi="仿宋" w:cs="仿宋" w:hint="eastAsia"/>
            <w:lang w:eastAsia="zh-CN"/>
          </w:rPr>
          <w:t>二、射频同轴电缆组件项目文档管理</w:t>
        </w:r>
        <w:r>
          <w:tab/>
        </w:r>
        <w:r>
          <w:fldChar w:fldCharType="begin"/>
        </w:r>
        <w:r>
          <w:instrText xml:space="preserve"> PAGEREF _Toc9616 \h </w:instrText>
        </w:r>
        <w:r>
          <w:fldChar w:fldCharType="separate"/>
        </w:r>
        <w:r>
          <w:t>5</w:t>
        </w:r>
        <w:r>
          <w:fldChar w:fldCharType="end"/>
        </w:r>
      </w:hyperlink>
    </w:p>
    <w:p>
      <w:pPr>
        <w:pStyle w:val="TOC2"/>
        <w:tabs>
          <w:tab w:val="right" w:leader="dot" w:pos="8306"/>
        </w:tabs>
      </w:pPr>
      <w:hyperlink w:anchor="_Toc18783" w:history="1">
        <w:r>
          <w:rPr>
            <w:rFonts w:ascii="仿宋" w:eastAsia="仿宋" w:hAnsi="仿宋" w:cs="仿宋" w:hint="eastAsia"/>
            <w:lang w:eastAsia="zh-CN"/>
          </w:rPr>
          <w:t>(一)、文档编制与审查</w:t>
        </w:r>
        <w:r>
          <w:tab/>
        </w:r>
        <w:r>
          <w:fldChar w:fldCharType="begin"/>
        </w:r>
        <w:r>
          <w:instrText xml:space="preserve"> PAGEREF _Toc18783 \h </w:instrText>
        </w:r>
        <w:r>
          <w:fldChar w:fldCharType="separate"/>
        </w:r>
        <w:r>
          <w:t>5</w:t>
        </w:r>
        <w:r>
          <w:fldChar w:fldCharType="end"/>
        </w:r>
      </w:hyperlink>
    </w:p>
    <w:p>
      <w:pPr>
        <w:pStyle w:val="TOC2"/>
        <w:tabs>
          <w:tab w:val="right" w:leader="dot" w:pos="8306"/>
        </w:tabs>
      </w:pPr>
      <w:hyperlink w:anchor="_Toc23567" w:history="1">
        <w:r>
          <w:rPr>
            <w:rFonts w:ascii="仿宋" w:eastAsia="仿宋" w:hAnsi="仿宋" w:cs="仿宋" w:hint="eastAsia"/>
            <w:lang w:eastAsia="zh-CN"/>
          </w:rPr>
          <w:t>(二)、文档发布与分发</w:t>
        </w:r>
        <w:r>
          <w:tab/>
        </w:r>
        <w:r>
          <w:fldChar w:fldCharType="begin"/>
        </w:r>
        <w:r>
          <w:instrText xml:space="preserve"> PAGEREF _Toc23567 \h </w:instrText>
        </w:r>
        <w:r>
          <w:fldChar w:fldCharType="separate"/>
        </w:r>
        <w:r>
          <w:t>6</w:t>
        </w:r>
        <w:r>
          <w:fldChar w:fldCharType="end"/>
        </w:r>
      </w:hyperlink>
    </w:p>
    <w:p>
      <w:pPr>
        <w:pStyle w:val="TOC2"/>
        <w:tabs>
          <w:tab w:val="right" w:leader="dot" w:pos="8306"/>
        </w:tabs>
      </w:pPr>
      <w:hyperlink w:anchor="_Toc13973" w:history="1">
        <w:r>
          <w:rPr>
            <w:rFonts w:ascii="仿宋" w:eastAsia="仿宋" w:hAnsi="仿宋" w:cs="仿宋" w:hint="eastAsia"/>
            <w:lang w:eastAsia="zh-CN"/>
          </w:rPr>
          <w:t>(三)、文档存档与归档</w:t>
        </w:r>
        <w:r>
          <w:tab/>
        </w:r>
        <w:r>
          <w:fldChar w:fldCharType="begin"/>
        </w:r>
        <w:r>
          <w:instrText xml:space="preserve"> PAGEREF _Toc13973 \h </w:instrText>
        </w:r>
        <w:r>
          <w:fldChar w:fldCharType="separate"/>
        </w:r>
        <w:r>
          <w:t>7</w:t>
        </w:r>
        <w:r>
          <w:fldChar w:fldCharType="end"/>
        </w:r>
      </w:hyperlink>
    </w:p>
    <w:p>
      <w:pPr>
        <w:pStyle w:val="TOC1"/>
        <w:tabs>
          <w:tab w:val="right" w:leader="dot" w:pos="8306"/>
        </w:tabs>
      </w:pPr>
      <w:hyperlink w:anchor="_Toc2166" w:history="1">
        <w:r>
          <w:rPr>
            <w:rFonts w:ascii="仿宋" w:eastAsia="仿宋" w:hAnsi="仿宋" w:cs="仿宋" w:hint="eastAsia"/>
            <w:lang w:eastAsia="zh-CN"/>
          </w:rPr>
          <w:t>三、射频同轴电缆组件项目绩效评估</w:t>
        </w:r>
        <w:r>
          <w:tab/>
        </w:r>
        <w:r>
          <w:fldChar w:fldCharType="begin"/>
        </w:r>
        <w:r>
          <w:instrText xml:space="preserve"> PAGEREF _Toc2166 \h </w:instrText>
        </w:r>
        <w:r>
          <w:fldChar w:fldCharType="separate"/>
        </w:r>
        <w:r>
          <w:t>8</w:t>
        </w:r>
        <w:r>
          <w:fldChar w:fldCharType="end"/>
        </w:r>
      </w:hyperlink>
    </w:p>
    <w:p>
      <w:pPr>
        <w:pStyle w:val="TOC2"/>
        <w:tabs>
          <w:tab w:val="right" w:leader="dot" w:pos="8306"/>
        </w:tabs>
      </w:pPr>
      <w:hyperlink w:anchor="_Toc25323" w:history="1">
        <w:r>
          <w:rPr>
            <w:rFonts w:ascii="仿宋" w:eastAsia="仿宋" w:hAnsi="仿宋" w:cs="仿宋" w:hint="eastAsia"/>
            <w:lang w:eastAsia="zh-CN"/>
          </w:rPr>
          <w:t>(一)、绩效评估指标</w:t>
        </w:r>
        <w:r>
          <w:tab/>
        </w:r>
        <w:r>
          <w:fldChar w:fldCharType="begin"/>
        </w:r>
        <w:r>
          <w:instrText xml:space="preserve"> PAGEREF _Toc25323 \h </w:instrText>
        </w:r>
        <w:r>
          <w:fldChar w:fldCharType="separate"/>
        </w:r>
        <w:r>
          <w:t>8</w:t>
        </w:r>
        <w:r>
          <w:fldChar w:fldCharType="end"/>
        </w:r>
      </w:hyperlink>
    </w:p>
    <w:p>
      <w:pPr>
        <w:pStyle w:val="TOC2"/>
        <w:tabs>
          <w:tab w:val="right" w:leader="dot" w:pos="8306"/>
        </w:tabs>
      </w:pPr>
      <w:hyperlink w:anchor="_Toc17906" w:history="1">
        <w:r>
          <w:rPr>
            <w:rFonts w:ascii="仿宋" w:eastAsia="仿宋" w:hAnsi="仿宋" w:cs="仿宋" w:hint="eastAsia"/>
            <w:lang w:eastAsia="zh-CN"/>
          </w:rPr>
          <w:t>(二)、绩效评估方法</w:t>
        </w:r>
        <w:r>
          <w:tab/>
        </w:r>
        <w:r>
          <w:fldChar w:fldCharType="begin"/>
        </w:r>
        <w:r>
          <w:instrText xml:space="preserve"> PAGEREF _Toc17906 \h </w:instrText>
        </w:r>
        <w:r>
          <w:fldChar w:fldCharType="separate"/>
        </w:r>
        <w:r>
          <w:t>10</w:t>
        </w:r>
        <w:r>
          <w:fldChar w:fldCharType="end"/>
        </w:r>
      </w:hyperlink>
    </w:p>
    <w:p>
      <w:pPr>
        <w:pStyle w:val="TOC2"/>
        <w:tabs>
          <w:tab w:val="right" w:leader="dot" w:pos="8306"/>
        </w:tabs>
      </w:pPr>
      <w:hyperlink w:anchor="_Toc23963" w:history="1">
        <w:r>
          <w:rPr>
            <w:rFonts w:ascii="仿宋" w:eastAsia="仿宋" w:hAnsi="仿宋" w:cs="仿宋" w:hint="eastAsia"/>
            <w:lang w:eastAsia="zh-CN"/>
          </w:rPr>
          <w:t>(三)、绩效评估周期</w:t>
        </w:r>
        <w:r>
          <w:tab/>
        </w:r>
        <w:r>
          <w:fldChar w:fldCharType="begin"/>
        </w:r>
        <w:r>
          <w:instrText xml:space="preserve"> PAGEREF _Toc23963 \h </w:instrText>
        </w:r>
        <w:r>
          <w:fldChar w:fldCharType="separate"/>
        </w:r>
        <w:r>
          <w:t>11</w:t>
        </w:r>
        <w:r>
          <w:fldChar w:fldCharType="end"/>
        </w:r>
      </w:hyperlink>
    </w:p>
    <w:p>
      <w:pPr>
        <w:pStyle w:val="TOC1"/>
        <w:tabs>
          <w:tab w:val="right" w:leader="dot" w:pos="8306"/>
        </w:tabs>
      </w:pPr>
      <w:hyperlink w:anchor="_Toc19599" w:history="1">
        <w:r>
          <w:rPr>
            <w:rFonts w:ascii="仿宋" w:eastAsia="仿宋" w:hAnsi="仿宋" w:cs="仿宋" w:hint="eastAsia"/>
            <w:lang w:eastAsia="zh-CN"/>
          </w:rPr>
          <w:t>四、射频同轴电缆组件项目建设单位说明</w:t>
        </w:r>
        <w:r>
          <w:tab/>
        </w:r>
        <w:r>
          <w:fldChar w:fldCharType="begin"/>
        </w:r>
        <w:r>
          <w:instrText xml:space="preserve"> PAGEREF _Toc19599 \h </w:instrText>
        </w:r>
        <w:r>
          <w:fldChar w:fldCharType="separate"/>
        </w:r>
        <w:r>
          <w:t>12</w:t>
        </w:r>
        <w:r>
          <w:fldChar w:fldCharType="end"/>
        </w:r>
      </w:hyperlink>
    </w:p>
    <w:p>
      <w:pPr>
        <w:pStyle w:val="TOC2"/>
        <w:tabs>
          <w:tab w:val="right" w:leader="dot" w:pos="8306"/>
        </w:tabs>
      </w:pPr>
      <w:hyperlink w:anchor="_Toc13654" w:history="1">
        <w:r>
          <w:rPr>
            <w:rFonts w:ascii="仿宋" w:eastAsia="仿宋" w:hAnsi="仿宋" w:cs="仿宋" w:hint="eastAsia"/>
            <w:lang w:eastAsia="zh-CN"/>
          </w:rPr>
          <w:t>(一)、射频同轴电缆组件项目承办单位基本情况</w:t>
        </w:r>
        <w:r>
          <w:tab/>
        </w:r>
        <w:r>
          <w:fldChar w:fldCharType="begin"/>
        </w:r>
        <w:r>
          <w:instrText xml:space="preserve"> PAGEREF _Toc13654 \h </w:instrText>
        </w:r>
        <w:r>
          <w:fldChar w:fldCharType="separate"/>
        </w:r>
        <w:r>
          <w:t>12</w:t>
        </w:r>
        <w:r>
          <w:fldChar w:fldCharType="end"/>
        </w:r>
      </w:hyperlink>
    </w:p>
    <w:p>
      <w:pPr>
        <w:pStyle w:val="TOC2"/>
        <w:tabs>
          <w:tab w:val="right" w:leader="dot" w:pos="8306"/>
        </w:tabs>
      </w:pPr>
      <w:hyperlink w:anchor="_Toc5065" w:history="1">
        <w:r>
          <w:rPr>
            <w:rFonts w:ascii="仿宋" w:eastAsia="仿宋" w:hAnsi="仿宋" w:cs="仿宋" w:hint="eastAsia"/>
            <w:lang w:eastAsia="zh-CN"/>
          </w:rPr>
          <w:t>(二)、公司经济效益分析</w:t>
        </w:r>
        <w:r>
          <w:tab/>
        </w:r>
        <w:r>
          <w:fldChar w:fldCharType="begin"/>
        </w:r>
        <w:r>
          <w:instrText xml:space="preserve"> PAGEREF _Toc5065 \h </w:instrText>
        </w:r>
        <w:r>
          <w:fldChar w:fldCharType="separate"/>
        </w:r>
        <w:r>
          <w:t>12</w:t>
        </w:r>
        <w:r>
          <w:fldChar w:fldCharType="end"/>
        </w:r>
      </w:hyperlink>
    </w:p>
    <w:p>
      <w:pPr>
        <w:pStyle w:val="TOC1"/>
        <w:tabs>
          <w:tab w:val="right" w:leader="dot" w:pos="8306"/>
        </w:tabs>
      </w:pPr>
      <w:hyperlink w:anchor="_Toc16650" w:history="1">
        <w:r>
          <w:rPr>
            <w:rFonts w:ascii="仿宋" w:eastAsia="仿宋" w:hAnsi="仿宋" w:cs="仿宋" w:hint="eastAsia"/>
            <w:lang w:eastAsia="zh-CN"/>
          </w:rPr>
          <w:t>五、市场分析、调研</w:t>
        </w:r>
        <w:r>
          <w:tab/>
        </w:r>
        <w:r>
          <w:fldChar w:fldCharType="begin"/>
        </w:r>
        <w:r>
          <w:instrText xml:space="preserve"> PAGEREF _Toc16650 \h </w:instrText>
        </w:r>
        <w:r>
          <w:fldChar w:fldCharType="separate"/>
        </w:r>
        <w:r>
          <w:t>13</w:t>
        </w:r>
        <w:r>
          <w:fldChar w:fldCharType="end"/>
        </w:r>
      </w:hyperlink>
    </w:p>
    <w:p>
      <w:pPr>
        <w:pStyle w:val="TOC2"/>
        <w:tabs>
          <w:tab w:val="right" w:leader="dot" w:pos="8306"/>
        </w:tabs>
      </w:pPr>
      <w:hyperlink w:anchor="_Toc26286" w:history="1">
        <w:r>
          <w:rPr>
            <w:rFonts w:ascii="仿宋" w:eastAsia="仿宋" w:hAnsi="仿宋" w:cs="仿宋" w:hint="eastAsia"/>
            <w:lang w:eastAsia="zh-CN"/>
          </w:rPr>
          <w:t>(一)、射频同轴电缆组件行业分析</w:t>
        </w:r>
        <w:r>
          <w:tab/>
        </w:r>
        <w:r>
          <w:fldChar w:fldCharType="begin"/>
        </w:r>
        <w:r>
          <w:instrText xml:space="preserve"> PAGEREF _Toc26286 \h </w:instrText>
        </w:r>
        <w:r>
          <w:fldChar w:fldCharType="separate"/>
        </w:r>
        <w:r>
          <w:t>13</w:t>
        </w:r>
        <w:r>
          <w:fldChar w:fldCharType="end"/>
        </w:r>
      </w:hyperlink>
    </w:p>
    <w:p>
      <w:pPr>
        <w:pStyle w:val="TOC2"/>
        <w:tabs>
          <w:tab w:val="right" w:leader="dot" w:pos="8306"/>
        </w:tabs>
      </w:pPr>
      <w:hyperlink w:anchor="_Toc6137" w:history="1">
        <w:r>
          <w:rPr>
            <w:rFonts w:ascii="仿宋" w:eastAsia="仿宋" w:hAnsi="仿宋" w:cs="仿宋" w:hint="eastAsia"/>
            <w:lang w:eastAsia="zh-CN"/>
          </w:rPr>
          <w:t>(二)、射频同轴电缆组件市场分析预测</w:t>
        </w:r>
        <w:r>
          <w:tab/>
        </w:r>
        <w:r>
          <w:fldChar w:fldCharType="begin"/>
        </w:r>
        <w:r>
          <w:instrText xml:space="preserve"> PAGEREF _Toc6137 \h </w:instrText>
        </w:r>
        <w:r>
          <w:fldChar w:fldCharType="separate"/>
        </w:r>
        <w:r>
          <w:t>14</w:t>
        </w:r>
        <w:r>
          <w:fldChar w:fldCharType="end"/>
        </w:r>
      </w:hyperlink>
    </w:p>
    <w:p>
      <w:pPr>
        <w:pStyle w:val="TOC1"/>
        <w:tabs>
          <w:tab w:val="right" w:leader="dot" w:pos="8306"/>
        </w:tabs>
      </w:pPr>
      <w:hyperlink w:anchor="_Toc24095" w:history="1">
        <w:r>
          <w:rPr>
            <w:rFonts w:ascii="仿宋" w:eastAsia="仿宋" w:hAnsi="仿宋" w:cs="仿宋" w:hint="eastAsia"/>
            <w:lang w:eastAsia="zh-CN"/>
          </w:rPr>
          <w:t>六、射频同轴电缆组件项目概论</w:t>
        </w:r>
        <w:r>
          <w:tab/>
        </w:r>
        <w:r>
          <w:fldChar w:fldCharType="begin"/>
        </w:r>
        <w:r>
          <w:instrText xml:space="preserve"> PAGEREF _Toc24095 \h </w:instrText>
        </w:r>
        <w:r>
          <w:fldChar w:fldCharType="separate"/>
        </w:r>
        <w:r>
          <w:t>15</w:t>
        </w:r>
        <w:r>
          <w:fldChar w:fldCharType="end"/>
        </w:r>
      </w:hyperlink>
    </w:p>
    <w:p>
      <w:pPr>
        <w:pStyle w:val="TOC2"/>
        <w:tabs>
          <w:tab w:val="right" w:leader="dot" w:pos="8306"/>
        </w:tabs>
      </w:pPr>
      <w:hyperlink w:anchor="_Toc31625" w:history="1">
        <w:r>
          <w:rPr>
            <w:rFonts w:ascii="仿宋" w:eastAsia="仿宋" w:hAnsi="仿宋" w:cs="仿宋" w:hint="eastAsia"/>
            <w:lang w:eastAsia="zh-CN"/>
          </w:rPr>
          <w:t>(一)、射频同轴电缆组件项目概况</w:t>
        </w:r>
        <w:r>
          <w:tab/>
        </w:r>
        <w:r>
          <w:fldChar w:fldCharType="begin"/>
        </w:r>
        <w:r>
          <w:instrText xml:space="preserve"> PAGEREF _Toc31625 \h </w:instrText>
        </w:r>
        <w:r>
          <w:fldChar w:fldCharType="separate"/>
        </w:r>
        <w:r>
          <w:t>15</w:t>
        </w:r>
        <w:r>
          <w:fldChar w:fldCharType="end"/>
        </w:r>
      </w:hyperlink>
    </w:p>
    <w:p>
      <w:pPr>
        <w:pStyle w:val="TOC2"/>
        <w:tabs>
          <w:tab w:val="right" w:leader="dot" w:pos="8306"/>
        </w:tabs>
      </w:pPr>
      <w:hyperlink w:anchor="_Toc6631" w:history="1">
        <w:r>
          <w:rPr>
            <w:rFonts w:ascii="仿宋" w:eastAsia="仿宋" w:hAnsi="仿宋" w:cs="仿宋" w:hint="eastAsia"/>
            <w:lang w:eastAsia="zh-CN"/>
          </w:rPr>
          <w:t>(二)、射频同轴电缆组件项目目标</w:t>
        </w:r>
        <w:r>
          <w:tab/>
        </w:r>
        <w:r>
          <w:fldChar w:fldCharType="begin"/>
        </w:r>
        <w:r>
          <w:instrText xml:space="preserve"> PAGEREF _Toc6631 \h </w:instrText>
        </w:r>
        <w:r>
          <w:fldChar w:fldCharType="separate"/>
        </w:r>
        <w:r>
          <w:t>17</w:t>
        </w:r>
        <w:r>
          <w:fldChar w:fldCharType="end"/>
        </w:r>
      </w:hyperlink>
    </w:p>
    <w:p>
      <w:pPr>
        <w:pStyle w:val="TOC2"/>
        <w:tabs>
          <w:tab w:val="right" w:leader="dot" w:pos="8306"/>
        </w:tabs>
      </w:pPr>
      <w:hyperlink w:anchor="_Toc18537" w:history="1">
        <w:r>
          <w:rPr>
            <w:rFonts w:ascii="仿宋" w:eastAsia="仿宋" w:hAnsi="仿宋" w:cs="仿宋" w:hint="eastAsia"/>
            <w:lang w:eastAsia="zh-CN"/>
          </w:rPr>
          <w:t>(三)、射频同轴电缆组件项目提出的理由</w:t>
        </w:r>
        <w:r>
          <w:tab/>
        </w:r>
        <w:r>
          <w:fldChar w:fldCharType="begin"/>
        </w:r>
        <w:r>
          <w:instrText xml:space="preserve"> PAGEREF _Toc18537 \h </w:instrText>
        </w:r>
        <w:r>
          <w:fldChar w:fldCharType="separate"/>
        </w:r>
        <w:r>
          <w:t>18</w:t>
        </w:r>
        <w:r>
          <w:fldChar w:fldCharType="end"/>
        </w:r>
      </w:hyperlink>
    </w:p>
    <w:p>
      <w:pPr>
        <w:pStyle w:val="TOC2"/>
        <w:tabs>
          <w:tab w:val="right" w:leader="dot" w:pos="8306"/>
        </w:tabs>
      </w:pPr>
      <w:hyperlink w:anchor="_Toc6084" w:history="1">
        <w:r>
          <w:rPr>
            <w:rFonts w:ascii="仿宋" w:eastAsia="仿宋" w:hAnsi="仿宋" w:cs="仿宋" w:hint="eastAsia"/>
            <w:lang w:eastAsia="zh-CN"/>
          </w:rPr>
          <w:t>(四)、射频同轴电缆组件项目意义</w:t>
        </w:r>
        <w:r>
          <w:tab/>
        </w:r>
        <w:r>
          <w:fldChar w:fldCharType="begin"/>
        </w:r>
        <w:r>
          <w:instrText xml:space="preserve"> PAGEREF _Toc6084 \h </w:instrText>
        </w:r>
        <w:r>
          <w:fldChar w:fldCharType="separate"/>
        </w:r>
        <w:r>
          <w:t>20</w:t>
        </w:r>
        <w:r>
          <w:fldChar w:fldCharType="end"/>
        </w:r>
      </w:hyperlink>
    </w:p>
    <w:p>
      <w:pPr>
        <w:pStyle w:val="TOC2"/>
        <w:tabs>
          <w:tab w:val="right" w:leader="dot" w:pos="8306"/>
        </w:tabs>
      </w:pPr>
      <w:hyperlink w:anchor="_Toc29181" w:history="1">
        <w:r>
          <w:rPr>
            <w:rFonts w:ascii="仿宋" w:eastAsia="仿宋" w:hAnsi="仿宋" w:cs="仿宋" w:hint="eastAsia"/>
            <w:lang w:eastAsia="zh-CN"/>
          </w:rPr>
          <w:t>(五)、射频同轴电缆组件项目背景</w:t>
        </w:r>
        <w:r>
          <w:tab/>
        </w:r>
        <w:r>
          <w:fldChar w:fldCharType="begin"/>
        </w:r>
        <w:r>
          <w:instrText xml:space="preserve"> PAGEREF _Toc29181 \h </w:instrText>
        </w:r>
        <w:r>
          <w:fldChar w:fldCharType="separate"/>
        </w:r>
        <w:r>
          <w:t>21</w:t>
        </w:r>
        <w:r>
          <w:fldChar w:fldCharType="end"/>
        </w:r>
      </w:hyperlink>
    </w:p>
    <w:p>
      <w:pPr>
        <w:pStyle w:val="TOC1"/>
        <w:tabs>
          <w:tab w:val="right" w:leader="dot" w:pos="8306"/>
        </w:tabs>
      </w:pPr>
      <w:hyperlink w:anchor="_Toc16289" w:history="1">
        <w:r>
          <w:rPr>
            <w:rFonts w:ascii="仿宋" w:eastAsia="仿宋" w:hAnsi="仿宋" w:cs="仿宋" w:hint="eastAsia"/>
            <w:lang w:eastAsia="zh-CN"/>
          </w:rPr>
          <w:t>七、射频同轴电缆组件项目计划安排</w:t>
        </w:r>
        <w:r>
          <w:tab/>
        </w:r>
        <w:r>
          <w:fldChar w:fldCharType="begin"/>
        </w:r>
        <w:r>
          <w:instrText xml:space="preserve"> PAGEREF _Toc16289 \h </w:instrText>
        </w:r>
        <w:r>
          <w:fldChar w:fldCharType="separate"/>
        </w:r>
        <w:r>
          <w:t>22</w:t>
        </w:r>
        <w:r>
          <w:fldChar w:fldCharType="end"/>
        </w:r>
      </w:hyperlink>
    </w:p>
    <w:p>
      <w:pPr>
        <w:pStyle w:val="TOC2"/>
        <w:tabs>
          <w:tab w:val="right" w:leader="dot" w:pos="8306"/>
        </w:tabs>
      </w:pPr>
      <w:hyperlink w:anchor="_Toc25150" w:history="1">
        <w:r>
          <w:rPr>
            <w:rFonts w:ascii="仿宋" w:eastAsia="仿宋" w:hAnsi="仿宋" w:cs="仿宋" w:hint="eastAsia"/>
            <w:lang w:eastAsia="zh-CN"/>
          </w:rPr>
          <w:t>(一)、建设周期</w:t>
        </w:r>
        <w:r>
          <w:tab/>
        </w:r>
        <w:r>
          <w:fldChar w:fldCharType="begin"/>
        </w:r>
        <w:r>
          <w:instrText xml:space="preserve"> PAGEREF _Toc25150 \h </w:instrText>
        </w:r>
        <w:r>
          <w:fldChar w:fldCharType="separate"/>
        </w:r>
        <w:r>
          <w:t>22</w:t>
        </w:r>
        <w:r>
          <w:fldChar w:fldCharType="end"/>
        </w:r>
      </w:hyperlink>
    </w:p>
    <w:p>
      <w:pPr>
        <w:pStyle w:val="TOC2"/>
        <w:tabs>
          <w:tab w:val="right" w:leader="dot" w:pos="8306"/>
        </w:tabs>
      </w:pPr>
      <w:hyperlink w:anchor="_Toc13950" w:history="1">
        <w:r>
          <w:rPr>
            <w:rFonts w:ascii="仿宋" w:eastAsia="仿宋" w:hAnsi="仿宋" w:cs="仿宋" w:hint="eastAsia"/>
            <w:lang w:eastAsia="zh-CN"/>
          </w:rPr>
          <w:t>(二)、建设进度</w:t>
        </w:r>
        <w:r>
          <w:tab/>
        </w:r>
        <w:r>
          <w:fldChar w:fldCharType="begin"/>
        </w:r>
        <w:r>
          <w:instrText xml:space="preserve"> PAGEREF _Toc13950 \h </w:instrText>
        </w:r>
        <w:r>
          <w:fldChar w:fldCharType="separate"/>
        </w:r>
        <w:r>
          <w:t>23</w:t>
        </w:r>
        <w:r>
          <w:fldChar w:fldCharType="end"/>
        </w:r>
      </w:hyperlink>
    </w:p>
    <w:p>
      <w:pPr>
        <w:pStyle w:val="TOC2"/>
        <w:tabs>
          <w:tab w:val="right" w:leader="dot" w:pos="8306"/>
        </w:tabs>
      </w:pPr>
      <w:hyperlink w:anchor="_Toc10597" w:history="1">
        <w:r>
          <w:rPr>
            <w:rFonts w:ascii="仿宋" w:eastAsia="仿宋" w:hAnsi="仿宋" w:cs="仿宋" w:hint="eastAsia"/>
            <w:lang w:eastAsia="zh-CN"/>
          </w:rPr>
          <w:t>(三)、进度安排注意事项</w:t>
        </w:r>
        <w:r>
          <w:tab/>
        </w:r>
        <w:r>
          <w:fldChar w:fldCharType="begin"/>
        </w:r>
        <w:r>
          <w:instrText xml:space="preserve"> PAGEREF _Toc10597 \h </w:instrText>
        </w:r>
        <w:r>
          <w:fldChar w:fldCharType="separate"/>
        </w:r>
        <w:r>
          <w:t>24</w:t>
        </w:r>
        <w:r>
          <w:fldChar w:fldCharType="end"/>
        </w:r>
      </w:hyperlink>
    </w:p>
    <w:p>
      <w:pPr>
        <w:pStyle w:val="TOC2"/>
        <w:tabs>
          <w:tab w:val="right" w:leader="dot" w:pos="8306"/>
        </w:tabs>
      </w:pPr>
      <w:hyperlink w:anchor="_Toc21995" w:history="1">
        <w:r>
          <w:rPr>
            <w:rFonts w:ascii="仿宋" w:eastAsia="仿宋" w:hAnsi="仿宋" w:cs="仿宋" w:hint="eastAsia"/>
            <w:lang w:eastAsia="zh-CN"/>
          </w:rPr>
          <w:t>(四)、人力资源配置</w:t>
        </w:r>
        <w:r>
          <w:tab/>
        </w:r>
        <w:r>
          <w:fldChar w:fldCharType="begin"/>
        </w:r>
        <w:r>
          <w:instrText xml:space="preserve"> PAGEREF _Toc21995 \h </w:instrText>
        </w:r>
        <w:r>
          <w:fldChar w:fldCharType="separate"/>
        </w:r>
        <w:r>
          <w:t>25</w:t>
        </w:r>
        <w:r>
          <w:fldChar w:fldCharType="end"/>
        </w:r>
      </w:hyperlink>
    </w:p>
    <w:p>
      <w:pPr>
        <w:pStyle w:val="TOC1"/>
        <w:tabs>
          <w:tab w:val="right" w:leader="dot" w:pos="8306"/>
        </w:tabs>
      </w:pPr>
      <w:hyperlink w:anchor="_Toc1049" w:history="1">
        <w:r>
          <w:rPr>
            <w:rFonts w:ascii="仿宋" w:eastAsia="仿宋" w:hAnsi="仿宋" w:cs="仿宋" w:hint="eastAsia"/>
            <w:lang w:eastAsia="zh-CN"/>
          </w:rPr>
          <w:t>八、射频同轴电缆组件项目经营效益</w:t>
        </w:r>
        <w:r>
          <w:tab/>
        </w:r>
        <w:r>
          <w:fldChar w:fldCharType="begin"/>
        </w:r>
        <w:r>
          <w:instrText xml:space="preserve"> PAGEREF _Toc1049 \h </w:instrText>
        </w:r>
        <w:r>
          <w:fldChar w:fldCharType="separate"/>
        </w:r>
        <w:r>
          <w:t>26</w:t>
        </w:r>
        <w:r>
          <w:fldChar w:fldCharType="end"/>
        </w:r>
      </w:hyperlink>
    </w:p>
    <w:p>
      <w:pPr>
        <w:pStyle w:val="TOC2"/>
        <w:tabs>
          <w:tab w:val="right" w:leader="dot" w:pos="8306"/>
        </w:tabs>
      </w:pPr>
      <w:hyperlink w:anchor="_Toc21500" w:history="1">
        <w:r>
          <w:rPr>
            <w:rFonts w:ascii="仿宋" w:eastAsia="仿宋" w:hAnsi="仿宋" w:cs="仿宋" w:hint="eastAsia"/>
            <w:lang w:eastAsia="zh-CN"/>
          </w:rPr>
          <w:t>(一)、经济评价财务测算</w:t>
        </w:r>
        <w:r>
          <w:tab/>
        </w:r>
        <w:r>
          <w:fldChar w:fldCharType="begin"/>
        </w:r>
        <w:r>
          <w:instrText xml:space="preserve"> PAGEREF _Toc21500 \h </w:instrText>
        </w:r>
        <w:r>
          <w:fldChar w:fldCharType="separate"/>
        </w:r>
        <w:r>
          <w:t>26</w:t>
        </w:r>
        <w:r>
          <w:fldChar w:fldCharType="end"/>
        </w:r>
      </w:hyperlink>
    </w:p>
    <w:p>
      <w:pPr>
        <w:pStyle w:val="TOC2"/>
        <w:tabs>
          <w:tab w:val="right" w:leader="dot" w:pos="8306"/>
        </w:tabs>
      </w:pPr>
      <w:hyperlink w:anchor="_Toc13313" w:history="1">
        <w:r>
          <w:rPr>
            <w:rFonts w:ascii="仿宋" w:eastAsia="仿宋" w:hAnsi="仿宋" w:cs="仿宋" w:hint="eastAsia"/>
            <w:lang w:eastAsia="zh-CN"/>
          </w:rPr>
          <w:t>(二)、射频同轴电缆组件项目盈利能力分析</w:t>
        </w:r>
        <w:r>
          <w:tab/>
        </w:r>
        <w:r>
          <w:fldChar w:fldCharType="begin"/>
        </w:r>
        <w:r>
          <w:instrText xml:space="preserve"> PAGEREF _Toc13313 \h </w:instrText>
        </w:r>
        <w:r>
          <w:fldChar w:fldCharType="separate"/>
        </w:r>
        <w:r>
          <w:t>28</w:t>
        </w:r>
        <w:r>
          <w:fldChar w:fldCharType="end"/>
        </w:r>
      </w:hyperlink>
    </w:p>
    <w:p>
      <w:pPr>
        <w:pStyle w:val="TOC1"/>
        <w:tabs>
          <w:tab w:val="right" w:leader="dot" w:pos="8306"/>
        </w:tabs>
      </w:pPr>
      <w:hyperlink w:anchor="_Toc18452" w:history="1">
        <w:r>
          <w:rPr>
            <w:rFonts w:ascii="仿宋" w:eastAsia="仿宋" w:hAnsi="仿宋" w:cs="仿宋" w:hint="eastAsia"/>
            <w:lang w:eastAsia="zh-CN"/>
          </w:rPr>
          <w:t>九、射频同轴电缆组件项目人力资源培养与发展</w:t>
        </w:r>
        <w:r>
          <w:tab/>
        </w:r>
        <w:r>
          <w:fldChar w:fldCharType="begin"/>
        </w:r>
        <w:r>
          <w:instrText xml:space="preserve"> PAGEREF _Toc18452 \h </w:instrText>
        </w:r>
        <w:r>
          <w:fldChar w:fldCharType="separate"/>
        </w:r>
        <w:r>
          <w:t>28</w:t>
        </w:r>
        <w:r>
          <w:fldChar w:fldCharType="end"/>
        </w:r>
      </w:hyperlink>
    </w:p>
    <w:p>
      <w:pPr>
        <w:pStyle w:val="TOC2"/>
        <w:tabs>
          <w:tab w:val="right" w:leader="dot" w:pos="8306"/>
        </w:tabs>
      </w:pPr>
      <w:hyperlink w:anchor="_Toc17893" w:history="1">
        <w:r>
          <w:rPr>
            <w:rFonts w:ascii="仿宋" w:eastAsia="仿宋" w:hAnsi="仿宋" w:cs="仿宋" w:hint="eastAsia"/>
            <w:lang w:eastAsia="zh-CN"/>
          </w:rPr>
          <w:t>(一)、人才需求与规划</w:t>
        </w:r>
        <w:r>
          <w:tab/>
        </w:r>
        <w:r>
          <w:fldChar w:fldCharType="begin"/>
        </w:r>
        <w:r>
          <w:instrText xml:space="preserve"> PAGEREF _Toc17893 \h </w:instrText>
        </w:r>
        <w:r>
          <w:fldChar w:fldCharType="separate"/>
        </w:r>
        <w:r>
          <w:t>28</w:t>
        </w:r>
        <w:r>
          <w:fldChar w:fldCharType="end"/>
        </w:r>
      </w:hyperlink>
    </w:p>
    <w:p>
      <w:pPr>
        <w:pStyle w:val="TOC2"/>
        <w:tabs>
          <w:tab w:val="right" w:leader="dot" w:pos="8306"/>
        </w:tabs>
      </w:pPr>
      <w:hyperlink w:anchor="_Toc23307" w:history="1">
        <w:r>
          <w:rPr>
            <w:rFonts w:ascii="仿宋" w:eastAsia="仿宋" w:hAnsi="仿宋" w:cs="仿宋" w:hint="eastAsia"/>
            <w:lang w:eastAsia="zh-CN"/>
          </w:rPr>
          <w:t>(二)、培训与发展计划</w:t>
        </w:r>
        <w:r>
          <w:tab/>
        </w:r>
        <w:r>
          <w:fldChar w:fldCharType="begin"/>
        </w:r>
        <w:r>
          <w:instrText xml:space="preserve"> PAGEREF _Toc23307 \h </w:instrText>
        </w:r>
        <w:r>
          <w:fldChar w:fldCharType="separate"/>
        </w:r>
        <w:r>
          <w:t>29</w:t>
        </w:r>
        <w:r>
          <w:fldChar w:fldCharType="end"/>
        </w:r>
      </w:hyperlink>
    </w:p>
    <w:p>
      <w:pPr>
        <w:pStyle w:val="TOC1"/>
        <w:tabs>
          <w:tab w:val="right" w:leader="dot" w:pos="8306"/>
        </w:tabs>
      </w:pPr>
      <w:hyperlink w:anchor="_Toc31162" w:history="1">
        <w:r>
          <w:rPr>
            <w:rFonts w:ascii="仿宋" w:eastAsia="仿宋" w:hAnsi="仿宋" w:cs="仿宋" w:hint="eastAsia"/>
            <w:lang w:eastAsia="zh-CN"/>
          </w:rPr>
          <w:t>十、射频同轴电缆组件项目技术管理</w:t>
        </w:r>
        <w:r>
          <w:tab/>
        </w:r>
        <w:r>
          <w:fldChar w:fldCharType="begin"/>
        </w:r>
        <w:r>
          <w:instrText xml:space="preserve"> PAGEREF _Toc31162 \h </w:instrText>
        </w:r>
        <w:r>
          <w:fldChar w:fldCharType="separate"/>
        </w:r>
        <w:r>
          <w:t>29</w:t>
        </w:r>
        <w:r>
          <w:fldChar w:fldCharType="end"/>
        </w:r>
      </w:hyperlink>
    </w:p>
    <w:p>
      <w:pPr>
        <w:pStyle w:val="TOC2"/>
        <w:tabs>
          <w:tab w:val="right" w:leader="dot" w:pos="8306"/>
        </w:tabs>
      </w:pPr>
      <w:hyperlink w:anchor="_Toc9589" w:history="1">
        <w:r>
          <w:rPr>
            <w:rFonts w:ascii="仿宋" w:eastAsia="仿宋" w:hAnsi="仿宋" w:cs="仿宋" w:hint="eastAsia"/>
            <w:lang w:eastAsia="zh-CN"/>
          </w:rPr>
          <w:t>(一)、技术方案选用方向</w:t>
        </w:r>
        <w:r>
          <w:tab/>
        </w:r>
        <w:r>
          <w:fldChar w:fldCharType="begin"/>
        </w:r>
        <w:r>
          <w:instrText xml:space="preserve"> PAGEREF _Toc9589 \h </w:instrText>
        </w:r>
        <w:r>
          <w:fldChar w:fldCharType="separate"/>
        </w:r>
        <w:r>
          <w:t>29</w:t>
        </w:r>
        <w:r>
          <w:fldChar w:fldCharType="end"/>
        </w:r>
      </w:hyperlink>
    </w:p>
    <w:p>
      <w:pPr>
        <w:pStyle w:val="TOC2"/>
        <w:tabs>
          <w:tab w:val="right" w:leader="dot" w:pos="8306"/>
        </w:tabs>
      </w:pPr>
      <w:hyperlink w:anchor="_Toc25692" w:history="1">
        <w:r>
          <w:rPr>
            <w:rFonts w:ascii="仿宋" w:eastAsia="仿宋" w:hAnsi="仿宋" w:cs="仿宋" w:hint="eastAsia"/>
            <w:lang w:eastAsia="zh-CN"/>
          </w:rPr>
          <w:t>(二)、工艺技术方案选用原则</w:t>
        </w:r>
        <w:r>
          <w:tab/>
        </w:r>
        <w:r>
          <w:fldChar w:fldCharType="begin"/>
        </w:r>
        <w:r>
          <w:instrText xml:space="preserve"> PAGEREF _Toc25692 \h </w:instrText>
        </w:r>
        <w:r>
          <w:fldChar w:fldCharType="separate"/>
        </w:r>
        <w:r>
          <w:t>31</w:t>
        </w:r>
        <w:r>
          <w:fldChar w:fldCharType="end"/>
        </w:r>
      </w:hyperlink>
    </w:p>
    <w:p>
      <w:pPr>
        <w:pStyle w:val="TOC2"/>
        <w:tabs>
          <w:tab w:val="right" w:leader="dot" w:pos="8306"/>
        </w:tabs>
      </w:pPr>
      <w:hyperlink w:anchor="_Toc5389" w:history="1">
        <w:r>
          <w:rPr>
            <w:rFonts w:ascii="仿宋" w:eastAsia="仿宋" w:hAnsi="仿宋" w:cs="仿宋" w:hint="eastAsia"/>
            <w:lang w:eastAsia="zh-CN"/>
          </w:rPr>
          <w:t>(三)、工艺技术方案要求</w:t>
        </w:r>
        <w:r>
          <w:tab/>
        </w:r>
        <w:r>
          <w:fldChar w:fldCharType="begin"/>
        </w:r>
        <w:r>
          <w:instrText xml:space="preserve"> PAGEREF _Toc5389 \h </w:instrText>
        </w:r>
        <w:r>
          <w:fldChar w:fldCharType="separate"/>
        </w:r>
        <w:r>
          <w:t>33</w:t>
        </w:r>
        <w:r>
          <w:fldChar w:fldCharType="end"/>
        </w:r>
      </w:hyperlink>
    </w:p>
    <w:p>
      <w:pPr>
        <w:pStyle w:val="TOC1"/>
        <w:tabs>
          <w:tab w:val="right" w:leader="dot" w:pos="8306"/>
        </w:tabs>
      </w:pPr>
      <w:hyperlink w:anchor="_Toc24510" w:history="1">
        <w:r>
          <w:rPr>
            <w:rFonts w:ascii="仿宋" w:eastAsia="仿宋" w:hAnsi="仿宋" w:cs="仿宋" w:hint="eastAsia"/>
            <w:lang w:eastAsia="zh-CN"/>
          </w:rPr>
          <w:t>十一、射频同轴电缆组件项目投资规划</w:t>
        </w:r>
        <w:r>
          <w:tab/>
        </w:r>
        <w:r>
          <w:fldChar w:fldCharType="begin"/>
        </w:r>
        <w:r>
          <w:instrText xml:space="preserve"> PAGEREF _Toc24510 \h </w:instrText>
        </w:r>
        <w:r>
          <w:fldChar w:fldCharType="separate"/>
        </w:r>
        <w:r>
          <w:t>36</w:t>
        </w:r>
        <w:r>
          <w:fldChar w:fldCharType="end"/>
        </w:r>
      </w:hyperlink>
    </w:p>
    <w:p>
      <w:pPr>
        <w:pStyle w:val="TOC2"/>
        <w:tabs>
          <w:tab w:val="right" w:leader="dot" w:pos="8306"/>
        </w:tabs>
      </w:pPr>
      <w:hyperlink w:anchor="_Toc14994" w:history="1">
        <w:r>
          <w:rPr>
            <w:rFonts w:ascii="仿宋" w:eastAsia="仿宋" w:hAnsi="仿宋" w:cs="仿宋" w:hint="eastAsia"/>
            <w:lang w:eastAsia="zh-CN"/>
          </w:rPr>
          <w:t>(一)、射频同轴电缆组件项目总投资估算</w:t>
        </w:r>
        <w:r>
          <w:tab/>
        </w:r>
        <w:r>
          <w:fldChar w:fldCharType="begin"/>
        </w:r>
        <w:r>
          <w:instrText xml:space="preserve"> PAGEREF _Toc14994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69" w:history="1">
        <w:r>
          <w:rPr>
            <w:rFonts w:ascii="仿宋" w:eastAsia="仿宋" w:hAnsi="仿宋" w:cs="仿宋" w:hint="eastAsia"/>
            <w:lang w:eastAsia="zh-CN"/>
          </w:rPr>
          <w:t>(二)、资金筹措</w:t>
        </w:r>
        <w:r>
          <w:tab/>
        </w:r>
        <w:r>
          <w:fldChar w:fldCharType="begin"/>
        </w:r>
        <w:r>
          <w:instrText xml:space="preserve"> PAGEREF _Toc17869 \h </w:instrText>
        </w:r>
        <w:r>
          <w:fldChar w:fldCharType="separate"/>
        </w:r>
        <w:r>
          <w:t>37</w:t>
        </w:r>
        <w:r>
          <w:fldChar w:fldCharType="end"/>
        </w:r>
      </w:hyperlink>
    </w:p>
    <w:p>
      <w:pPr>
        <w:pStyle w:val="TOC1"/>
        <w:tabs>
          <w:tab w:val="right" w:leader="dot" w:pos="8306"/>
        </w:tabs>
      </w:pPr>
      <w:hyperlink w:anchor="_Toc11174" w:history="1">
        <w:r>
          <w:rPr>
            <w:rFonts w:ascii="仿宋" w:eastAsia="仿宋" w:hAnsi="仿宋" w:cs="仿宋" w:hint="eastAsia"/>
            <w:lang w:eastAsia="zh-CN"/>
          </w:rPr>
          <w:t>十二、射频同轴电缆组件项目人力资源管理</w:t>
        </w:r>
        <w:r>
          <w:tab/>
        </w:r>
        <w:r>
          <w:fldChar w:fldCharType="begin"/>
        </w:r>
        <w:r>
          <w:instrText xml:space="preserve"> PAGEREF _Toc11174 \h </w:instrText>
        </w:r>
        <w:r>
          <w:fldChar w:fldCharType="separate"/>
        </w:r>
        <w:r>
          <w:t>38</w:t>
        </w:r>
        <w:r>
          <w:fldChar w:fldCharType="end"/>
        </w:r>
      </w:hyperlink>
    </w:p>
    <w:p>
      <w:pPr>
        <w:pStyle w:val="TOC2"/>
        <w:tabs>
          <w:tab w:val="right" w:leader="dot" w:pos="8306"/>
        </w:tabs>
      </w:pPr>
      <w:hyperlink w:anchor="_Toc4971" w:history="1">
        <w:r>
          <w:rPr>
            <w:rFonts w:ascii="仿宋" w:eastAsia="仿宋" w:hAnsi="仿宋" w:cs="仿宋" w:hint="eastAsia"/>
            <w:lang w:eastAsia="zh-CN"/>
          </w:rPr>
          <w:t>(一)、建立健全的预算管理制度</w:t>
        </w:r>
        <w:r>
          <w:tab/>
        </w:r>
        <w:r>
          <w:fldChar w:fldCharType="begin"/>
        </w:r>
        <w:r>
          <w:instrText xml:space="preserve"> PAGEREF _Toc4971 \h </w:instrText>
        </w:r>
        <w:r>
          <w:fldChar w:fldCharType="separate"/>
        </w:r>
        <w:r>
          <w:t>38</w:t>
        </w:r>
        <w:r>
          <w:fldChar w:fldCharType="end"/>
        </w:r>
      </w:hyperlink>
    </w:p>
    <w:p>
      <w:pPr>
        <w:pStyle w:val="TOC2"/>
        <w:tabs>
          <w:tab w:val="right" w:leader="dot" w:pos="8306"/>
        </w:tabs>
      </w:pPr>
      <w:hyperlink w:anchor="_Toc16482" w:history="1">
        <w:r>
          <w:rPr>
            <w:rFonts w:ascii="仿宋" w:eastAsia="仿宋" w:hAnsi="仿宋" w:cs="仿宋" w:hint="eastAsia"/>
            <w:lang w:eastAsia="zh-CN"/>
          </w:rPr>
          <w:t>(二)、加强资金流动监控</w:t>
        </w:r>
        <w:r>
          <w:tab/>
        </w:r>
        <w:r>
          <w:fldChar w:fldCharType="begin"/>
        </w:r>
        <w:r>
          <w:instrText xml:space="preserve"> PAGEREF _Toc16482 \h </w:instrText>
        </w:r>
        <w:r>
          <w:fldChar w:fldCharType="separate"/>
        </w:r>
        <w:r>
          <w:t>39</w:t>
        </w:r>
        <w:r>
          <w:fldChar w:fldCharType="end"/>
        </w:r>
      </w:hyperlink>
    </w:p>
    <w:p>
      <w:pPr>
        <w:pStyle w:val="TOC2"/>
        <w:tabs>
          <w:tab w:val="right" w:leader="dot" w:pos="8306"/>
        </w:tabs>
      </w:pPr>
      <w:hyperlink w:anchor="_Toc15389" w:history="1">
        <w:r>
          <w:rPr>
            <w:rFonts w:ascii="仿宋" w:eastAsia="仿宋" w:hAnsi="仿宋" w:cs="仿宋" w:hint="eastAsia"/>
            <w:lang w:eastAsia="zh-CN"/>
          </w:rPr>
          <w:t>(三)、制定完善的风险控制机制</w:t>
        </w:r>
        <w:r>
          <w:tab/>
        </w:r>
        <w:r>
          <w:fldChar w:fldCharType="begin"/>
        </w:r>
        <w:r>
          <w:instrText xml:space="preserve"> PAGEREF _Toc15389 \h </w:instrText>
        </w:r>
        <w:r>
          <w:fldChar w:fldCharType="separate"/>
        </w:r>
        <w:r>
          <w:t>41</w:t>
        </w:r>
        <w:r>
          <w:fldChar w:fldCharType="end"/>
        </w:r>
      </w:hyperlink>
    </w:p>
    <w:p>
      <w:pPr>
        <w:pStyle w:val="TOC2"/>
        <w:tabs>
          <w:tab w:val="right" w:leader="dot" w:pos="8306"/>
        </w:tabs>
      </w:pPr>
      <w:hyperlink w:anchor="_Toc29368" w:history="1">
        <w:r>
          <w:rPr>
            <w:rFonts w:ascii="仿宋" w:eastAsia="仿宋" w:hAnsi="仿宋" w:cs="仿宋" w:hint="eastAsia"/>
            <w:lang w:eastAsia="zh-CN"/>
          </w:rPr>
          <w:t>(四)、优化成本管理</w:t>
        </w:r>
        <w:r>
          <w:tab/>
        </w:r>
        <w:r>
          <w:fldChar w:fldCharType="begin"/>
        </w:r>
        <w:r>
          <w:instrText xml:space="preserve"> PAGEREF _Toc29368 \h </w:instrText>
        </w:r>
        <w:r>
          <w:fldChar w:fldCharType="separate"/>
        </w:r>
        <w:r>
          <w:t>42</w:t>
        </w:r>
        <w:r>
          <w:fldChar w:fldCharType="end"/>
        </w:r>
      </w:hyperlink>
    </w:p>
    <w:p>
      <w:pPr>
        <w:pStyle w:val="TOC1"/>
        <w:tabs>
          <w:tab w:val="right" w:leader="dot" w:pos="8306"/>
        </w:tabs>
      </w:pPr>
      <w:hyperlink w:anchor="_Toc31854" w:history="1">
        <w:r>
          <w:rPr>
            <w:rFonts w:ascii="仿宋" w:eastAsia="仿宋" w:hAnsi="仿宋" w:cs="仿宋" w:hint="eastAsia"/>
            <w:lang w:eastAsia="zh-CN"/>
          </w:rPr>
          <w:t>十三、供应链管理</w:t>
        </w:r>
        <w:r>
          <w:tab/>
        </w:r>
        <w:r>
          <w:fldChar w:fldCharType="begin"/>
        </w:r>
        <w:r>
          <w:instrText xml:space="preserve"> PAGEREF _Toc31854 \h </w:instrText>
        </w:r>
        <w:r>
          <w:fldChar w:fldCharType="separate"/>
        </w:r>
        <w:r>
          <w:t>43</w:t>
        </w:r>
        <w:r>
          <w:fldChar w:fldCharType="end"/>
        </w:r>
      </w:hyperlink>
    </w:p>
    <w:p>
      <w:pPr>
        <w:pStyle w:val="TOC2"/>
        <w:tabs>
          <w:tab w:val="right" w:leader="dot" w:pos="8306"/>
        </w:tabs>
      </w:pPr>
      <w:hyperlink w:anchor="_Toc5610" w:history="1">
        <w:r>
          <w:rPr>
            <w:rFonts w:ascii="仿宋" w:eastAsia="仿宋" w:hAnsi="仿宋" w:cs="仿宋" w:hint="eastAsia"/>
            <w:lang w:eastAsia="zh-CN"/>
          </w:rPr>
          <w:t>(一)、供应链战略规划</w:t>
        </w:r>
        <w:r>
          <w:tab/>
        </w:r>
        <w:r>
          <w:fldChar w:fldCharType="begin"/>
        </w:r>
        <w:r>
          <w:instrText xml:space="preserve"> PAGEREF _Toc5610 \h </w:instrText>
        </w:r>
        <w:r>
          <w:fldChar w:fldCharType="separate"/>
        </w:r>
        <w:r>
          <w:t>43</w:t>
        </w:r>
        <w:r>
          <w:fldChar w:fldCharType="end"/>
        </w:r>
      </w:hyperlink>
    </w:p>
    <w:p>
      <w:pPr>
        <w:pStyle w:val="TOC2"/>
        <w:tabs>
          <w:tab w:val="right" w:leader="dot" w:pos="8306"/>
        </w:tabs>
      </w:pPr>
      <w:hyperlink w:anchor="_Toc10253" w:history="1">
        <w:r>
          <w:rPr>
            <w:rFonts w:ascii="仿宋" w:eastAsia="仿宋" w:hAnsi="仿宋" w:cs="仿宋" w:hint="eastAsia"/>
            <w:lang w:eastAsia="zh-CN"/>
          </w:rPr>
          <w:t>(二)、供应商选择与合作</w:t>
        </w:r>
        <w:r>
          <w:tab/>
        </w:r>
        <w:r>
          <w:fldChar w:fldCharType="begin"/>
        </w:r>
        <w:r>
          <w:instrText xml:space="preserve"> PAGEREF _Toc10253 \h </w:instrText>
        </w:r>
        <w:r>
          <w:fldChar w:fldCharType="separate"/>
        </w:r>
        <w:r>
          <w:t>45</w:t>
        </w:r>
        <w:r>
          <w:fldChar w:fldCharType="end"/>
        </w:r>
      </w:hyperlink>
    </w:p>
    <w:p>
      <w:pPr>
        <w:pStyle w:val="TOC2"/>
        <w:tabs>
          <w:tab w:val="right" w:leader="dot" w:pos="8306"/>
        </w:tabs>
      </w:pPr>
      <w:hyperlink w:anchor="_Toc3730" w:history="1">
        <w:r>
          <w:rPr>
            <w:rFonts w:ascii="仿宋" w:eastAsia="仿宋" w:hAnsi="仿宋" w:cs="仿宋" w:hint="eastAsia"/>
            <w:lang w:eastAsia="zh-CN"/>
          </w:rPr>
          <w:t>(三)、物流与库存管理</w:t>
        </w:r>
        <w:r>
          <w:tab/>
        </w:r>
        <w:r>
          <w:fldChar w:fldCharType="begin"/>
        </w:r>
        <w:r>
          <w:instrText xml:space="preserve"> PAGEREF _Toc3730 \h </w:instrText>
        </w:r>
        <w:r>
          <w:fldChar w:fldCharType="separate"/>
        </w:r>
        <w:r>
          <w:t>46</w:t>
        </w:r>
        <w:r>
          <w:fldChar w:fldCharType="end"/>
        </w:r>
      </w:hyperlink>
    </w:p>
    <w:p>
      <w:pPr>
        <w:pStyle w:val="TOC1"/>
        <w:tabs>
          <w:tab w:val="right" w:leader="dot" w:pos="8306"/>
        </w:tabs>
      </w:pPr>
      <w:hyperlink w:anchor="_Toc6700" w:history="1">
        <w:r>
          <w:rPr>
            <w:rFonts w:ascii="仿宋" w:eastAsia="仿宋" w:hAnsi="仿宋" w:cs="仿宋" w:hint="eastAsia"/>
            <w:lang w:eastAsia="zh-CN"/>
          </w:rPr>
          <w:t>十四、射频同轴电缆组件项目实施保障措施</w:t>
        </w:r>
        <w:r>
          <w:tab/>
        </w:r>
        <w:r>
          <w:fldChar w:fldCharType="begin"/>
        </w:r>
        <w:r>
          <w:instrText xml:space="preserve"> PAGEREF _Toc6700 \h </w:instrText>
        </w:r>
        <w:r>
          <w:fldChar w:fldCharType="separate"/>
        </w:r>
        <w:r>
          <w:t>48</w:t>
        </w:r>
        <w:r>
          <w:fldChar w:fldCharType="end"/>
        </w:r>
      </w:hyperlink>
    </w:p>
    <w:p>
      <w:pPr>
        <w:pStyle w:val="TOC2"/>
        <w:tabs>
          <w:tab w:val="right" w:leader="dot" w:pos="8306"/>
        </w:tabs>
      </w:pPr>
      <w:hyperlink w:anchor="_Toc14353" w:history="1">
        <w:r>
          <w:rPr>
            <w:rFonts w:ascii="仿宋" w:eastAsia="仿宋" w:hAnsi="仿宋" w:cs="仿宋" w:hint="eastAsia"/>
            <w:lang w:eastAsia="zh-CN"/>
          </w:rPr>
          <w:t>(一)、射频同轴电缆组件项目实施保障机制</w:t>
        </w:r>
        <w:r>
          <w:tab/>
        </w:r>
        <w:r>
          <w:fldChar w:fldCharType="begin"/>
        </w:r>
        <w:r>
          <w:instrText xml:space="preserve"> PAGEREF _Toc14353 \h </w:instrText>
        </w:r>
        <w:r>
          <w:fldChar w:fldCharType="separate"/>
        </w:r>
        <w:r>
          <w:t>48</w:t>
        </w:r>
        <w:r>
          <w:fldChar w:fldCharType="end"/>
        </w:r>
      </w:hyperlink>
    </w:p>
    <w:p>
      <w:pPr>
        <w:pStyle w:val="TOC2"/>
        <w:tabs>
          <w:tab w:val="right" w:leader="dot" w:pos="8306"/>
        </w:tabs>
      </w:pPr>
      <w:hyperlink w:anchor="_Toc25018" w:history="1">
        <w:r>
          <w:rPr>
            <w:rFonts w:ascii="仿宋" w:eastAsia="仿宋" w:hAnsi="仿宋" w:cs="仿宋" w:hint="eastAsia"/>
            <w:lang w:eastAsia="zh-CN"/>
          </w:rPr>
          <w:t>(二)、射频同轴电缆组件项目法律合规要求</w:t>
        </w:r>
        <w:r>
          <w:tab/>
        </w:r>
        <w:r>
          <w:fldChar w:fldCharType="begin"/>
        </w:r>
        <w:r>
          <w:instrText xml:space="preserve"> PAGEREF _Toc25018 \h </w:instrText>
        </w:r>
        <w:r>
          <w:fldChar w:fldCharType="separate"/>
        </w:r>
        <w:r>
          <w:t>51</w:t>
        </w:r>
        <w:r>
          <w:fldChar w:fldCharType="end"/>
        </w:r>
      </w:hyperlink>
    </w:p>
    <w:p>
      <w:pPr>
        <w:pStyle w:val="TOC2"/>
        <w:tabs>
          <w:tab w:val="right" w:leader="dot" w:pos="8306"/>
        </w:tabs>
      </w:pPr>
      <w:hyperlink w:anchor="_Toc19044" w:history="1">
        <w:r>
          <w:rPr>
            <w:rFonts w:ascii="仿宋" w:eastAsia="仿宋" w:hAnsi="仿宋" w:cs="仿宋" w:hint="eastAsia"/>
            <w:lang w:eastAsia="zh-CN"/>
          </w:rPr>
          <w:t>(三)、射频同轴电缆组件项目合同管理与法律事务</w:t>
        </w:r>
        <w:r>
          <w:tab/>
        </w:r>
        <w:r>
          <w:fldChar w:fldCharType="begin"/>
        </w:r>
        <w:r>
          <w:instrText xml:space="preserve"> PAGEREF _Toc19044 \h </w:instrText>
        </w:r>
        <w:r>
          <w:fldChar w:fldCharType="separate"/>
        </w:r>
        <w:r>
          <w:t>56</w:t>
        </w:r>
        <w:r>
          <w:fldChar w:fldCharType="end"/>
        </w:r>
      </w:hyperlink>
    </w:p>
    <w:p>
      <w:pPr>
        <w:pStyle w:val="TOC2"/>
        <w:tabs>
          <w:tab w:val="right" w:leader="dot" w:pos="8306"/>
        </w:tabs>
      </w:pPr>
      <w:hyperlink w:anchor="_Toc20577" w:history="1">
        <w:r>
          <w:rPr>
            <w:rFonts w:ascii="仿宋" w:eastAsia="仿宋" w:hAnsi="仿宋" w:cs="仿宋" w:hint="eastAsia"/>
            <w:lang w:eastAsia="zh-CN"/>
          </w:rPr>
          <w:t>(四)、射频同轴电缆组件项目知识产权保护策略</w:t>
        </w:r>
        <w:r>
          <w:tab/>
        </w:r>
        <w:r>
          <w:fldChar w:fldCharType="begin"/>
        </w:r>
        <w:r>
          <w:instrText xml:space="preserve"> PAGEREF _Toc20577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71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96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射频同轴电缆组件项目的主要产品是XXXX，预计年产值为XXX万元。这一产品在市场中占据着重要的地位，其广泛的应用范围使得该射频同轴电缆组件项目的市场前景非常广阔。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射频同轴电缆组件项目的xxx产品作为重要的原材料之一，将在多个领域发挥关键作用。其在建筑、交通、能源等方面的广泛应用将为整个产业链提供强大的支持，形成产业协同效应。射频同轴电缆组件项目的年产值XXX万XXX万XXX万万元不仅反映了其在市场上的巨大潜力，更预示着它对国民经济的积极贡献。这种关联度高、涉及面广的产业关系，使得该射频同轴电缆组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56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总征地面积为XXXX平方米，相当于约XX.XX亩，其中净用地面积为XXXX平方米，红线范围内相当于约XX.XX亩。这一用地规模充分考虑了射频同轴电缆组件项目的建设需求，保障了射频同轴电缆组件项目在合适的空间内得以充分发展。射频同轴电缆组件项目规划的总建筑面积为XXXX平方米，其中主体工程建设占XXXX平方米，计容建筑面积达XXXX平方米。预计建筑工程的投资将达到XXXX万元，为射频同轴电缆组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计划购置的设备共计XXXX台（套），设备购置费用为XXXX万元。这一设备购置计划充分考虑到射频同轴电缆组件项目的生产需求和技术要求，确保了射频同轴电缆组件项目在生产运营中具备先进的技术装备和高效的生产能力。设备的合理配置将为射频同轴电缆组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计划总投资为XXXX万元，预计年实现营业收入为XXXX万元。这一产能规模的设定旨在确保射频同轴电缆组件项目能够在投资与回报之间取得平衡，实现长期可持续的发展。射频同轴电缆组件项目的总投资充分考虑到各个方面的需求，包括用地建设、设备购置等多个环节，以确保射频同轴电缆组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616"/>
      <w:r>
        <w:rPr>
          <w:rFonts w:ascii="仿宋" w:eastAsia="仿宋" w:hAnsi="仿宋" w:cs="仿宋" w:hint="eastAsia"/>
          <w:sz w:val="28"/>
          <w:lang w:eastAsia="zh-CN"/>
        </w:rPr>
        <w:t>二、射频同轴电缆组件项目文档管理</w:t>
      </w:r>
      <w:bookmarkEnd w:id="5"/>
    </w:p>
    <w:p>
      <w:pPr>
        <w:pStyle w:val="Heading2"/>
        <w:rPr>
          <w:rFonts w:ascii="仿宋" w:eastAsia="仿宋" w:hAnsi="仿宋" w:cs="仿宋" w:hint="eastAsia"/>
          <w:lang w:eastAsia="zh-CN"/>
        </w:rPr>
      </w:pPr>
      <w:bookmarkStart w:id="6" w:name="_Toc1878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射频同轴电缆组件项目高度重视文档的质量和准确性，以支持射频同轴电缆组件项目的各项活动和决策。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文档的编制始于射频同轴电缆组件项目计划的初期，我们制定了详细的文档编制计划，明确了每个文档的内容、格式和编写责任人。在射频同轴电缆组件项目启动阶段，我们首先编制了射频同轴电缆组件项目章程，明确定义了射频同轴电缆组件项目的目标、范围、风险等关键要素。随后，射频同轴电缆组件项目团队根据计划陆续编制了需求文档、设计文档、测试文档等各类文档，确保射频同轴电缆组件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射频同轴电缆组件项目管理中的重要环节，旨在确保射频同轴电缆组件项目文档符合质量标准和射频同轴电缆组件项目需求。在射频同轴电缆组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射频同轴电缆组件项目相关利益方和专业领域的专家对文档进行独立审查。这有助于获取更全面、客观的反馈，确保射频同轴电缆组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在文档编制与审查方面建立了严格的管理机制，通过规范的流程和多维度的审查，确保射频同轴电缆组件项目文档的质量、准确性和可靠性，为射频同轴电缆组件项目的顺利推进提供了有力支持。</w:t>
      </w:r>
    </w:p>
    <w:p>
      <w:pPr>
        <w:pStyle w:val="Heading2"/>
        <w:ind w:firstLine="560" w:firstLineChars="200"/>
        <w:rPr>
          <w:rFonts w:ascii="仿宋" w:eastAsia="仿宋" w:hAnsi="仿宋" w:cs="仿宋" w:hint="eastAsia"/>
          <w:sz w:val="28"/>
          <w:lang w:eastAsia="zh-CN"/>
        </w:rPr>
      </w:pPr>
      <w:bookmarkStart w:id="7" w:name="_Toc2356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在射频同轴电缆组件项目中，我们致力于优化文档发布与分发过程，以确保信息的高效传递和团队间协作的顺畅进行。以下是我们采取的关键优化策略：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我们通过多渠道发布文档，包括电子邮件、射频同轴电缆组件项目管理平台、内部网站等，以满足不同团队成员的偏好和需求。多渠道发布确保了信息的全面覆盖。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我们采用了精细的权限控制，确保只有授权人员可以访问敏感信息。这种安全措施保护了射频同轴电缆组件项目文档的机密性，防止了未经授权的信息泄露。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97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射频同轴电缆组件项目生命周期中一个至关重要的环节，直接关系到射频同轴电缆组件项目信息的长期保存和历史记录的完整性。在射频同轴电缆组件项目中，我们实施了一系列有效的文档存档与归档管理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66"/>
      <w:r>
        <w:rPr>
          <w:rFonts w:ascii="仿宋" w:eastAsia="仿宋" w:hAnsi="仿宋" w:cs="仿宋" w:hint="eastAsia"/>
          <w:sz w:val="28"/>
          <w:lang w:eastAsia="zh-CN"/>
        </w:rPr>
        <w:t>三、射频同轴电缆组件项目绩效评估</w:t>
      </w:r>
      <w:bookmarkEnd w:id="9"/>
    </w:p>
    <w:p>
      <w:pPr>
        <w:pStyle w:val="Heading2"/>
        <w:rPr>
          <w:rFonts w:ascii="仿宋" w:eastAsia="仿宋" w:hAnsi="仿宋" w:cs="仿宋" w:hint="eastAsia"/>
          <w:lang w:eastAsia="zh-CN"/>
        </w:rPr>
      </w:pPr>
      <w:bookmarkStart w:id="10" w:name="_Toc2532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组件项目中，我们设计了一套全面的绩效评估指标，以确保射频同轴电缆组件项目的可控和成功交付。这些指标跨足射频同轴电缆组件项目目标、成本、进度和质量等多个维度，为我们提供了全面洞察射频同轴电缆组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目标达成率是我们关注的首要指标。我们设定了明确的目标，并通过定期监测和评估，迅速发现并应对潜在的目标偏差。这为射频同轴电缆组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成本绩效是另一个核心关注点。通过实际成本与预算成本的对比分析，我们深入了解成本差异的原因，及时调整资源分配，保持射频同轴电缆组件项目在经济效益方面的合理水平。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进度作为关键的绩效指标之一，得到了精心的关注。我们制定了详细的射频同轴电缆组件项目进度计划，并设立了进度符合度指标，确保实际进度与计划进度保持一致。这使我们能够快速发现和解决潜在的进度问题，保持射频同轴电缆组件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射频同轴电缆组件项目绩效的不可或缺的一环。我们引入了一系列的质量标准和客户满意度指标，以确保射频同轴电缆组件项目交付的成果在质量上达到或超越预期水平。通过持续监测这些指标，我们努力提升射频同轴电缆组件项目整体质量水平，为射频同轴电缆组件项目的成功交付提供有力保障。通过这些科学且全面的绩效评估，我们能够更好地引导射频同轴电缆组件项目的持续改进，确保射频同轴电缆组件项目目标的顺利达成。</w:t>
      </w:r>
    </w:p>
    <w:p>
      <w:pPr>
        <w:pStyle w:val="Heading2"/>
        <w:ind w:firstLine="560" w:firstLineChars="200"/>
        <w:rPr>
          <w:rFonts w:ascii="仿宋" w:eastAsia="仿宋" w:hAnsi="仿宋" w:cs="仿宋" w:hint="eastAsia"/>
          <w:sz w:val="28"/>
          <w:lang w:eastAsia="zh-CN"/>
        </w:rPr>
      </w:pPr>
      <w:bookmarkStart w:id="11" w:name="_Toc1790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绩效评估是射频同轴电缆组件项目中的关键环节，为确保射频同轴电缆组件项目达到预期目标，我们采用了多层次、多维度的绩效评估方法。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射频同轴电缆组件项目的战略目标对齐，确保每个决策和行动都与射频同轴电缆组件项目整体目标保持一致。团队会定期召开战略对齐会议，审视当前工作与射频同轴电缆组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射频同轴电缆组件项目进度、质量、成本和风险等方面。这些指标通过数据收集和分析，为射频同轴电缆组件项目管理团队提供了客观的评估依据。例如，我们通过射频同轴电缆组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射频同轴电缆组件项目内部，还考虑了射频同轴电缆组件项目对外部环境的影响。我们定期进行干系人满意度调查，以了解各利益相关方对射频同轴电缆组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这种多层次、多角度的绩效评估方法，使得我们能够全面了解射频同轴电缆组件项目的运行状态，及时做出调整，确保射频同轴电缆组件项目在不断变化的环境中保持稳健前行。</w:t>
      </w:r>
    </w:p>
    <w:p>
      <w:pPr>
        <w:pStyle w:val="Heading2"/>
        <w:ind w:firstLine="560" w:firstLineChars="200"/>
        <w:rPr>
          <w:rFonts w:ascii="仿宋" w:eastAsia="仿宋" w:hAnsi="仿宋" w:cs="仿宋" w:hint="eastAsia"/>
          <w:sz w:val="28"/>
          <w:lang w:eastAsia="zh-CN"/>
        </w:rPr>
      </w:pPr>
      <w:bookmarkStart w:id="12" w:name="_Toc23963"/>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为了确保射频同轴电缆组件项目的有效管理和不断优化，我们采用了精心设计的绩效评估周期。这个周期旨在实现灵活、实时和全面的评估，以适应射频同轴电缆组件项目执行中的各种挑战。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射频同轴电缆组件项目的不同需求，分为短期、中期和长期。短期评估关注每个迭代或工作周期，以及时发现和解决当前任务中的问题。中期评估涵盖几个迭代，深入了解整体射频同轴电缆组件项目的趋势和性能。长期评估则着眼于整个射频同轴电缆组件项目阶段，确保射频同轴电缆组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射频同轴电缆组件项目管理工具和协作平台，团队成员能够随时更新和分享射频同轴电缆组件项目数据。这种实时性的反馈机制使我们能够及时察觉潜在问题，快速调整，保持射频同轴电缆组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射频同轴电缆组件项目的决策制定密不可分。每个周期的射频同轴电缆组件项目回顾会议成为集体总结经验、识别问题深层次原因并找到创新解决方案的平台。这种定期的反思与调整机制使射频同轴电缆组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9599"/>
      <w:r>
        <w:rPr>
          <w:rFonts w:ascii="仿宋" w:eastAsia="仿宋" w:hAnsi="仿宋" w:cs="仿宋" w:hint="eastAsia"/>
          <w:sz w:val="28"/>
          <w:lang w:eastAsia="zh-CN"/>
        </w:rPr>
        <w:t>四、射频同轴电缆组件项目建设单位说明</w:t>
      </w:r>
      <w:bookmarkEnd w:id="13"/>
    </w:p>
    <w:p>
      <w:pPr>
        <w:pStyle w:val="Heading2"/>
        <w:rPr>
          <w:rFonts w:ascii="仿宋" w:eastAsia="仿宋" w:hAnsi="仿宋" w:cs="仿宋" w:hint="eastAsia"/>
          <w:lang w:eastAsia="zh-CN"/>
        </w:rPr>
      </w:pPr>
      <w:bookmarkStart w:id="14" w:name="_Toc13654"/>
      <w:r>
        <w:rPr>
          <w:rFonts w:ascii="仿宋" w:eastAsia="仿宋" w:hAnsi="仿宋" w:cs="仿宋" w:hint="eastAsia"/>
          <w:lang w:eastAsia="zh-CN"/>
        </w:rPr>
        <w:t>(一)、射频同轴电缆组件项目承办单位基本情况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506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射频同轴电缆组件项目承办单位的XXXX，我们着眼于实现可持续的经济效益。通过技术创新和解决方案的提供，公司预计在射频同轴电缆组件项目执行期间将获得可观的收入增长。这一收入来源主要包括射频同轴电缆组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同时，我们注重成本控制和效率提升，以确保射频同轴电缆组件项目的可持续盈利。透过精细的管理和资源优化，公司期望实现射频同轴电缆组件项目利润最大化。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射频同轴电缆组件项目实施进行全面的投资评估，包括射频同轴电缆组件项目启动阶段的资金投入和后续运营成本。通过对射频同轴电缆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射频同轴电缆组件项目实施过程中具备足够的资金流动性，公司将进行详尽的现金流分析。这包括资金需求的合理预测、射频同轴电缆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6650"/>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6286"/>
      <w:r>
        <w:rPr>
          <w:rFonts w:ascii="仿宋" w:eastAsia="仿宋" w:hAnsi="仿宋" w:cs="仿宋" w:hint="eastAsia"/>
          <w:lang w:eastAsia="zh-CN"/>
        </w:rPr>
        <w:t>(一)、射频同轴电缆组件行业分析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射频同轴电缆组件行业一直以来都是市场的关注焦点。行业内的发展趋势、竞争态势以及潜在机会都对射频同轴电缆组件项目的推进产生深远的影响。通过深入研究行业的整体概貌，我们将更好地理解行业的核心特征，为射频同轴电缆组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组件行业，技术一直是推动创新和发展的关键因素。我们将对当前技术趋势进行详尽分析，包括但不限于人工智能、大数据应用、先进制造技术等。这有助于射频同轴电缆组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射频同轴电缆组件项目成功的基础。我们将对主要竞争对手进行深入研究，包括其市场份额、产品特点、市场定位等。通过全面了解竞争对手的优势和劣势，射频同轴电缆组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6137"/>
      <w:r>
        <w:rPr>
          <w:rFonts w:ascii="仿宋" w:eastAsia="仿宋" w:hAnsi="仿宋" w:cs="仿宋" w:hint="eastAsia"/>
          <w:sz w:val="28"/>
          <w:lang w:eastAsia="zh-CN"/>
        </w:rPr>
        <w:t>(二)、射频同轴电缆组件市场分析预测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射频同轴电缆组件市场未来的增长趋势。这包括市场的整体规模、各细分领域的发展趋势等。射频同轴电缆组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射频同轴电缆组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射频同轴电缆组件项目实施过程中需要充分考虑的因素。我们将对市场风险进行全面评估，包括但不限于政策法规风险、市场竞争风险、技术变革风险等。通过对潜在风险的深入分析，射频同轴电缆组件项目可以制定相应的风险缓解策略，降低不确定性对射频同轴电缆组件项目的影响。</w:t>
      </w:r>
    </w:p>
    <w:p>
      <w:pPr>
        <w:pStyle w:val="Heading1"/>
        <w:ind w:firstLine="560" w:firstLineChars="200"/>
        <w:rPr>
          <w:rFonts w:ascii="仿宋" w:eastAsia="仿宋" w:hAnsi="仿宋" w:cs="仿宋" w:hint="eastAsia"/>
          <w:sz w:val="28"/>
          <w:lang w:eastAsia="zh-CN"/>
        </w:rPr>
      </w:pPr>
      <w:bookmarkStart w:id="19" w:name="_Toc24095"/>
      <w:r>
        <w:rPr>
          <w:rFonts w:ascii="仿宋" w:eastAsia="仿宋" w:hAnsi="仿宋" w:cs="仿宋" w:hint="eastAsia"/>
          <w:sz w:val="28"/>
          <w:lang w:eastAsia="zh-CN"/>
        </w:rPr>
        <w:t>六、射频同轴电缆组件项目概论</w:t>
      </w:r>
      <w:bookmarkEnd w:id="19"/>
    </w:p>
    <w:p>
      <w:pPr>
        <w:pStyle w:val="Heading2"/>
        <w:rPr>
          <w:rFonts w:ascii="仿宋" w:eastAsia="仿宋" w:hAnsi="仿宋" w:cs="仿宋" w:hint="eastAsia"/>
          <w:lang w:eastAsia="zh-CN"/>
        </w:rPr>
      </w:pPr>
      <w:bookmarkStart w:id="20" w:name="_Toc31625"/>
      <w:r>
        <w:rPr>
          <w:rFonts w:ascii="仿宋" w:eastAsia="仿宋" w:hAnsi="仿宋" w:cs="仿宋" w:hint="eastAsia"/>
          <w:lang w:eastAsia="zh-CN"/>
        </w:rPr>
        <w:t>(一)、射频同轴电缆组件项目概况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的起源追溯至对市场的深入洞察。市场的不断演变与变革为射频同轴电缆组件项目提供了难得的机遇。当前市场存在的需求缺口和变革的大环境共同构成了射频同轴电缆组件项目的背景。这个射频同轴电缆组件项目旨在充分利用市场机遇，填补行业中尚未满足的需求，为客户提供全新的解决方案。市场的变革和需求的增长使得这个射频同轴电缆组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射频同轴电缆组件项目名称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射频同轴电缆组件项目正式命名为射频同轴电缆组件。这个名称不仅仅是一个标识，更代表了射频同轴电缆组件项目的核心理念和愿景。它蕴含着射频同轴电缆组件项目所要解决问题的关键字，具有强烈的表达和辨识度，为射频同轴电缆组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射频同轴电缆组件项目目标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的核心目标是提供一种全新、高效的解决方案，满足客户日益增长的需求。射频同轴电缆组件项目追求的不仅仅是满足市场需求，更是在市场中获得卓越的竞争优势。通过不断提升产品或服务的质量和创新水平，射频同轴电缆组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射频同轴电缆组件项目范围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全面涵盖了产品研发、制造、市场推广和售后服务，确保从产品设计到最终用户体验的全方位关注。这一全面的射频同轴电缆组件项目范围是为了确保射频同轴电缆组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射频同轴电缆组件项目时间表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射频同轴电缆组件项目计划在未来18个月内完成，包括研发、测试、市场试点和正式推出等不同阶段。这个时间表的合理设计是为了确保射频同轴电缆组件项目各个阶段的顺利推进，以便按时交付高质量的成果。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射频同轴电缆组件项目预算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总预算估算为XX百万美元，主要分配在研发、市场推广、人员培训和运营等方面。这一充足的预算为射频同轴电缆组件项目提供了充足的资源，确保射频同轴电缆组件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https://d.book118.com/888077110050006025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396C8D"/>
    <w:rsid w:val="4B396C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7711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2024-01-10T13:34:00Z</dcterms:created>
  <dcterms:modified xsi:type="dcterms:W3CDTF">2024-01-10T13:34:29Z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9D33FC9CDBB5468CB976AEC29A5865D4_11</vt:lpwstr>
  </property>
  <property fmtid="{D5CDD505-2E9C-101B-9397-08002B2CF9AE}" pid="3" name="KSOProductBuildVer">
    <vt:lpwstr>2052-12.1.0.16120</vt:lpwstr>
  </property>
</Properties>
</file>