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960" w:firstLineChars="300"/>
        <w:jc w:val="center"/>
        <w:rPr>
          <w:rFonts w:ascii="宋体" w:hAnsi="宋体"/>
          <w:b/>
          <w:bCs/>
          <w:color w:val="000000" w:themeColor="text1"/>
          <w:sz w:val="32"/>
          <w:u w:val="single"/>
          <w14:textFill>
            <w14:solidFill>
              <w14:schemeClr w14:val="tx1"/>
            </w14:solidFill>
          </w14:textFill>
        </w:rPr>
      </w:pPr>
      <w:bookmarkStart w:id="0" w:name="_GoBack"/>
      <w:bookmarkStart w:id="1" w:name="_Toc245531490"/>
      <w:bookmarkStart w:id="2" w:name="_Toc245697778"/>
      <w:r>
        <w:rPr>
          <w:rFonts w:ascii="宋体" w:hAnsi="宋体" w:hint="eastAsia"/>
          <w:b/>
          <w:bCs/>
          <w:color w:val="000000" w:themeColor="text1"/>
          <w:sz w:val="32"/>
          <w:u w:val="single"/>
          <w:lang w:eastAsia="zh-CN"/>
          <w14:textFill>
            <w14:solidFill>
              <w14:schemeClr w14:val="tx1"/>
            </w14:solidFill>
          </w14:textFill>
        </w:rPr>
        <w:t>无</w:t>
      </w:r>
      <w:r>
        <w:rPr>
          <w:rFonts w:ascii="宋体" w:hAnsi="宋体" w:hint="eastAsia"/>
          <w:b/>
          <w:bCs/>
          <w:color w:val="000000" w:themeColor="text1"/>
          <w:sz w:val="32"/>
          <w:u w:val="single"/>
          <w14:textFill>
            <w14:solidFill>
              <w14:schemeClr w14:val="tx1"/>
            </w14:solidFill>
          </w14:textFill>
        </w:rPr>
        <w:t>线电能</w:t>
      </w:r>
      <w:r>
        <w:rPr>
          <w:rFonts w:ascii="宋体" w:hAnsi="宋体" w:hint="eastAsia"/>
          <w:b/>
          <w:bCs/>
          <w:color w:val="000000" w:themeColor="text1"/>
          <w:sz w:val="32"/>
          <w:u w:val="single"/>
          <w:lang w:eastAsia="zh-CN"/>
          <w14:textFill>
            <w14:solidFill>
              <w14:schemeClr w14:val="tx1"/>
            </w14:solidFill>
          </w14:textFill>
        </w:rPr>
        <w:t>传导输送</w:t>
      </w:r>
      <w:r>
        <w:rPr>
          <w:rFonts w:ascii="宋体" w:hAnsi="宋体" w:hint="eastAsia"/>
          <w:b/>
          <w:bCs/>
          <w:color w:val="000000" w:themeColor="text1"/>
          <w:sz w:val="32"/>
          <w:u w:val="single"/>
          <w14:textFill>
            <w14:solidFill>
              <w14:schemeClr w14:val="tx1"/>
            </w14:solidFill>
          </w14:textFill>
        </w:rPr>
        <w:t>装置设计与应用</w:t>
      </w:r>
      <w:bookmarkEnd w:id="1"/>
      <w:bookmarkEnd w:id="2"/>
    </w:p>
    <w:bookmarkEnd w:id="0"/>
    <w:p>
      <w:pPr>
        <w:pStyle w:val="Heading1"/>
        <w:spacing w:line="640" w:lineRule="exact"/>
        <w:rPr>
          <w:rFonts w:ascii="黑体" w:eastAsia="黑体" w:hAnsi="黑体" w:cs="黑体"/>
          <w:b w:val="0"/>
          <w:bCs w:val="0"/>
          <w:color w:val="000000" w:themeColor="text1"/>
          <w:spacing w:val="10"/>
          <w:sz w:val="32"/>
          <w:szCs w:val="32"/>
          <w14:textFill>
            <w14:solidFill>
              <w14:schemeClr w14:val="tx1"/>
            </w14:solidFill>
          </w14:textFill>
        </w:rPr>
      </w:pPr>
      <w:bookmarkStart w:id="3" w:name="_Toc8571"/>
      <w:bookmarkStart w:id="4" w:name="_Toc500513831"/>
      <w:r>
        <w:rPr>
          <w:rFonts w:ascii="黑体" w:eastAsia="黑体" w:hAnsi="黑体" w:cs="黑体" w:hint="eastAsia"/>
          <w:b w:val="0"/>
          <w:bCs w:val="0"/>
          <w:color w:val="000000" w:themeColor="text1"/>
          <w:spacing w:val="10"/>
          <w:sz w:val="32"/>
          <w:szCs w:val="32"/>
          <w14:textFill>
            <w14:solidFill>
              <w14:schemeClr w14:val="tx1"/>
            </w14:solidFill>
          </w14:textFill>
        </w:rPr>
        <w:t>目录</w:t>
      </w:r>
      <w:bookmarkEnd w:id="3"/>
      <w:bookmarkEnd w:id="4"/>
    </w:p>
    <w:p>
      <w:pPr>
        <w:pStyle w:val="TOC1"/>
        <w:tabs>
          <w:tab w:val="right" w:leader="dot" w:pos="8405"/>
        </w:tabs>
        <w:spacing w:line="440" w:lineRule="exact"/>
        <w:ind w:firstLine="0" w:firstLineChars="0"/>
        <w:rPr>
          <w:rFonts w:ascii="宋体" w:hAnsi="宋体" w:cs="宋体"/>
          <w:color w:val="000000" w:themeColor="text1"/>
          <w14:textFill>
            <w14:solidFill>
              <w14:schemeClr w14:val="tx1"/>
            </w14:solidFill>
          </w14:textFill>
        </w:rPr>
      </w:pPr>
      <w:r>
        <w:rPr>
          <w:rFonts w:ascii="宋体" w:hAnsi="宋体" w:cs="宋体" w:hint="eastAsia"/>
          <w:color w:val="000000" w:themeColor="text1"/>
          <w:spacing w:val="10"/>
          <w:kern w:val="2"/>
          <w:szCs w:val="24"/>
          <w:shd w:val="clear" w:color="auto" w:fill="FFFFFF"/>
          <w14:textFill>
            <w14:solidFill>
              <w14:schemeClr w14:val="tx1"/>
            </w14:solidFill>
          </w14:textFill>
        </w:rPr>
        <w:fldChar w:fldCharType="begin"/>
      </w:r>
      <w:r>
        <w:rPr>
          <w:rFonts w:ascii="宋体" w:hAnsi="宋体" w:cs="宋体" w:hint="eastAsia"/>
          <w:color w:val="000000" w:themeColor="text1"/>
          <w:spacing w:val="10"/>
          <w:kern w:val="2"/>
          <w:szCs w:val="24"/>
          <w:shd w:val="clear" w:color="auto" w:fill="FFFFFF"/>
          <w14:textFill>
            <w14:solidFill>
              <w14:schemeClr w14:val="tx1"/>
            </w14:solidFill>
          </w14:textFill>
        </w:rPr>
        <w:instrText xml:space="preserve">TOC \o "1-3" \h \u </w:instrText>
      </w:r>
      <w:r>
        <w:rPr>
          <w:rFonts w:ascii="宋体" w:hAnsi="宋体" w:cs="宋体" w:hint="eastAsia"/>
          <w:color w:val="000000" w:themeColor="text1"/>
          <w:spacing w:val="10"/>
          <w:kern w:val="2"/>
          <w:szCs w:val="24"/>
          <w:shd w:val="clear" w:color="auto" w:fill="FFFFFF"/>
          <w14:textFill>
            <w14:solidFill>
              <w14:schemeClr w14:val="tx1"/>
            </w14:solidFill>
          </w14:textFill>
        </w:rPr>
        <w:fldChar w:fldCharType="separate"/>
      </w:r>
      <w:hyperlink w:anchor="_Toc6529" w:history="1">
        <w:r>
          <w:rPr>
            <w:rFonts w:ascii="宋体" w:hAnsi="宋体" w:cs="宋体" w:hint="eastAsia"/>
            <w:color w:val="000000" w:themeColor="text1"/>
            <w:spacing w:val="10"/>
            <w:szCs w:val="32"/>
            <w14:textFill>
              <w14:solidFill>
                <w14:schemeClr w14:val="tx1"/>
              </w14:solidFill>
            </w14:textFill>
          </w:rPr>
          <w:t>1.前言</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_Toc6529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1</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22976" w:history="1">
        <w:r>
          <w:rPr>
            <w:rFonts w:ascii="宋体" w:hAnsi="宋体" w:cs="宋体" w:hint="eastAsia"/>
            <w:color w:val="000000" w:themeColor="text1"/>
            <w:spacing w:val="10"/>
            <w14:textFill>
              <w14:solidFill>
                <w14:schemeClr w14:val="tx1"/>
              </w14:solidFill>
            </w14:textFill>
          </w:rPr>
          <w:t>1.1选题背景</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_Toc22976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1</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17921" w:history="1">
        <w:r>
          <w:rPr>
            <w:rFonts w:ascii="宋体" w:hAnsi="宋体" w:cs="宋体" w:hint="eastAsia"/>
            <w:color w:val="000000" w:themeColor="text1"/>
            <w:spacing w:val="10"/>
            <w14:textFill>
              <w14:solidFill>
                <w14:schemeClr w14:val="tx1"/>
              </w14:solidFill>
            </w14:textFill>
          </w:rPr>
          <w:t>1.2研究意义</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_Toc17921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1</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18547" w:history="1">
        <w:r>
          <w:rPr>
            <w:rFonts w:ascii="宋体" w:hAnsi="宋体" w:cs="宋体" w:hint="eastAsia"/>
            <w:color w:val="000000" w:themeColor="text1"/>
            <w:spacing w:val="10"/>
            <w14:textFill>
              <w14:solidFill>
                <w14:schemeClr w14:val="tx1"/>
              </w14:solidFill>
            </w14:textFill>
          </w:rPr>
          <w:t>1.3国内发展现状及趋势</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_Toc18547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1</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16619" w:history="1">
        <w:r>
          <w:rPr>
            <w:rFonts w:ascii="宋体" w:hAnsi="宋体" w:cs="宋体" w:hint="eastAsia"/>
            <w:color w:val="000000" w:themeColor="text1"/>
            <w:spacing w:val="10"/>
            <w14:textFill>
              <w14:solidFill>
                <w14:schemeClr w14:val="tx1"/>
              </w14:solidFill>
            </w14:textFill>
          </w:rPr>
          <w:t>1.4国外发展现状及趋势</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_Toc16619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3</w:t>
        </w:r>
        <w:r>
          <w:rPr>
            <w:rFonts w:ascii="宋体" w:hAnsi="宋体" w:cs="宋体" w:hint="eastAsia"/>
            <w:color w:val="000000" w:themeColor="text1"/>
            <w14:textFill>
              <w14:solidFill>
                <w14:schemeClr w14:val="tx1"/>
              </w14:solidFill>
            </w14:textFill>
          </w:rPr>
          <w:fldChar w:fldCharType="end"/>
        </w:r>
      </w:hyperlink>
    </w:p>
    <w:p>
      <w:pPr>
        <w:pStyle w:val="TOC1"/>
        <w:tabs>
          <w:tab w:val="right" w:leader="dot" w:pos="8405"/>
        </w:tabs>
        <w:spacing w:line="440" w:lineRule="exact"/>
        <w:ind w:firstLine="0" w:firstLineChars="0"/>
        <w:rPr>
          <w:rFonts w:ascii="宋体" w:hAnsi="宋体" w:cs="宋体"/>
          <w:color w:val="000000" w:themeColor="text1"/>
          <w14:textFill>
            <w14:solidFill>
              <w14:schemeClr w14:val="tx1"/>
            </w14:solidFill>
          </w14:textFill>
        </w:rPr>
      </w:pPr>
      <w:hyperlink w:anchor="_Toc6094" w:history="1">
        <w:r>
          <w:rPr>
            <w:rFonts w:ascii="宋体" w:hAnsi="宋体" w:cs="宋体" w:hint="eastAsia"/>
            <w:color w:val="000000" w:themeColor="text1"/>
            <w:spacing w:val="10"/>
            <w:szCs w:val="32"/>
            <w14:textFill>
              <w14:solidFill>
                <w14:schemeClr w14:val="tx1"/>
              </w14:solidFill>
            </w14:textFill>
          </w:rPr>
          <w:t>2.无线电能</w:t>
        </w:r>
        <w:r>
          <w:rPr>
            <w:rFonts w:ascii="宋体" w:hAnsi="宋体" w:cs="宋体" w:hint="eastAsia"/>
            <w:color w:val="000000" w:themeColor="text1"/>
            <w:spacing w:val="10"/>
            <w:szCs w:val="32"/>
            <w:lang w:eastAsia="zh-CN"/>
            <w14:textFill>
              <w14:solidFill>
                <w14:schemeClr w14:val="tx1"/>
              </w14:solidFill>
            </w14:textFill>
          </w:rPr>
          <w:t>传输</w:t>
        </w:r>
        <w:r>
          <w:rPr>
            <w:rFonts w:ascii="宋体" w:hAnsi="宋体" w:cs="宋体" w:hint="eastAsia"/>
            <w:color w:val="000000" w:themeColor="text1"/>
            <w:spacing w:val="10"/>
            <w:szCs w:val="32"/>
            <w14:textFill>
              <w14:solidFill>
                <w14:schemeClr w14:val="tx1"/>
              </w14:solidFill>
            </w14:textFill>
          </w:rPr>
          <w:t>装置设计所运用到的原理</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_Toc6094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7</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21299" w:history="1">
        <w:r>
          <w:rPr>
            <w:rFonts w:ascii="宋体" w:hAnsi="宋体" w:cs="宋体" w:hint="eastAsia"/>
            <w:color w:val="000000" w:themeColor="text1"/>
            <w:spacing w:val="10"/>
            <w14:textFill>
              <w14:solidFill>
                <w14:schemeClr w14:val="tx1"/>
              </w14:solidFill>
            </w14:textFill>
          </w:rPr>
          <w:t>2.1常用磁性材料的特性</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_Toc21299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7</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7690" w:history="1">
        <w:r>
          <w:rPr>
            <w:rFonts w:ascii="宋体" w:hAnsi="宋体" w:cs="宋体" w:hint="eastAsia"/>
            <w:color w:val="000000" w:themeColor="text1"/>
            <w:spacing w:val="10"/>
            <w14:textFill>
              <w14:solidFill>
                <w14:schemeClr w14:val="tx1"/>
              </w14:solidFill>
            </w14:textFill>
          </w:rPr>
          <w:t>2.2无线电能</w:t>
        </w:r>
        <w:r>
          <w:rPr>
            <w:rFonts w:ascii="宋体" w:hAnsi="宋体" w:cs="宋体" w:hint="eastAsia"/>
            <w:color w:val="000000" w:themeColor="text1"/>
            <w:spacing w:val="10"/>
            <w:lang w:eastAsia="zh-CN"/>
            <w14:textFill>
              <w14:solidFill>
                <w14:schemeClr w14:val="tx1"/>
              </w14:solidFill>
            </w14:textFill>
          </w:rPr>
          <w:t>传输</w:t>
        </w:r>
        <w:r>
          <w:rPr>
            <w:rFonts w:ascii="宋体" w:hAnsi="宋体" w:cs="宋体" w:hint="eastAsia"/>
            <w:color w:val="000000" w:themeColor="text1"/>
            <w:spacing w:val="10"/>
            <w14:textFill>
              <w14:solidFill>
                <w14:schemeClr w14:val="tx1"/>
              </w14:solidFill>
            </w14:textFill>
          </w:rPr>
          <w:t>装置能量接入机构线圈绕组的特性</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_Toc7690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8</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20191" w:history="1">
        <w:r>
          <w:rPr>
            <w:rFonts w:ascii="宋体" w:hAnsi="宋体" w:cs="宋体" w:hint="eastAsia"/>
            <w:color w:val="000000" w:themeColor="text1"/>
            <w:spacing w:val="10"/>
            <w14:textFill>
              <w14:solidFill>
                <w14:schemeClr w14:val="tx1"/>
              </w14:solidFill>
            </w14:textFill>
          </w:rPr>
          <w:t>2.3能量接入机构的互感M和互感系数K的关系</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_Toc20191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13</w:t>
        </w:r>
        <w:r>
          <w:rPr>
            <w:rFonts w:ascii="宋体" w:hAnsi="宋体" w:cs="宋体" w:hint="eastAsia"/>
            <w:color w:val="000000" w:themeColor="text1"/>
            <w14:textFill>
              <w14:solidFill>
                <w14:schemeClr w14:val="tx1"/>
              </w14:solidFill>
            </w14:textFill>
          </w:rPr>
          <w:fldChar w:fldCharType="end"/>
        </w:r>
      </w:hyperlink>
    </w:p>
    <w:p>
      <w:pPr>
        <w:pStyle w:val="TOC1"/>
        <w:tabs>
          <w:tab w:val="right" w:leader="dot" w:pos="8405"/>
        </w:tabs>
        <w:spacing w:line="440" w:lineRule="exact"/>
        <w:ind w:firstLine="0" w:firstLineChars="0"/>
        <w:rPr>
          <w:rFonts w:ascii="宋体" w:hAnsi="宋体" w:cs="宋体"/>
          <w:color w:val="000000" w:themeColor="text1"/>
          <w14:textFill>
            <w14:solidFill>
              <w14:schemeClr w14:val="tx1"/>
            </w14:solidFill>
          </w14:textFill>
        </w:rPr>
      </w:pPr>
      <w:hyperlink w:anchor="_Toc12033" w:history="1">
        <w:r>
          <w:rPr>
            <w:rFonts w:ascii="宋体" w:hAnsi="宋体" w:cs="宋体" w:hint="eastAsia"/>
            <w:color w:val="000000" w:themeColor="text1"/>
            <w:spacing w:val="10"/>
            <w:szCs w:val="32"/>
            <w14:textFill>
              <w14:solidFill>
                <w14:schemeClr w14:val="tx1"/>
              </w14:solidFill>
            </w14:textFill>
          </w:rPr>
          <w:t>3.无线电能</w:t>
        </w:r>
        <w:r>
          <w:rPr>
            <w:rFonts w:ascii="宋体" w:hAnsi="宋体" w:cs="宋体" w:hint="eastAsia"/>
            <w:color w:val="000000" w:themeColor="text1"/>
            <w:spacing w:val="10"/>
            <w:szCs w:val="32"/>
            <w:lang w:eastAsia="zh-CN"/>
            <w14:textFill>
              <w14:solidFill>
                <w14:schemeClr w14:val="tx1"/>
              </w14:solidFill>
            </w14:textFill>
          </w:rPr>
          <w:t>传输</w:t>
        </w:r>
        <w:r>
          <w:rPr>
            <w:rFonts w:ascii="宋体" w:hAnsi="宋体" w:cs="宋体" w:hint="eastAsia"/>
            <w:color w:val="000000" w:themeColor="text1"/>
            <w:spacing w:val="10"/>
            <w:szCs w:val="32"/>
            <w14:textFill>
              <w14:solidFill>
                <w14:schemeClr w14:val="tx1"/>
              </w14:solidFill>
            </w14:textFill>
          </w:rPr>
          <w:t>装置的分类</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_Toc12033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20</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677" w:history="1">
        <w:r>
          <w:rPr>
            <w:rFonts w:ascii="宋体" w:hAnsi="宋体" w:cs="宋体" w:hint="eastAsia"/>
            <w:color w:val="000000" w:themeColor="text1"/>
            <w:spacing w:val="10"/>
            <w14:textFill>
              <w14:solidFill>
                <w14:schemeClr w14:val="tx1"/>
              </w14:solidFill>
            </w14:textFill>
          </w:rPr>
          <w:t>3.1电磁感应式</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_Toc677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20</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1999" w:history="1">
        <w:r>
          <w:rPr>
            <w:rFonts w:ascii="宋体" w:hAnsi="宋体" w:cs="宋体" w:hint="eastAsia"/>
            <w:color w:val="000000" w:themeColor="text1"/>
            <w:spacing w:val="10"/>
            <w14:textFill>
              <w14:solidFill>
                <w14:schemeClr w14:val="tx1"/>
              </w14:solidFill>
            </w14:textFill>
          </w:rPr>
          <w:t>3.2磁耦合谐振式</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_Toc1999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20</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9092" w:history="1">
        <w:r>
          <w:rPr>
            <w:rFonts w:ascii="宋体" w:hAnsi="宋体" w:cs="宋体" w:hint="eastAsia"/>
            <w:color w:val="000000" w:themeColor="text1"/>
            <w:spacing w:val="10"/>
            <w14:textFill>
              <w14:solidFill>
                <w14:schemeClr w14:val="tx1"/>
              </w14:solidFill>
            </w14:textFill>
          </w:rPr>
          <w:t>3.3微波辐射式</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_Toc9092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21</w:t>
        </w:r>
        <w:r>
          <w:rPr>
            <w:rFonts w:ascii="宋体" w:hAnsi="宋体" w:cs="宋体" w:hint="eastAsia"/>
            <w:color w:val="000000" w:themeColor="text1"/>
            <w14:textFill>
              <w14:solidFill>
                <w14:schemeClr w14:val="tx1"/>
              </w14:solidFill>
            </w14:textFill>
          </w:rPr>
          <w:fldChar w:fldCharType="end"/>
        </w:r>
      </w:hyperlink>
    </w:p>
    <w:p>
      <w:pPr>
        <w:pStyle w:val="TOC1"/>
        <w:tabs>
          <w:tab w:val="right" w:leader="dot" w:pos="8405"/>
        </w:tabs>
        <w:spacing w:line="440" w:lineRule="exact"/>
        <w:ind w:firstLine="0" w:firstLineChars="0"/>
        <w:rPr>
          <w:rFonts w:ascii="宋体" w:hAnsi="宋体" w:cs="宋体"/>
          <w:color w:val="000000" w:themeColor="text1"/>
          <w14:textFill>
            <w14:solidFill>
              <w14:schemeClr w14:val="tx1"/>
            </w14:solidFill>
          </w14:textFill>
        </w:rPr>
      </w:pPr>
      <w:hyperlink w:anchor="_Toc3192" w:history="1">
        <w:r>
          <w:rPr>
            <w:rFonts w:ascii="宋体" w:hAnsi="宋体" w:cs="宋体" w:hint="eastAsia"/>
            <w:color w:val="000000" w:themeColor="text1"/>
            <w:spacing w:val="10"/>
            <w:szCs w:val="32"/>
            <w14:textFill>
              <w14:solidFill>
                <w14:schemeClr w14:val="tx1"/>
              </w14:solidFill>
            </w14:textFill>
          </w:rPr>
          <w:t>4.设计</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_Toc3192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24</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9293" w:history="1">
        <w:r>
          <w:rPr>
            <w:rFonts w:ascii="宋体" w:hAnsi="宋体" w:cs="宋体" w:hint="eastAsia"/>
            <w:color w:val="000000" w:themeColor="text1"/>
            <w:spacing w:val="10"/>
            <w14:textFill>
              <w14:solidFill>
                <w14:schemeClr w14:val="tx1"/>
              </w14:solidFill>
            </w14:textFill>
          </w:rPr>
          <w:t>4.1变换器的设计</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_Toc9293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24</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4075" w:history="1">
        <w:r>
          <w:rPr>
            <w:rFonts w:ascii="宋体" w:hAnsi="宋体" w:cs="宋体" w:hint="eastAsia"/>
            <w:color w:val="000000" w:themeColor="text1"/>
            <w:spacing w:val="10"/>
            <w14:textFill>
              <w14:solidFill>
                <w14:schemeClr w14:val="tx1"/>
              </w14:solidFill>
            </w14:textFill>
          </w:rPr>
          <w:t>4.2补偿拓扑的设计</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_Toc4075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24</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29227" w:history="1">
        <w:r>
          <w:rPr>
            <w:rFonts w:ascii="宋体" w:hAnsi="宋体" w:cs="宋体" w:hint="eastAsia"/>
            <w:color w:val="000000" w:themeColor="text1"/>
            <w:spacing w:val="10"/>
            <w14:textFill>
              <w14:solidFill>
                <w14:schemeClr w14:val="tx1"/>
              </w14:solidFill>
            </w14:textFill>
          </w:rPr>
          <w:t>4.3驱动电路的设计</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_Toc29227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26</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24783" w:history="1">
        <w:r>
          <w:rPr>
            <w:rFonts w:ascii="宋体" w:hAnsi="宋体" w:cs="宋体" w:hint="eastAsia"/>
            <w:color w:val="000000" w:themeColor="text1"/>
            <w:spacing w:val="10"/>
            <w14:textFill>
              <w14:solidFill>
                <w14:schemeClr w14:val="tx1"/>
              </w14:solidFill>
            </w14:textFill>
          </w:rPr>
          <w:t>4.4保护电路</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_Toc24783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27</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1706" w:history="1">
        <w:r>
          <w:rPr>
            <w:rFonts w:ascii="宋体" w:hAnsi="宋体" w:cs="宋体" w:hint="eastAsia"/>
            <w:color w:val="000000" w:themeColor="text1"/>
            <w:spacing w:val="10"/>
            <w14:textFill>
              <w14:solidFill>
                <w14:schemeClr w14:val="tx1"/>
              </w14:solidFill>
            </w14:textFill>
          </w:rPr>
          <w:t>4.5控制电路设计</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_Toc1706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29</w:t>
        </w:r>
        <w:r>
          <w:rPr>
            <w:rFonts w:ascii="宋体" w:hAnsi="宋体" w:cs="宋体" w:hint="eastAsia"/>
            <w:color w:val="000000" w:themeColor="text1"/>
            <w14:textFill>
              <w14:solidFill>
                <w14:schemeClr w14:val="tx1"/>
              </w14:solidFill>
            </w14:textFill>
          </w:rPr>
          <w:fldChar w:fldCharType="end"/>
        </w:r>
      </w:hyperlink>
    </w:p>
    <w:p>
      <w:pPr>
        <w:pStyle w:val="TOC2"/>
        <w:tabs>
          <w:tab w:val="right" w:leader="dot" w:pos="8405"/>
        </w:tabs>
        <w:spacing w:line="440" w:lineRule="exact"/>
        <w:ind w:left="480" w:firstLine="0" w:firstLineChars="0"/>
        <w:rPr>
          <w:rFonts w:ascii="宋体" w:hAnsi="宋体" w:cs="宋体"/>
          <w:color w:val="000000" w:themeColor="text1"/>
          <w14:textFill>
            <w14:solidFill>
              <w14:schemeClr w14:val="tx1"/>
            </w14:solidFill>
          </w14:textFill>
        </w:rPr>
      </w:pPr>
      <w:hyperlink w:anchor="_Toc27130" w:history="1">
        <w:r>
          <w:rPr>
            <w:rFonts w:ascii="宋体" w:hAnsi="宋体" w:cs="宋体" w:hint="eastAsia"/>
            <w:color w:val="000000" w:themeColor="text1"/>
            <w:spacing w:val="10"/>
            <w14:textFill>
              <w14:solidFill>
                <w14:schemeClr w14:val="tx1"/>
              </w14:solidFill>
            </w14:textFill>
          </w:rPr>
          <w:t>4.6耦合谐振参数设计</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_Toc27130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32</w:t>
        </w:r>
        <w:r>
          <w:rPr>
            <w:rFonts w:ascii="宋体" w:hAnsi="宋体" w:cs="宋体" w:hint="eastAsia"/>
            <w:color w:val="000000" w:themeColor="text1"/>
            <w14:textFill>
              <w14:solidFill>
                <w14:schemeClr w14:val="tx1"/>
              </w14:solidFill>
            </w14:textFill>
          </w:rPr>
          <w:fldChar w:fldCharType="end"/>
        </w:r>
      </w:hyperlink>
    </w:p>
    <w:p>
      <w:pPr>
        <w:pStyle w:val="TOC1"/>
        <w:tabs>
          <w:tab w:val="right" w:leader="dot" w:pos="8405"/>
        </w:tabs>
        <w:spacing w:line="440" w:lineRule="exact"/>
        <w:ind w:firstLine="0" w:firstLineChars="0"/>
        <w:rPr>
          <w:rFonts w:ascii="宋体" w:hAnsi="宋体" w:cs="宋体"/>
          <w:color w:val="000000" w:themeColor="text1"/>
          <w14:textFill>
            <w14:solidFill>
              <w14:schemeClr w14:val="tx1"/>
            </w14:solidFill>
          </w14:textFill>
        </w:rPr>
      </w:pPr>
      <w:hyperlink w:anchor="_Toc725" w:history="1">
        <w:r>
          <w:rPr>
            <w:rFonts w:ascii="宋体" w:hAnsi="宋体" w:cs="宋体" w:hint="eastAsia"/>
            <w:color w:val="000000" w:themeColor="text1"/>
            <w:spacing w:val="10"/>
            <w:szCs w:val="32"/>
            <w14:textFill>
              <w14:solidFill>
                <w14:schemeClr w14:val="tx1"/>
              </w14:solidFill>
            </w14:textFill>
          </w:rPr>
          <w:t>5.实验结果分析</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_Toc725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34</w:t>
        </w:r>
        <w:r>
          <w:rPr>
            <w:rFonts w:ascii="宋体" w:hAnsi="宋体" w:cs="宋体" w:hint="eastAsia"/>
            <w:color w:val="000000" w:themeColor="text1"/>
            <w14:textFill>
              <w14:solidFill>
                <w14:schemeClr w14:val="tx1"/>
              </w14:solidFill>
            </w14:textFill>
          </w:rPr>
          <w:fldChar w:fldCharType="end"/>
        </w:r>
      </w:hyperlink>
    </w:p>
    <w:p>
      <w:pPr>
        <w:pStyle w:val="TOC1"/>
        <w:tabs>
          <w:tab w:val="right" w:leader="dot" w:pos="8405"/>
        </w:tabs>
        <w:spacing w:line="440" w:lineRule="exact"/>
        <w:ind w:firstLine="0" w:firstLineChars="0"/>
        <w:rPr>
          <w:rFonts w:ascii="宋体" w:hAnsi="宋体" w:cs="宋体"/>
          <w:color w:val="000000" w:themeColor="text1"/>
          <w14:textFill>
            <w14:solidFill>
              <w14:schemeClr w14:val="tx1"/>
            </w14:solidFill>
          </w14:textFill>
        </w:rPr>
      </w:pPr>
      <w:hyperlink w:anchor="_Toc27538" w:history="1">
        <w:r>
          <w:rPr>
            <w:rFonts w:ascii="宋体" w:hAnsi="宋体" w:cs="宋体" w:hint="eastAsia"/>
            <w:color w:val="000000" w:themeColor="text1"/>
            <w:spacing w:val="10"/>
            <w:szCs w:val="32"/>
            <w14:textFill>
              <w14:solidFill>
                <w14:schemeClr w14:val="tx1"/>
              </w14:solidFill>
            </w14:textFill>
          </w:rPr>
          <w:t>6.结论</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_Toc27538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36</w:t>
        </w:r>
        <w:r>
          <w:rPr>
            <w:rFonts w:ascii="宋体" w:hAnsi="宋体" w:cs="宋体" w:hint="eastAsia"/>
            <w:color w:val="000000" w:themeColor="text1"/>
            <w14:textFill>
              <w14:solidFill>
                <w14:schemeClr w14:val="tx1"/>
              </w14:solidFill>
            </w14:textFill>
          </w:rPr>
          <w:fldChar w:fldCharType="end"/>
        </w:r>
      </w:hyperlink>
    </w:p>
    <w:p>
      <w:pPr>
        <w:pStyle w:val="TOC1"/>
        <w:tabs>
          <w:tab w:val="right" w:leader="dot" w:pos="8405"/>
        </w:tabs>
        <w:spacing w:line="440" w:lineRule="exact"/>
        <w:ind w:firstLine="0" w:firstLineChars="0"/>
        <w:rPr>
          <w:rFonts w:ascii="宋体" w:hAnsi="宋体" w:cs="宋体"/>
          <w:color w:val="000000" w:themeColor="text1"/>
          <w14:textFill>
            <w14:solidFill>
              <w14:schemeClr w14:val="tx1"/>
            </w14:solidFill>
          </w14:textFill>
        </w:rPr>
      </w:pPr>
      <w:hyperlink w:anchor="_Toc14873" w:history="1">
        <w:r>
          <w:rPr>
            <w:rFonts w:ascii="宋体" w:hAnsi="宋体" w:cs="宋体" w:hint="eastAsia"/>
            <w:color w:val="000000" w:themeColor="text1"/>
            <w:spacing w:val="10"/>
            <w:szCs w:val="32"/>
            <w14:textFill>
              <w14:solidFill>
                <w14:schemeClr w14:val="tx1"/>
              </w14:solidFill>
            </w14:textFill>
          </w:rPr>
          <w:t>参考文献</w:t>
        </w:r>
        <w:r>
          <w:rPr>
            <w:rFonts w:ascii="宋体" w:hAnsi="宋体" w:cs="宋体" w:hint="eastAsia"/>
            <w:color w:val="000000" w:themeColor="text1"/>
            <w14:textFill>
              <w14:solidFill>
                <w14:schemeClr w14:val="tx1"/>
              </w14:solidFill>
            </w14:textFill>
          </w:rPr>
          <w:tab/>
        </w:r>
        <w:r>
          <w:rPr>
            <w:rFonts w:ascii="宋体" w:hAnsi="宋体" w:cs="宋体" w:hint="eastAsia"/>
            <w:color w:val="000000" w:themeColor="text1"/>
            <w14:textFill>
              <w14:solidFill>
                <w14:schemeClr w14:val="tx1"/>
              </w14:solidFill>
            </w14:textFill>
          </w:rPr>
          <w:fldChar w:fldCharType="begin"/>
        </w:r>
        <w:r>
          <w:rPr>
            <w:rFonts w:ascii="宋体" w:hAnsi="宋体" w:cs="宋体" w:hint="eastAsia"/>
            <w:color w:val="000000" w:themeColor="text1"/>
            <w14:textFill>
              <w14:solidFill>
                <w14:schemeClr w14:val="tx1"/>
              </w14:solidFill>
            </w14:textFill>
          </w:rPr>
          <w:instrText xml:space="preserve"> PAGEREF _Toc14873 </w:instrText>
        </w:r>
        <w:r>
          <w:rPr>
            <w:rFonts w:ascii="宋体" w:hAnsi="宋体" w:cs="宋体" w:hint="eastAsia"/>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t>38</w:t>
        </w:r>
        <w:r>
          <w:rPr>
            <w:rFonts w:ascii="宋体" w:hAnsi="宋体" w:cs="宋体" w:hint="eastAsia"/>
            <w:color w:val="000000" w:themeColor="text1"/>
            <w14:textFill>
              <w14:solidFill>
                <w14:schemeClr w14:val="tx1"/>
              </w14:solidFill>
            </w14:textFill>
          </w:rPr>
          <w:fldChar w:fldCharType="end"/>
        </w:r>
      </w:hyperlink>
    </w:p>
    <w:p>
      <w:pPr>
        <w:spacing w:line="440" w:lineRule="exact"/>
        <w:ind w:firstLine="0" w:firstLineChars="0"/>
        <w:jc w:val="both"/>
        <w:rPr>
          <w:color w:val="000000" w:themeColor="text1"/>
          <w:spacing w:val="10"/>
          <w14:textFill>
            <w14:solidFill>
              <w14:schemeClr w14:val="tx1"/>
            </w14:solidFill>
          </w14:textFill>
        </w:rPr>
      </w:pPr>
      <w:r>
        <w:rPr>
          <w:rFonts w:ascii="宋体" w:hAnsi="宋体" w:cs="宋体" w:hint="eastAsia"/>
          <w:color w:val="000000" w:themeColor="text1"/>
          <w:spacing w:val="10"/>
          <w:kern w:val="2"/>
          <w:szCs w:val="24"/>
          <w:shd w:val="clear" w:color="auto" w:fill="FFFFFF"/>
          <w14:textFill>
            <w14:solidFill>
              <w14:schemeClr w14:val="tx1"/>
            </w14:solidFill>
          </w14:textFill>
        </w:rPr>
        <w:fldChar w:fldCharType="end"/>
      </w:r>
    </w:p>
    <w:p>
      <w:pPr>
        <w:spacing w:line="440" w:lineRule="exact"/>
        <w:ind w:firstLine="500"/>
        <w:jc w:val="both"/>
        <w:rPr>
          <w:color w:val="000000" w:themeColor="text1"/>
          <w:spacing w:val="10"/>
          <w14:textFill>
            <w14:solidFill>
              <w14:schemeClr w14:val="tx1"/>
            </w14:solidFill>
          </w14:textFill>
        </w:rPr>
      </w:pPr>
    </w:p>
    <w:p>
      <w:pPr>
        <w:spacing w:line="440" w:lineRule="exact"/>
        <w:ind w:firstLine="500"/>
        <w:jc w:val="both"/>
        <w:rPr>
          <w:color w:val="000000" w:themeColor="text1"/>
          <w:spacing w:val="10"/>
          <w14:textFill>
            <w14:solidFill>
              <w14:schemeClr w14:val="tx1"/>
            </w14:solidFill>
          </w14:textFill>
        </w:rPr>
        <w:sectPr>
          <w:headerReference w:type="default" r:id="rId8"/>
          <w:footerReference w:type="default" r:id="rId9"/>
          <w:pgSz w:w="11906" w:h="16838"/>
          <w:pgMar w:top="1984" w:right="1800" w:bottom="1440" w:left="1701" w:header="708" w:footer="709" w:gutter="0"/>
          <w:cols w:num="1" w:space="0"/>
          <w:docGrid w:linePitch="360" w:charSpace="0"/>
        </w:sectPr>
      </w:pPr>
    </w:p>
    <w:p>
      <w:pPr>
        <w:pStyle w:val="Heading1"/>
        <w:spacing w:line="640" w:lineRule="exact"/>
        <w:rPr>
          <w:rFonts w:ascii="黑体" w:eastAsia="黑体" w:hAnsi="黑体" w:cs="黑体"/>
          <w:b w:val="0"/>
          <w:bCs w:val="0"/>
          <w:color w:val="000000" w:themeColor="text1"/>
          <w:spacing w:val="10"/>
          <w:sz w:val="32"/>
          <w:szCs w:val="32"/>
          <w14:textFill>
            <w14:solidFill>
              <w14:schemeClr w14:val="tx1"/>
            </w14:solidFill>
          </w14:textFill>
        </w:rPr>
      </w:pPr>
      <w:bookmarkStart w:id="5" w:name="_Toc6529"/>
      <w:r>
        <w:rPr>
          <w:rFonts w:ascii="黑体" w:eastAsia="黑体" w:hAnsi="黑体" w:cs="黑体" w:hint="eastAsia"/>
          <w:b w:val="0"/>
          <w:bCs w:val="0"/>
          <w:color w:val="000000" w:themeColor="text1"/>
          <w:spacing w:val="10"/>
          <w:sz w:val="32"/>
          <w:szCs w:val="32"/>
          <w14:textFill>
            <w14:solidFill>
              <w14:schemeClr w14:val="tx1"/>
            </w14:solidFill>
          </w14:textFill>
        </w:rPr>
        <w:t>1.前言</w:t>
      </w:r>
      <w:bookmarkEnd w:id="5"/>
    </w:p>
    <w:p>
      <w:pPr>
        <w:pStyle w:val="Heading2"/>
        <w:spacing w:line="640" w:lineRule="exact"/>
        <w:jc w:val="both"/>
        <w:rPr>
          <w:rFonts w:ascii="黑体" w:eastAsia="黑体" w:hAnsi="黑体" w:cs="黑体"/>
          <w:b w:val="0"/>
          <w:bCs w:val="0"/>
          <w:color w:val="000000" w:themeColor="text1"/>
          <w:spacing w:val="10"/>
          <w14:textFill>
            <w14:solidFill>
              <w14:schemeClr w14:val="tx1"/>
            </w14:solidFill>
          </w14:textFill>
        </w:rPr>
      </w:pPr>
      <w:bookmarkStart w:id="6" w:name="_Toc22976"/>
      <w:r>
        <w:rPr>
          <w:rFonts w:ascii="黑体" w:eastAsia="黑体" w:hAnsi="黑体" w:cs="黑体" w:hint="eastAsia"/>
          <w:b w:val="0"/>
          <w:bCs w:val="0"/>
          <w:color w:val="000000" w:themeColor="text1"/>
          <w:spacing w:val="10"/>
          <w14:textFill>
            <w14:solidFill>
              <w14:schemeClr w14:val="tx1"/>
            </w14:solidFill>
          </w14:textFill>
        </w:rPr>
        <w:t>1.1选题背景</w:t>
      </w:r>
      <w:bookmarkEnd w:id="6"/>
    </w:p>
    <w:p>
      <w:pPr>
        <w:spacing w:line="440" w:lineRule="exact"/>
        <w:ind w:firstLine="500"/>
        <w:jc w:val="both"/>
        <w:rPr>
          <w:rFonts w:ascii="宋体" w:hAnsi="宋体"/>
          <w:color w:val="000000" w:themeColor="text1"/>
          <w:spacing w:val="10"/>
          <w:szCs w:val="24"/>
          <w14:textFill>
            <w14:solidFill>
              <w14:schemeClr w14:val="tx1"/>
            </w14:solidFill>
          </w14:textFill>
        </w:rPr>
      </w:pPr>
      <w:r>
        <w:rPr>
          <w:rFonts w:ascii="宋体" w:hAnsi="宋体" w:hint="eastAsia"/>
          <w:color w:val="000000" w:themeColor="text1"/>
          <w:spacing w:val="10"/>
          <w:szCs w:val="24"/>
          <w14:textFill>
            <w14:solidFill>
              <w14:schemeClr w14:val="tx1"/>
            </w14:solidFill>
          </w14:textFill>
        </w:rPr>
        <w:t>随着社会的高速发展和科学技术的飞速发展，人们的生活质量明显提高。笔记本电脑，手机，mp3，平板电脑和其他可充电便携式电子产品已经得到广泛应用。目前，这些电子设备通常采用传统的电能线</w:t>
      </w:r>
      <w:r>
        <w:rPr>
          <w:rFonts w:ascii="宋体" w:hAnsi="宋体" w:hint="eastAsia"/>
          <w:color w:val="000000" w:themeColor="text1"/>
          <w:spacing w:val="10"/>
          <w:szCs w:val="24"/>
          <w:lang w:eastAsia="zh-CN"/>
          <w14:textFill>
            <w14:solidFill>
              <w14:schemeClr w14:val="tx1"/>
            </w14:solidFill>
          </w14:textFill>
        </w:rPr>
        <w:t>传导输送</w:t>
      </w:r>
      <w:r>
        <w:rPr>
          <w:rFonts w:ascii="宋体" w:hAnsi="宋体" w:hint="eastAsia"/>
          <w:color w:val="000000" w:themeColor="text1"/>
          <w:spacing w:val="10"/>
          <w:szCs w:val="24"/>
          <w14:textFill>
            <w14:solidFill>
              <w14:schemeClr w14:val="tx1"/>
            </w14:solidFill>
          </w14:textFill>
        </w:rPr>
        <w:t>方式进行充电，而电能</w:t>
      </w:r>
      <w:r>
        <w:rPr>
          <w:rFonts w:ascii="宋体" w:hAnsi="宋体" w:hint="eastAsia"/>
          <w:color w:val="000000" w:themeColor="text1"/>
          <w:spacing w:val="10"/>
          <w:szCs w:val="24"/>
          <w:lang w:eastAsia="zh-CN"/>
          <w14:textFill>
            <w14:solidFill>
              <w14:schemeClr w14:val="tx1"/>
            </w14:solidFill>
          </w14:textFill>
        </w:rPr>
        <w:t>传导输送</w:t>
      </w:r>
      <w:r>
        <w:rPr>
          <w:rFonts w:ascii="宋体" w:hAnsi="宋体" w:hint="eastAsia"/>
          <w:color w:val="000000" w:themeColor="text1"/>
          <w:spacing w:val="10"/>
          <w:szCs w:val="24"/>
          <w14:textFill>
            <w14:solidFill>
              <w14:schemeClr w14:val="tx1"/>
            </w14:solidFill>
          </w14:textFill>
        </w:rPr>
        <w:t>是通过插座，充电器和数据线绑定的，给人们的生活带来极大的不便。另外，在水下作业，矿山，油田，医疗等特殊领​​域，传统的有线供电设备由于摩擦和机械磨损而存在与电火花相关的安全隐患。随着供电设备在供电质量，安全性，可靠性等方面的要求不断提高，传统的点对点线直接接触式已经不能满足人们的生产和生活需要。迫切需要找到一个没有电线连接的电源和电气设备。一种新型的电力</w:t>
      </w:r>
      <w:r>
        <w:rPr>
          <w:rFonts w:ascii="宋体" w:hAnsi="宋体" w:hint="eastAsia"/>
          <w:color w:val="000000" w:themeColor="text1"/>
          <w:spacing w:val="10"/>
          <w:szCs w:val="24"/>
          <w:lang w:eastAsia="zh-CN"/>
          <w14:textFill>
            <w14:solidFill>
              <w14:schemeClr w14:val="tx1"/>
            </w14:solidFill>
          </w14:textFill>
        </w:rPr>
        <w:t>传导输送</w:t>
      </w:r>
      <w:r>
        <w:rPr>
          <w:rFonts w:ascii="宋体" w:hAnsi="宋体" w:hint="eastAsia"/>
          <w:color w:val="000000" w:themeColor="text1"/>
          <w:spacing w:val="10"/>
          <w:szCs w:val="24"/>
          <w14:textFill>
            <w14:solidFill>
              <w14:schemeClr w14:val="tx1"/>
            </w14:solidFill>
          </w14:textFill>
        </w:rPr>
        <w:t>方式，无线电力</w:t>
      </w:r>
      <w:r>
        <w:rPr>
          <w:rFonts w:ascii="宋体" w:hAnsi="宋体" w:hint="eastAsia"/>
          <w:color w:val="000000" w:themeColor="text1"/>
          <w:spacing w:val="10"/>
          <w:szCs w:val="24"/>
          <w:lang w:eastAsia="zh-CN"/>
          <w14:textFill>
            <w14:solidFill>
              <w14:schemeClr w14:val="tx1"/>
            </w14:solidFill>
          </w14:textFill>
        </w:rPr>
        <w:t>传导输送</w:t>
      </w:r>
      <w:r>
        <w:rPr>
          <w:rFonts w:ascii="宋体" w:hAnsi="宋体" w:hint="eastAsia"/>
          <w:color w:val="000000" w:themeColor="text1"/>
          <w:spacing w:val="10"/>
          <w:szCs w:val="24"/>
          <w14:textFill>
            <w14:solidFill>
              <w14:schemeClr w14:val="tx1"/>
            </w14:solidFill>
          </w14:textFill>
        </w:rPr>
        <w:t>技术应运而生。</w:t>
      </w:r>
    </w:p>
    <w:p>
      <w:pPr>
        <w:pStyle w:val="Heading2"/>
        <w:spacing w:line="640" w:lineRule="exact"/>
        <w:jc w:val="both"/>
        <w:rPr>
          <w:rFonts w:ascii="黑体" w:eastAsia="黑体" w:hAnsi="黑体" w:cs="黑体"/>
          <w:b w:val="0"/>
          <w:bCs w:val="0"/>
          <w:color w:val="000000" w:themeColor="text1"/>
          <w:spacing w:val="10"/>
          <w14:textFill>
            <w14:solidFill>
              <w14:schemeClr w14:val="tx1"/>
            </w14:solidFill>
          </w14:textFill>
        </w:rPr>
      </w:pPr>
      <w:bookmarkStart w:id="7" w:name="_Toc17921"/>
      <w:r>
        <w:rPr>
          <w:rFonts w:ascii="黑体" w:eastAsia="黑体" w:hAnsi="黑体" w:cs="黑体" w:hint="eastAsia"/>
          <w:b w:val="0"/>
          <w:bCs w:val="0"/>
          <w:color w:val="000000" w:themeColor="text1"/>
          <w:spacing w:val="10"/>
          <w14:textFill>
            <w14:solidFill>
              <w14:schemeClr w14:val="tx1"/>
            </w14:solidFill>
          </w14:textFill>
        </w:rPr>
        <w:t>1.2研究意义</w:t>
      </w:r>
      <w:bookmarkEnd w:id="7"/>
    </w:p>
    <w:p>
      <w:pPr>
        <w:spacing w:line="440" w:lineRule="exact"/>
        <w:ind w:firstLine="500"/>
        <w:jc w:val="both"/>
        <w:rPr>
          <w:rFonts w:ascii="宋体" w:hAnsi="宋体"/>
          <w:color w:val="000000" w:themeColor="text1"/>
          <w:spacing w:val="10"/>
          <w:szCs w:val="24"/>
          <w14:textFill>
            <w14:solidFill>
              <w14:schemeClr w14:val="tx1"/>
            </w14:solidFill>
          </w14:textFill>
        </w:rPr>
      </w:pPr>
      <w:r>
        <w:rPr>
          <w:rFonts w:ascii="宋体" w:hAnsi="宋体" w:hint="eastAsia"/>
          <w:color w:val="000000" w:themeColor="text1"/>
          <w:spacing w:val="10"/>
          <w:szCs w:val="24"/>
          <w14:textFill>
            <w14:solidFill>
              <w14:schemeClr w14:val="tx1"/>
            </w14:solidFill>
          </w14:textFill>
        </w:rPr>
        <w:t>磁耦合谐振无线电能量</w:t>
      </w:r>
      <w:r>
        <w:rPr>
          <w:rFonts w:ascii="宋体" w:hAnsi="宋体" w:hint="eastAsia"/>
          <w:color w:val="000000" w:themeColor="text1"/>
          <w:spacing w:val="10"/>
          <w:szCs w:val="24"/>
          <w:lang w:eastAsia="zh-CN"/>
          <w14:textFill>
            <w14:solidFill>
              <w14:schemeClr w14:val="tx1"/>
            </w14:solidFill>
          </w14:textFill>
        </w:rPr>
        <w:t>传导输送</w:t>
      </w:r>
      <w:r>
        <w:rPr>
          <w:rFonts w:ascii="宋体" w:hAnsi="宋体" w:hint="eastAsia"/>
          <w:color w:val="000000" w:themeColor="text1"/>
          <w:spacing w:val="10"/>
          <w:szCs w:val="24"/>
          <w14:textFill>
            <w14:solidFill>
              <w14:schemeClr w14:val="tx1"/>
            </w14:solidFill>
          </w14:textFill>
        </w:rPr>
        <w:t>是电力工程领域最受欢迎的研究领域之一。这是一门结合基础与应用研究的前沿课题，学术界是对国内外医学界和工业新领域的综合研究和探索。电力系统，电力电子，电磁场，控制技术，信息技术，材料科学，物理学等诸多领域的综合利用技术。目前，谐振无线电力</w:t>
      </w:r>
      <w:r>
        <w:rPr>
          <w:rFonts w:ascii="宋体" w:hAnsi="宋体" w:hint="eastAsia"/>
          <w:color w:val="000000" w:themeColor="text1"/>
          <w:spacing w:val="10"/>
          <w:szCs w:val="24"/>
          <w:lang w:eastAsia="zh-CN"/>
          <w14:textFill>
            <w14:solidFill>
              <w14:schemeClr w14:val="tx1"/>
            </w14:solidFill>
          </w14:textFill>
        </w:rPr>
        <w:t>传导输送</w:t>
      </w:r>
      <w:r>
        <w:rPr>
          <w:rFonts w:ascii="宋体" w:hAnsi="宋体" w:hint="eastAsia"/>
          <w:color w:val="000000" w:themeColor="text1"/>
          <w:spacing w:val="10"/>
          <w:szCs w:val="24"/>
          <w14:textFill>
            <w14:solidFill>
              <w14:schemeClr w14:val="tx1"/>
            </w14:solidFill>
          </w14:textFill>
        </w:rPr>
        <w:t>的磁耦合仍处于起步阶段。影响技术分析的许多因素仍然不足，整个系统的性能需要改进。如果以后可以开发出更高效率，更高功率，更长距离，安全</w:t>
      </w:r>
      <w:r>
        <w:rPr>
          <w:rFonts w:ascii="宋体" w:hAnsi="宋体" w:hint="eastAsia"/>
          <w:color w:val="000000" w:themeColor="text1"/>
          <w:spacing w:val="10"/>
          <w:szCs w:val="24"/>
          <w:lang w:eastAsia="zh-CN"/>
          <w14:textFill>
            <w14:solidFill>
              <w14:schemeClr w14:val="tx1"/>
            </w14:solidFill>
          </w14:textFill>
        </w:rPr>
        <w:t>传导输送</w:t>
      </w:r>
      <w:r>
        <w:rPr>
          <w:rFonts w:ascii="宋体" w:hAnsi="宋体" w:hint="eastAsia"/>
          <w:color w:val="000000" w:themeColor="text1"/>
          <w:spacing w:val="10"/>
          <w:szCs w:val="24"/>
          <w14:textFill>
            <w14:solidFill>
              <w14:schemeClr w14:val="tx1"/>
            </w14:solidFill>
          </w14:textFill>
        </w:rPr>
        <w:t>的技术，</w:t>
      </w:r>
      <w:r>
        <w:rPr>
          <w:rFonts w:ascii="宋体" w:hAnsi="宋体" w:hint="eastAsia"/>
          <w:color w:val="000000" w:themeColor="text1"/>
          <w:spacing w:val="10"/>
          <w:szCs w:val="24"/>
          <w:lang w:eastAsia="zh-CN"/>
          <w14:textFill>
            <w14:solidFill>
              <w14:schemeClr w14:val="tx1"/>
            </w14:solidFill>
          </w14:textFill>
        </w:rPr>
        <w:t>将来能</w:t>
      </w:r>
      <w:r>
        <w:rPr>
          <w:rFonts w:ascii="宋体" w:hAnsi="宋体" w:hint="eastAsia"/>
          <w:color w:val="000000" w:themeColor="text1"/>
          <w:spacing w:val="10"/>
          <w:szCs w:val="24"/>
          <w14:textFill>
            <w14:solidFill>
              <w14:schemeClr w14:val="tx1"/>
            </w14:solidFill>
          </w14:textFill>
        </w:rPr>
        <w:t>有</w:t>
      </w:r>
      <w:r>
        <w:rPr>
          <w:rFonts w:ascii="宋体" w:hAnsi="宋体" w:hint="eastAsia"/>
          <w:color w:val="000000" w:themeColor="text1"/>
          <w:spacing w:val="10"/>
          <w:szCs w:val="24"/>
          <w:lang w:eastAsia="zh-CN"/>
          <w14:textFill>
            <w14:solidFill>
              <w14:schemeClr w14:val="tx1"/>
            </w14:solidFill>
          </w14:textFill>
        </w:rPr>
        <w:t>不错</w:t>
      </w:r>
      <w:r>
        <w:rPr>
          <w:rFonts w:ascii="宋体" w:hAnsi="宋体" w:hint="eastAsia"/>
          <w:color w:val="000000" w:themeColor="text1"/>
          <w:spacing w:val="10"/>
          <w:szCs w:val="24"/>
          <w14:textFill>
            <w14:solidFill>
              <w14:schemeClr w14:val="tx1"/>
            </w14:solidFill>
          </w14:textFill>
        </w:rPr>
        <w:t>的前景和</w:t>
      </w:r>
      <w:r>
        <w:rPr>
          <w:rFonts w:ascii="宋体" w:hAnsi="宋体" w:hint="eastAsia"/>
          <w:color w:val="000000" w:themeColor="text1"/>
          <w:spacing w:val="10"/>
          <w:szCs w:val="24"/>
          <w:lang w:eastAsia="zh-CN"/>
          <w14:textFill>
            <w14:solidFill>
              <w14:schemeClr w14:val="tx1"/>
            </w14:solidFill>
          </w14:textFill>
        </w:rPr>
        <w:t>使用</w:t>
      </w:r>
      <w:r>
        <w:rPr>
          <w:rFonts w:ascii="宋体" w:hAnsi="宋体" w:hint="eastAsia"/>
          <w:color w:val="000000" w:themeColor="text1"/>
          <w:spacing w:val="10"/>
          <w:szCs w:val="24"/>
          <w14:textFill>
            <w14:solidFill>
              <w14:schemeClr w14:val="tx1"/>
            </w14:solidFill>
          </w14:textFill>
        </w:rPr>
        <w:t>价值，</w:t>
      </w:r>
      <w:r>
        <w:rPr>
          <w:rFonts w:ascii="宋体" w:hAnsi="宋体" w:hint="eastAsia"/>
          <w:color w:val="000000" w:themeColor="text1"/>
          <w:spacing w:val="10"/>
          <w:szCs w:val="24"/>
          <w:lang w:eastAsia="zh-CN"/>
          <w14:textFill>
            <w14:solidFill>
              <w14:schemeClr w14:val="tx1"/>
            </w14:solidFill>
          </w14:textFill>
        </w:rPr>
        <w:t>不只是能够</w:t>
      </w:r>
      <w:r>
        <w:rPr>
          <w:rFonts w:ascii="宋体" w:hAnsi="宋体" w:hint="eastAsia"/>
          <w:color w:val="000000" w:themeColor="text1"/>
          <w:spacing w:val="10"/>
          <w:szCs w:val="24"/>
          <w14:textFill>
            <w14:solidFill>
              <w14:schemeClr w14:val="tx1"/>
            </w14:solidFill>
          </w14:textFill>
        </w:rPr>
        <w:t>应用</w:t>
      </w:r>
      <w:r>
        <w:rPr>
          <w:rFonts w:ascii="宋体" w:hAnsi="宋体" w:hint="eastAsia"/>
          <w:color w:val="000000" w:themeColor="text1"/>
          <w:spacing w:val="10"/>
          <w:szCs w:val="24"/>
          <w:lang w:eastAsia="zh-CN"/>
          <w14:textFill>
            <w14:solidFill>
              <w14:schemeClr w14:val="tx1"/>
            </w14:solidFill>
          </w14:textFill>
        </w:rPr>
        <w:t>到</w:t>
      </w:r>
      <w:r>
        <w:rPr>
          <w:rFonts w:ascii="宋体" w:hAnsi="宋体" w:hint="eastAsia"/>
          <w:color w:val="000000" w:themeColor="text1"/>
          <w:spacing w:val="10"/>
          <w:szCs w:val="24"/>
          <w14:textFill>
            <w14:solidFill>
              <w14:schemeClr w14:val="tx1"/>
            </w14:solidFill>
          </w14:textFill>
        </w:rPr>
        <w:t>电动车</w:t>
      </w:r>
      <w:r>
        <w:rPr>
          <w:rFonts w:ascii="宋体" w:hAnsi="宋体" w:hint="eastAsia"/>
          <w:color w:val="000000" w:themeColor="text1"/>
          <w:spacing w:val="10"/>
          <w:szCs w:val="24"/>
          <w:lang w:eastAsia="zh-CN"/>
          <w14:textFill>
            <w14:solidFill>
              <w14:schemeClr w14:val="tx1"/>
            </w14:solidFill>
          </w14:textFill>
        </w:rPr>
        <w:t>的传导输送电能</w:t>
      </w:r>
      <w:r>
        <w:rPr>
          <w:rFonts w:ascii="宋体" w:hAnsi="宋体" w:hint="eastAsia"/>
          <w:color w:val="000000" w:themeColor="text1"/>
          <w:spacing w:val="10"/>
          <w:szCs w:val="24"/>
          <w14:textFill>
            <w14:solidFill>
              <w14:schemeClr w14:val="tx1"/>
            </w14:solidFill>
          </w14:textFill>
        </w:rPr>
        <w:t>系统，无线传感器，RFID等</w:t>
      </w:r>
      <w:r>
        <w:rPr>
          <w:rFonts w:ascii="宋体" w:hAnsi="宋体" w:hint="eastAsia"/>
          <w:color w:val="000000" w:themeColor="text1"/>
          <w:spacing w:val="10"/>
          <w:szCs w:val="24"/>
          <w:lang w:eastAsia="zh-CN"/>
          <w14:textFill>
            <w14:solidFill>
              <w14:schemeClr w14:val="tx1"/>
            </w14:solidFill>
          </w14:textFill>
        </w:rPr>
        <w:t>。同时</w:t>
      </w:r>
      <w:r>
        <w:rPr>
          <w:rFonts w:ascii="宋体" w:hAnsi="宋体" w:hint="eastAsia"/>
          <w:color w:val="000000" w:themeColor="text1"/>
          <w:spacing w:val="10"/>
          <w:szCs w:val="24"/>
          <w14:textFill>
            <w14:solidFill>
              <w14:schemeClr w14:val="tx1"/>
            </w14:solidFill>
          </w14:textFill>
        </w:rPr>
        <w:t>也</w:t>
      </w:r>
      <w:r>
        <w:rPr>
          <w:rFonts w:ascii="宋体" w:hAnsi="宋体" w:hint="eastAsia"/>
          <w:color w:val="000000" w:themeColor="text1"/>
          <w:spacing w:val="10"/>
          <w:szCs w:val="24"/>
          <w:lang w:eastAsia="zh-CN"/>
          <w14:textFill>
            <w14:solidFill>
              <w14:schemeClr w14:val="tx1"/>
            </w14:solidFill>
          </w14:textFill>
        </w:rPr>
        <w:t>能够应用在</w:t>
      </w:r>
      <w:r>
        <w:rPr>
          <w:rFonts w:ascii="宋体" w:hAnsi="宋体" w:hint="eastAsia"/>
          <w:color w:val="000000" w:themeColor="text1"/>
          <w:spacing w:val="10"/>
          <w:szCs w:val="24"/>
          <w14:textFill>
            <w14:solidFill>
              <w14:schemeClr w14:val="tx1"/>
            </w14:solidFill>
          </w14:textFill>
        </w:rPr>
        <w:t>家用</w:t>
      </w:r>
      <w:r>
        <w:rPr>
          <w:rFonts w:ascii="宋体" w:hAnsi="宋体" w:hint="eastAsia"/>
          <w:color w:val="000000" w:themeColor="text1"/>
          <w:spacing w:val="10"/>
          <w:szCs w:val="24"/>
          <w:lang w:eastAsia="zh-CN"/>
          <w14:textFill>
            <w14:solidFill>
              <w14:schemeClr w14:val="tx1"/>
            </w14:solidFill>
          </w14:textFill>
        </w:rPr>
        <w:t>的</w:t>
      </w:r>
      <w:r>
        <w:rPr>
          <w:rFonts w:ascii="宋体" w:hAnsi="宋体" w:hint="eastAsia"/>
          <w:color w:val="000000" w:themeColor="text1"/>
          <w:spacing w:val="10"/>
          <w:szCs w:val="24"/>
          <w14:textFill>
            <w14:solidFill>
              <w14:schemeClr w14:val="tx1"/>
            </w14:solidFill>
          </w14:textFill>
        </w:rPr>
        <w:t>电器</w:t>
      </w:r>
      <w:r>
        <w:rPr>
          <w:rFonts w:ascii="宋体" w:hAnsi="宋体" w:hint="eastAsia"/>
          <w:color w:val="000000" w:themeColor="text1"/>
          <w:spacing w:val="10"/>
          <w:szCs w:val="24"/>
          <w:lang w:eastAsia="zh-CN"/>
          <w14:textFill>
            <w14:solidFill>
              <w14:schemeClr w14:val="tx1"/>
            </w14:solidFill>
          </w14:textFill>
        </w:rPr>
        <w:t>上</w:t>
      </w:r>
      <w:r>
        <w:rPr>
          <w:rFonts w:ascii="宋体" w:hAnsi="宋体" w:hint="eastAsia"/>
          <w:color w:val="000000" w:themeColor="text1"/>
          <w:spacing w:val="10"/>
          <w:szCs w:val="24"/>
          <w14:textFill>
            <w14:solidFill>
              <w14:schemeClr w14:val="tx1"/>
            </w14:solidFill>
          </w14:textFill>
        </w:rPr>
        <w:t>，小型移动</w:t>
      </w:r>
      <w:r>
        <w:rPr>
          <w:rFonts w:ascii="宋体" w:hAnsi="宋体" w:hint="eastAsia"/>
          <w:color w:val="000000" w:themeColor="text1"/>
          <w:spacing w:val="10"/>
          <w:szCs w:val="24"/>
          <w:lang w:eastAsia="zh-CN"/>
          <w14:textFill>
            <w14:solidFill>
              <w14:schemeClr w14:val="tx1"/>
            </w14:solidFill>
          </w14:textFill>
        </w:rPr>
        <w:t>的需要电能的</w:t>
      </w:r>
      <w:r>
        <w:rPr>
          <w:rFonts w:ascii="宋体" w:hAnsi="宋体" w:hint="eastAsia"/>
          <w:color w:val="000000" w:themeColor="text1"/>
          <w:spacing w:val="10"/>
          <w:szCs w:val="24"/>
          <w14:textFill>
            <w14:solidFill>
              <w14:schemeClr w14:val="tx1"/>
            </w14:solidFill>
          </w14:textFill>
        </w:rPr>
        <w:t>工具，</w:t>
      </w:r>
      <w:r>
        <w:rPr>
          <w:rFonts w:ascii="宋体" w:hAnsi="宋体" w:hint="eastAsia"/>
          <w:color w:val="000000" w:themeColor="text1"/>
          <w:spacing w:val="10"/>
          <w:szCs w:val="24"/>
          <w:lang w:eastAsia="zh-CN"/>
          <w14:textFill>
            <w14:solidFill>
              <w14:schemeClr w14:val="tx1"/>
            </w14:solidFill>
          </w14:textFill>
        </w:rPr>
        <w:t>例如</w:t>
      </w:r>
      <w:r>
        <w:rPr>
          <w:rFonts w:ascii="宋体" w:hAnsi="宋体" w:hint="eastAsia"/>
          <w:color w:val="000000" w:themeColor="text1"/>
          <w:spacing w:val="10"/>
          <w:szCs w:val="24"/>
          <w14:textFill>
            <w14:solidFill>
              <w14:schemeClr w14:val="tx1"/>
            </w14:solidFill>
          </w14:textFill>
        </w:rPr>
        <w:t>工业</w:t>
      </w:r>
      <w:r>
        <w:rPr>
          <w:rFonts w:ascii="宋体" w:hAnsi="宋体" w:hint="eastAsia"/>
          <w:color w:val="000000" w:themeColor="text1"/>
          <w:spacing w:val="10"/>
          <w:szCs w:val="24"/>
          <w:lang w:eastAsia="zh-CN"/>
          <w14:textFill>
            <w14:solidFill>
              <w14:schemeClr w14:val="tx1"/>
            </w14:solidFill>
          </w14:textFill>
        </w:rPr>
        <w:t>的</w:t>
      </w:r>
      <w:r>
        <w:rPr>
          <w:rFonts w:ascii="宋体" w:hAnsi="宋体" w:hint="eastAsia"/>
          <w:color w:val="000000" w:themeColor="text1"/>
          <w:spacing w:val="10"/>
          <w:szCs w:val="24"/>
          <w14:textFill>
            <w14:solidFill>
              <w14:schemeClr w14:val="tx1"/>
            </w14:solidFill>
          </w14:textFill>
        </w:rPr>
        <w:t>机器</w:t>
      </w:r>
      <w:r>
        <w:rPr>
          <w:rFonts w:ascii="宋体" w:hAnsi="宋体" w:hint="eastAsia"/>
          <w:color w:val="000000" w:themeColor="text1"/>
          <w:spacing w:val="10"/>
          <w:szCs w:val="24"/>
          <w:lang w:eastAsia="zh-CN"/>
          <w14:textFill>
            <w14:solidFill>
              <w14:schemeClr w14:val="tx1"/>
            </w14:solidFill>
          </w14:textFill>
        </w:rPr>
        <w:t>操作</w:t>
      </w:r>
      <w:r>
        <w:rPr>
          <w:rFonts w:ascii="宋体" w:hAnsi="宋体" w:hint="eastAsia"/>
          <w:color w:val="000000" w:themeColor="text1"/>
          <w:spacing w:val="10"/>
          <w:szCs w:val="24"/>
          <w14:textFill>
            <w14:solidFill>
              <w14:schemeClr w14:val="tx1"/>
            </w14:solidFill>
          </w14:textFill>
        </w:rPr>
        <w:t>，运输</w:t>
      </w:r>
      <w:r>
        <w:rPr>
          <w:rFonts w:ascii="宋体" w:hAnsi="宋体" w:hint="eastAsia"/>
          <w:color w:val="000000" w:themeColor="text1"/>
          <w:spacing w:val="10"/>
          <w:szCs w:val="24"/>
          <w:lang w:eastAsia="zh-CN"/>
          <w14:textFill>
            <w14:solidFill>
              <w14:schemeClr w14:val="tx1"/>
            </w14:solidFill>
          </w14:textFill>
        </w:rPr>
        <w:t>使用的</w:t>
      </w:r>
      <w:r>
        <w:rPr>
          <w:rFonts w:ascii="宋体" w:hAnsi="宋体" w:hint="eastAsia"/>
          <w:color w:val="000000" w:themeColor="text1"/>
          <w:spacing w:val="10"/>
          <w:szCs w:val="24"/>
          <w14:textFill>
            <w14:solidFill>
              <w14:schemeClr w14:val="tx1"/>
            </w14:solidFill>
          </w14:textFill>
        </w:rPr>
        <w:t>车辆</w:t>
      </w:r>
      <w:r>
        <w:rPr>
          <w:rFonts w:ascii="宋体" w:hAnsi="宋体" w:hint="eastAsia"/>
          <w:color w:val="000000" w:themeColor="text1"/>
          <w:spacing w:val="10"/>
          <w:szCs w:val="24"/>
          <w:lang w:eastAsia="zh-CN"/>
          <w14:textFill>
            <w14:solidFill>
              <w14:schemeClr w14:val="tx1"/>
            </w14:solidFill>
          </w14:textFill>
        </w:rPr>
        <w:t>和</w:t>
      </w:r>
      <w:r>
        <w:rPr>
          <w:rFonts w:ascii="宋体" w:hAnsi="宋体" w:hint="eastAsia"/>
          <w:color w:val="000000" w:themeColor="text1"/>
          <w:spacing w:val="10"/>
          <w:szCs w:val="24"/>
          <w14:textFill>
            <w14:solidFill>
              <w14:schemeClr w14:val="tx1"/>
            </w14:solidFill>
          </w14:textFill>
        </w:rPr>
        <w:t>航空航天，医疗</w:t>
      </w:r>
      <w:r>
        <w:rPr>
          <w:rFonts w:ascii="宋体" w:hAnsi="宋体" w:hint="eastAsia"/>
          <w:color w:val="000000" w:themeColor="text1"/>
          <w:spacing w:val="10"/>
          <w:szCs w:val="24"/>
          <w:lang w:eastAsia="zh-CN"/>
          <w14:textFill>
            <w14:solidFill>
              <w14:schemeClr w14:val="tx1"/>
            </w14:solidFill>
          </w14:textFill>
        </w:rPr>
        <w:t>所需的设计</w:t>
      </w:r>
      <w:r>
        <w:rPr>
          <w:rFonts w:ascii="宋体" w:hAnsi="宋体" w:hint="eastAsia"/>
          <w:color w:val="000000" w:themeColor="text1"/>
          <w:spacing w:val="10"/>
          <w:szCs w:val="24"/>
          <w14:textFill>
            <w14:solidFill>
              <w14:schemeClr w14:val="tx1"/>
            </w14:solidFill>
          </w14:textFill>
        </w:rPr>
        <w:t>，</w:t>
      </w:r>
      <w:r>
        <w:rPr>
          <w:rFonts w:ascii="宋体" w:hAnsi="宋体" w:hint="eastAsia"/>
          <w:color w:val="000000" w:themeColor="text1"/>
          <w:spacing w:val="10"/>
          <w:szCs w:val="24"/>
          <w:lang w:eastAsia="zh-CN"/>
          <w14:textFill>
            <w14:solidFill>
              <w14:schemeClr w14:val="tx1"/>
            </w14:solidFill>
          </w14:textFill>
        </w:rPr>
        <w:t>矿产及</w:t>
      </w:r>
      <w:r>
        <w:rPr>
          <w:rFonts w:ascii="宋体" w:hAnsi="宋体" w:hint="eastAsia"/>
          <w:color w:val="000000" w:themeColor="text1"/>
          <w:spacing w:val="10"/>
          <w:szCs w:val="24"/>
          <w14:textFill>
            <w14:solidFill>
              <w14:schemeClr w14:val="tx1"/>
            </w14:solidFill>
          </w14:textFill>
        </w:rPr>
        <w:t>水下</w:t>
      </w:r>
      <w:r>
        <w:rPr>
          <w:rFonts w:ascii="宋体" w:hAnsi="宋体" w:hint="eastAsia"/>
          <w:color w:val="000000" w:themeColor="text1"/>
          <w:spacing w:val="10"/>
          <w:szCs w:val="24"/>
          <w:lang w:eastAsia="zh-CN"/>
          <w14:textFill>
            <w14:solidFill>
              <w14:schemeClr w14:val="tx1"/>
            </w14:solidFill>
          </w14:textFill>
        </w:rPr>
        <w:t>工作</w:t>
      </w:r>
      <w:r>
        <w:rPr>
          <w:rFonts w:ascii="宋体" w:hAnsi="宋体" w:hint="eastAsia"/>
          <w:color w:val="000000" w:themeColor="text1"/>
          <w:spacing w:val="10"/>
          <w:szCs w:val="24"/>
          <w14:textFill>
            <w14:solidFill>
              <w14:schemeClr w14:val="tx1"/>
            </w14:solidFill>
          </w14:textFill>
        </w:rPr>
        <w:t>等。</w:t>
      </w:r>
      <w:r>
        <w:rPr>
          <w:rFonts w:ascii="宋体" w:hAnsi="宋体" w:hint="eastAsia"/>
          <w:color w:val="000000" w:themeColor="text1"/>
          <w:spacing w:val="10"/>
          <w:szCs w:val="24"/>
          <w:lang w:eastAsia="zh-CN"/>
          <w14:textFill>
            <w14:solidFill>
              <w14:schemeClr w14:val="tx1"/>
            </w14:solidFill>
          </w14:textFill>
        </w:rPr>
        <w:t>除此之外</w:t>
      </w:r>
      <w:r>
        <w:rPr>
          <w:rFonts w:ascii="宋体" w:hAnsi="宋体" w:hint="eastAsia"/>
          <w:color w:val="000000" w:themeColor="text1"/>
          <w:spacing w:val="10"/>
          <w:szCs w:val="24"/>
          <w14:textFill>
            <w14:solidFill>
              <w14:schemeClr w14:val="tx1"/>
            </w14:solidFill>
          </w14:textFill>
        </w:rPr>
        <w:t>，</w:t>
      </w:r>
      <w:r>
        <w:rPr>
          <w:rFonts w:ascii="宋体" w:hAnsi="宋体" w:hint="eastAsia"/>
          <w:color w:val="000000" w:themeColor="text1"/>
          <w:spacing w:val="10"/>
          <w:szCs w:val="24"/>
          <w:lang w:eastAsia="zh-CN"/>
          <w14:textFill>
            <w14:solidFill>
              <w14:schemeClr w14:val="tx1"/>
            </w14:solidFill>
          </w14:textFill>
        </w:rPr>
        <w:t>对于充电的有关</w:t>
      </w:r>
      <w:r>
        <w:rPr>
          <w:rFonts w:ascii="宋体" w:hAnsi="宋体" w:hint="eastAsia"/>
          <w:color w:val="000000" w:themeColor="text1"/>
          <w:spacing w:val="10"/>
          <w:szCs w:val="24"/>
          <w14:textFill>
            <w14:solidFill>
              <w14:schemeClr w14:val="tx1"/>
            </w14:solidFill>
          </w14:textFill>
        </w:rPr>
        <w:t>技术</w:t>
      </w:r>
      <w:r>
        <w:rPr>
          <w:rFonts w:ascii="宋体" w:hAnsi="宋体" w:hint="eastAsia"/>
          <w:color w:val="000000" w:themeColor="text1"/>
          <w:spacing w:val="10"/>
          <w:szCs w:val="24"/>
          <w:lang w:eastAsia="zh-CN"/>
          <w14:textFill>
            <w14:solidFill>
              <w14:schemeClr w14:val="tx1"/>
            </w14:solidFill>
          </w14:textFill>
        </w:rPr>
        <w:t>与</w:t>
      </w:r>
      <w:r>
        <w:rPr>
          <w:rFonts w:ascii="宋体" w:hAnsi="宋体" w:hint="eastAsia"/>
          <w:color w:val="000000" w:themeColor="text1"/>
          <w:spacing w:val="10"/>
          <w:szCs w:val="24"/>
          <w14:textFill>
            <w14:solidFill>
              <w14:schemeClr w14:val="tx1"/>
            </w14:solidFill>
          </w14:textFill>
        </w:rPr>
        <w:t>电磁理论发展也有</w:t>
      </w:r>
      <w:r>
        <w:rPr>
          <w:rFonts w:ascii="宋体" w:hAnsi="宋体" w:hint="eastAsia"/>
          <w:color w:val="000000" w:themeColor="text1"/>
          <w:spacing w:val="10"/>
          <w:szCs w:val="24"/>
          <w:lang w:eastAsia="zh-CN"/>
          <w14:textFill>
            <w14:solidFill>
              <w14:schemeClr w14:val="tx1"/>
            </w14:solidFill>
          </w14:textFill>
        </w:rPr>
        <w:t>极大的作用</w:t>
      </w:r>
      <w:r>
        <w:rPr>
          <w:rFonts w:ascii="宋体" w:hAnsi="宋体" w:hint="eastAsia"/>
          <w:color w:val="000000" w:themeColor="text1"/>
          <w:spacing w:val="10"/>
          <w:szCs w:val="24"/>
          <w14:textFill>
            <w14:solidFill>
              <w14:schemeClr w14:val="tx1"/>
            </w14:solidFill>
          </w14:textFill>
        </w:rPr>
        <w:t>。</w:t>
      </w:r>
    </w:p>
    <w:p>
      <w:pPr>
        <w:pStyle w:val="Heading2"/>
        <w:spacing w:line="640" w:lineRule="exact"/>
        <w:jc w:val="both"/>
        <w:rPr>
          <w:rFonts w:ascii="黑体" w:eastAsia="黑体" w:hAnsi="黑体" w:cs="黑体"/>
          <w:b w:val="0"/>
          <w:bCs w:val="0"/>
          <w:color w:val="000000" w:themeColor="text1"/>
          <w:spacing w:val="10"/>
          <w14:textFill>
            <w14:solidFill>
              <w14:schemeClr w14:val="tx1"/>
            </w14:solidFill>
          </w14:textFill>
        </w:rPr>
      </w:pPr>
      <w:bookmarkStart w:id="8" w:name="_Toc18547"/>
      <w:r>
        <w:rPr>
          <w:rFonts w:ascii="黑体" w:eastAsia="黑体" w:hAnsi="黑体" w:cs="黑体" w:hint="eastAsia"/>
          <w:b w:val="0"/>
          <w:bCs w:val="0"/>
          <w:color w:val="000000" w:themeColor="text1"/>
          <w:spacing w:val="10"/>
          <w14:textFill>
            <w14:solidFill>
              <w14:schemeClr w14:val="tx1"/>
            </w14:solidFill>
          </w14:textFill>
        </w:rPr>
        <w:t>1.3国内发展现状及趋势</w:t>
      </w:r>
      <w:bookmarkEnd w:id="8"/>
    </w:p>
    <w:p>
      <w:pPr>
        <w:spacing w:line="440" w:lineRule="exact"/>
        <w:ind w:firstLine="500"/>
        <w:jc w:val="both"/>
        <w:rPr>
          <w:rFonts w:hint="eastAsia"/>
          <w:color w:val="000000" w:themeColor="text1"/>
          <w:spacing w:val="10"/>
          <w14:textFill>
            <w14:solidFill>
              <w14:schemeClr w14:val="tx1"/>
            </w14:solidFill>
          </w14:textFill>
        </w:rPr>
        <w:sectPr>
          <w:headerReference w:type="default" r:id="rId10"/>
          <w:footerReference w:type="default" r:id="rId11"/>
          <w:pgSz w:w="11906" w:h="16838"/>
          <w:pgMar w:top="1984" w:right="1800" w:bottom="1440" w:left="1701" w:header="708" w:footer="709" w:gutter="0"/>
          <w:pgNumType w:start="1"/>
          <w:cols w:num="1" w:space="0"/>
          <w:docGrid w:linePitch="360" w:charSpace="0"/>
        </w:sectPr>
      </w:pPr>
      <w:r>
        <w:rPr>
          <w:rFonts w:hint="eastAsia"/>
          <w:color w:val="000000" w:themeColor="text1"/>
          <w:spacing w:val="10"/>
          <w14:textFill>
            <w14:solidFill>
              <w14:schemeClr w14:val="tx1"/>
            </w14:solidFill>
          </w14:textFill>
        </w:rPr>
        <w:t>近年来，中国无线</w:t>
      </w:r>
      <w:r>
        <w:rPr>
          <w:rFonts w:hint="eastAsia"/>
          <w:color w:val="000000" w:themeColor="text1"/>
          <w:spacing w:val="10"/>
          <w:lang w:eastAsia="zh-CN"/>
          <w14:textFill>
            <w14:solidFill>
              <w14:schemeClr w14:val="tx1"/>
            </w14:solidFill>
          </w14:textFill>
        </w:rPr>
        <w:t>传导输送</w:t>
      </w:r>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技术的研究呈现出蓬勃的发展态势。浙江大学徐晔研究了电压无触点功率变换器。小型无线电设备的周文琦具有可启动分析装置，提出了一种基于功率因数补偿多谐振的通用设计方法，该方法可以在有效补偿系统上进行，使得不同负载下的系统具有较高的功率因数。</w:t>
      </w:r>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非接触供电系统在运动器材中的耦合特性由中国科学院电工研究所吴莹，阎鲁光和徐善刚分析。西安交通大学电气学院王兆安，韩腾，方芳等人研究了小型无线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设备分岔的频率。南京航空航天大学</w:t>
      </w:r>
      <w:r>
        <w:rPr>
          <w:rFonts w:hint="eastAsia"/>
          <w:color w:val="000000" w:themeColor="text1"/>
          <w:spacing w:val="10"/>
          <w:lang w:eastAsia="zh-CN"/>
          <w14:textFill>
            <w14:solidFill>
              <w14:schemeClr w14:val="tx1"/>
            </w14:solidFill>
          </w14:textFill>
        </w:rPr>
        <w:t>的</w:t>
      </w:r>
      <w:r>
        <w:rPr>
          <w:rFonts w:hint="eastAsia"/>
          <w:color w:val="000000" w:themeColor="text1"/>
          <w:spacing w:val="10"/>
          <w14:textFill>
            <w14:solidFill>
              <w14:schemeClr w14:val="tx1"/>
            </w14:solidFill>
          </w14:textFill>
        </w:rPr>
        <w:t>王惠珍</w:t>
      </w:r>
      <w:r>
        <w:rPr>
          <w:rFonts w:hint="eastAsia"/>
          <w:color w:val="000000" w:themeColor="text1"/>
          <w:spacing w:val="10"/>
          <w:lang w:eastAsia="zh-CN"/>
          <w14:textFill>
            <w14:solidFill>
              <w14:schemeClr w14:val="tx1"/>
            </w14:solidFill>
          </w14:textFill>
        </w:rPr>
        <w:t>等数位专业人员</w:t>
      </w:r>
      <w:r>
        <w:rPr>
          <w:rFonts w:hint="eastAsia"/>
          <w:color w:val="000000" w:themeColor="text1"/>
          <w:spacing w:val="10"/>
          <w14:textFill>
            <w14:solidFill>
              <w14:schemeClr w14:val="tx1"/>
            </w14:solidFill>
          </w14:textFill>
        </w:rPr>
        <w:t>研究了小型无线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设备的全桥谐振变换器。</w:t>
      </w:r>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lang w:eastAsia="zh-CN"/>
          <w14:textFill>
            <w14:solidFill>
              <w14:schemeClr w14:val="tx1"/>
            </w14:solidFill>
          </w14:textFill>
        </w:rPr>
        <w:t>部分专家</w:t>
      </w:r>
      <w:r>
        <w:rPr>
          <w:rFonts w:hint="eastAsia"/>
          <w:color w:val="000000" w:themeColor="text1"/>
          <w:spacing w:val="10"/>
          <w14:textFill>
            <w14:solidFill>
              <w14:schemeClr w14:val="tx1"/>
            </w14:solidFill>
          </w14:textFill>
        </w:rPr>
        <w:t>获得国家自然科学基金资助</w:t>
      </w:r>
      <w:r>
        <w:rPr>
          <w:rFonts w:hint="eastAsia"/>
          <w:color w:val="000000" w:themeColor="text1"/>
          <w:spacing w:val="10"/>
          <w:lang w:eastAsia="zh-CN"/>
          <w14:textFill>
            <w14:solidFill>
              <w14:schemeClr w14:val="tx1"/>
            </w14:solidFill>
          </w14:textFill>
        </w:rPr>
        <w:t>，例如</w:t>
      </w:r>
      <w:r>
        <w:rPr>
          <w:rFonts w:hint="eastAsia"/>
          <w:color w:val="000000" w:themeColor="text1"/>
          <w:spacing w:val="10"/>
          <w14:textFill>
            <w14:solidFill>
              <w14:schemeClr w14:val="tx1"/>
            </w14:solidFill>
          </w14:textFill>
        </w:rPr>
        <w:t>朱春波教授的研究团队为电动汽车和无线传感器网络的应用进行了建模，仿真，实验研究和设备开发。李云辉教授主要研究基于特殊材料的无线电无线电</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;陈千红教授主要研究无线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功率的高效率和高可靠性。</w:t>
      </w:r>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哈尔滨工业大学朱春波教授使用直径50厘米的螺旋铜线圈和外部级联电容器，以0.7米的</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距离</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23瓦的功率。在55厘米的</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距离处接收功率以获得最大值。效率接近50％。</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华南理工大学张波教授利用互感耦合模型分析了</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效率，负载电阻和线圈尺寸之间的关系。经过测试，振荡电路和低功率放大电路可以建立无线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来验证该方法的实验系统。在谐振频率同步跟踪补偿中，采用相位补偿和锁相环同步的方法，研究了谐振腔内谐振频率对</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效率的影响，得到了最大</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效率的分析方法防止系统不匹配。</w:t>
      </w:r>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2012年，以东南大学黄学良教授为首的研究团队研究了电动汽车无线充电技术及其与电网技术的互动，反映了“电动汽车作为电网，电动汽车和良性互动的高峰分隔和作用”网格。目前的研究主要是</w:t>
      </w:r>
      <w:r>
        <w:rPr>
          <w:rFonts w:hint="eastAsia"/>
          <w:color w:val="000000" w:themeColor="text1"/>
          <w:spacing w:val="10"/>
          <w:lang w:eastAsia="zh-CN"/>
          <w14:textFill>
            <w14:solidFill>
              <w14:schemeClr w14:val="tx1"/>
            </w14:solidFill>
          </w14:textFill>
        </w:rPr>
        <w:t>构建</w:t>
      </w:r>
      <w:r>
        <w:rPr>
          <w:rFonts w:hint="eastAsia"/>
          <w:color w:val="000000" w:themeColor="text1"/>
          <w:spacing w:val="10"/>
          <w14:textFill>
            <w14:solidFill>
              <w14:schemeClr w14:val="tx1"/>
            </w14:solidFill>
          </w14:textFill>
        </w:rPr>
        <w:t>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的</w:t>
      </w:r>
      <w:r>
        <w:rPr>
          <w:rFonts w:hint="eastAsia"/>
          <w:color w:val="000000" w:themeColor="text1"/>
          <w:spacing w:val="10"/>
          <w:lang w:eastAsia="zh-CN"/>
          <w14:textFill>
            <w14:solidFill>
              <w14:schemeClr w14:val="tx1"/>
            </w14:solidFill>
          </w14:textFill>
        </w:rPr>
        <w:t>原本理论</w:t>
      </w:r>
      <w:r>
        <w:rPr>
          <w:rFonts w:hint="eastAsia"/>
          <w:color w:val="000000" w:themeColor="text1"/>
          <w:spacing w:val="10"/>
          <w14:textFill>
            <w14:solidFill>
              <w14:schemeClr w14:val="tx1"/>
            </w14:solidFill>
          </w14:textFill>
        </w:rPr>
        <w:t>和</w:t>
      </w:r>
      <w:r>
        <w:rPr>
          <w:rFonts w:hint="eastAsia"/>
          <w:color w:val="000000" w:themeColor="text1"/>
          <w:spacing w:val="10"/>
          <w:lang w:eastAsia="zh-CN"/>
          <w14:textFill>
            <w14:solidFill>
              <w14:schemeClr w14:val="tx1"/>
            </w14:solidFill>
          </w14:textFill>
        </w:rPr>
        <w:t>运用</w:t>
      </w:r>
      <w:r>
        <w:rPr>
          <w:rFonts w:hint="eastAsia"/>
          <w:color w:val="000000" w:themeColor="text1"/>
          <w:spacing w:val="10"/>
          <w14:textFill>
            <w14:solidFill>
              <w14:schemeClr w14:val="tx1"/>
            </w14:solidFill>
          </w14:textFill>
        </w:rPr>
        <w:t>，如系统模型，拓扑结构，距离，效率特性，频率匹配等，并积极探索超声波能量耦合</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的机理和电场。</w:t>
      </w:r>
    </w:p>
    <w:p>
      <w:pPr>
        <w:spacing w:line="440" w:lineRule="exact"/>
        <w:ind w:firstLine="500"/>
        <w:jc w:val="both"/>
        <w:rPr>
          <w:color w:val="000000" w:themeColor="text1"/>
          <w:spacing w:val="10"/>
          <w14:textFill>
            <w14:solidFill>
              <w14:schemeClr w14:val="tx1"/>
            </w14:solidFill>
          </w14:textFill>
        </w:rPr>
        <w:sectPr>
          <w:headerReference w:type="default" r:id="rId12"/>
          <w:footerReference w:type="default" r:id="rId13"/>
          <w:type w:val="nextPage"/>
          <w:pgSz w:w="11906" w:h="16838"/>
          <w:pgMar w:top="1984" w:right="1800" w:bottom="1440" w:left="1701" w:header="708" w:footer="709" w:gutter="0"/>
          <w:pgNumType w:start="2"/>
          <w:cols w:num="1" w:space="0"/>
          <w:titlePg w:val="0"/>
          <w:docGrid w:linePitch="360" w:charSpace="0"/>
        </w:sectPr>
      </w:pPr>
      <w:r>
        <w:rPr>
          <w:rFonts w:hint="eastAsia"/>
          <w:color w:val="000000" w:themeColor="text1"/>
          <w:spacing w:val="10"/>
          <w14:textFill>
            <w14:solidFill>
              <w14:schemeClr w14:val="tx1"/>
            </w14:solidFill>
          </w14:textFill>
        </w:rPr>
        <w:t>此外，中国科学院刘国强教授，南京理工大学丁立波教授，清华大学教授于格杰，天津大学李兴飞教授，上海交通大学阎国政教授，武汉大学，重庆大学孙渝教授和苏玉刚教授等对磁耦合谐振无线电力</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各方面进行了卓有成效的研究。但与国外研究水平相比，国内技术相对落后，还有很多地方需要探索。</w:t>
      </w:r>
    </w:p>
    <w:p>
      <w:pPr>
        <w:pStyle w:val="Heading2"/>
        <w:spacing w:line="640" w:lineRule="exact"/>
        <w:jc w:val="both"/>
        <w:rPr>
          <w:rFonts w:ascii="黑体" w:eastAsia="黑体" w:hAnsi="黑体" w:cs="黑体"/>
          <w:b w:val="0"/>
          <w:bCs w:val="0"/>
          <w:color w:val="000000" w:themeColor="text1"/>
          <w:spacing w:val="10"/>
          <w14:textFill>
            <w14:solidFill>
              <w14:schemeClr w14:val="tx1"/>
            </w14:solidFill>
          </w14:textFill>
        </w:rPr>
      </w:pPr>
      <w:bookmarkStart w:id="9" w:name="_Toc16619"/>
      <w:r>
        <w:rPr>
          <w:rFonts w:ascii="黑体" w:eastAsia="黑体" w:hAnsi="黑体" w:cs="黑体" w:hint="eastAsia"/>
          <w:b w:val="0"/>
          <w:bCs w:val="0"/>
          <w:color w:val="000000" w:themeColor="text1"/>
          <w:spacing w:val="10"/>
          <w14:textFill>
            <w14:solidFill>
              <w14:schemeClr w14:val="tx1"/>
            </w14:solidFill>
          </w14:textFill>
        </w:rPr>
        <w:t>1.4国外发展现状及趋势</w:t>
      </w:r>
      <w:bookmarkEnd w:id="9"/>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在</w:t>
      </w:r>
      <w:r>
        <w:rPr>
          <w:rFonts w:hint="eastAsia"/>
          <w:color w:val="000000" w:themeColor="text1"/>
          <w:spacing w:val="10"/>
          <w:lang w:val="en-US" w:eastAsia="zh-CN"/>
          <w14:textFill>
            <w14:solidFill>
              <w14:schemeClr w14:val="tx1"/>
            </w14:solidFill>
          </w14:textFill>
        </w:rPr>
        <w:t>20</w:t>
      </w:r>
      <w:r>
        <w:rPr>
          <w:rFonts w:hint="eastAsia"/>
          <w:color w:val="000000" w:themeColor="text1"/>
          <w:spacing w:val="10"/>
          <w14:textFill>
            <w14:solidFill>
              <w14:schemeClr w14:val="tx1"/>
            </w14:solidFill>
          </w14:textFill>
        </w:rPr>
        <w:t>世纪</w:t>
      </w:r>
      <w:r>
        <w:rPr>
          <w:rFonts w:hint="eastAsia"/>
          <w:color w:val="000000" w:themeColor="text1"/>
          <w:spacing w:val="10"/>
          <w:lang w:val="en-US" w:eastAsia="zh-CN"/>
          <w14:textFill>
            <w14:solidFill>
              <w14:schemeClr w14:val="tx1"/>
            </w14:solidFill>
          </w14:textFill>
        </w:rPr>
        <w:t>80</w:t>
      </w:r>
      <w:r>
        <w:rPr>
          <w:rFonts w:hint="eastAsia"/>
          <w:color w:val="000000" w:themeColor="text1"/>
          <w:spacing w:val="10"/>
          <w14:textFill>
            <w14:solidFill>
              <w14:schemeClr w14:val="tx1"/>
            </w14:solidFill>
          </w14:textFill>
        </w:rPr>
        <w:t>年代，E. Abel和S. M. Third</w:t>
      </w:r>
      <w:r>
        <w:rPr>
          <w:rFonts w:hint="eastAsia"/>
          <w:color w:val="000000" w:themeColor="text1"/>
          <w:spacing w:val="10"/>
          <w:lang w:eastAsia="zh-CN"/>
          <w14:textFill>
            <w14:solidFill>
              <w14:schemeClr w14:val="tx1"/>
            </w14:solidFill>
          </w14:textFill>
        </w:rPr>
        <w:t>创造了无需</w:t>
      </w:r>
      <w:r>
        <w:rPr>
          <w:rFonts w:hint="eastAsia"/>
          <w:color w:val="000000" w:themeColor="text1"/>
          <w:spacing w:val="10"/>
          <w14:textFill>
            <w14:solidFill>
              <w14:schemeClr w14:val="tx1"/>
            </w14:solidFill>
          </w14:textFill>
        </w:rPr>
        <w:t>接触</w:t>
      </w:r>
      <w:r>
        <w:rPr>
          <w:rFonts w:hint="eastAsia"/>
          <w:color w:val="000000" w:themeColor="text1"/>
          <w:spacing w:val="10"/>
          <w:lang w:eastAsia="zh-CN"/>
          <w14:textFill>
            <w14:solidFill>
              <w14:schemeClr w14:val="tx1"/>
            </w14:solidFill>
          </w14:textFill>
        </w:rPr>
        <w:t>形式的</w:t>
      </w:r>
      <w:r>
        <w:rPr>
          <w:rFonts w:hint="eastAsia"/>
          <w:color w:val="000000" w:themeColor="text1"/>
          <w:spacing w:val="10"/>
          <w14:textFill>
            <w14:solidFill>
              <w14:schemeClr w14:val="tx1"/>
            </w14:solidFill>
          </w14:textFill>
        </w:rPr>
        <w:t>功率</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的</w:t>
      </w:r>
      <w:r>
        <w:rPr>
          <w:rFonts w:hint="eastAsia"/>
          <w:color w:val="000000" w:themeColor="text1"/>
          <w:spacing w:val="10"/>
          <w:lang w:eastAsia="zh-CN"/>
          <w14:textFill>
            <w14:solidFill>
              <w14:schemeClr w14:val="tx1"/>
            </w14:solidFill>
          </w14:textFill>
        </w:rPr>
        <w:t>有关</w:t>
      </w:r>
      <w:r>
        <w:rPr>
          <w:rFonts w:hint="eastAsia"/>
          <w:color w:val="000000" w:themeColor="text1"/>
          <w:spacing w:val="10"/>
          <w14:textFill>
            <w14:solidFill>
              <w14:schemeClr w14:val="tx1"/>
            </w14:solidFill>
          </w14:textFill>
        </w:rPr>
        <w:t>概念，使用</w:t>
      </w:r>
      <w:r>
        <w:rPr>
          <w:rFonts w:hint="eastAsia"/>
          <w:color w:val="000000" w:themeColor="text1"/>
          <w:spacing w:val="10"/>
          <w:lang w:eastAsia="zh-CN"/>
          <w14:textFill>
            <w14:solidFill>
              <w14:schemeClr w14:val="tx1"/>
            </w14:solidFill>
          </w14:textFill>
        </w:rPr>
        <w:t>无需直接接触形式传导输送</w:t>
      </w:r>
      <w:r>
        <w:rPr>
          <w:rFonts w:hint="eastAsia"/>
          <w:color w:val="000000" w:themeColor="text1"/>
          <w:spacing w:val="10"/>
          <w14:textFill>
            <w14:solidFill>
              <w14:schemeClr w14:val="tx1"/>
            </w14:solidFill>
          </w14:textFill>
        </w:rPr>
        <w:t>来代替引线和金属片相互接触的方式。 90年代以后，新西兰，美国，日本等技术专家学者做了大量的研究。</w:t>
      </w:r>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新西兰奥克兰大学电力电子研究中心。约翰博伊斯教授领导的一个研究小组已经选择研究轨道车辆的使用，例如电动车的电车，运输车和感应充电装置。它已经出版。数百篇与无线电力</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技术相关的文章。</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关于直接电感耦合无线电力</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技术，以纽西兰奥克兰大学John T.boys教授为首的研究小组在20世纪90年代率先开展了研究工作。理论研究和工程应用技术团队已经做了大量卓有成效的工作。理论体系和实用技术体系，率先开发实际装置批量生产。技术原理，系统频率分析和稳定性，功率控制，不同补偿电路系统特性分析，能量和信号同步</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，系统稳定性等方面均取得了很好的技术研究成果。例如用于单轨车辆，有轨电车和轨道交通设备的电源，例如卡车电感耦合生物统计访问，植入式设备和用于电动车辆的感应耦合电源系统等。 Halo1PT于2010年11月在伦敦成立，通过感应技术成功完成电动车辆的充电。只需将电动接收器定位在电动车辆的底盘下。电动汽车进入电力变送器时，可以直接充电。 2011年7月，HaIoIPT宣布与德雷赛车技术公司建立新的战略合作伙伴关系，旨在引领零排放电动汽车充电技术的发展。后来高通将所有HaIoTPT收购，高通作为这一领域的新领域，主要业务涉及高功率无线充电技术和相应产品的开发与开发。</w:t>
      </w:r>
    </w:p>
    <w:p>
      <w:pPr>
        <w:spacing w:line="440" w:lineRule="exact"/>
        <w:ind w:firstLine="500"/>
        <w:jc w:val="both"/>
        <w:rPr>
          <w:rFonts w:hint="eastAsia"/>
          <w:color w:val="000000" w:themeColor="text1"/>
          <w:spacing w:val="10"/>
          <w14:textFill>
            <w14:solidFill>
              <w14:schemeClr w14:val="tx1"/>
            </w14:solidFill>
          </w14:textFill>
        </w:rPr>
        <w:sectPr>
          <w:headerReference w:type="default" r:id="rId14"/>
          <w:footerReference w:type="default" r:id="rId15"/>
          <w:type w:val="nextPage"/>
          <w:pgSz w:w="11906" w:h="16838"/>
          <w:pgMar w:top="1984" w:right="1800" w:bottom="1440" w:left="1701" w:header="708" w:footer="709" w:gutter="0"/>
          <w:pgNumType w:start="3"/>
          <w:cols w:num="1" w:space="0"/>
          <w:titlePg w:val="0"/>
          <w:docGrid w:linePitch="360" w:charSpace="0"/>
        </w:sectPr>
      </w:pPr>
      <w:r>
        <w:rPr>
          <w:rFonts w:hint="eastAsia"/>
          <w:color w:val="000000" w:themeColor="text1"/>
          <w:spacing w:val="10"/>
          <w14:textFill>
            <w14:solidFill>
              <w14:schemeClr w14:val="tx1"/>
            </w14:solidFill>
          </w14:textFill>
        </w:rPr>
        <w:t>关于磁耦合谐振无线电力</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技术，如图1-4所示，2007年7月，由麻省理工学院（MIT）的Marin Soljacic教授领导的研究小组负责人在科学杂志上发表了一篇论文。据研究，一种新型的远距离无线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模式，称为磁耦合谐振无线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模式，两者具有相同频率的谐振电路互感互感强，线圈2米距离成功前后点亮60W灯壳，</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效率高达40％，目前1米距离内能量转换效率水平为90％。研究发现，该系统的电磁辐射低于国际安全标准，对人体健康无害。其辐射类似于高端核磁共振（NMR），在安全区域。这一发现增加了电能的无线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距离，从而将无线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技术推向了一个新的阶段。</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2008年，英特尔公司基于磁耦合谐振技术的J.R. Smith研究表明，75％的系统效率超过60W的功率，后来增加了新功能，同时启用语音信息。 2009年消费电子展在美国，在会议开始之前，以色列的Powermat公司展示了该公司的无线充电系统，其功率转换效率提高了93％，并为系统感知接收器增加了RFID功能。 2009年10月，索尼开发了一种基于磁耦合谐振的技术，可用于无线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距离扩展技术，该技术是在中继设备之后添加的，在80％</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效率的情况下，约为</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距离的1.7倍，特别是排放。接收时距离太远，效果更明显。在日本东京大学，进行了三维实验来研究非对称谐振器的相对位置与</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效率之间的关系。实验进行了。对kHz频段，MHz频段和GHz频段的理论分析和演示证明了</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效率。另一方面，东京大学采用阻抗匹配方法来提高整个系统的效率，并证明收音机能够在从kHz到GHz的频段内</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 2010年10月Witricity首次使用大功率电器进行无线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，将其功率提高了几千瓦，为未来高功率无线电力</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设备的研究打开了大门。卡内基梅隆大学教授通过对研究多个接收机的无线电能量</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设备进行实验，分析了</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过程中的频率分裂现象</w:t>
      </w:r>
      <w:r>
        <w:rPr>
          <w:color w:val="000000" w:themeColor="text1"/>
          <w:spacing w:val="10"/>
          <w14:textFill>
            <w14:solidFill>
              <w14:schemeClr w14:val="tx1"/>
            </w14:solidFill>
          </w14:textFill>
        </w:rPr>
        <w:t>。</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这说明国外无线电能量</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技术的基本设计原理和设计方法，团队磁场耦合机制的设计，功率，频率和效率的分析不断深入，许多新的方法 并提出了新的概念。</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随着国家政策的倾斜和科学技术的不断进步，磁耦合共振无线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技术的快速发展和展示了广阔的前景。 在未来的几年里磁耦合的谐振无线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技术中的主要研究方向是如下：</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（1）磁耦合谐振线圈可以进行无线电</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系统的优化设计：磁耦合谐振无线电</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系统是线圈中最重要的部分，其线圈的适用性和不适宜的质量直接关系到无线电</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系统的性能好坏。因此，系统效率可以通过使用新材料，提高的品质因数或线圈的耦合系数和设计新的线圈结构得到改善。</w:t>
      </w:r>
    </w:p>
    <w:p>
      <w:pPr>
        <w:spacing w:line="440" w:lineRule="exact"/>
        <w:ind w:firstLine="500"/>
        <w:jc w:val="both"/>
        <w:rPr>
          <w:color w:val="000000" w:themeColor="text1"/>
          <w:spacing w:val="10"/>
          <w14:textFill>
            <w14:solidFill>
              <w14:schemeClr w14:val="tx1"/>
            </w14:solidFill>
          </w14:textFill>
        </w:rPr>
        <w:sectPr>
          <w:headerReference w:type="default" r:id="rId16"/>
          <w:footerReference w:type="default" r:id="rId17"/>
          <w:type w:val="nextPage"/>
          <w:pgSz w:w="11906" w:h="16838"/>
          <w:pgMar w:top="1984" w:right="1800" w:bottom="1440" w:left="1701" w:header="708" w:footer="709" w:gutter="0"/>
          <w:pgNumType w:start="4"/>
          <w:cols w:num="1" w:space="0"/>
          <w:titlePg w:val="0"/>
          <w:docGrid w:linePitch="360" w:charSpace="0"/>
        </w:sectPr>
      </w:pPr>
      <w:r>
        <w:rPr>
          <w:rFonts w:hint="eastAsia"/>
          <w:color w:val="000000" w:themeColor="text1"/>
          <w:spacing w:val="10"/>
          <w14:textFill>
            <w14:solidFill>
              <w14:schemeClr w14:val="tx1"/>
            </w14:solidFill>
          </w14:textFill>
        </w:rPr>
        <w:t>（2）磁耦合谐振可以用无线电</w:t>
      </w:r>
      <w:r>
        <w:rPr>
          <w:rFonts w:hint="eastAsia"/>
          <w:color w:val="000000" w:themeColor="text1"/>
          <w:spacing w:val="10"/>
          <w:lang w:eastAsia="zh-CN"/>
          <w14:textFill>
            <w14:solidFill>
              <w14:schemeClr w14:val="tx1"/>
            </w14:solidFill>
          </w14:textFill>
        </w:rPr>
        <w:t>传导输送</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系统，根据不同的情况和需要优化结构设计，并通过继电器谐振线圈和发射机/接收机的结构设计，以及新材料的方法来增加</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距离，提高</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效率和功率，让它能</w:t>
      </w:r>
      <w:r>
        <w:rPr>
          <w:color w:val="000000" w:themeColor="text1"/>
          <w:spacing w:val="10"/>
          <w14:textFill>
            <w14:solidFill>
              <w14:schemeClr w14:val="tx1"/>
            </w14:solidFill>
          </w14:textFill>
        </w:rPr>
        <w:t>在</w:t>
      </w:r>
      <w:r>
        <w:rPr>
          <w:rFonts w:hint="eastAsia"/>
          <w:color w:val="000000" w:themeColor="text1"/>
          <w:spacing w:val="10"/>
          <w:lang w:eastAsia="zh-CN"/>
          <w14:textFill>
            <w14:solidFill>
              <w14:schemeClr w14:val="tx1"/>
            </w14:solidFill>
          </w14:textFill>
        </w:rPr>
        <w:t>传导输送</w:t>
      </w:r>
      <w:r>
        <w:rPr>
          <w:color w:val="000000" w:themeColor="text1"/>
          <w:spacing w:val="10"/>
          <w14:textFill>
            <w14:solidFill>
              <w14:schemeClr w14:val="tx1"/>
            </w14:solidFill>
          </w14:textFill>
        </w:rPr>
        <w:t>性能上进一步提升。</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（3）磁耦合谐振无线</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系统的电磁环境及其对生物体的影响：磁耦合谐振收音机内部可</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及其工作环境，存在各种电子器件，在大功率高频电磁场中，它们易感干涉。与传统的</w:t>
      </w:r>
      <w:r>
        <w:rPr>
          <w:rFonts w:hint="eastAsia"/>
          <w:color w:val="000000" w:themeColor="text1"/>
          <w:spacing w:val="10"/>
          <w:lang w:eastAsia="zh-CN"/>
          <w14:textFill>
            <w14:solidFill>
              <w14:schemeClr w14:val="tx1"/>
            </w14:solidFill>
          </w14:textFill>
        </w:rPr>
        <w:t>无需直接接触形式</w:t>
      </w:r>
      <w:r>
        <w:rPr>
          <w:rFonts w:hint="eastAsia"/>
          <w:color w:val="000000" w:themeColor="text1"/>
          <w:spacing w:val="10"/>
          <w14:textFill>
            <w14:solidFill>
              <w14:schemeClr w14:val="tx1"/>
            </w14:solidFill>
          </w14:textFill>
        </w:rPr>
        <w:t>功率</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方式相比，磁耦合谐振式无线电可以</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很多对高频电磁场敏感的参数，等效负载，可以由系统的最佳</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频率漂移引起。国内外学者开展电磁环境对电磁兼容问题，影响</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性能，</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和安全性的相关研究，但大部分研究尚处于起步阶段，进一步探索磁耦合谐振可以高频电磁场无线电</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系统对人体健康和自然环境的影响是今后的研究方向。</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（4）动态频率跟踪技术：在磁耦合谐振无线电</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系统中，分频和频率漂移频繁发生。频率分裂现象是磁耦合谐振无线电</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系统中的发射器和接收器之间的耦合系数的现象。频率漂移现象是系统受外部干扰的干扰或温度干扰的现象。分频和频率漂移面临着巨大的问题制约了系统的控制策略，而且很难快速找到全频率的最佳</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频率，因为系统的最优工作点已经在同一时间，状态很难稳定。然而，操作频率的选择和调节对提高整体</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效率起着决定性的作用。为了有效解决磁耦合谐振无线电</w:t>
      </w:r>
      <w:r>
        <w:rPr>
          <w:rFonts w:hint="eastAsia"/>
          <w:color w:val="000000" w:themeColor="text1"/>
          <w:spacing w:val="10"/>
          <w:lang w:eastAsia="zh-CN"/>
          <w14:textFill>
            <w14:solidFill>
              <w14:schemeClr w14:val="tx1"/>
            </w14:solidFill>
          </w14:textFill>
        </w:rPr>
        <w:t>传导输送</w:t>
      </w:r>
      <w:r>
        <w:rPr>
          <w:rFonts w:hint="eastAsia"/>
          <w:color w:val="000000" w:themeColor="text1"/>
          <w:spacing w:val="10"/>
          <w14:textFill>
            <w14:solidFill>
              <w14:schemeClr w14:val="tx1"/>
            </w14:solidFill>
          </w14:textFill>
        </w:rPr>
        <w:t>系统稳定性差的问题，探索实时频率跟踪技术是一个重要的研究项目。</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5）均匀磁场技术：当向运动物体充电时，发射线圈和接收线圈会产生偏差，导致磁场变化，这会影响输出电压和输出电流的变化，系统的稳定性也会影响。当前的解决方案是在系统的接收端添加一个调节器，以稳定输出电压或电流，并且确保系统正常工作。一旦移动物体的速度太快，现有的调节方法难以满足实际要求，并且它是一个重要的探索均匀磁场的技术研究方向。</w:t>
      </w:r>
    </w:p>
    <w:p>
      <w:pPr>
        <w:spacing w:line="440" w:lineRule="exact"/>
        <w:ind w:firstLine="500"/>
        <w:jc w:val="both"/>
        <w:rPr>
          <w:color w:val="000000" w:themeColor="text1"/>
          <w:spacing w:val="10"/>
          <w14:textFill>
            <w14:solidFill>
              <w14:schemeClr w14:val="tx1"/>
            </w14:solidFill>
          </w14:textFill>
        </w:rPr>
      </w:pPr>
    </w:p>
    <w:p>
      <w:pPr>
        <w:spacing w:line="440" w:lineRule="exact"/>
        <w:ind w:firstLine="500"/>
        <w:jc w:val="both"/>
        <w:rPr>
          <w:color w:val="000000" w:themeColor="text1"/>
          <w:spacing w:val="10"/>
          <w14:textFill>
            <w14:solidFill>
              <w14:schemeClr w14:val="tx1"/>
            </w14:solidFill>
          </w14:textFill>
        </w:rPr>
      </w:pPr>
    </w:p>
    <w:p>
      <w:pPr>
        <w:spacing w:line="440" w:lineRule="exact"/>
        <w:ind w:firstLine="500"/>
        <w:jc w:val="both"/>
        <w:rPr>
          <w:color w:val="000000" w:themeColor="text1"/>
          <w:spacing w:val="10"/>
          <w14:textFill>
            <w14:solidFill>
              <w14:schemeClr w14:val="tx1"/>
            </w14:solidFill>
          </w14:textFill>
        </w:rPr>
      </w:pPr>
    </w:p>
    <w:p>
      <w:pPr>
        <w:spacing w:line="440" w:lineRule="exact"/>
        <w:ind w:firstLine="500"/>
        <w:jc w:val="both"/>
        <w:rPr>
          <w:color w:val="000000" w:themeColor="text1"/>
          <w:spacing w:val="10"/>
          <w14:textFill>
            <w14:solidFill>
              <w14:schemeClr w14:val="tx1"/>
            </w14:solidFill>
          </w14:textFill>
        </w:rPr>
        <w:sectPr>
          <w:headerReference w:type="default" r:id="rId18"/>
          <w:footerReference w:type="default" r:id="rId19"/>
          <w:type w:val="nextPage"/>
          <w:pgSz w:w="11906" w:h="16838"/>
          <w:pgMar w:top="1984" w:right="1800" w:bottom="1440" w:left="1701" w:header="708" w:footer="709" w:gutter="0"/>
          <w:pgNumType w:start="5"/>
          <w:cols w:num="1" w:space="0"/>
          <w:titlePg w:val="0"/>
          <w:docGrid w:linePitch="360" w:charSpace="0"/>
        </w:sectPr>
      </w:pPr>
    </w:p>
    <w:p>
      <w:pPr>
        <w:pStyle w:val="Heading1"/>
        <w:spacing w:line="640" w:lineRule="exact"/>
        <w:rPr>
          <w:rFonts w:ascii="黑体" w:eastAsia="黑体" w:hAnsi="黑体" w:cs="黑体"/>
          <w:b w:val="0"/>
          <w:bCs w:val="0"/>
          <w:color w:val="000000" w:themeColor="text1"/>
          <w:spacing w:val="10"/>
          <w:sz w:val="32"/>
          <w:szCs w:val="32"/>
          <w14:textFill>
            <w14:solidFill>
              <w14:schemeClr w14:val="tx1"/>
            </w14:solidFill>
          </w14:textFill>
        </w:rPr>
      </w:pPr>
      <w:bookmarkStart w:id="10" w:name="_Toc6094"/>
      <w:r>
        <w:rPr>
          <w:rFonts w:ascii="黑体" w:eastAsia="黑体" w:hAnsi="黑体" w:cs="黑体" w:hint="eastAsia"/>
          <w:b w:val="0"/>
          <w:bCs w:val="0"/>
          <w:color w:val="000000" w:themeColor="text1"/>
          <w:spacing w:val="10"/>
          <w:sz w:val="32"/>
          <w:szCs w:val="32"/>
          <w14:textFill>
            <w14:solidFill>
              <w14:schemeClr w14:val="tx1"/>
            </w14:solidFill>
          </w14:textFill>
        </w:rPr>
        <w:t>2.无线电能</w:t>
      </w:r>
      <w:r>
        <w:rPr>
          <w:rFonts w:ascii="黑体" w:eastAsia="黑体" w:hAnsi="黑体" w:cs="黑体" w:hint="eastAsia"/>
          <w:b w:val="0"/>
          <w:bCs w:val="0"/>
          <w:color w:val="000000" w:themeColor="text1"/>
          <w:spacing w:val="10"/>
          <w:sz w:val="32"/>
          <w:szCs w:val="32"/>
          <w:lang w:eastAsia="zh-CN"/>
          <w14:textFill>
            <w14:solidFill>
              <w14:schemeClr w14:val="tx1"/>
            </w14:solidFill>
          </w14:textFill>
        </w:rPr>
        <w:t>传输</w:t>
      </w:r>
      <w:r>
        <w:rPr>
          <w:rFonts w:ascii="黑体" w:eastAsia="黑体" w:hAnsi="黑体" w:cs="黑体" w:hint="eastAsia"/>
          <w:b w:val="0"/>
          <w:bCs w:val="0"/>
          <w:color w:val="000000" w:themeColor="text1"/>
          <w:spacing w:val="10"/>
          <w:sz w:val="32"/>
          <w:szCs w:val="32"/>
          <w14:textFill>
            <w14:solidFill>
              <w14:schemeClr w14:val="tx1"/>
            </w14:solidFill>
          </w14:textFill>
        </w:rPr>
        <w:t>装置设计所运用到的原理</w:t>
      </w:r>
      <w:bookmarkEnd w:id="10"/>
    </w:p>
    <w:p>
      <w:pPr>
        <w:pStyle w:val="Heading2"/>
        <w:spacing w:line="640" w:lineRule="exact"/>
        <w:jc w:val="both"/>
        <w:rPr>
          <w:rFonts w:ascii="黑体" w:eastAsia="黑体" w:hAnsi="黑体" w:cs="黑体"/>
          <w:b w:val="0"/>
          <w:bCs w:val="0"/>
          <w:color w:val="000000" w:themeColor="text1"/>
          <w:spacing w:val="10"/>
          <w14:textFill>
            <w14:solidFill>
              <w14:schemeClr w14:val="tx1"/>
            </w14:solidFill>
          </w14:textFill>
        </w:rPr>
      </w:pPr>
      <w:bookmarkStart w:id="11" w:name="_Toc21299"/>
      <w:r>
        <w:rPr>
          <w:rFonts w:ascii="黑体" w:eastAsia="黑体" w:hAnsi="黑体" w:cs="黑体" w:hint="eastAsia"/>
          <w:b w:val="0"/>
          <w:bCs w:val="0"/>
          <w:color w:val="000000" w:themeColor="text1"/>
          <w:spacing w:val="10"/>
          <w14:textFill>
            <w14:solidFill>
              <w14:schemeClr w14:val="tx1"/>
            </w14:solidFill>
          </w14:textFill>
        </w:rPr>
        <w:t>2.1常用磁性材料的特性</w:t>
      </w:r>
      <w:bookmarkEnd w:id="11"/>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（1）</w:t>
      </w:r>
      <w:r>
        <w:rPr>
          <w:rFonts w:hint="eastAsia"/>
          <w:color w:val="000000" w:themeColor="text1"/>
          <w:spacing w:val="10"/>
          <w:lang w:eastAsia="zh-CN"/>
          <w14:textFill>
            <w14:solidFill>
              <w14:schemeClr w14:val="tx1"/>
            </w14:solidFill>
          </w14:textFill>
        </w:rPr>
        <w:t>磁</w:t>
      </w:r>
      <w:r>
        <w:rPr>
          <w:rFonts w:hint="eastAsia"/>
          <w:color w:val="000000" w:themeColor="text1"/>
          <w:spacing w:val="10"/>
          <w14:textFill>
            <w14:solidFill>
              <w14:schemeClr w14:val="tx1"/>
            </w14:solidFill>
          </w14:textFill>
        </w:rPr>
        <w:t>粉芯</w:t>
      </w:r>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磁粉芯是一种由铁磁粉和绝缘介质组成的软磁材料。由于铁磁性颗粒非常小（0.5至5微米的高频），它们被非磁性绝缘薄膜的材料分开。因此，一方面可以分离涡流并且材料适合于高频。另一方面，由于颗粒之间的间隙的影响，材料具有低导磁率和恒定的磁性。由于颗粒的尺寸小，皮肤收集的现象基本上不存在，并且磁导率和频率的变化是稳定的。主要用于高频电感。粉末磁芯的磁性主要</w:t>
      </w:r>
      <w:r>
        <w:rPr>
          <w:rFonts w:hint="eastAsia"/>
          <w:color w:val="000000" w:themeColor="text1"/>
          <w:spacing w:val="10"/>
          <w:lang w:eastAsia="zh-CN"/>
          <w14:textFill>
            <w14:solidFill>
              <w14:schemeClr w14:val="tx1"/>
            </w14:solidFill>
          </w14:textFill>
        </w:rPr>
        <w:t>是根据</w:t>
      </w:r>
      <w:r>
        <w:rPr>
          <w:rFonts w:hint="eastAsia"/>
          <w:color w:val="000000" w:themeColor="text1"/>
          <w:spacing w:val="10"/>
          <w14:textFill>
            <w14:solidFill>
              <w14:schemeClr w14:val="tx1"/>
            </w14:solidFill>
          </w14:textFill>
        </w:rPr>
        <w:t>磁导率，粉末的尺寸和形状，填充系数，电介质，成型压力和热处理工艺的内容。有三种常见的粉芯：铁粉芯，Pomero合金粉芯和硅铁粉芯。</w:t>
      </w:r>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铁粉芯：普通铁粉芯由碳基铁磁粉和树脂碳基铁磁粉组成。核心价格最低。饱和磁感应强度约为1.4T;磁导率范围从10到100;初始渗透率mi随频率而变化;直流叠加性能好;但高频损失很高。</w:t>
      </w:r>
    </w:p>
    <w:p>
      <w:pPr>
        <w:spacing w:line="440" w:lineRule="exact"/>
        <w:ind w:firstLine="500"/>
        <w:jc w:val="both"/>
        <w:rPr>
          <w:rFonts w:hint="eastAsia"/>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坡莫合金粉芯：坡莫合金粉芯主要由钼坡缕石粉（MPP）和高通量芯（HighFlux）组成。 MPP的主要特点是：饱和磁感应强度约为7500Gs;渗透率范围从14到550;粉芯的损耗最低;出色的温度稳定性，广泛应用于航空航天设备，户外装备。磁致伸缩系数接近零，工作在不同频率下不会产生噪声。主要用于低于300KHZ的高品质因数Q滤波器，电感负载线圈，谐振电路，用于高温度稳定的常用LC电路，交流电路中的输出电感，功率因数校正电路等。最昂贵的。</w:t>
      </w:r>
    </w:p>
    <w:p>
      <w:pPr>
        <w:spacing w:line="440" w:lineRule="exact"/>
        <w:ind w:firstLine="500"/>
        <w:jc w:val="both"/>
        <w:rPr>
          <w:color w:val="000000" w:themeColor="text1"/>
          <w:spacing w:val="10"/>
          <w14:textFill>
            <w14:solidFill>
              <w14:schemeClr w14:val="tx1"/>
            </w14:solidFill>
          </w14:textFill>
        </w:rPr>
      </w:pPr>
      <w:r>
        <w:rPr>
          <w:rFonts w:hint="eastAsia"/>
          <w:color w:val="000000" w:themeColor="text1"/>
          <w:spacing w:val="10"/>
          <w14:textFill>
            <w14:solidFill>
              <w14:schemeClr w14:val="tx1"/>
            </w14:solidFill>
          </w14:textFill>
        </w:rPr>
        <w:t>高磁通磁芯的主要特点是：饱和磁感应强度约为15000Gs;渗透率范围从14到160;它具有最高的磁感应强度和最高的直流偏置能力。核心很小。它主要用于电路滤波器，交流电感器，输出电感器，功率因数校正电路等。它常用于直流电路，高直流偏压，高直流电压和低交流电压。价格低于MPP。</w:t>
      </w:r>
    </w:p>
    <w:p>
      <w:pPr>
        <w:spacing w:line="440" w:lineRule="exact"/>
        <w:ind w:firstLine="500"/>
        <w:jc w:val="both"/>
        <w:rPr>
          <w:color w:val="000000" w:themeColor="text1"/>
          <w:spacing w:val="10"/>
          <w14:textFill>
            <w14:solidFill>
              <w14:schemeClr w14:val="tx1"/>
            </w14:solidFill>
          </w14:textFill>
        </w:rPr>
      </w:pPr>
      <w:r>
        <w:rPr>
          <w:color w:val="000000" w:themeColor="text1"/>
          <w:spacing w:val="10"/>
          <w14:textFill>
            <w14:solidFill>
              <w14:schemeClr w14:val="tx1"/>
            </w14:solidFill>
          </w14:textFill>
        </w:rPr>
        <w:br/>
      </w:r>
      <w:r>
        <w:rPr>
          <w:color w:val="000000" w:themeColor="text1"/>
          <w:spacing w:val="10"/>
          <w14:textFill>
            <w14:solidFill>
              <w14:schemeClr w14:val="tx1"/>
            </w14:solidFill>
          </w14:textFill>
        </w:rPr>
        <w:br/>
      </w:r>
    </w:p>
    <w:p>
      <w:pPr>
        <w:adjustRightInd/>
        <w:snapToGrid/>
        <w:spacing w:line="240" w:lineRule="auto"/>
        <w:ind w:firstLine="0" w:firstLineChars="0"/>
        <w:contextualSpacing w:val="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https://d.book118.com/888127076045006025</w:t>
        </w:r>
      </w:hyperlink>
    </w:p>
    <w:p>
      <w:pPr>
        <w:spacing w:line="440" w:lineRule="exact"/>
        <w:ind w:firstLine="500"/>
        <w:jc w:val="both"/>
        <w:rPr>
          <w:color w:val="000000" w:themeColor="text1"/>
          <w:spacing w:val="10"/>
          <w14:textFill>
            <w14:solidFill>
              <w14:schemeClr w14:val="tx1"/>
            </w14:solidFill>
          </w14:textFill>
        </w:rPr>
      </w:pPr>
    </w:p>
    <w:sectPr>
      <w:headerReference w:type="default" r:id="rId21"/>
      <w:footerReference w:type="default" r:id="rId22"/>
      <w:pgSz w:w="11906" w:h="16838"/>
      <w:pgMar w:top="1984" w:right="1800" w:bottom="1440" w:left="1701" w:header="708" w:footer="709" w:gutter="0"/>
      <w:pgNumType w:start="6"/>
      <w:cols w:num="1" w:space="0"/>
      <w:docGrid w:linePitch="360"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202"/>
        <w:tab w:val="clear" w:pos="8306"/>
      </w:tabs>
      <w:ind w:firstLine="0" w:firstLineChars="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360"/>
                            <w:rPr>
                              <w:sz w:val="1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ind w:firstLine="360"/>
                      <w:rPr>
                        <w:sz w:val="18"/>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1</w:t>
                          </w:r>
                          <w:r>
                            <w:rPr>
                              <w:rFonts w:ascii="宋体" w:hAnsi="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1</w:t>
                    </w:r>
                    <w:r>
                      <w:rPr>
                        <w:rFonts w:ascii="宋体" w:hAnsi="宋体" w:hint="eastAsia"/>
                        <w:sz w:val="21"/>
                        <w:szCs w:val="21"/>
                      </w:rPr>
                      <w:fldChar w:fldCharType="end"/>
                    </w:r>
                  </w:p>
                </w:txbxContent>
              </v:textbox>
              <w10:wrap anchorx="margin"/>
            </v:shape>
          </w:pict>
        </mc:Fallback>
      </mc:AlternateContent>
    </w:r>
    <w:sdt>
      <w:sdtPr>
        <w:id w:val="647178573"/>
        <w:richText/>
      </w:sdtP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86858884"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2</w:t>
                          </w:r>
                          <w:r>
                            <w:rPr>
                              <w:rFonts w:ascii="宋体" w:hAnsi="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2</w:t>
                    </w:r>
                    <w:r>
                      <w:rPr>
                        <w:rFonts w:ascii="宋体" w:hAnsi="宋体" w:hint="eastAsia"/>
                        <w:sz w:val="21"/>
                        <w:szCs w:val="21"/>
                      </w:rPr>
                      <w:fldChar w:fldCharType="end"/>
                    </w:r>
                  </w:p>
                </w:txbxContent>
              </v:textbox>
              <w10:wrap anchorx="margin"/>
            </v:shape>
          </w:pict>
        </mc:Fallback>
      </mc:AlternateContent>
    </w:r>
    <w:sdt>
      <w:sdtPr>
        <w:id w:val="474846544"/>
        <w:richText/>
      </w:sdtP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7852939"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3</w:t>
                          </w:r>
                          <w:r>
                            <w:rPr>
                              <w:rFonts w:ascii="宋体" w:hAnsi="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3</w:t>
                    </w:r>
                    <w:r>
                      <w:rPr>
                        <w:rFonts w:ascii="宋体" w:hAnsi="宋体" w:hint="eastAsia"/>
                        <w:sz w:val="21"/>
                        <w:szCs w:val="21"/>
                      </w:rPr>
                      <w:fldChar w:fldCharType="end"/>
                    </w:r>
                  </w:p>
                </w:txbxContent>
              </v:textbox>
              <w10:wrap anchorx="margin"/>
            </v:shape>
          </w:pict>
        </mc:Fallback>
      </mc:AlternateContent>
    </w:r>
    <w:sdt>
      <w:sdtPr>
        <w:id w:val="847164508"/>
        <w:richText/>
      </w:sdtP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1748122"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4</w:t>
                          </w:r>
                          <w:r>
                            <w:rPr>
                              <w:rFonts w:ascii="宋体" w:hAnsi="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4</w:t>
                    </w:r>
                    <w:r>
                      <w:rPr>
                        <w:rFonts w:ascii="宋体" w:hAnsi="宋体" w:hint="eastAsia"/>
                        <w:sz w:val="21"/>
                        <w:szCs w:val="21"/>
                      </w:rPr>
                      <w:fldChar w:fldCharType="end"/>
                    </w:r>
                  </w:p>
                </w:txbxContent>
              </v:textbox>
              <w10:wrap anchorx="margin"/>
            </v:shape>
          </w:pict>
        </mc:Fallback>
      </mc:AlternateContent>
    </w:r>
    <w:sdt>
      <w:sdtPr>
        <w:id w:val="459801777"/>
        <w:richText/>
      </w:sdtPr>
      <w:sdtContent/>
    </w:sdt>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94337069"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5</w:t>
                          </w:r>
                          <w:r>
                            <w:rPr>
                              <w:rFonts w:ascii="宋体" w:hAnsi="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5</w:t>
                    </w:r>
                    <w:r>
                      <w:rPr>
                        <w:rFonts w:ascii="宋体" w:hAnsi="宋体" w:hint="eastAsia"/>
                        <w:sz w:val="21"/>
                        <w:szCs w:val="21"/>
                      </w:rPr>
                      <w:fldChar w:fldCharType="end"/>
                    </w:r>
                  </w:p>
                </w:txbxContent>
              </v:textbox>
              <w10:wrap anchorx="margin"/>
            </v:shape>
          </w:pict>
        </mc:Fallback>
      </mc:AlternateContent>
    </w:r>
    <w:sdt>
      <w:sdtPr>
        <w:id w:val="1152966396"/>
        <w:richText/>
      </w:sdtPr>
      <w:sdtContent/>
    </w:sdt>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22232773"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6</w:t>
                          </w:r>
                          <w:r>
                            <w:rPr>
                              <w:rFonts w:ascii="宋体" w:hAnsi="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ind w:firstLine="420"/>
                      <w:rPr>
                        <w:rFonts w:ascii="宋体" w:hAnsi="宋体"/>
                        <w:sz w:val="21"/>
                        <w:szCs w:val="21"/>
                      </w:rPr>
                    </w:pPr>
                    <w:r>
                      <w:rPr>
                        <w:rFonts w:ascii="宋体" w:hAnsi="宋体" w:hint="eastAsia"/>
                        <w:sz w:val="21"/>
                        <w:szCs w:val="21"/>
                      </w:rPr>
                      <w:fldChar w:fldCharType="begin"/>
                    </w:r>
                    <w:r>
                      <w:rPr>
                        <w:rFonts w:ascii="宋体" w:hAnsi="宋体" w:hint="eastAsia"/>
                        <w:sz w:val="21"/>
                        <w:szCs w:val="21"/>
                      </w:rPr>
                      <w:instrText xml:space="preserve"> PAGE  \* MERGEFORMAT </w:instrText>
                    </w:r>
                    <w:r>
                      <w:rPr>
                        <w:rFonts w:ascii="宋体" w:hAnsi="宋体" w:hint="eastAsia"/>
                        <w:sz w:val="21"/>
                        <w:szCs w:val="21"/>
                      </w:rPr>
                      <w:fldChar w:fldCharType="separate"/>
                    </w:r>
                    <w:r>
                      <w:rPr>
                        <w:rFonts w:ascii="宋体" w:hAnsi="宋体"/>
                        <w:sz w:val="21"/>
                        <w:szCs w:val="21"/>
                      </w:rPr>
                      <w:t>6</w:t>
                    </w:r>
                    <w:r>
                      <w:rPr>
                        <w:rFonts w:ascii="宋体" w:hAnsi="宋体" w:hint="eastAsia"/>
                        <w:sz w:val="21"/>
                        <w:szCs w:val="21"/>
                      </w:rPr>
                      <w:fldChar w:fldCharType="end"/>
                    </w:r>
                  </w:p>
                </w:txbxContent>
              </v:textbox>
              <w10:wrap anchorx="margin"/>
            </v:shape>
          </w:pict>
        </mc:Fallback>
      </mc:AlternateContent>
    </w:r>
    <w:sdt>
      <w:sdtPr>
        <w:id w:val="929880124"/>
        <w:richText/>
      </w:sdtP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spacing w:line="440" w:lineRule="exact"/>
      <w:ind w:firstLine="560"/>
      <w:rPr>
        <w:rFonts w:ascii="隶书" w:eastAsia="隶书" w:hAnsi="隶书" w:cs="隶书"/>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spacing w:line="440" w:lineRule="exact"/>
      <w:ind w:firstLine="560"/>
      <w:rPr>
        <w:rFonts w:ascii="隶书" w:eastAsia="隶书" w:hAnsi="隶书" w:cs="隶书"/>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spacing w:line="440" w:lineRule="exact"/>
      <w:ind w:firstLine="560"/>
      <w:rPr>
        <w:rFonts w:ascii="隶书" w:eastAsia="隶书" w:hAnsi="隶书" w:cs="隶书"/>
        <w:sz w:val="28"/>
        <w:szCs w:val="2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spacing w:line="440" w:lineRule="exact"/>
      <w:ind w:firstLine="560"/>
      <w:rPr>
        <w:rFonts w:ascii="隶书" w:eastAsia="隶书" w:hAnsi="隶书" w:cs="隶书"/>
        <w:sz w:val="28"/>
        <w:szCs w:val="2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spacing w:line="440" w:lineRule="exact"/>
      <w:ind w:firstLine="560"/>
      <w:rPr>
        <w:rFonts w:ascii="隶书" w:eastAsia="隶书" w:hAnsi="隶书" w:cs="隶书"/>
        <w:sz w:val="28"/>
        <w:szCs w:val="2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spacing w:line="440" w:lineRule="exact"/>
      <w:ind w:firstLine="560"/>
      <w:rPr>
        <w:rFonts w:ascii="隶书" w:eastAsia="隶书" w:hAnsi="隶书" w:cs="隶书"/>
        <w:sz w:val="28"/>
        <w:szCs w:val="28"/>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spacing w:line="440" w:lineRule="exact"/>
      <w:ind w:firstLine="560"/>
      <w:rPr>
        <w:rFonts w:ascii="隶书" w:eastAsia="隶书" w:hAnsi="隶书" w:cs="隶书"/>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720"/>
  <w:noPunctuationKerning/>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0337F"/>
    <w:rsid w:val="00003D80"/>
    <w:rsid w:val="00011B23"/>
    <w:rsid w:val="00012DD5"/>
    <w:rsid w:val="00015846"/>
    <w:rsid w:val="000252CB"/>
    <w:rsid w:val="00034C20"/>
    <w:rsid w:val="00046E94"/>
    <w:rsid w:val="00047EBE"/>
    <w:rsid w:val="00052F25"/>
    <w:rsid w:val="000563DF"/>
    <w:rsid w:val="00087085"/>
    <w:rsid w:val="00087366"/>
    <w:rsid w:val="00090333"/>
    <w:rsid w:val="000B19B0"/>
    <w:rsid w:val="000C192C"/>
    <w:rsid w:val="000C2322"/>
    <w:rsid w:val="000F38B4"/>
    <w:rsid w:val="000F3F19"/>
    <w:rsid w:val="000F6117"/>
    <w:rsid w:val="00125400"/>
    <w:rsid w:val="00134642"/>
    <w:rsid w:val="00153DFB"/>
    <w:rsid w:val="001628C6"/>
    <w:rsid w:val="00171823"/>
    <w:rsid w:val="0017627E"/>
    <w:rsid w:val="001A4946"/>
    <w:rsid w:val="001B1B4E"/>
    <w:rsid w:val="001C4A43"/>
    <w:rsid w:val="001D0662"/>
    <w:rsid w:val="001E4B1B"/>
    <w:rsid w:val="001F64EF"/>
    <w:rsid w:val="00207803"/>
    <w:rsid w:val="00210856"/>
    <w:rsid w:val="00213A03"/>
    <w:rsid w:val="00217762"/>
    <w:rsid w:val="0022460F"/>
    <w:rsid w:val="002248DB"/>
    <w:rsid w:val="00227DC8"/>
    <w:rsid w:val="002371AE"/>
    <w:rsid w:val="002457FB"/>
    <w:rsid w:val="00255A2F"/>
    <w:rsid w:val="002608FA"/>
    <w:rsid w:val="002644F3"/>
    <w:rsid w:val="00271A3E"/>
    <w:rsid w:val="002A0B88"/>
    <w:rsid w:val="002B24E5"/>
    <w:rsid w:val="002C25D7"/>
    <w:rsid w:val="002D70BE"/>
    <w:rsid w:val="002F18D4"/>
    <w:rsid w:val="0030003B"/>
    <w:rsid w:val="00302F65"/>
    <w:rsid w:val="00306E2D"/>
    <w:rsid w:val="00316B0B"/>
    <w:rsid w:val="00323B43"/>
    <w:rsid w:val="0032485C"/>
    <w:rsid w:val="003421BC"/>
    <w:rsid w:val="0034609A"/>
    <w:rsid w:val="003534C8"/>
    <w:rsid w:val="00371CA3"/>
    <w:rsid w:val="00375CB8"/>
    <w:rsid w:val="003760B4"/>
    <w:rsid w:val="00376A21"/>
    <w:rsid w:val="003826EB"/>
    <w:rsid w:val="00392C5A"/>
    <w:rsid w:val="003B6E64"/>
    <w:rsid w:val="003C4883"/>
    <w:rsid w:val="003C5FEC"/>
    <w:rsid w:val="003C7B28"/>
    <w:rsid w:val="003D2C0A"/>
    <w:rsid w:val="003D37D8"/>
    <w:rsid w:val="003F14BC"/>
    <w:rsid w:val="0040202A"/>
    <w:rsid w:val="00415511"/>
    <w:rsid w:val="00426133"/>
    <w:rsid w:val="004358AB"/>
    <w:rsid w:val="004420CD"/>
    <w:rsid w:val="0045321A"/>
    <w:rsid w:val="00453BE0"/>
    <w:rsid w:val="00474788"/>
    <w:rsid w:val="004859F4"/>
    <w:rsid w:val="00486D93"/>
    <w:rsid w:val="00487325"/>
    <w:rsid w:val="004A1BA4"/>
    <w:rsid w:val="004A3C0E"/>
    <w:rsid w:val="004C127C"/>
    <w:rsid w:val="004C3FF0"/>
    <w:rsid w:val="004D3E3E"/>
    <w:rsid w:val="004D7C72"/>
    <w:rsid w:val="004E0744"/>
    <w:rsid w:val="004F07D2"/>
    <w:rsid w:val="005015CB"/>
    <w:rsid w:val="00503185"/>
    <w:rsid w:val="0052298A"/>
    <w:rsid w:val="005231E4"/>
    <w:rsid w:val="00543745"/>
    <w:rsid w:val="005452A2"/>
    <w:rsid w:val="0055161E"/>
    <w:rsid w:val="00575230"/>
    <w:rsid w:val="005A3CD3"/>
    <w:rsid w:val="005A7E72"/>
    <w:rsid w:val="005C21DD"/>
    <w:rsid w:val="005C4C2A"/>
    <w:rsid w:val="005C6C44"/>
    <w:rsid w:val="005D78AF"/>
    <w:rsid w:val="00601AAC"/>
    <w:rsid w:val="00602206"/>
    <w:rsid w:val="00611FEF"/>
    <w:rsid w:val="006215C2"/>
    <w:rsid w:val="006237D1"/>
    <w:rsid w:val="0063755E"/>
    <w:rsid w:val="0064579F"/>
    <w:rsid w:val="0064690C"/>
    <w:rsid w:val="006577A6"/>
    <w:rsid w:val="00662A91"/>
    <w:rsid w:val="00676AFF"/>
    <w:rsid w:val="006A6341"/>
    <w:rsid w:val="006B4CEE"/>
    <w:rsid w:val="006C0AA9"/>
    <w:rsid w:val="006C7032"/>
    <w:rsid w:val="006E085B"/>
    <w:rsid w:val="006E10A3"/>
    <w:rsid w:val="006F15D2"/>
    <w:rsid w:val="006F51E0"/>
    <w:rsid w:val="00765B11"/>
    <w:rsid w:val="00775ACE"/>
    <w:rsid w:val="007772E4"/>
    <w:rsid w:val="00781FDA"/>
    <w:rsid w:val="0078546C"/>
    <w:rsid w:val="007A6D35"/>
    <w:rsid w:val="007B5F80"/>
    <w:rsid w:val="007C4B96"/>
    <w:rsid w:val="007F2263"/>
    <w:rsid w:val="007F6FA0"/>
    <w:rsid w:val="00811E94"/>
    <w:rsid w:val="0081715E"/>
    <w:rsid w:val="0082511B"/>
    <w:rsid w:val="0084225A"/>
    <w:rsid w:val="0084427E"/>
    <w:rsid w:val="008639DF"/>
    <w:rsid w:val="00865B08"/>
    <w:rsid w:val="00870662"/>
    <w:rsid w:val="0087499D"/>
    <w:rsid w:val="008A40AD"/>
    <w:rsid w:val="008A45E7"/>
    <w:rsid w:val="008B7726"/>
    <w:rsid w:val="008C0714"/>
    <w:rsid w:val="008C6DFC"/>
    <w:rsid w:val="008C752D"/>
    <w:rsid w:val="008D67D0"/>
    <w:rsid w:val="008E0AE7"/>
    <w:rsid w:val="008F016D"/>
    <w:rsid w:val="008F1C28"/>
    <w:rsid w:val="008F45A1"/>
    <w:rsid w:val="009243BA"/>
    <w:rsid w:val="00933044"/>
    <w:rsid w:val="009334B1"/>
    <w:rsid w:val="00934096"/>
    <w:rsid w:val="0094253A"/>
    <w:rsid w:val="00943A59"/>
    <w:rsid w:val="00980A17"/>
    <w:rsid w:val="009A6698"/>
    <w:rsid w:val="009A7B39"/>
    <w:rsid w:val="009B76B7"/>
    <w:rsid w:val="009C413E"/>
    <w:rsid w:val="009C4A70"/>
    <w:rsid w:val="009F0FCC"/>
    <w:rsid w:val="00A07FC4"/>
    <w:rsid w:val="00A1738C"/>
    <w:rsid w:val="00A35757"/>
    <w:rsid w:val="00A533D9"/>
    <w:rsid w:val="00A53EB0"/>
    <w:rsid w:val="00A92FF8"/>
    <w:rsid w:val="00A940E1"/>
    <w:rsid w:val="00A96F4F"/>
    <w:rsid w:val="00A9727E"/>
    <w:rsid w:val="00AA2A65"/>
    <w:rsid w:val="00AC277E"/>
    <w:rsid w:val="00AC493F"/>
    <w:rsid w:val="00AD097A"/>
    <w:rsid w:val="00AD2E86"/>
    <w:rsid w:val="00AD3930"/>
    <w:rsid w:val="00AE04DB"/>
    <w:rsid w:val="00AE3508"/>
    <w:rsid w:val="00AE573D"/>
    <w:rsid w:val="00B113DF"/>
    <w:rsid w:val="00B46D75"/>
    <w:rsid w:val="00B55CE1"/>
    <w:rsid w:val="00B762A6"/>
    <w:rsid w:val="00B81D9B"/>
    <w:rsid w:val="00B96679"/>
    <w:rsid w:val="00BA16E2"/>
    <w:rsid w:val="00BC355E"/>
    <w:rsid w:val="00BD5F8F"/>
    <w:rsid w:val="00BF260B"/>
    <w:rsid w:val="00C160A1"/>
    <w:rsid w:val="00C17A81"/>
    <w:rsid w:val="00C24184"/>
    <w:rsid w:val="00C25C57"/>
    <w:rsid w:val="00C4312C"/>
    <w:rsid w:val="00C45495"/>
    <w:rsid w:val="00C46BDC"/>
    <w:rsid w:val="00C63664"/>
    <w:rsid w:val="00C67ADA"/>
    <w:rsid w:val="00C86B56"/>
    <w:rsid w:val="00C8773D"/>
    <w:rsid w:val="00CA1941"/>
    <w:rsid w:val="00CA19A2"/>
    <w:rsid w:val="00CA1C19"/>
    <w:rsid w:val="00CA6648"/>
    <w:rsid w:val="00CB2650"/>
    <w:rsid w:val="00CC4DBC"/>
    <w:rsid w:val="00CC4EF4"/>
    <w:rsid w:val="00CD403B"/>
    <w:rsid w:val="00CD52F5"/>
    <w:rsid w:val="00CE4C85"/>
    <w:rsid w:val="00D036DA"/>
    <w:rsid w:val="00D167F2"/>
    <w:rsid w:val="00D31D50"/>
    <w:rsid w:val="00D32795"/>
    <w:rsid w:val="00D361A8"/>
    <w:rsid w:val="00D407E0"/>
    <w:rsid w:val="00D42A27"/>
    <w:rsid w:val="00D526E3"/>
    <w:rsid w:val="00D565D3"/>
    <w:rsid w:val="00D61064"/>
    <w:rsid w:val="00D70CF4"/>
    <w:rsid w:val="00D92203"/>
    <w:rsid w:val="00D95C7D"/>
    <w:rsid w:val="00DB1994"/>
    <w:rsid w:val="00DB742A"/>
    <w:rsid w:val="00DE11E9"/>
    <w:rsid w:val="00E01C38"/>
    <w:rsid w:val="00E22115"/>
    <w:rsid w:val="00E64EAD"/>
    <w:rsid w:val="00E67753"/>
    <w:rsid w:val="00E72F09"/>
    <w:rsid w:val="00E75706"/>
    <w:rsid w:val="00E81039"/>
    <w:rsid w:val="00E81BD7"/>
    <w:rsid w:val="00E93781"/>
    <w:rsid w:val="00E94FBD"/>
    <w:rsid w:val="00E96AA6"/>
    <w:rsid w:val="00EB67BA"/>
    <w:rsid w:val="00EB70AF"/>
    <w:rsid w:val="00EC24B6"/>
    <w:rsid w:val="00ED4180"/>
    <w:rsid w:val="00EE7FCC"/>
    <w:rsid w:val="00F04A98"/>
    <w:rsid w:val="00F17FBF"/>
    <w:rsid w:val="00F22BF2"/>
    <w:rsid w:val="00F4420C"/>
    <w:rsid w:val="00F553E0"/>
    <w:rsid w:val="00F765B9"/>
    <w:rsid w:val="00FB15A3"/>
    <w:rsid w:val="00FF117F"/>
    <w:rsid w:val="04197D86"/>
    <w:rsid w:val="0F150545"/>
    <w:rsid w:val="1FE872EE"/>
    <w:rsid w:val="21500420"/>
    <w:rsid w:val="23317239"/>
    <w:rsid w:val="30621378"/>
    <w:rsid w:val="3D9B5E98"/>
    <w:rsid w:val="525C68F1"/>
    <w:rsid w:val="59892E7F"/>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semiHidden="0" w:qFormat="1"/>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semiHidden="0" w:unhideWhenUsed="0"/>
    <w:lsdException w:name="Table Web 1"/>
    <w:lsdException w:name="Table Web 2"/>
    <w:lsdException w:name="Table Web 3" w:semiHidden="0" w:unhideWhenUsed="0"/>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adjustRightInd w:val="0"/>
      <w:snapToGrid w:val="0"/>
      <w:spacing w:line="360" w:lineRule="auto"/>
      <w:ind w:firstLine="200" w:firstLineChars="200"/>
      <w:contextualSpacing/>
    </w:pPr>
    <w:rPr>
      <w:rFonts w:ascii="Times New Roman" w:eastAsia="宋体" w:hAnsi="Times New Roman" w:cstheme="minorBidi"/>
      <w:sz w:val="24"/>
      <w:szCs w:val="22"/>
      <w:lang w:val="en-US" w:eastAsia="zh-CN" w:bidi="ar-SA"/>
    </w:rPr>
  </w:style>
  <w:style w:type="paragraph" w:styleId="Heading1">
    <w:name w:val="heading 1"/>
    <w:basedOn w:val="Normal"/>
    <w:next w:val="Normal"/>
    <w:link w:val="1Char"/>
    <w:autoRedefine/>
    <w:uiPriority w:val="9"/>
    <w:qFormat/>
    <w:pPr>
      <w:keepNext/>
      <w:keepLines/>
      <w:ind w:firstLine="0" w:firstLineChars="0"/>
      <w:jc w:val="both"/>
      <w:outlineLvl w:val="0"/>
    </w:pPr>
    <w:rPr>
      <w:b/>
      <w:bCs/>
      <w:kern w:val="44"/>
      <w:sz w:val="30"/>
      <w:szCs w:val="44"/>
    </w:rPr>
  </w:style>
  <w:style w:type="paragraph" w:styleId="Heading2">
    <w:name w:val="heading 2"/>
    <w:basedOn w:val="Normal"/>
    <w:next w:val="Normal"/>
    <w:link w:val="2Char"/>
    <w:autoRedefine/>
    <w:uiPriority w:val="9"/>
    <w:unhideWhenUsed/>
    <w:qFormat/>
    <w:pPr>
      <w:keepNext/>
      <w:keepLines/>
      <w:ind w:firstLine="0" w:firstLineChars="0"/>
      <w:outlineLvl w:val="1"/>
    </w:pPr>
    <w:rPr>
      <w:rFonts w:eastAsiaTheme="majorEastAsia" w:cstheme="majorBidi"/>
      <w:b/>
      <w:bCs/>
      <w:sz w:val="28"/>
      <w:szCs w:val="32"/>
    </w:rPr>
  </w:style>
  <w:style w:type="paragraph" w:styleId="Heading3">
    <w:name w:val="heading 3"/>
    <w:basedOn w:val="Normal"/>
    <w:next w:val="Normal"/>
    <w:link w:val="3Char"/>
    <w:uiPriority w:val="9"/>
    <w:unhideWhenUsed/>
    <w:qFormat/>
    <w:pPr>
      <w:keepNext/>
      <w:keepLines/>
      <w:ind w:firstLine="0" w:firstLineChars="0"/>
      <w:outlineLvl w:val="2"/>
    </w:pPr>
    <w:rPr>
      <w:b/>
      <w:bCs/>
      <w:szCs w:val="32"/>
    </w:rPr>
  </w:style>
  <w:style w:type="character" w:default="1" w:styleId="DefaultParagraphFont">
    <w:name w:val="Default Paragraph Font"/>
    <w:uiPriority w:val="1"/>
    <w:unhideWhenUsed/>
    <w:qFormat/>
  </w:style>
  <w:style w:type="table" w:default="1" w:styleId="TableNormal">
    <w:name w:val="Normal Table"/>
    <w:autoRedefine/>
    <w:uiPriority w:val="99"/>
    <w:unhideWhenUsed/>
    <w:tblPr>
      <w:tblCellMar>
        <w:top w:w="0" w:type="dxa"/>
        <w:left w:w="108" w:type="dxa"/>
        <w:bottom w:w="0" w:type="dxa"/>
        <w:right w:w="108" w:type="dxa"/>
      </w:tblCellMar>
    </w:tblPr>
  </w:style>
  <w:style w:type="paragraph" w:styleId="DocumentMap">
    <w:name w:val="Document Map"/>
    <w:basedOn w:val="Normal"/>
    <w:link w:val="Char1"/>
    <w:autoRedefine/>
    <w:uiPriority w:val="99"/>
    <w:unhideWhenUsed/>
    <w:qFormat/>
    <w:rPr>
      <w:rFonts w:ascii="宋体"/>
      <w:sz w:val="18"/>
      <w:szCs w:val="18"/>
    </w:r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2"/>
    <w:autoRedefine/>
    <w:uiPriority w:val="99"/>
    <w:unhideWhenUsed/>
    <w:qFormat/>
    <w:pPr>
      <w:spacing w:line="240" w:lineRule="auto"/>
    </w:pPr>
    <w:rPr>
      <w:sz w:val="18"/>
      <w:szCs w:val="18"/>
    </w:rPr>
  </w:style>
  <w:style w:type="paragraph" w:styleId="Footer">
    <w:name w:val="footer"/>
    <w:basedOn w:val="Normal"/>
    <w:link w:val="Char0"/>
    <w:autoRedefine/>
    <w:uiPriority w:val="99"/>
    <w:unhideWhenUsed/>
    <w:qFormat/>
    <w:pPr>
      <w:tabs>
        <w:tab w:val="center" w:pos="4153"/>
        <w:tab w:val="right" w:pos="8306"/>
      </w:tabs>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autoRedefine/>
    <w:uiPriority w:val="39"/>
    <w:unhideWhenUsed/>
    <w:qFormat/>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autoRedefine/>
    <w:uiPriority w:val="99"/>
    <w:unhideWhenUsed/>
    <w:qFormat/>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customStyle="1" w:styleId="2Char">
    <w:name w:val="标题 2 Char"/>
    <w:basedOn w:val="DefaultParagraphFont"/>
    <w:link w:val="Heading2"/>
    <w:autoRedefine/>
    <w:uiPriority w:val="9"/>
    <w:qFormat/>
    <w:rPr>
      <w:rFonts w:ascii="Times New Roman" w:hAnsi="Times New Roman" w:eastAsiaTheme="majorEastAsia" w:cstheme="majorBidi"/>
      <w:b/>
      <w:bCs/>
      <w:sz w:val="28"/>
      <w:szCs w:val="32"/>
    </w:rPr>
  </w:style>
  <w:style w:type="character" w:customStyle="1" w:styleId="Char">
    <w:name w:val="页眉 Char"/>
    <w:basedOn w:val="DefaultParagraphFont"/>
    <w:link w:val="Header"/>
    <w:autoRedefine/>
    <w:uiPriority w:val="99"/>
    <w:semiHidden/>
    <w:qFormat/>
    <w:rPr>
      <w:rFonts w:ascii="Tahoma" w:hAnsi="Tahoma"/>
      <w:sz w:val="18"/>
      <w:szCs w:val="18"/>
    </w:rPr>
  </w:style>
  <w:style w:type="character" w:customStyle="1" w:styleId="Char0">
    <w:name w:val="页脚 Char"/>
    <w:basedOn w:val="DefaultParagraphFont"/>
    <w:link w:val="Footer"/>
    <w:autoRedefine/>
    <w:uiPriority w:val="99"/>
    <w:qFormat/>
    <w:rPr>
      <w:rFonts w:ascii="Tahoma" w:hAnsi="Tahoma"/>
      <w:sz w:val="18"/>
      <w:szCs w:val="18"/>
    </w:rPr>
  </w:style>
  <w:style w:type="character" w:customStyle="1" w:styleId="1Char">
    <w:name w:val="标题 1 Char"/>
    <w:basedOn w:val="DefaultParagraphFont"/>
    <w:link w:val="Heading1"/>
    <w:autoRedefine/>
    <w:uiPriority w:val="9"/>
    <w:qFormat/>
    <w:rPr>
      <w:rFonts w:ascii="Times New Roman" w:eastAsia="宋体" w:hAnsi="Times New Roman"/>
      <w:b/>
      <w:bCs/>
      <w:kern w:val="44"/>
      <w:sz w:val="30"/>
      <w:szCs w:val="44"/>
    </w:rPr>
  </w:style>
  <w:style w:type="character" w:customStyle="1" w:styleId="Char1">
    <w:name w:val="文档结构图 Char"/>
    <w:basedOn w:val="DefaultParagraphFont"/>
    <w:link w:val="DocumentMap"/>
    <w:autoRedefine/>
    <w:uiPriority w:val="99"/>
    <w:semiHidden/>
    <w:qFormat/>
    <w:rPr>
      <w:rFonts w:ascii="宋体" w:eastAsia="宋体" w:hAnsi="Times New Roman"/>
      <w:sz w:val="18"/>
      <w:szCs w:val="18"/>
    </w:rPr>
  </w:style>
  <w:style w:type="character" w:customStyle="1" w:styleId="3Char">
    <w:name w:val="标题 3 Char"/>
    <w:basedOn w:val="DefaultParagraphFont"/>
    <w:link w:val="Heading3"/>
    <w:autoRedefine/>
    <w:uiPriority w:val="9"/>
    <w:qFormat/>
    <w:rPr>
      <w:rFonts w:ascii="Times New Roman" w:eastAsia="宋体" w:hAnsi="Times New Roman"/>
      <w:b/>
      <w:bCs/>
      <w:sz w:val="24"/>
      <w:szCs w:val="32"/>
    </w:rPr>
  </w:style>
  <w:style w:type="paragraph" w:customStyle="1" w:styleId="TOC10">
    <w:name w:val="TOC 标题1"/>
    <w:basedOn w:val="Heading1"/>
    <w:next w:val="Normal"/>
    <w:autoRedefine/>
    <w:uiPriority w:val="39"/>
    <w:unhideWhenUsed/>
    <w:qFormat/>
    <w:pPr>
      <w:adjustRightInd/>
      <w:snapToGrid/>
      <w:spacing w:before="480" w:line="276" w:lineRule="auto"/>
      <w:contextualSpacing w:val="0"/>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Char2">
    <w:name w:val="批注框文本 Char"/>
    <w:basedOn w:val="DefaultParagraphFont"/>
    <w:link w:val="BalloonText"/>
    <w:autoRedefine/>
    <w:uiPriority w:val="99"/>
    <w:semiHidden/>
    <w:qFormat/>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yperlink" Target="https://d.book118.com/888127076045006025" TargetMode="Externa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D1B7E1-1711-47C9-B971-BFC1355C4BA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3300</Words>
  <Characters>18810</Characters>
  <Application>Microsoft Office Word</Application>
  <DocSecurity>0</DocSecurity>
  <Lines>156</Lines>
  <Paragraphs>44</Paragraphs>
  <ScaleCrop>false</ScaleCrop>
  <Company>云海 技术</Company>
  <LinksUpToDate>false</LinksUpToDate>
  <CharactersWithSpaces>22066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3</cp:revision>
  <dcterms:created xsi:type="dcterms:W3CDTF">2018-03-04T02:32:00Z</dcterms:created>
  <dcterms:modified xsi:type="dcterms:W3CDTF">2024-01-10T08:48:55Z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9CBCC3FFC80946A89BC56462C9ADB4AF_13</vt:lpwstr>
  </property>
  <property fmtid="{D5CDD505-2E9C-101B-9397-08002B2CF9AE}" pid="3" name="KSOProductBuildVer">
    <vt:lpwstr>2052-12.1.0.16120</vt:lpwstr>
  </property>
</Properties>
</file>