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39"/>
        <w:ind w:left="4873" w:right="6548" w:firstLine="0"/>
        <w:jc w:val="center"/>
      </w:pPr>
      <w:r>
        <w:rPr>
          <w:color w:val="0000CB"/>
        </w:rPr>
        <w:t>第六章 常见数学计算</w:t>
      </w:r>
    </w:p>
    <w:p>
      <w:pPr>
        <w:pStyle w:val="BodyText"/>
        <w:ind w:left="0"/>
        <w:rPr>
          <w:b/>
          <w:sz w:val="20"/>
        </w:rPr>
      </w:pPr>
    </w:p>
    <w:p>
      <w:pPr>
        <w:pStyle w:val="BodyText"/>
        <w:spacing w:before="5"/>
        <w:ind w:left="0"/>
        <w:rPr>
          <w:b/>
          <w:sz w:val="26"/>
        </w:rPr>
      </w:pPr>
    </w:p>
    <w:p>
      <w:pPr>
        <w:pStyle w:val="ListParagraph"/>
        <w:numPr>
          <w:ilvl w:val="1"/>
          <w:numId w:val="11"/>
        </w:numPr>
        <w:tabs>
          <w:tab w:val="left" w:pos="692"/>
        </w:tabs>
        <w:spacing w:before="103" w:after="0" w:line="240" w:lineRule="auto"/>
        <w:ind w:left="691" w:right="0" w:hanging="552"/>
        <w:jc w:val="left"/>
        <w:rPr>
          <w:b/>
          <w:sz w:val="31"/>
        </w:rPr>
      </w:pPr>
      <w:r>
        <w:rPr>
          <w:b/>
          <w:color w:val="FF0000"/>
          <w:sz w:val="31"/>
        </w:rPr>
        <w:t>投资收益分析</w:t>
      </w:r>
    </w:p>
    <w:p>
      <w:pPr>
        <w:pStyle w:val="BodyText"/>
        <w:ind w:left="0"/>
        <w:rPr>
          <w:b/>
          <w:sz w:val="36"/>
        </w:rPr>
      </w:pPr>
    </w:p>
    <w:p>
      <w:pPr>
        <w:pStyle w:val="ListParagraph"/>
        <w:numPr>
          <w:ilvl w:val="2"/>
          <w:numId w:val="11"/>
        </w:numPr>
        <w:tabs>
          <w:tab w:val="left" w:pos="1571"/>
        </w:tabs>
        <w:spacing w:before="232" w:after="0" w:line="240" w:lineRule="auto"/>
        <w:ind w:left="1570" w:right="0" w:hanging="794"/>
        <w:jc w:val="left"/>
        <w:rPr>
          <w:sz w:val="31"/>
        </w:rPr>
      </w:pPr>
      <w:r>
        <w:rPr>
          <w:color w:val="0000CB"/>
          <w:sz w:val="31"/>
        </w:rPr>
        <w:t>静态回收期与投资回报率</w:t>
      </w:r>
    </w:p>
    <w:p>
      <w:pPr>
        <w:pStyle w:val="BodyText"/>
        <w:spacing w:before="305"/>
      </w:pPr>
      <w:r>
        <w:rPr>
          <w:rFonts w:ascii="Arial" w:eastAsia="Arial"/>
          <w:color w:val="0000CB"/>
          <w:w w:val="108"/>
        </w:rPr>
        <w:t>IT</w:t>
      </w:r>
      <w:r>
        <w:rPr>
          <w:rFonts w:ascii="Arial" w:eastAsia="Arial"/>
          <w:color w:val="0000CB"/>
          <w:spacing w:val="-11"/>
        </w:rPr>
        <w:t xml:space="preserve"> </w:t>
      </w:r>
      <w:r>
        <w:rPr>
          <w:color w:val="0000CB"/>
          <w:w w:val="102"/>
        </w:rPr>
        <w:t>项目投资收益分析（财务）方法。投资回收期</w:t>
      </w:r>
      <w:r>
        <w:rPr>
          <w:color w:val="0000CB"/>
          <w:spacing w:val="-31"/>
          <w:w w:val="102"/>
        </w:rPr>
        <w:t>（</w:t>
      </w:r>
      <w:r>
        <w:rPr>
          <w:rFonts w:ascii="Arial" w:eastAsia="Arial"/>
          <w:color w:val="0000CB"/>
          <w:w w:val="90"/>
        </w:rPr>
        <w:t>PB</w:t>
      </w:r>
      <w:r>
        <w:rPr>
          <w:rFonts w:ascii="Arial" w:eastAsia="Arial"/>
          <w:color w:val="0000CB"/>
          <w:spacing w:val="-2"/>
          <w:w w:val="90"/>
        </w:rPr>
        <w:t>P</w:t>
      </w:r>
      <w:r>
        <w:rPr>
          <w:color w:val="0000CB"/>
          <w:spacing w:val="-162"/>
          <w:w w:val="102"/>
        </w:rPr>
        <w:t>）</w:t>
      </w:r>
      <w:r>
        <w:rPr>
          <w:color w:val="0000CB"/>
          <w:spacing w:val="-4"/>
          <w:w w:val="102"/>
        </w:rPr>
        <w:t>（</w:t>
      </w:r>
      <w:r>
        <w:rPr>
          <w:rFonts w:ascii="Arial" w:eastAsia="Arial"/>
          <w:color w:val="0000CB"/>
          <w:w w:val="92"/>
        </w:rPr>
        <w:t>PayBackPerio</w:t>
      </w:r>
      <w:r>
        <w:rPr>
          <w:rFonts w:ascii="Arial" w:eastAsia="Arial"/>
          <w:color w:val="0000CB"/>
          <w:spacing w:val="-9"/>
          <w:w w:val="92"/>
        </w:rPr>
        <w:t>d</w:t>
      </w:r>
      <w:r>
        <w:rPr>
          <w:color w:val="0000CB"/>
          <w:w w:val="102"/>
        </w:rPr>
        <w:t>）</w:t>
      </w:r>
    </w:p>
    <w:p>
      <w:pPr>
        <w:pStyle w:val="BodyText"/>
        <w:spacing w:before="10"/>
        <w:ind w:left="0"/>
        <w:rPr>
          <w:sz w:val="13"/>
        </w:rPr>
      </w:pPr>
      <w:r>
        <w:pict>
          <v:group id="_x0000_s1025" style="width:525.4pt;height:210.7pt;margin-top:10.78pt;margin-left:166.88pt;mso-position-horizontal-relative:page;mso-wrap-distance-left:0;mso-wrap-distance-right:0;position:absolute;z-index:-251654144" coordorigin="3338,216" coordsize="10508,42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508;height:4114;left:3337;position:absolute;top:215" stroked="f">
              <v:imagedata r:id="rId4" o:title=""/>
            </v:shape>
            <v:shapetype id="_x0000_t202" coordsize="21600,21600" o:spt="202" path="m,l,21600r21600,l21600,xe">
              <v:stroke joinstyle="miter"/>
              <v:path gradientshapeok="t" o:connecttype="rect"/>
            </v:shapetype>
            <v:shape id="_x0000_s1027" type="#_x0000_t202" style="width:3715;height:350;left:3337;position:absolute;top:4079" filled="f" stroked="f">
              <v:textbox inset="0,0,0,0">
                <w:txbxContent>
                  <w:p>
                    <w:pPr>
                      <w:spacing w:before="0" w:line="350" w:lineRule="exact"/>
                      <w:ind w:left="0" w:right="0" w:firstLine="0"/>
                      <w:jc w:val="left"/>
                      <w:rPr>
                        <w:sz w:val="31"/>
                      </w:rPr>
                    </w:pPr>
                    <w:r>
                      <w:rPr>
                        <w:color w:val="0000CB"/>
                        <w:sz w:val="31"/>
                      </w:rPr>
                      <w:t>例子：投资回报率（</w:t>
                    </w:r>
                    <w:r>
                      <w:rPr>
                        <w:rFonts w:ascii="Arial" w:eastAsia="Arial"/>
                        <w:color w:val="0000CB"/>
                        <w:sz w:val="31"/>
                      </w:rPr>
                      <w:t>ROI</w:t>
                    </w:r>
                    <w:r>
                      <w:rPr>
                        <w:color w:val="0000CB"/>
                        <w:sz w:val="31"/>
                      </w:rPr>
                      <w:t>）</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29"/>
        </w:rPr>
      </w:pPr>
    </w:p>
    <w:p>
      <w:pPr>
        <w:pStyle w:val="ListParagraph"/>
        <w:numPr>
          <w:ilvl w:val="2"/>
          <w:numId w:val="11"/>
        </w:numPr>
        <w:tabs>
          <w:tab w:val="left" w:pos="1571"/>
        </w:tabs>
        <w:spacing w:before="71" w:after="0" w:line="240" w:lineRule="auto"/>
        <w:ind w:left="1570" w:right="0" w:hanging="794"/>
        <w:jc w:val="left"/>
        <w:rPr>
          <w:sz w:val="31"/>
        </w:rPr>
      </w:pPr>
      <w:r>
        <w:drawing>
          <wp:anchor distT="0" distB="0" distL="0" distR="0" simplePos="0" relativeHeight="251659264" behindDoc="1" locked="0" layoutInCell="1" allowOverlap="1">
            <wp:simplePos x="0" y="0"/>
            <wp:positionH relativeFrom="page">
              <wp:posOffset>2185453</wp:posOffset>
            </wp:positionH>
            <wp:positionV relativeFrom="paragraph">
              <wp:posOffset>-2332140</wp:posOffset>
            </wp:positionV>
            <wp:extent cx="5675355" cy="2547723"/>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5675355" cy="2547723"/>
                    </a:xfrm>
                    <a:prstGeom prst="rect">
                      <a:avLst/>
                    </a:prstGeom>
                  </pic:spPr>
                </pic:pic>
              </a:graphicData>
            </a:graphic>
          </wp:anchor>
        </w:drawing>
      </w:r>
      <w:r>
        <w:rPr>
          <w:color w:val="0000CB"/>
          <w:sz w:val="31"/>
        </w:rPr>
        <w:t>动态回收期与投资收益率</w:t>
      </w:r>
    </w:p>
    <w:p>
      <w:pPr>
        <w:pStyle w:val="BodyText"/>
        <w:spacing w:before="305"/>
      </w:pPr>
      <w:r>
        <w:drawing>
          <wp:anchor distT="0" distB="0" distL="0" distR="0" simplePos="0" relativeHeight="251660288" behindDoc="1" locked="0" layoutInCell="1" allowOverlap="1">
            <wp:simplePos x="0" y="0"/>
            <wp:positionH relativeFrom="page">
              <wp:posOffset>6121400</wp:posOffset>
            </wp:positionH>
            <wp:positionV relativeFrom="paragraph">
              <wp:posOffset>397128</wp:posOffset>
            </wp:positionV>
            <wp:extent cx="508000" cy="254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508000" cy="254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8204200</wp:posOffset>
            </wp:positionH>
            <wp:positionV relativeFrom="paragraph">
              <wp:posOffset>387603</wp:posOffset>
            </wp:positionV>
            <wp:extent cx="431800" cy="254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431800" cy="25400"/>
                    </a:xfrm>
                    <a:prstGeom prst="rect">
                      <a:avLst/>
                    </a:prstGeom>
                  </pic:spPr>
                </pic:pic>
              </a:graphicData>
            </a:graphic>
          </wp:anchor>
        </w:drawing>
      </w:r>
      <w:r>
        <w:rPr>
          <w:color w:val="0000CB"/>
          <w:w w:val="102"/>
        </w:rPr>
        <w:t>根据表中的数据，该产品的动态投资回收期是</w:t>
      </w:r>
      <w:r>
        <w:rPr>
          <w:color w:val="0000CB"/>
          <w:spacing w:val="-31"/>
          <w:w w:val="102"/>
        </w:rPr>
        <w:t>（</w:t>
      </w:r>
      <w:r>
        <w:rPr>
          <w:rFonts w:ascii="Arial" w:eastAsia="Arial"/>
          <w:color w:val="0000CB"/>
          <w:spacing w:val="-4"/>
          <w:w w:val="81"/>
        </w:rPr>
        <w:t>a</w:t>
      </w:r>
      <w:r>
        <w:rPr>
          <w:color w:val="0000CB"/>
          <w:w w:val="102"/>
        </w:rPr>
        <w:t>）年，投资收益率是</w:t>
      </w:r>
      <w:r>
        <w:rPr>
          <w:color w:val="0000CB"/>
          <w:spacing w:val="-18"/>
          <w:w w:val="102"/>
        </w:rPr>
        <w:t>（</w:t>
      </w:r>
      <w:r>
        <w:rPr>
          <w:rFonts w:ascii="Arial" w:eastAsia="Arial"/>
          <w:color w:val="0000CB"/>
          <w:w w:val="91"/>
        </w:rPr>
        <w:t>b</w:t>
      </w:r>
      <w:r>
        <w:rPr>
          <w:color w:val="0000CB"/>
          <w:spacing w:val="-159"/>
          <w:w w:val="102"/>
        </w:rPr>
        <w:t>）</w:t>
      </w:r>
      <w:r>
        <w:rPr>
          <w:color w:val="0000CB"/>
          <w:w w:val="102"/>
        </w:rPr>
        <w:t>。</w:t>
      </w:r>
    </w:p>
    <w:p>
      <w:pPr>
        <w:pStyle w:val="BodyText"/>
        <w:spacing w:before="11"/>
        <w:ind w:left="0"/>
        <w:rPr>
          <w:sz w:val="24"/>
        </w:rPr>
      </w:pPr>
      <w:r>
        <w:drawing>
          <wp:anchor distT="0" distB="0" distL="0" distR="0" simplePos="0" relativeHeight="251658240" behindDoc="0" locked="0" layoutInCell="1" allowOverlap="1">
            <wp:simplePos x="0" y="0"/>
            <wp:positionH relativeFrom="page">
              <wp:posOffset>2198990</wp:posOffset>
            </wp:positionH>
            <wp:positionV relativeFrom="paragraph">
              <wp:posOffset>227327</wp:posOffset>
            </wp:positionV>
            <wp:extent cx="6924472" cy="2144839"/>
            <wp:effectExtent l="0" t="0" r="0" b="0"/>
            <wp:wrapTopAndBottom/>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8" cstate="print"/>
                    <a:stretch>
                      <a:fillRect/>
                    </a:stretch>
                  </pic:blipFill>
                  <pic:spPr>
                    <a:xfrm>
                      <a:off x="0" y="0"/>
                      <a:ext cx="6924472" cy="2144839"/>
                    </a:xfrm>
                    <a:prstGeom prst="rect">
                      <a:avLst/>
                    </a:prstGeom>
                  </pic:spPr>
                </pic:pic>
              </a:graphicData>
            </a:graphic>
          </wp:anchor>
        </w:drawing>
      </w:r>
    </w:p>
    <w:p>
      <w:pPr>
        <w:pStyle w:val="BodyText"/>
        <w:tabs>
          <w:tab w:val="left" w:pos="3291"/>
          <w:tab w:val="left" w:pos="5181"/>
          <w:tab w:val="left" w:pos="7072"/>
        </w:tabs>
        <w:spacing w:before="285"/>
        <w:rPr>
          <w:rFonts w:ascii="Arial" w:eastAsia="Arial"/>
        </w:rPr>
      </w:pPr>
      <w:r>
        <w:rPr>
          <w:color w:val="0000CB"/>
        </w:rPr>
        <w:t>（</w:t>
      </w:r>
      <w:r>
        <w:rPr>
          <w:rFonts w:ascii="Arial" w:eastAsia="Arial"/>
          <w:color w:val="0000CB"/>
        </w:rPr>
        <w:t>a</w:t>
      </w:r>
      <w:r>
        <w:rPr>
          <w:color w:val="0000CB"/>
        </w:rPr>
        <w:t>）</w:t>
      </w:r>
      <w:r>
        <w:rPr>
          <w:rFonts w:ascii="Arial" w:eastAsia="Arial"/>
          <w:color w:val="0000CB"/>
        </w:rPr>
        <w:t>A</w:t>
      </w:r>
      <w:r>
        <w:rPr>
          <w:color w:val="0000CB"/>
        </w:rPr>
        <w:t>．</w:t>
      </w:r>
      <w:r>
        <w:rPr>
          <w:rFonts w:ascii="Arial" w:eastAsia="Arial"/>
          <w:color w:val="0000CB"/>
        </w:rPr>
        <w:t>1</w:t>
        <w:tab/>
        <w:t>B</w:t>
      </w:r>
      <w:r>
        <w:rPr>
          <w:color w:val="0000CB"/>
        </w:rPr>
        <w:t>．</w:t>
      </w:r>
      <w:r>
        <w:rPr>
          <w:rFonts w:ascii="Arial" w:eastAsia="Arial"/>
          <w:color w:val="0000CB"/>
        </w:rPr>
        <w:t>2</w:t>
        <w:tab/>
        <w:t>C</w:t>
      </w:r>
      <w:r>
        <w:rPr>
          <w:color w:val="0000CB"/>
        </w:rPr>
        <w:t>．</w:t>
      </w:r>
      <w:r>
        <w:rPr>
          <w:rFonts w:ascii="Arial" w:eastAsia="Arial"/>
          <w:color w:val="0000CB"/>
        </w:rPr>
        <w:t>2.27</w:t>
        <w:tab/>
        <w:t>D</w:t>
      </w:r>
      <w:r>
        <w:rPr>
          <w:color w:val="0000CB"/>
        </w:rPr>
        <w:t>．</w:t>
      </w:r>
      <w:r>
        <w:rPr>
          <w:rFonts w:ascii="Arial" w:eastAsia="Arial"/>
          <w:color w:val="0000CB"/>
        </w:rPr>
        <w:t>2.73</w:t>
      </w:r>
    </w:p>
    <w:p>
      <w:pPr>
        <w:pStyle w:val="BodyText"/>
        <w:spacing w:before="4"/>
        <w:ind w:left="0"/>
        <w:rPr>
          <w:rFonts w:ascii="Arial"/>
          <w:sz w:val="20"/>
        </w:rPr>
      </w:pPr>
    </w:p>
    <w:p>
      <w:pPr>
        <w:spacing w:after="0"/>
        <w:rPr>
          <w:rFonts w:ascii="Arial"/>
          <w:sz w:val="20"/>
        </w:rPr>
        <w:sectPr>
          <w:footerReference w:type="default" r:id="rId9"/>
          <w:type w:val="continuous"/>
          <w:pgSz w:w="17860" w:h="25260"/>
          <w:pgMar w:top="2220" w:right="880" w:bottom="2320" w:left="2560" w:header="708" w:footer="2125"/>
          <w:pgNumType w:start="1"/>
          <w:cols w:space="708"/>
        </w:sectPr>
      </w:pPr>
    </w:p>
    <w:p>
      <w:pPr>
        <w:pStyle w:val="BodyText"/>
        <w:spacing w:before="71" w:line="424" w:lineRule="auto"/>
        <w:ind w:right="38"/>
      </w:pPr>
      <w:r>
        <w:rPr>
          <w:color w:val="0000CB"/>
          <w:w w:val="95"/>
        </w:rPr>
        <w:t>（</w:t>
      </w:r>
      <w:r>
        <w:rPr>
          <w:rFonts w:ascii="Arial" w:eastAsia="Arial"/>
          <w:color w:val="0000CB"/>
          <w:w w:val="95"/>
        </w:rPr>
        <w:t>b</w:t>
      </w:r>
      <w:r>
        <w:rPr>
          <w:color w:val="0000CB"/>
          <w:w w:val="95"/>
        </w:rPr>
        <w:t>）</w:t>
      </w:r>
      <w:r>
        <w:rPr>
          <w:rFonts w:ascii="Arial" w:eastAsia="Arial"/>
          <w:color w:val="0000CB"/>
          <w:w w:val="95"/>
        </w:rPr>
        <w:t>A</w:t>
      </w:r>
      <w:r>
        <w:rPr>
          <w:color w:val="0000CB"/>
          <w:w w:val="95"/>
        </w:rPr>
        <w:t>．</w:t>
      </w:r>
      <w:r>
        <w:rPr>
          <w:rFonts w:ascii="Arial" w:eastAsia="Arial"/>
          <w:color w:val="0000CB"/>
          <w:w w:val="95"/>
        </w:rPr>
        <w:t xml:space="preserve">42% </w:t>
      </w:r>
      <w:r>
        <w:rPr>
          <w:color w:val="0000CB"/>
        </w:rPr>
        <w:t>例题解答：</w:t>
      </w:r>
    </w:p>
    <w:p>
      <w:pPr>
        <w:pStyle w:val="BodyText"/>
        <w:tabs>
          <w:tab w:val="left" w:pos="2667"/>
        </w:tabs>
        <w:spacing w:before="71"/>
        <w:rPr>
          <w:rFonts w:ascii="Arial" w:eastAsia="Arial"/>
        </w:rPr>
      </w:pPr>
      <w:r>
        <w:br w:type="column"/>
      </w:r>
      <w:r>
        <w:rPr>
          <w:rFonts w:ascii="Arial" w:eastAsia="Arial"/>
          <w:color w:val="0000CB"/>
        </w:rPr>
        <w:t>B</w:t>
      </w:r>
      <w:r>
        <w:rPr>
          <w:color w:val="0000CB"/>
        </w:rPr>
        <w:t>．</w:t>
      </w:r>
      <w:r>
        <w:rPr>
          <w:rFonts w:ascii="Arial" w:eastAsia="Arial"/>
          <w:color w:val="0000CB"/>
        </w:rPr>
        <w:t>44%</w:t>
        <w:tab/>
      </w:r>
      <w:r>
        <w:rPr>
          <w:rFonts w:ascii="Arial" w:eastAsia="Arial"/>
          <w:color w:val="0000CB"/>
          <w:spacing w:val="-4"/>
          <w:w w:val="95"/>
        </w:rPr>
        <w:t>C</w:t>
      </w:r>
      <w:r>
        <w:rPr>
          <w:color w:val="0000CB"/>
          <w:spacing w:val="-4"/>
          <w:w w:val="95"/>
        </w:rPr>
        <w:t>．</w:t>
      </w:r>
      <w:r>
        <w:rPr>
          <w:rFonts w:ascii="Arial" w:eastAsia="Arial"/>
          <w:color w:val="0000CB"/>
          <w:spacing w:val="-4"/>
          <w:w w:val="95"/>
        </w:rPr>
        <w:t>50%</w:t>
      </w:r>
    </w:p>
    <w:p>
      <w:pPr>
        <w:pStyle w:val="BodyText"/>
        <w:spacing w:before="71"/>
        <w:ind w:left="740"/>
        <w:rPr>
          <w:rFonts w:ascii="Arial" w:eastAsia="Arial"/>
        </w:rPr>
      </w:pPr>
      <w:r>
        <w:br w:type="column"/>
      </w:r>
      <w:r>
        <w:rPr>
          <w:rFonts w:ascii="Arial" w:eastAsia="Arial"/>
          <w:color w:val="0000CB"/>
        </w:rPr>
        <w:t>D</w:t>
      </w:r>
      <w:r>
        <w:rPr>
          <w:color w:val="0000CB"/>
        </w:rPr>
        <w:t>．</w:t>
      </w:r>
      <w:r>
        <w:rPr>
          <w:rFonts w:ascii="Arial" w:eastAsia="Arial"/>
          <w:color w:val="0000CB"/>
        </w:rPr>
        <w:t>100%</w:t>
      </w:r>
    </w:p>
    <w:p>
      <w:pPr>
        <w:spacing w:after="0"/>
        <w:rPr>
          <w:rFonts w:ascii="Arial" w:eastAsia="Arial"/>
        </w:rPr>
        <w:sectPr>
          <w:footerReference w:type="default" r:id="rId10"/>
          <w:type w:val="continuous"/>
          <w:pgSz w:w="17860" w:h="25260"/>
          <w:pgMar w:top="2220" w:right="880" w:bottom="2320" w:left="2560" w:header="708" w:footer="708"/>
          <w:pgNumType w:start="2"/>
          <w:cols w:num="3" w:space="708" w:equalWidth="0">
            <w:col w:w="2731" w:space="413"/>
            <w:col w:w="3778" w:space="39"/>
            <w:col w:w="7459" w:space="0"/>
          </w:cols>
        </w:sectPr>
      </w:pPr>
    </w:p>
    <w:p>
      <w:pPr>
        <w:pStyle w:val="BodyText"/>
        <w:spacing w:line="395" w:lineRule="exact"/>
      </w:pPr>
      <w:r>
        <w:rPr>
          <w:color w:val="0000CB"/>
        </w:rPr>
        <w:t>投资收益率</w:t>
      </w:r>
      <w:r>
        <w:rPr>
          <w:rFonts w:ascii="Arial" w:eastAsia="Arial"/>
          <w:color w:val="0000CB"/>
        </w:rPr>
        <w:t>=1/</w:t>
      </w:r>
      <w:r>
        <w:rPr>
          <w:color w:val="0000CB"/>
        </w:rPr>
        <w:t>动态投资回收期</w:t>
      </w:r>
    </w:p>
    <w:p>
      <w:pPr>
        <w:pStyle w:val="BodyText"/>
        <w:spacing w:before="305"/>
      </w:pPr>
      <w:r>
        <w:rPr>
          <w:color w:val="0000CB"/>
        </w:rPr>
        <w:t xml:space="preserve">从该表可以看出，到第三年即 </w:t>
      </w:r>
      <w:r>
        <w:rPr>
          <w:rFonts w:ascii="Arial" w:eastAsia="Arial"/>
          <w:color w:val="0000CB"/>
        </w:rPr>
        <w:t xml:space="preserve">2007 </w:t>
      </w:r>
      <w:r>
        <w:rPr>
          <w:color w:val="0000CB"/>
        </w:rPr>
        <w:t>年开始收回投资，动态投资回收率要考虑贴现率，</w:t>
      </w:r>
    </w:p>
    <w:p>
      <w:pPr>
        <w:spacing w:after="0"/>
        <w:sectPr>
          <w:footerReference w:type="default" r:id="rId11"/>
          <w:type w:val="continuous"/>
          <w:pgSz w:w="17860" w:h="25260"/>
          <w:pgMar w:top="2220" w:right="880" w:bottom="2320" w:left="2560" w:header="708" w:footer="708"/>
          <w:pgNumType w:start="3"/>
          <w:cols w:space="708"/>
        </w:sectPr>
      </w:pPr>
    </w:p>
    <w:p>
      <w:pPr>
        <w:pStyle w:val="BodyText"/>
        <w:spacing w:before="44" w:line="424" w:lineRule="auto"/>
        <w:ind w:left="140" w:right="1649"/>
      </w:pPr>
      <w:r>
        <w:rPr>
          <w:color w:val="0000CB"/>
          <w:spacing w:val="-2"/>
        </w:rPr>
        <w:t>不过此表已给出净现值。第三年要收回</w:t>
      </w:r>
      <w:r>
        <w:rPr>
          <w:rFonts w:ascii="Arial" w:eastAsia="Arial"/>
          <w:color w:val="0000CB"/>
        </w:rPr>
        <w:t xml:space="preserve">-929.93+428.67+396.92=100.34 </w:t>
      </w:r>
      <w:r>
        <w:rPr>
          <w:color w:val="0000CB"/>
        </w:rPr>
        <w:t>万元才能将投资全部</w:t>
      </w:r>
      <w:r>
        <w:rPr>
          <w:color w:val="0000CB"/>
          <w:spacing w:val="-12"/>
          <w:w w:val="102"/>
        </w:rPr>
        <w:t>收回，第三年总共可以收入净现值为</w:t>
      </w:r>
      <w:r>
        <w:rPr>
          <w:color w:val="0000CB"/>
          <w:spacing w:val="-94"/>
        </w:rPr>
        <w:t xml:space="preserve"> </w:t>
      </w:r>
      <w:r>
        <w:rPr>
          <w:rFonts w:ascii="Arial" w:eastAsia="Arial"/>
          <w:color w:val="0000CB"/>
          <w:w w:val="91"/>
        </w:rPr>
        <w:t>363.5</w:t>
      </w:r>
      <w:r>
        <w:rPr>
          <w:rFonts w:ascii="Arial" w:eastAsia="Arial"/>
          <w:color w:val="0000CB"/>
          <w:spacing w:val="-4"/>
          <w:w w:val="91"/>
        </w:rPr>
        <w:t>1</w:t>
      </w:r>
      <w:r>
        <w:rPr>
          <w:color w:val="0000CB"/>
          <w:spacing w:val="-65"/>
          <w:w w:val="102"/>
        </w:rPr>
        <w:t>，则</w:t>
      </w:r>
      <w:r>
        <w:rPr>
          <w:color w:val="0000CB"/>
          <w:spacing w:val="-65"/>
        </w:rPr>
        <w:t xml:space="preserve"> </w:t>
      </w:r>
      <w:r>
        <w:rPr>
          <w:rFonts w:ascii="Arial" w:eastAsia="Arial"/>
          <w:color w:val="0000CB"/>
          <w:w w:val="91"/>
        </w:rPr>
        <w:t>100.34</w:t>
      </w:r>
      <w:r>
        <w:rPr>
          <w:rFonts w:ascii="Arial" w:eastAsia="Arial"/>
          <w:color w:val="0000CB"/>
        </w:rPr>
        <w:t xml:space="preserve"> </w:t>
      </w:r>
      <w:r>
        <w:rPr>
          <w:color w:val="0000CB"/>
          <w:w w:val="102"/>
        </w:rPr>
        <w:t>万元大概需要</w:t>
      </w:r>
      <w:r>
        <w:rPr>
          <w:color w:val="0000CB"/>
          <w:spacing w:val="-87"/>
        </w:rPr>
        <w:t xml:space="preserve"> </w:t>
      </w:r>
      <w:r>
        <w:rPr>
          <w:rFonts w:ascii="Arial" w:eastAsia="Arial"/>
          <w:color w:val="0000CB"/>
          <w:w w:val="92"/>
        </w:rPr>
        <w:t>100.34/363.51=0.27</w:t>
      </w:r>
      <w:r>
        <w:rPr>
          <w:rFonts w:ascii="Arial" w:eastAsia="Arial"/>
          <w:color w:val="0000CB"/>
        </w:rPr>
        <w:t xml:space="preserve"> </w:t>
      </w:r>
      <w:r>
        <w:rPr>
          <w:color w:val="0000CB"/>
          <w:spacing w:val="-7"/>
          <w:w w:val="102"/>
        </w:rPr>
        <w:t>年。</w:t>
      </w:r>
      <w:r>
        <w:rPr>
          <w:color w:val="0000CB"/>
          <w:spacing w:val="-2"/>
        </w:rPr>
        <w:t>所以，动态投资回收率</w:t>
      </w:r>
      <w:r>
        <w:rPr>
          <w:rFonts w:ascii="Arial" w:eastAsia="Arial"/>
          <w:color w:val="0000CB"/>
        </w:rPr>
        <w:t xml:space="preserve">=2 </w:t>
      </w:r>
      <w:r>
        <w:rPr>
          <w:color w:val="0000CB"/>
        </w:rPr>
        <w:t>年</w:t>
      </w:r>
      <w:r>
        <w:rPr>
          <w:rFonts w:ascii="Arial" w:eastAsia="Arial"/>
          <w:color w:val="0000CB"/>
        </w:rPr>
        <w:t xml:space="preserve">+0.27 </w:t>
      </w:r>
      <w:r>
        <w:rPr>
          <w:color w:val="0000CB"/>
        </w:rPr>
        <w:t>年</w:t>
      </w:r>
      <w:r>
        <w:rPr>
          <w:rFonts w:ascii="Arial" w:eastAsia="Arial"/>
          <w:color w:val="0000CB"/>
        </w:rPr>
        <w:t xml:space="preserve">=2.27 </w:t>
      </w:r>
      <w:r>
        <w:rPr>
          <w:color w:val="0000CB"/>
        </w:rPr>
        <w:t>年。</w:t>
      </w:r>
    </w:p>
    <w:p>
      <w:pPr>
        <w:pStyle w:val="BodyText"/>
        <w:spacing w:line="424" w:lineRule="auto"/>
        <w:ind w:left="140" w:right="1782" w:firstLine="637"/>
        <w:rPr>
          <w:rFonts w:ascii="Arial" w:eastAsia="Arial"/>
        </w:rPr>
      </w:pPr>
      <w:r>
        <w:rPr>
          <w:color w:val="0000CB"/>
        </w:rPr>
        <w:t>投资收益率的计算：</w:t>
      </w:r>
      <w:r>
        <w:rPr>
          <w:rFonts w:ascii="Arial" w:eastAsia="Arial"/>
          <w:color w:val="0000CB"/>
        </w:rPr>
        <w:t xml:space="preserve">925.93 </w:t>
      </w:r>
      <w:r>
        <w:rPr>
          <w:color w:val="0000CB"/>
          <w:spacing w:val="-17"/>
        </w:rPr>
        <w:t xml:space="preserve">万元需要 </w:t>
      </w:r>
      <w:r>
        <w:rPr>
          <w:rFonts w:ascii="Arial" w:eastAsia="Arial"/>
          <w:color w:val="0000CB"/>
        </w:rPr>
        <w:t xml:space="preserve">2.27 </w:t>
      </w:r>
      <w:r>
        <w:rPr>
          <w:color w:val="0000CB"/>
          <w:spacing w:val="-7"/>
        </w:rPr>
        <w:t xml:space="preserve">年才能收回，所以每年平均回收 </w:t>
      </w:r>
      <w:r>
        <w:rPr>
          <w:rFonts w:ascii="Arial" w:eastAsia="Arial"/>
          <w:color w:val="0000CB"/>
        </w:rPr>
        <w:t xml:space="preserve">925.93/2.27 </w:t>
      </w:r>
      <w:r>
        <w:rPr>
          <w:color w:val="0000CB"/>
          <w:spacing w:val="-22"/>
          <w:w w:val="95"/>
        </w:rPr>
        <w:t>万元，投资收益率</w:t>
      </w:r>
      <w:r>
        <w:rPr>
          <w:rFonts w:ascii="Arial" w:eastAsia="Arial"/>
          <w:color w:val="0000CB"/>
          <w:w w:val="95"/>
        </w:rPr>
        <w:t>=</w:t>
      </w:r>
      <w:r>
        <w:rPr>
          <w:color w:val="0000CB"/>
          <w:spacing w:val="-2"/>
          <w:w w:val="95"/>
        </w:rPr>
        <w:t>平均每年需要回收金额</w:t>
      </w:r>
      <w:r>
        <w:rPr>
          <w:rFonts w:ascii="Arial" w:eastAsia="Arial"/>
          <w:color w:val="0000CB"/>
          <w:spacing w:val="-6"/>
          <w:w w:val="95"/>
        </w:rPr>
        <w:t>/</w:t>
      </w:r>
      <w:r>
        <w:rPr>
          <w:color w:val="0000CB"/>
          <w:spacing w:val="-2"/>
          <w:w w:val="95"/>
        </w:rPr>
        <w:t>总投资金额</w:t>
      </w:r>
      <w:r>
        <w:rPr>
          <w:rFonts w:ascii="Arial" w:eastAsia="Arial"/>
          <w:color w:val="0000CB"/>
          <w:w w:val="95"/>
        </w:rPr>
        <w:t>=925.93/2.27/925.93=1/2.27=0.44=44%</w:t>
      </w:r>
    </w:p>
    <w:p>
      <w:pPr>
        <w:pStyle w:val="ListParagraph"/>
        <w:numPr>
          <w:ilvl w:val="2"/>
          <w:numId w:val="11"/>
        </w:numPr>
        <w:tabs>
          <w:tab w:val="left" w:pos="1571"/>
        </w:tabs>
        <w:spacing w:before="0" w:after="0" w:line="395" w:lineRule="exact"/>
        <w:ind w:left="1570" w:right="0" w:hanging="794"/>
        <w:jc w:val="left"/>
        <w:rPr>
          <w:sz w:val="31"/>
        </w:rPr>
      </w:pPr>
      <w:r>
        <w:rPr>
          <w:color w:val="0000CB"/>
          <w:sz w:val="31"/>
        </w:rPr>
        <w:t>综合模拟案例</w:t>
      </w:r>
    </w:p>
    <w:p>
      <w:pPr>
        <w:pStyle w:val="BodyText"/>
        <w:spacing w:before="303" w:line="424" w:lineRule="auto"/>
        <w:ind w:left="140" w:right="1801" w:firstLine="637"/>
      </w:pPr>
      <w:r>
        <w:rPr>
          <w:color w:val="0000CB"/>
          <w:spacing w:val="24"/>
        </w:rPr>
        <w:t xml:space="preserve">某 </w:t>
      </w:r>
      <w:r>
        <w:rPr>
          <w:rFonts w:ascii="Arial" w:eastAsia="Arial" w:hAnsi="Arial"/>
          <w:color w:val="0000CB"/>
        </w:rPr>
        <w:t xml:space="preserve">IT </w:t>
      </w:r>
      <w:r>
        <w:rPr>
          <w:color w:val="0000CB"/>
          <w:spacing w:val="-5"/>
        </w:rPr>
        <w:t>计划利用企业自有资金开发一套面向陶瓷行业的“电子印花系统</w:t>
      </w:r>
      <w:r>
        <w:rPr>
          <w:color w:val="0000CB"/>
          <w:spacing w:val="-33"/>
        </w:rPr>
        <w:t>”。经过公司技术</w:t>
      </w:r>
      <w:r>
        <w:rPr>
          <w:color w:val="0000CB"/>
        </w:rPr>
        <w:t>部和市场部的联合调研，得出以下初步结论：</w:t>
      </w:r>
    </w:p>
    <w:p>
      <w:pPr>
        <w:pStyle w:val="BodyText"/>
        <w:spacing w:line="396" w:lineRule="exact"/>
      </w:pPr>
      <w:r>
        <w:rPr>
          <w:color w:val="0000CB"/>
        </w:rPr>
        <w:t>①产品研发</w:t>
      </w:r>
      <w:r>
        <w:rPr>
          <w:rFonts w:ascii="Arial" w:eastAsia="Arial" w:hAnsi="Arial"/>
          <w:color w:val="0000CB"/>
        </w:rPr>
        <w:t>(</w:t>
      </w:r>
      <w:r>
        <w:rPr>
          <w:color w:val="0000CB"/>
        </w:rPr>
        <w:t>包括测试和中试</w:t>
      </w:r>
      <w:r>
        <w:rPr>
          <w:rFonts w:ascii="Arial" w:eastAsia="Arial" w:hAnsi="Arial"/>
          <w:color w:val="0000CB"/>
        </w:rPr>
        <w:t>)</w:t>
      </w:r>
      <w:r>
        <w:rPr>
          <w:color w:val="0000CB"/>
        </w:rPr>
        <w:t xml:space="preserve">期 </w:t>
      </w:r>
      <w:r>
        <w:rPr>
          <w:rFonts w:ascii="Arial" w:eastAsia="Arial" w:hAnsi="Arial"/>
          <w:color w:val="0000CB"/>
        </w:rPr>
        <w:t xml:space="preserve">1 </w:t>
      </w:r>
      <w:r>
        <w:rPr>
          <w:color w:val="0000CB"/>
        </w:rPr>
        <w:t>年。</w:t>
      </w:r>
    </w:p>
    <w:p>
      <w:pPr>
        <w:pStyle w:val="BodyText"/>
        <w:spacing w:before="304" w:line="424" w:lineRule="auto"/>
        <w:ind w:left="140" w:right="1601" w:firstLine="637"/>
      </w:pPr>
      <w:r>
        <w:rPr>
          <w:color w:val="0000CB"/>
          <w:spacing w:val="-1"/>
        </w:rPr>
        <w:t>②研发费用，包括研发人员工资、设备购置费用、原材料费用、调研费用、技术合作费</w:t>
      </w:r>
      <w:r>
        <w:rPr>
          <w:color w:val="0000CB"/>
          <w:spacing w:val="-3"/>
        </w:rPr>
        <w:t>用、能源动力费用、实验室租赁费用、样机</w:t>
      </w:r>
      <w:r>
        <w:rPr>
          <w:rFonts w:ascii="Arial" w:eastAsia="Arial" w:hAnsi="Arial"/>
          <w:color w:val="0000CB"/>
        </w:rPr>
        <w:t>(</w:t>
      </w:r>
      <w:r>
        <w:rPr>
          <w:color w:val="0000CB"/>
        </w:rPr>
        <w:t>系统</w:t>
      </w:r>
      <w:r>
        <w:rPr>
          <w:rFonts w:ascii="Arial" w:eastAsia="Arial" w:hAnsi="Arial"/>
          <w:color w:val="0000CB"/>
          <w:spacing w:val="-5"/>
        </w:rPr>
        <w:t>)</w:t>
      </w:r>
      <w:r>
        <w:rPr>
          <w:color w:val="0000CB"/>
        </w:rPr>
        <w:t xml:space="preserve">试制费用、测试费用、中试费用、鉴定费 </w:t>
      </w:r>
      <w:r>
        <w:rPr>
          <w:color w:val="0000CB"/>
          <w:spacing w:val="2"/>
        </w:rPr>
        <w:t>用，以及不可预计的其他费用，总预算为</w:t>
      </w:r>
      <w:r>
        <w:rPr>
          <w:rFonts w:ascii="Arial" w:eastAsia="Arial" w:hAnsi="Arial"/>
          <w:color w:val="0000CB"/>
        </w:rPr>
        <w:t>170</w:t>
      </w:r>
      <w:r>
        <w:rPr>
          <w:rFonts w:ascii="Arial" w:eastAsia="Arial" w:hAnsi="Arial"/>
          <w:color w:val="0000CB"/>
          <w:spacing w:val="-10"/>
        </w:rPr>
        <w:t xml:space="preserve"> </w:t>
      </w:r>
      <w:r>
        <w:rPr>
          <w:color w:val="0000CB"/>
        </w:rPr>
        <w:t>万元。</w:t>
      </w:r>
    </w:p>
    <w:p>
      <w:pPr>
        <w:pStyle w:val="BodyText"/>
        <w:spacing w:line="424" w:lineRule="auto"/>
        <w:ind w:left="140" w:right="1804" w:firstLine="637"/>
      </w:pPr>
      <w:r>
        <w:rPr>
          <w:color w:val="0000CB"/>
          <w:spacing w:val="-9"/>
        </w:rPr>
        <w:t xml:space="preserve">③产品销售期 </w:t>
      </w:r>
      <w:r>
        <w:rPr>
          <w:rFonts w:ascii="Arial" w:eastAsia="Arial" w:hAnsi="Arial"/>
          <w:color w:val="0000CB"/>
        </w:rPr>
        <w:t xml:space="preserve">5 </w:t>
      </w:r>
      <w:r>
        <w:rPr>
          <w:color w:val="0000CB"/>
          <w:spacing w:val="-20"/>
        </w:rPr>
        <w:t xml:space="preserve">年，预计第 </w:t>
      </w:r>
      <w:r>
        <w:rPr>
          <w:rFonts w:ascii="Arial" w:eastAsia="Arial" w:hAnsi="Arial"/>
          <w:color w:val="0000CB"/>
        </w:rPr>
        <w:t xml:space="preserve">1 </w:t>
      </w:r>
      <w:r>
        <w:rPr>
          <w:color w:val="0000CB"/>
          <w:spacing w:val="-11"/>
        </w:rPr>
        <w:t xml:space="preserve">年的销售额略低一点，前 </w:t>
      </w:r>
      <w:r>
        <w:rPr>
          <w:rFonts w:ascii="Arial" w:eastAsia="Arial" w:hAnsi="Arial"/>
          <w:color w:val="0000CB"/>
        </w:rPr>
        <w:t xml:space="preserve">3 </w:t>
      </w:r>
      <w:r>
        <w:rPr>
          <w:color w:val="0000CB"/>
          <w:spacing w:val="-14"/>
        </w:rPr>
        <w:t xml:space="preserve">年呈上升趋势，第 </w:t>
      </w:r>
      <w:r>
        <w:rPr>
          <w:rFonts w:ascii="Arial" w:eastAsia="Arial" w:hAnsi="Arial"/>
          <w:color w:val="0000CB"/>
        </w:rPr>
        <w:t xml:space="preserve">3 </w:t>
      </w:r>
      <w:r>
        <w:rPr>
          <w:color w:val="0000CB"/>
          <w:spacing w:val="-4"/>
        </w:rPr>
        <w:t>年达到销</w:t>
      </w:r>
      <w:r>
        <w:rPr>
          <w:color w:val="0000CB"/>
          <w:spacing w:val="-14"/>
        </w:rPr>
        <w:t xml:space="preserve">售峰值，第 </w:t>
      </w:r>
      <w:r>
        <w:rPr>
          <w:rFonts w:ascii="Arial" w:eastAsia="Arial" w:hAnsi="Arial"/>
          <w:color w:val="0000CB"/>
        </w:rPr>
        <w:t xml:space="preserve">4 </w:t>
      </w:r>
      <w:r>
        <w:rPr>
          <w:color w:val="0000CB"/>
          <w:spacing w:val="-11"/>
        </w:rPr>
        <w:t xml:space="preserve">年开始下降，第 </w:t>
      </w:r>
      <w:r>
        <w:rPr>
          <w:rFonts w:ascii="Arial" w:eastAsia="Arial" w:hAnsi="Arial"/>
          <w:color w:val="0000CB"/>
        </w:rPr>
        <w:t xml:space="preserve">5 </w:t>
      </w:r>
      <w:r>
        <w:rPr>
          <w:color w:val="0000CB"/>
        </w:rPr>
        <w:t>年之后被新一代软件产品所取代。</w:t>
      </w:r>
    </w:p>
    <w:p>
      <w:pPr>
        <w:pStyle w:val="BodyText"/>
        <w:spacing w:line="395" w:lineRule="exact"/>
      </w:pPr>
      <w:r>
        <w:rPr>
          <w:color w:val="0000CB"/>
        </w:rPr>
        <w:t xml:space="preserve">各年度销售额依次估算为 </w:t>
      </w:r>
      <w:r>
        <w:rPr>
          <w:rFonts w:ascii="Arial" w:eastAsia="Arial"/>
          <w:color w:val="0000CB"/>
        </w:rPr>
        <w:t xml:space="preserve">180 </w:t>
      </w:r>
      <w:r>
        <w:rPr>
          <w:color w:val="0000CB"/>
        </w:rPr>
        <w:t>万元、</w:t>
      </w:r>
      <w:r>
        <w:rPr>
          <w:rFonts w:ascii="Arial" w:eastAsia="Arial"/>
          <w:color w:val="0000CB"/>
        </w:rPr>
        <w:t xml:space="preserve">240 </w:t>
      </w:r>
      <w:r>
        <w:rPr>
          <w:color w:val="0000CB"/>
        </w:rPr>
        <w:t>万元、</w:t>
      </w:r>
      <w:r>
        <w:rPr>
          <w:rFonts w:ascii="Arial" w:eastAsia="Arial"/>
          <w:color w:val="0000CB"/>
        </w:rPr>
        <w:t xml:space="preserve">300 </w:t>
      </w:r>
      <w:r>
        <w:rPr>
          <w:color w:val="0000CB"/>
        </w:rPr>
        <w:t>万元、</w:t>
      </w:r>
      <w:r>
        <w:rPr>
          <w:rFonts w:ascii="Arial" w:eastAsia="Arial"/>
          <w:color w:val="0000CB"/>
        </w:rPr>
        <w:t xml:space="preserve">240 </w:t>
      </w:r>
      <w:r>
        <w:rPr>
          <w:color w:val="0000CB"/>
        </w:rPr>
        <w:t xml:space="preserve">万元和 </w:t>
      </w:r>
      <w:r>
        <w:rPr>
          <w:rFonts w:ascii="Arial" w:eastAsia="Arial"/>
          <w:color w:val="0000CB"/>
        </w:rPr>
        <w:t xml:space="preserve">180 </w:t>
      </w:r>
      <w:r>
        <w:rPr>
          <w:color w:val="0000CB"/>
        </w:rPr>
        <w:t>万元。</w:t>
      </w:r>
    </w:p>
    <w:p>
      <w:pPr>
        <w:pStyle w:val="BodyText"/>
        <w:spacing w:before="302" w:line="424" w:lineRule="auto"/>
        <w:ind w:left="140" w:right="1604" w:firstLine="637"/>
      </w:pPr>
      <w:r>
        <w:rPr>
          <w:color w:val="0000CB"/>
        </w:rPr>
        <w:t xml:space="preserve">④产品成本包括产品固定成本和产品浮动成本。产品固定成本是指与销售额无关的成  </w:t>
      </w:r>
      <w:r>
        <w:rPr>
          <w:color w:val="0000CB"/>
          <w:spacing w:val="2"/>
        </w:rPr>
        <w:t xml:space="preserve">本，如广告宣传费、固定资产折旧费、人员基本工资、管理费等，销售期内每年固定为 </w:t>
      </w:r>
      <w:r>
        <w:rPr>
          <w:rFonts w:ascii="Arial" w:eastAsia="Arial" w:hAnsi="Arial"/>
          <w:color w:val="0000CB"/>
        </w:rPr>
        <w:t xml:space="preserve">60 </w:t>
      </w:r>
      <w:r>
        <w:rPr>
          <w:color w:val="0000CB"/>
          <w:spacing w:val="-1"/>
        </w:rPr>
        <w:t xml:space="preserve">万元；产品浮动成本是指随销售额浮动的成本，如原材料费、人员浮动工资、销售税金等， </w:t>
      </w:r>
      <w:r>
        <w:rPr>
          <w:color w:val="0000CB"/>
          <w:spacing w:val="-10"/>
        </w:rPr>
        <w:t xml:space="preserve">可估算为销售额的 </w:t>
      </w:r>
      <w:r>
        <w:rPr>
          <w:rFonts w:ascii="Arial" w:eastAsia="Arial" w:hAnsi="Arial"/>
          <w:color w:val="0000CB"/>
        </w:rPr>
        <w:t>50%</w:t>
      </w:r>
      <w:r>
        <w:rPr>
          <w:color w:val="0000CB"/>
        </w:rPr>
        <w:t>。</w:t>
      </w:r>
    </w:p>
    <w:p>
      <w:pPr>
        <w:pStyle w:val="BodyText"/>
        <w:spacing w:line="424" w:lineRule="auto"/>
        <w:ind w:left="140" w:right="1812" w:firstLine="637"/>
      </w:pPr>
      <w:r>
        <w:rPr>
          <w:color w:val="0000CB"/>
        </w:rPr>
        <w:t xml:space="preserve">该公司为省科技厅认定的高新技术企业，执行 </w:t>
      </w:r>
      <w:r>
        <w:rPr>
          <w:rFonts w:ascii="Arial" w:eastAsia="Arial"/>
          <w:color w:val="0000CB"/>
        </w:rPr>
        <w:t>15%</w:t>
      </w:r>
      <w:r>
        <w:rPr>
          <w:color w:val="0000CB"/>
        </w:rPr>
        <w:t>的所得税率。公司财务部据此做出了该项目的损益表和现金流量表，并算出了项目的静态投资回收期和投资利润率。</w:t>
      </w:r>
    </w:p>
    <w:p>
      <w:pPr>
        <w:pStyle w:val="BodyText"/>
        <w:spacing w:line="424" w:lineRule="auto"/>
        <w:ind w:left="140" w:right="1756" w:firstLine="637"/>
        <w:jc w:val="both"/>
      </w:pPr>
      <w:r>
        <w:rPr>
          <w:color w:val="0000CB"/>
          <w:spacing w:val="5"/>
        </w:rPr>
        <w:t xml:space="preserve">公司 </w:t>
      </w:r>
      <w:r>
        <w:rPr>
          <w:rFonts w:ascii="Arial" w:eastAsia="Arial"/>
          <w:color w:val="0000CB"/>
        </w:rPr>
        <w:t>CEO</w:t>
      </w:r>
      <w:r>
        <w:rPr>
          <w:rFonts w:ascii="Arial" w:eastAsia="Arial"/>
          <w:color w:val="0000CB"/>
          <w:spacing w:val="81"/>
        </w:rPr>
        <w:t xml:space="preserve"> </w:t>
      </w:r>
      <w:r>
        <w:rPr>
          <w:color w:val="0000CB"/>
          <w:spacing w:val="-1"/>
        </w:rPr>
        <w:t>李总认为，静态投资回收期和投资利润率没有考虑货币的时间价值，只能作</w:t>
      </w:r>
      <w:r>
        <w:rPr>
          <w:color w:val="0000CB"/>
          <w:spacing w:val="-9"/>
        </w:rPr>
        <w:t>为参考而不能作为投资收益分析的依据，还应制作出项目的净现值表，并计算项目的动态投 资回收期和内部收益率。</w:t>
      </w:r>
    </w:p>
    <w:p>
      <w:pPr>
        <w:pStyle w:val="BodyText"/>
        <w:spacing w:line="395" w:lineRule="exact"/>
      </w:pPr>
      <w:r>
        <w:rPr>
          <w:color w:val="0000CB"/>
        </w:rPr>
        <w:t xml:space="preserve">【问题 </w:t>
      </w:r>
      <w:r>
        <w:rPr>
          <w:rFonts w:ascii="Arial" w:eastAsia="Arial"/>
          <w:color w:val="0000CB"/>
        </w:rPr>
        <w:t>1</w:t>
      </w:r>
      <w:r>
        <w:rPr>
          <w:color w:val="0000CB"/>
        </w:rPr>
        <w:t>】</w:t>
      </w:r>
    </w:p>
    <w:p>
      <w:pPr>
        <w:pStyle w:val="BodyText"/>
        <w:spacing w:before="299" w:line="424" w:lineRule="auto"/>
        <w:ind w:left="140" w:right="1804" w:firstLine="637"/>
      </w:pPr>
      <w:r>
        <w:rPr>
          <w:color w:val="0000CB"/>
          <w:spacing w:val="-13"/>
        </w:rPr>
        <w:t>制作出该项目的损益表、现金流量表和净现值表，并计算其静态投资回收期、投资利润</w:t>
      </w:r>
      <w:r>
        <w:rPr>
          <w:color w:val="0000CB"/>
          <w:spacing w:val="-2"/>
        </w:rPr>
        <w:t>率和动态投资回收期</w:t>
      </w:r>
      <w:r>
        <w:rPr>
          <w:rFonts w:ascii="Arial" w:eastAsia="Arial"/>
          <w:color w:val="0000CB"/>
          <w:spacing w:val="-5"/>
        </w:rPr>
        <w:t>(</w:t>
      </w:r>
      <w:r>
        <w:rPr>
          <w:color w:val="0000CB"/>
          <w:spacing w:val="-16"/>
        </w:rPr>
        <w:t xml:space="preserve">贴现率按 </w:t>
      </w:r>
      <w:r>
        <w:rPr>
          <w:rFonts w:ascii="Arial" w:eastAsia="Arial"/>
          <w:color w:val="0000CB"/>
        </w:rPr>
        <w:t>10%</w:t>
      </w:r>
      <w:r>
        <w:rPr>
          <w:color w:val="0000CB"/>
          <w:spacing w:val="-2"/>
        </w:rPr>
        <w:t>计算</w:t>
      </w:r>
      <w:r>
        <w:rPr>
          <w:rFonts w:ascii="Arial" w:eastAsia="Arial"/>
          <w:color w:val="0000CB"/>
        </w:rPr>
        <w:t>)</w:t>
      </w:r>
      <w:r>
        <w:rPr>
          <w:color w:val="0000CB"/>
        </w:rPr>
        <w:t>。</w:t>
      </w:r>
    </w:p>
    <w:p>
      <w:pPr>
        <w:pStyle w:val="BodyText"/>
        <w:spacing w:line="395" w:lineRule="exact"/>
      </w:pPr>
      <w:r>
        <w:rPr>
          <w:color w:val="0000CB"/>
        </w:rPr>
        <w:t xml:space="preserve">【问题 </w:t>
      </w:r>
      <w:r>
        <w:rPr>
          <w:rFonts w:ascii="Arial" w:eastAsia="Arial"/>
          <w:color w:val="0000CB"/>
        </w:rPr>
        <w:t>2</w:t>
      </w:r>
      <w:r>
        <w:rPr>
          <w:color w:val="0000CB"/>
        </w:rPr>
        <w:t>】</w:t>
      </w:r>
    </w:p>
    <w:p>
      <w:pPr>
        <w:pStyle w:val="BodyText"/>
        <w:spacing w:before="305"/>
        <w:sectPr>
          <w:footerReference w:type="default" r:id="rId12"/>
          <w:pgSz w:w="17860" w:h="25260"/>
          <w:pgMar w:top="1980" w:right="880" w:bottom="2320" w:left="2560" w:header="0" w:footer="2125"/>
          <w:pgNumType w:start="4"/>
          <w:cols w:space="708"/>
        </w:sectPr>
      </w:pPr>
      <w:r>
        <w:rPr>
          <w:color w:val="0000CB"/>
        </w:rPr>
        <w:t xml:space="preserve">如果贴现率按 </w:t>
      </w:r>
      <w:r>
        <w:rPr>
          <w:rFonts w:ascii="Arial" w:eastAsia="Arial"/>
          <w:color w:val="0000CB"/>
        </w:rPr>
        <w:t>11</w:t>
      </w:r>
      <w:r>
        <w:rPr>
          <w:color w:val="0000CB"/>
        </w:rPr>
        <w:t xml:space="preserve">％计算，则项目净现值为 </w:t>
      </w:r>
      <w:r>
        <w:rPr>
          <w:rFonts w:ascii="Arial" w:eastAsia="Arial"/>
          <w:color w:val="0000CB"/>
        </w:rPr>
        <w:t xml:space="preserve">1.18 </w:t>
      </w:r>
      <w:r>
        <w:rPr>
          <w:color w:val="0000CB"/>
        </w:rPr>
        <w:t>万元，计算该项目的内部收益率。</w:t>
      </w:r>
    </w:p>
    <w:p>
      <w:pPr>
        <w:pStyle w:val="BodyText"/>
        <w:spacing w:before="305"/>
      </w:pPr>
      <w:r>
        <w:rPr>
          <w:color w:val="0000CB"/>
        </w:rPr>
        <w:t xml:space="preserve">【问题 </w:t>
      </w:r>
      <w:r>
        <w:rPr>
          <w:rFonts w:ascii="Arial" w:eastAsia="Arial"/>
          <w:color w:val="0000CB"/>
        </w:rPr>
        <w:t>3</w:t>
      </w:r>
      <w:r>
        <w:rPr>
          <w:color w:val="0000CB"/>
        </w:rPr>
        <w:t>】</w:t>
      </w:r>
    </w:p>
    <w:p>
      <w:pPr>
        <w:spacing w:after="0"/>
        <w:sectPr>
          <w:footerReference w:type="default" r:id="rId13"/>
          <w:type w:val="nextPage"/>
          <w:pgSz w:w="17860" w:h="25260"/>
          <w:pgMar w:top="1980" w:right="880" w:bottom="2320" w:left="2560" w:header="0" w:footer="2125"/>
          <w:pgNumType w:start="5"/>
          <w:cols w:space="708"/>
          <w:titlePg w:val="0"/>
        </w:sectPr>
      </w:pPr>
    </w:p>
    <w:p>
      <w:pPr>
        <w:pStyle w:val="BodyText"/>
        <w:spacing w:before="44" w:line="424" w:lineRule="auto"/>
        <w:ind w:left="770" w:right="4301" w:firstLine="162"/>
      </w:pPr>
      <w:r>
        <w:rPr>
          <w:color w:val="0000CB"/>
          <w:spacing w:val="-4"/>
        </w:rPr>
        <w:t xml:space="preserve">请用 </w:t>
      </w:r>
      <w:r>
        <w:rPr>
          <w:rFonts w:ascii="Arial" w:eastAsia="Arial"/>
          <w:color w:val="0000CB"/>
        </w:rPr>
        <w:t>100</w:t>
      </w:r>
      <w:r>
        <w:rPr>
          <w:rFonts w:ascii="Arial" w:eastAsia="Arial"/>
          <w:color w:val="0000CB"/>
          <w:spacing w:val="50"/>
        </w:rPr>
        <w:t xml:space="preserve"> </w:t>
      </w:r>
      <w:r>
        <w:rPr>
          <w:color w:val="0000CB"/>
          <w:spacing w:val="-1"/>
        </w:rPr>
        <w:t xml:space="preserve">字以内文字说明，你认为该项目有无投资价值？为什么？ </w:t>
      </w:r>
      <w:r>
        <w:rPr>
          <w:color w:val="0000CB"/>
        </w:rPr>
        <w:t>案例分析</w:t>
      </w:r>
    </w:p>
    <w:p>
      <w:pPr>
        <w:pStyle w:val="BodyText"/>
        <w:spacing w:line="396" w:lineRule="exact"/>
        <w:ind w:left="619"/>
      </w:pPr>
      <w:r>
        <w:rPr>
          <w:color w:val="0000CB"/>
          <w:spacing w:val="-17"/>
        </w:rPr>
        <w:t xml:space="preserve">【问题 </w:t>
      </w:r>
      <w:r>
        <w:rPr>
          <w:rFonts w:ascii="Arial" w:eastAsia="Arial"/>
          <w:color w:val="0000CB"/>
        </w:rPr>
        <w:t>1</w:t>
      </w:r>
      <w:r>
        <w:rPr>
          <w:color w:val="0000CB"/>
        </w:rPr>
        <w:t>】</w:t>
      </w:r>
    </w:p>
    <w:p>
      <w:pPr>
        <w:pStyle w:val="BodyText"/>
        <w:spacing w:before="305" w:line="424" w:lineRule="auto"/>
        <w:ind w:left="140" w:right="1801" w:firstLine="637"/>
      </w:pPr>
      <w:r>
        <w:rPr>
          <w:color w:val="0000CB"/>
          <w:spacing w:val="-11"/>
        </w:rPr>
        <w:t>项目投资收益研究主要涉及静态投资回收期、投资收益率、项目净现值、动态投资回收</w:t>
      </w:r>
      <w:r>
        <w:rPr>
          <w:color w:val="0000CB"/>
        </w:rPr>
        <w:t>期和内部收益率等财务分析评价指标。</w:t>
      </w:r>
    </w:p>
    <w:p>
      <w:pPr>
        <w:pStyle w:val="BodyText"/>
        <w:spacing w:line="424" w:lineRule="auto"/>
        <w:ind w:left="140" w:right="1751" w:firstLine="637"/>
        <w:jc w:val="both"/>
      </w:pPr>
      <w:r>
        <w:rPr>
          <w:color w:val="0000CB"/>
          <w:spacing w:val="-8"/>
        </w:rPr>
        <w:t>我们知道，未来的一元钱，不论是损失还是收益，都没有现在的一块钱重要，而且时间</w:t>
      </w:r>
      <w:r>
        <w:rPr>
          <w:color w:val="0000CB"/>
          <w:spacing w:val="-13"/>
        </w:rPr>
        <w:t>隔得越长，其价值越低。静态投资回收期和投资收益率是不考虑货币的时间价值的财务分析</w:t>
      </w:r>
      <w:r>
        <w:rPr>
          <w:color w:val="0000CB"/>
          <w:spacing w:val="-16"/>
        </w:rPr>
        <w:t>评价指标。而项目净现值、动态投资回收期和内部收益率则是考虑了货币的时间价值的财务分析评价指标。</w:t>
      </w:r>
    </w:p>
    <w:p>
      <w:pPr>
        <w:pStyle w:val="BodyText"/>
        <w:spacing w:line="424" w:lineRule="auto"/>
        <w:ind w:left="140" w:right="1794" w:firstLine="637"/>
        <w:jc w:val="both"/>
        <w:rPr>
          <w:rFonts w:ascii="Arial" w:eastAsia="Arial"/>
        </w:rPr>
      </w:pPr>
      <w:r>
        <w:rPr>
          <w:color w:val="0000CB"/>
          <w:spacing w:val="6"/>
        </w:rPr>
        <w:t>静态投资回收期</w:t>
      </w:r>
      <w:r>
        <w:rPr>
          <w:rFonts w:ascii="Arial" w:eastAsia="Arial"/>
          <w:color w:val="0000CB"/>
          <w:spacing w:val="6"/>
        </w:rPr>
        <w:t>(</w:t>
      </w:r>
      <w:r>
        <w:rPr>
          <w:color w:val="0000CB"/>
          <w:spacing w:val="4"/>
        </w:rPr>
        <w:t xml:space="preserve">在不引起混淆的情况下可简称投资回收期 </w:t>
      </w:r>
      <w:r>
        <w:rPr>
          <w:rFonts w:ascii="Arial" w:eastAsia="Arial"/>
          <w:color w:val="0000CB"/>
        </w:rPr>
        <w:t>)</w:t>
      </w:r>
      <w:r>
        <w:rPr>
          <w:color w:val="0000CB"/>
        </w:rPr>
        <w:t>是指投资引起的现金流入</w:t>
      </w:r>
      <w:r>
        <w:rPr>
          <w:color w:val="0000CB"/>
          <w:spacing w:val="-9"/>
        </w:rPr>
        <w:t>累计到与投资额相等所需要的时间，计算方法为：静态投资回收期</w:t>
      </w:r>
      <w:r>
        <w:rPr>
          <w:rFonts w:ascii="Arial" w:eastAsia="Arial"/>
          <w:color w:val="0000CB"/>
        </w:rPr>
        <w:t>=(</w:t>
      </w:r>
      <w:r>
        <w:rPr>
          <w:color w:val="0000CB"/>
          <w:spacing w:val="-2"/>
        </w:rPr>
        <w:t>累计净现金流量开始出</w:t>
      </w:r>
      <w:r>
        <w:rPr>
          <w:color w:val="0000CB"/>
          <w:spacing w:val="-11"/>
        </w:rPr>
        <w:t xml:space="preserve">现正值年份数一 </w:t>
      </w:r>
      <w:r>
        <w:rPr>
          <w:rFonts w:ascii="Arial" w:eastAsia="Arial"/>
          <w:color w:val="0000CB"/>
        </w:rPr>
        <w:t>1)</w:t>
      </w:r>
      <w:r>
        <w:rPr>
          <w:color w:val="0000CB"/>
        </w:rPr>
        <w:t>＋</w:t>
      </w:r>
      <w:r>
        <w:rPr>
          <w:rFonts w:ascii="Arial" w:eastAsia="Arial"/>
          <w:color w:val="0000CB"/>
        </w:rPr>
        <w:t>(</w:t>
      </w:r>
      <w:r>
        <w:rPr>
          <w:color w:val="0000CB"/>
          <w:spacing w:val="-2"/>
        </w:rPr>
        <w:t>上年累计净现金流量的绝对值</w:t>
      </w:r>
      <w:r>
        <w:rPr>
          <w:rFonts w:ascii="Arial" w:eastAsia="Arial"/>
          <w:color w:val="0000CB"/>
          <w:spacing w:val="-6"/>
        </w:rPr>
        <w:t>/</w:t>
      </w:r>
      <w:r>
        <w:rPr>
          <w:color w:val="0000CB"/>
          <w:spacing w:val="-2"/>
        </w:rPr>
        <w:t>当年净现金流量</w:t>
      </w:r>
      <w:r>
        <w:rPr>
          <w:rFonts w:ascii="Arial" w:eastAsia="Arial"/>
          <w:color w:val="0000CB"/>
        </w:rPr>
        <w:t>)</w:t>
      </w:r>
    </w:p>
    <w:p>
      <w:pPr>
        <w:pStyle w:val="BodyText"/>
        <w:spacing w:line="394" w:lineRule="exact"/>
      </w:pPr>
      <w:r>
        <w:rPr>
          <w:color w:val="0000CB"/>
        </w:rPr>
        <w:t>计算静态投资回收期时，有两个问题需要注意：</w:t>
      </w:r>
    </w:p>
    <w:p>
      <w:pPr>
        <w:pStyle w:val="BodyText"/>
        <w:spacing w:before="5"/>
        <w:ind w:left="0"/>
        <w:rPr>
          <w:sz w:val="23"/>
        </w:rPr>
      </w:pPr>
    </w:p>
    <w:p>
      <w:pPr>
        <w:pStyle w:val="BodyText"/>
        <w:spacing w:line="424" w:lineRule="auto"/>
        <w:ind w:left="140" w:right="1601" w:firstLine="637"/>
      </w:pPr>
      <w:r>
        <w:rPr>
          <w:color w:val="0000CB"/>
        </w:rPr>
        <w:t>第一，这里的“净现金流量”是“税后”的。但在某些政府投资项目的投资可行性分析中，还票求计算 “税前”静态投资回收期。</w:t>
      </w:r>
    </w:p>
    <w:p>
      <w:pPr>
        <w:pStyle w:val="BodyText"/>
        <w:spacing w:line="424" w:lineRule="auto"/>
        <w:ind w:left="140" w:right="1780" w:firstLine="637"/>
      </w:pPr>
      <w:r>
        <w:rPr>
          <w:color w:val="0000CB"/>
        </w:rPr>
        <w:t>第二，按照上述公式计算的静态投资回收期包含了项目的建设期</w:t>
      </w:r>
      <w:r>
        <w:rPr>
          <w:rFonts w:ascii="Arial" w:eastAsia="Arial"/>
          <w:color w:val="0000CB"/>
        </w:rPr>
        <w:t>(</w:t>
      </w:r>
      <w:r>
        <w:rPr>
          <w:color w:val="0000CB"/>
        </w:rPr>
        <w:t>或研发期</w:t>
      </w:r>
      <w:r>
        <w:rPr>
          <w:rFonts w:ascii="Arial" w:eastAsia="Arial"/>
          <w:color w:val="0000CB"/>
        </w:rPr>
        <w:t>)</w:t>
      </w:r>
      <w:r>
        <w:rPr>
          <w:color w:val="0000CB"/>
        </w:rPr>
        <w:t>。但在某些教科书上，静态投资回收期是从产品开始销售时开始计算的。</w:t>
      </w:r>
    </w:p>
    <w:p>
      <w:pPr>
        <w:pStyle w:val="BodyText"/>
        <w:spacing w:line="424" w:lineRule="auto"/>
        <w:ind w:left="140" w:right="1811" w:firstLine="637"/>
      </w:pPr>
      <w:r>
        <w:rPr>
          <w:color w:val="0000CB"/>
        </w:rPr>
        <w:t>对于上面两个问题，试题中如果条件不明确，答题时最好加注“税后</w:t>
      </w:r>
      <w:r>
        <w:rPr>
          <w:color w:val="0000CB"/>
          <w:spacing w:val="-245"/>
        </w:rPr>
        <w:t>”、</w:t>
      </w:r>
      <w:r>
        <w:rPr>
          <w:color w:val="0000CB"/>
          <w:spacing w:val="-48"/>
        </w:rPr>
        <w:t>“税前”、“含建</w:t>
      </w:r>
      <w:r>
        <w:rPr>
          <w:color w:val="0000CB"/>
        </w:rPr>
        <w:t>设期”或“不含建设期”等，以免你的理解与出题老师的理解不一致。</w:t>
      </w:r>
    </w:p>
    <w:p>
      <w:pPr>
        <w:pStyle w:val="BodyText"/>
        <w:spacing w:line="424" w:lineRule="auto"/>
        <w:ind w:left="140" w:right="1807" w:firstLine="637"/>
      </w:pPr>
      <w:r>
        <w:rPr>
          <w:color w:val="0000CB"/>
          <w:spacing w:val="-27"/>
        </w:rPr>
        <w:t>投资收益率分为“投资利润率”和“投资利税率”，分别为计算期内项目年平均净利润</w:t>
      </w:r>
      <w:r>
        <w:rPr>
          <w:rFonts w:ascii="Arial" w:eastAsia="Arial" w:hAnsi="Arial"/>
          <w:color w:val="0000CB"/>
          <w:spacing w:val="-5"/>
        </w:rPr>
        <w:t>(</w:t>
      </w:r>
      <w:r>
        <w:rPr>
          <w:color w:val="0000CB"/>
          <w:spacing w:val="-15"/>
        </w:rPr>
        <w:t>或</w:t>
      </w:r>
      <w:r>
        <w:rPr>
          <w:color w:val="0000CB"/>
          <w:spacing w:val="-1"/>
        </w:rPr>
        <w:t>利税总额</w:t>
      </w:r>
      <w:r>
        <w:rPr>
          <w:rFonts w:ascii="Arial" w:eastAsia="Arial" w:hAnsi="Arial"/>
          <w:color w:val="0000CB"/>
        </w:rPr>
        <w:t>)</w:t>
      </w:r>
      <w:r>
        <w:rPr>
          <w:color w:val="0000CB"/>
        </w:rPr>
        <w:t>与项目投资总额的比例，即：</w:t>
      </w:r>
    </w:p>
    <w:p>
      <w:pPr>
        <w:pStyle w:val="BodyText"/>
        <w:spacing w:line="424" w:lineRule="auto"/>
        <w:ind w:left="140" w:right="1804" w:firstLine="637"/>
        <w:jc w:val="both"/>
      </w:pPr>
      <w:r>
        <w:rPr>
          <w:color w:val="0000CB"/>
          <w:spacing w:val="2"/>
          <w:w w:val="102"/>
        </w:rPr>
        <w:t>投资利润</w:t>
      </w:r>
      <w:r>
        <w:rPr>
          <w:rFonts w:ascii="Arial" w:eastAsia="Arial" w:hAnsi="Arial"/>
          <w:color w:val="0000CB"/>
          <w:spacing w:val="-2"/>
          <w:w w:val="102"/>
        </w:rPr>
        <w:t>(</w:t>
      </w:r>
      <w:r>
        <w:rPr>
          <w:color w:val="0000CB"/>
          <w:spacing w:val="3"/>
          <w:w w:val="102"/>
        </w:rPr>
        <w:t>利税</w:t>
      </w:r>
      <w:r>
        <w:rPr>
          <w:rFonts w:ascii="Arial" w:eastAsia="Arial" w:hAnsi="Arial"/>
          <w:color w:val="0000CB"/>
          <w:spacing w:val="-2"/>
          <w:w w:val="102"/>
        </w:rPr>
        <w:t>)</w:t>
      </w:r>
      <w:r>
        <w:rPr>
          <w:color w:val="0000CB"/>
          <w:w w:val="102"/>
        </w:rPr>
        <w:t>率＝</w:t>
      </w:r>
      <w:r>
        <w:rPr>
          <w:color w:val="0000CB"/>
          <w:spacing w:val="2"/>
          <w:w w:val="102"/>
        </w:rPr>
        <w:t>计算期内年平均净利润</w:t>
      </w:r>
      <w:r>
        <w:rPr>
          <w:rFonts w:ascii="Arial" w:eastAsia="Arial" w:hAnsi="Arial"/>
          <w:color w:val="0000CB"/>
          <w:spacing w:val="-1"/>
          <w:w w:val="102"/>
        </w:rPr>
        <w:t>(</w:t>
      </w:r>
      <w:r>
        <w:rPr>
          <w:color w:val="0000CB"/>
          <w:spacing w:val="2"/>
          <w:w w:val="102"/>
        </w:rPr>
        <w:t>或利税总额</w:t>
      </w:r>
      <w:r>
        <w:rPr>
          <w:rFonts w:ascii="Arial" w:eastAsia="Arial" w:hAnsi="Arial"/>
          <w:color w:val="0000CB"/>
          <w:w w:val="102"/>
        </w:rPr>
        <w:t>)/</w:t>
      </w:r>
      <w:r>
        <w:rPr>
          <w:color w:val="0000CB"/>
          <w:spacing w:val="-12"/>
          <w:w w:val="102"/>
        </w:rPr>
        <w:t>投资总额这里的“计算期”，</w:t>
      </w:r>
      <w:r>
        <w:rPr>
          <w:color w:val="0000CB"/>
          <w:spacing w:val="-13"/>
          <w:w w:val="102"/>
        </w:rPr>
        <w:t>一般指项目产品的销售期</w:t>
      </w:r>
      <w:r>
        <w:rPr>
          <w:rFonts w:ascii="Arial" w:eastAsia="Arial" w:hAnsi="Arial"/>
          <w:color w:val="0000CB"/>
          <w:spacing w:val="-5"/>
          <w:w w:val="102"/>
        </w:rPr>
        <w:t>(</w:t>
      </w:r>
      <w:r>
        <w:rPr>
          <w:color w:val="0000CB"/>
          <w:w w:val="102"/>
        </w:rPr>
        <w:t>或其前</w:t>
      </w:r>
      <w:r>
        <w:rPr>
          <w:color w:val="0000CB"/>
        </w:rPr>
        <w:t xml:space="preserve"> </w:t>
      </w:r>
      <w:r>
        <w:rPr>
          <w:rFonts w:ascii="Arial" w:eastAsia="Arial" w:hAnsi="Arial"/>
          <w:color w:val="0000CB"/>
          <w:w w:val="91"/>
        </w:rPr>
        <w:t>5</w:t>
      </w:r>
      <w:r>
        <w:rPr>
          <w:rFonts w:ascii="Arial" w:eastAsia="Arial" w:hAnsi="Arial"/>
          <w:color w:val="0000CB"/>
          <w:spacing w:val="-18"/>
        </w:rPr>
        <w:t xml:space="preserve">  </w:t>
      </w:r>
      <w:r>
        <w:rPr>
          <w:color w:val="0000CB"/>
          <w:spacing w:val="-1"/>
          <w:w w:val="102"/>
        </w:rPr>
        <w:t>年</w:t>
      </w:r>
      <w:r>
        <w:rPr>
          <w:rFonts w:ascii="Arial" w:eastAsia="Arial" w:hAnsi="Arial"/>
          <w:color w:val="0000CB"/>
          <w:spacing w:val="-2"/>
          <w:w w:val="102"/>
        </w:rPr>
        <w:t>)</w:t>
      </w:r>
      <w:r>
        <w:rPr>
          <w:color w:val="0000CB"/>
          <w:w w:val="102"/>
        </w:rPr>
        <w:t>，但在政府投资项目中，为了能够及时验收</w:t>
      </w:r>
      <w:r>
        <w:rPr>
          <w:color w:val="0000CB"/>
          <w:spacing w:val="-52"/>
          <w:w w:val="102"/>
        </w:rPr>
        <w:t>，“计算</w:t>
      </w:r>
      <w:r>
        <w:rPr>
          <w:color w:val="0000CB"/>
          <w:spacing w:val="-11"/>
        </w:rPr>
        <w:t xml:space="preserve">期”通常规定为 </w:t>
      </w:r>
      <w:r>
        <w:rPr>
          <w:rFonts w:ascii="Arial" w:eastAsia="Arial" w:hAnsi="Arial"/>
          <w:color w:val="0000CB"/>
        </w:rPr>
        <w:t xml:space="preserve">1-2 </w:t>
      </w:r>
      <w:r>
        <w:rPr>
          <w:color w:val="0000CB"/>
        </w:rPr>
        <w:t>年。</w:t>
      </w:r>
    </w:p>
    <w:p>
      <w:pPr>
        <w:pStyle w:val="BodyText"/>
        <w:spacing w:line="424" w:lineRule="auto"/>
        <w:ind w:left="140" w:right="1784" w:firstLine="637"/>
        <w:jc w:val="both"/>
        <w:sectPr>
          <w:footerReference w:type="default" r:id="rId14"/>
          <w:pgSz w:w="17860" w:h="25260"/>
          <w:pgMar w:top="1980" w:right="880" w:bottom="2320" w:left="2560" w:header="0" w:footer="2125"/>
          <w:pgNumType w:start="6"/>
          <w:cols w:space="708"/>
        </w:sectPr>
      </w:pPr>
      <w:r>
        <w:rPr>
          <w:color w:val="0000CB"/>
          <w:spacing w:val="-1"/>
        </w:rPr>
        <w:t>项目净现值</w:t>
      </w:r>
      <w:r>
        <w:rPr>
          <w:rFonts w:ascii="Arial" w:eastAsia="Arial"/>
          <w:color w:val="0000CB"/>
          <w:spacing w:val="-10"/>
        </w:rPr>
        <w:t>(NPV</w:t>
      </w:r>
      <w:r>
        <w:rPr>
          <w:rFonts w:ascii="Arial" w:eastAsia="Arial"/>
          <w:color w:val="0000CB"/>
          <w:spacing w:val="21"/>
        </w:rPr>
        <w:t xml:space="preserve">, </w:t>
      </w:r>
      <w:r>
        <w:rPr>
          <w:rFonts w:ascii="Arial" w:eastAsia="Arial"/>
          <w:color w:val="0000CB"/>
        </w:rPr>
        <w:t>Net</w:t>
      </w:r>
      <w:r>
        <w:rPr>
          <w:rFonts w:ascii="Arial" w:eastAsia="Arial"/>
          <w:color w:val="0000CB"/>
          <w:spacing w:val="49"/>
        </w:rPr>
        <w:t xml:space="preserve"> </w:t>
      </w:r>
      <w:r>
        <w:rPr>
          <w:rFonts w:ascii="Arial" w:eastAsia="Arial"/>
          <w:color w:val="0000CB"/>
        </w:rPr>
        <w:t>Present</w:t>
      </w:r>
      <w:r>
        <w:rPr>
          <w:rFonts w:ascii="Arial" w:eastAsia="Arial"/>
          <w:color w:val="0000CB"/>
          <w:spacing w:val="49"/>
        </w:rPr>
        <w:t xml:space="preserve"> </w:t>
      </w:r>
      <w:r>
        <w:rPr>
          <w:rFonts w:ascii="Arial" w:eastAsia="Arial"/>
          <w:color w:val="0000CB"/>
          <w:spacing w:val="-6"/>
        </w:rPr>
        <w:t>Value)</w:t>
      </w:r>
      <w:r>
        <w:rPr>
          <w:color w:val="0000CB"/>
          <w:spacing w:val="-2"/>
        </w:rPr>
        <w:t>指项目在其整个生命周期</w:t>
      </w:r>
      <w:r>
        <w:rPr>
          <w:rFonts w:ascii="Arial" w:eastAsia="Arial"/>
          <w:color w:val="0000CB"/>
        </w:rPr>
        <w:t>(</w:t>
      </w:r>
      <w:r>
        <w:rPr>
          <w:color w:val="0000CB"/>
          <w:spacing w:val="-2"/>
        </w:rPr>
        <w:t>或计算期</w:t>
      </w:r>
      <w:r>
        <w:rPr>
          <w:rFonts w:ascii="Arial" w:eastAsia="Arial"/>
          <w:color w:val="0000CB"/>
        </w:rPr>
        <w:t>)</w:t>
      </w:r>
      <w:r>
        <w:rPr>
          <w:color w:val="0000CB"/>
        </w:rPr>
        <w:t>内资金流入量</w:t>
      </w:r>
      <w:r>
        <w:rPr>
          <w:color w:val="0000CB"/>
          <w:spacing w:val="-10"/>
        </w:rPr>
        <w:t>现值与其资金流出量现值之差，是反映项目总获利能力的动态评价指标。其经济含义是：项目除了达到基准收益率</w:t>
      </w:r>
      <w:r>
        <w:rPr>
          <w:rFonts w:ascii="Arial" w:eastAsia="Arial"/>
          <w:color w:val="0000CB"/>
          <w:spacing w:val="-10"/>
        </w:rPr>
        <w:t>(</w:t>
      </w:r>
      <w:r>
        <w:rPr>
          <w:color w:val="0000CB"/>
          <w:spacing w:val="-10"/>
        </w:rPr>
        <w:t>贴现率</w:t>
      </w:r>
      <w:r>
        <w:rPr>
          <w:rFonts w:ascii="Arial" w:eastAsia="Arial"/>
          <w:color w:val="0000CB"/>
          <w:spacing w:val="-10"/>
        </w:rPr>
        <w:t>)</w:t>
      </w:r>
      <w:r>
        <w:rPr>
          <w:color w:val="0000CB"/>
          <w:spacing w:val="-10"/>
        </w:rPr>
        <w:t>外，还可以实现的以现值表示的超额盈余</w:t>
      </w:r>
      <w:r>
        <w:rPr>
          <w:rFonts w:ascii="Arial" w:eastAsia="Arial"/>
          <w:color w:val="0000CB"/>
          <w:spacing w:val="-10"/>
        </w:rPr>
        <w:t>(</w:t>
      </w:r>
      <w:r>
        <w:rPr>
          <w:color w:val="0000CB"/>
          <w:spacing w:val="-10"/>
        </w:rPr>
        <w:t>或亏损</w:t>
      </w:r>
      <w:r>
        <w:rPr>
          <w:rFonts w:ascii="Arial" w:eastAsia="Arial"/>
          <w:color w:val="0000CB"/>
          <w:spacing w:val="-10"/>
        </w:rPr>
        <w:t>)</w:t>
      </w:r>
      <w:r>
        <w:rPr>
          <w:color w:val="0000CB"/>
          <w:spacing w:val="-10"/>
        </w:rPr>
        <w:t>。比如， 当贴现率等于银行存款的年利率时，</w:t>
      </w:r>
      <w:r>
        <w:rPr>
          <w:rFonts w:ascii="Arial" w:eastAsia="Arial"/>
          <w:color w:val="0000CB"/>
          <w:spacing w:val="-6"/>
        </w:rPr>
        <w:t>NPV</w:t>
      </w:r>
      <w:r>
        <w:rPr>
          <w:rFonts w:ascii="Arial" w:eastAsia="Arial"/>
          <w:color w:val="0000CB"/>
          <w:spacing w:val="54"/>
        </w:rPr>
        <w:t xml:space="preserve"> </w:t>
      </w:r>
      <w:r>
        <w:rPr>
          <w:color w:val="0000CB"/>
          <w:spacing w:val="-1"/>
        </w:rPr>
        <w:t>指的就是当把资金投入到某个项目时比把资金存</w:t>
      </w:r>
      <w:r>
        <w:rPr>
          <w:color w:val="0000CB"/>
          <w:spacing w:val="1"/>
        </w:rPr>
        <w:t xml:space="preserve">到银行里多赚的钱。在贴现率选取合理的前提下，若  </w:t>
      </w:r>
      <w:r>
        <w:rPr>
          <w:rFonts w:ascii="Arial" w:eastAsia="Arial"/>
          <w:color w:val="0000CB"/>
        </w:rPr>
        <w:t>NPV&lt;0</w:t>
      </w:r>
      <w:r>
        <w:rPr>
          <w:color w:val="0000CB"/>
          <w:spacing w:val="-1"/>
        </w:rPr>
        <w:t>，则项目一般予以拒绝。若是</w:t>
      </w:r>
    </w:p>
    <w:p>
      <w:pPr>
        <w:pStyle w:val="BodyText"/>
        <w:spacing w:line="392" w:lineRule="exact"/>
        <w:ind w:left="140"/>
        <w:jc w:val="both"/>
      </w:pPr>
      <w:r>
        <w:rPr>
          <w:color w:val="0000CB"/>
          <w:spacing w:val="-1"/>
        </w:rPr>
        <w:t>多方案比较时，</w:t>
      </w:r>
      <w:r>
        <w:rPr>
          <w:rFonts w:ascii="Arial" w:eastAsia="Arial"/>
          <w:color w:val="0000CB"/>
          <w:spacing w:val="-3"/>
        </w:rPr>
        <w:t>NPV</w:t>
      </w:r>
      <w:r>
        <w:rPr>
          <w:rFonts w:ascii="Arial" w:eastAsia="Arial"/>
          <w:color w:val="0000CB"/>
          <w:spacing w:val="12"/>
        </w:rPr>
        <w:t xml:space="preserve">  </w:t>
      </w:r>
      <w:r>
        <w:rPr>
          <w:color w:val="0000CB"/>
          <w:spacing w:val="-2"/>
        </w:rPr>
        <w:t>最大者为预选方案。</w:t>
      </w:r>
      <w:r>
        <w:rPr>
          <w:rFonts w:ascii="Arial" w:eastAsia="Arial"/>
          <w:color w:val="0000CB"/>
        </w:rPr>
        <w:t>NPV</w:t>
      </w:r>
      <w:r>
        <w:rPr>
          <w:rFonts w:ascii="Arial" w:eastAsia="Arial"/>
          <w:color w:val="0000CB"/>
          <w:spacing w:val="13"/>
        </w:rPr>
        <w:t xml:space="preserve">  </w:t>
      </w:r>
      <w:r>
        <w:rPr>
          <w:color w:val="0000CB"/>
        </w:rPr>
        <w:t>考虑了资金的时间价值，它通过贴现过程，</w:t>
      </w:r>
    </w:p>
    <w:p>
      <w:pPr>
        <w:spacing w:after="0" w:line="392" w:lineRule="exact"/>
        <w:jc w:val="both"/>
        <w:sectPr>
          <w:footerReference w:type="default" r:id="rId15"/>
          <w:type w:val="nextPage"/>
          <w:pgSz w:w="17860" w:h="25260"/>
          <w:pgMar w:top="1980" w:right="880" w:bottom="2320" w:left="2560" w:header="0" w:footer="2125"/>
          <w:pgNumType w:start="7"/>
          <w:cols w:space="708"/>
          <w:titlePg w:val="0"/>
        </w:sectPr>
      </w:pPr>
    </w:p>
    <w:p>
      <w:pPr>
        <w:pStyle w:val="BodyText"/>
        <w:spacing w:before="44"/>
        <w:ind w:left="140"/>
      </w:pPr>
      <w:r>
        <w:rPr>
          <w:color w:val="0000CB"/>
        </w:rPr>
        <w:t>把近期的现金流比长期的现金流赋予更多的权重。</w:t>
      </w:r>
      <w:r>
        <w:rPr>
          <w:rFonts w:ascii="Arial" w:eastAsia="Arial"/>
          <w:color w:val="0000CB"/>
        </w:rPr>
        <w:t xml:space="preserve">NPV </w:t>
      </w:r>
      <w:r>
        <w:rPr>
          <w:color w:val="0000CB"/>
        </w:rPr>
        <w:t>的计算公式如下：</w:t>
      </w:r>
    </w:p>
    <w:p>
      <w:pPr>
        <w:pStyle w:val="BodyText"/>
        <w:spacing w:before="11"/>
        <w:ind w:left="0"/>
        <w:rPr>
          <w:sz w:val="23"/>
        </w:rPr>
      </w:pPr>
    </w:p>
    <w:p>
      <w:pPr>
        <w:pStyle w:val="BodyText"/>
        <w:tabs>
          <w:tab w:val="left" w:pos="2217"/>
        </w:tabs>
        <w:rPr>
          <w:rFonts w:ascii="Arial" w:hAnsi="Arial"/>
        </w:rPr>
      </w:pPr>
      <w:r>
        <w:rPr>
          <w:rFonts w:ascii="Arial" w:hAnsi="Arial"/>
          <w:color w:val="0000CB"/>
        </w:rPr>
        <w:t>NPV=</w:t>
      </w:r>
      <w:r>
        <w:rPr>
          <w:rFonts w:ascii="Arial" w:hAnsi="Arial"/>
          <w:color w:val="0000CB"/>
          <w:spacing w:val="68"/>
        </w:rPr>
        <w:t xml:space="preserve"> </w:t>
      </w:r>
      <w:r>
        <w:rPr>
          <w:rFonts w:ascii="Arial" w:hAnsi="Arial"/>
          <w:color w:val="0000CB"/>
        </w:rPr>
        <w:t>Σ</w:t>
        <w:tab/>
        <w:t>[An</w:t>
      </w:r>
      <w:r>
        <w:rPr>
          <w:color w:val="0000CB"/>
        </w:rPr>
        <w:t>÷</w:t>
      </w:r>
      <w:r>
        <w:rPr>
          <w:rFonts w:ascii="Arial" w:hAnsi="Arial"/>
          <w:color w:val="0000CB"/>
        </w:rPr>
        <w:t>(1</w:t>
      </w:r>
      <w:r>
        <w:rPr>
          <w:rFonts w:ascii="Arial" w:hAnsi="Arial"/>
          <w:color w:val="0000CB"/>
          <w:spacing w:val="-7"/>
        </w:rPr>
        <w:t xml:space="preserve"> </w:t>
      </w:r>
      <w:r>
        <w:rPr>
          <w:rFonts w:ascii="Arial" w:hAnsi="Arial"/>
          <w:color w:val="0000CB"/>
        </w:rPr>
        <w:t>+Ic)n-1]</w:t>
      </w:r>
    </w:p>
    <w:p>
      <w:pPr>
        <w:pStyle w:val="BodyText"/>
        <w:spacing w:before="305"/>
      </w:pPr>
      <w:r>
        <w:rPr>
          <w:color w:val="0000CB"/>
        </w:rPr>
        <w:t>其中，</w:t>
      </w:r>
      <w:r>
        <w:rPr>
          <w:rFonts w:ascii="Arial" w:eastAsia="Arial"/>
          <w:color w:val="0000CB"/>
        </w:rPr>
        <w:t xml:space="preserve">Ic </w:t>
      </w:r>
      <w:r>
        <w:rPr>
          <w:color w:val="0000CB"/>
        </w:rPr>
        <w:t>为贴现率，</w:t>
      </w:r>
      <w:r>
        <w:rPr>
          <w:rFonts w:ascii="Arial" w:eastAsia="Arial"/>
          <w:color w:val="0000CB"/>
        </w:rPr>
        <w:t xml:space="preserve">An </w:t>
      </w:r>
      <w:r>
        <w:rPr>
          <w:color w:val="0000CB"/>
        </w:rPr>
        <w:t>为第</w:t>
      </w:r>
      <w:r>
        <w:rPr>
          <w:rFonts w:ascii="Arial" w:eastAsia="Arial"/>
          <w:color w:val="0000CB"/>
        </w:rPr>
        <w:t xml:space="preserve">n </w:t>
      </w:r>
      <w:r>
        <w:rPr>
          <w:color w:val="0000CB"/>
        </w:rPr>
        <w:t>年的净现金流量。</w:t>
      </w:r>
    </w:p>
    <w:p>
      <w:pPr>
        <w:pStyle w:val="BodyText"/>
        <w:spacing w:before="305" w:line="424" w:lineRule="auto"/>
        <w:ind w:left="140" w:right="1804" w:firstLine="637"/>
      </w:pPr>
      <w:r>
        <w:rPr>
          <w:color w:val="0000CB"/>
        </w:rPr>
        <w:t>动态投资回收期是指投资引起的现金流入现值累计到与投资额相等所需要的时间</w:t>
      </w:r>
      <w:r>
        <w:rPr>
          <w:color w:val="0000CB"/>
          <w:spacing w:val="-74"/>
        </w:rPr>
        <w:t>，计算</w:t>
      </w:r>
      <w:r>
        <w:rPr>
          <w:color w:val="0000CB"/>
        </w:rPr>
        <w:t>方法为：</w:t>
      </w:r>
    </w:p>
    <w:p>
      <w:pPr>
        <w:pStyle w:val="BodyText"/>
        <w:spacing w:line="424" w:lineRule="auto"/>
        <w:ind w:left="140" w:right="1787" w:firstLine="637"/>
        <w:rPr>
          <w:rFonts w:ascii="Arial" w:eastAsia="Arial" w:hAnsi="Arial"/>
        </w:rPr>
      </w:pPr>
      <w:r>
        <w:rPr>
          <w:color w:val="0000CB"/>
        </w:rPr>
        <w:t>动态投资回收期</w:t>
      </w:r>
      <w:r>
        <w:rPr>
          <w:rFonts w:ascii="Arial" w:eastAsia="Arial" w:hAnsi="Arial"/>
          <w:color w:val="0000CB"/>
        </w:rPr>
        <w:t>=(</w:t>
      </w:r>
      <w:r>
        <w:rPr>
          <w:color w:val="0000CB"/>
        </w:rPr>
        <w:t xml:space="preserve">累计净现值开始出现正值年份数一 </w:t>
      </w:r>
      <w:r>
        <w:rPr>
          <w:rFonts w:ascii="Arial" w:eastAsia="Arial" w:hAnsi="Arial"/>
          <w:color w:val="0000CB"/>
        </w:rPr>
        <w:t>1)</w:t>
      </w:r>
      <w:r>
        <w:rPr>
          <w:color w:val="0000CB"/>
        </w:rPr>
        <w:t>＋</w:t>
      </w:r>
      <w:r>
        <w:rPr>
          <w:rFonts w:ascii="Arial" w:eastAsia="Arial" w:hAnsi="Arial"/>
          <w:color w:val="0000CB"/>
        </w:rPr>
        <w:t>(</w:t>
      </w:r>
      <w:r>
        <w:rPr>
          <w:color w:val="0000CB"/>
        </w:rPr>
        <w:t>上年累计净现值的绝对值÷ 当年净现值</w:t>
      </w:r>
      <w:r>
        <w:rPr>
          <w:rFonts w:ascii="Arial" w:eastAsia="Arial" w:hAnsi="Arial"/>
          <w:color w:val="0000CB"/>
        </w:rPr>
        <w:t>)</w:t>
      </w:r>
    </w:p>
    <w:p>
      <w:pPr>
        <w:pStyle w:val="BodyText"/>
        <w:spacing w:line="424" w:lineRule="auto"/>
        <w:ind w:left="140" w:right="1806" w:firstLine="637"/>
        <w:jc w:val="both"/>
      </w:pPr>
      <w:r>
        <w:rPr>
          <w:color w:val="0000CB"/>
          <w:spacing w:val="-1"/>
        </w:rPr>
        <w:t>内部收益率</w:t>
      </w:r>
      <w:r>
        <w:rPr>
          <w:rFonts w:ascii="Arial" w:eastAsia="Arial"/>
          <w:color w:val="0000CB"/>
        </w:rPr>
        <w:t>(IIT, Internal Rate of Return)</w:t>
      </w:r>
      <w:r>
        <w:rPr>
          <w:rFonts w:ascii="Arial" w:eastAsia="Arial"/>
          <w:color w:val="0000CB"/>
          <w:spacing w:val="-51"/>
        </w:rPr>
        <w:t xml:space="preserve"> </w:t>
      </w:r>
      <w:r>
        <w:rPr>
          <w:color w:val="0000CB"/>
          <w:spacing w:val="-2"/>
        </w:rPr>
        <w:t>是指能够使项目在其整个生命周期</w:t>
      </w:r>
      <w:r>
        <w:rPr>
          <w:rFonts w:ascii="Arial" w:eastAsia="Arial"/>
          <w:color w:val="0000CB"/>
          <w:spacing w:val="-5"/>
        </w:rPr>
        <w:t>(</w:t>
      </w:r>
      <w:r>
        <w:rPr>
          <w:color w:val="0000CB"/>
          <w:spacing w:val="-1"/>
        </w:rPr>
        <w:t>或计算期</w:t>
      </w:r>
      <w:r>
        <w:rPr>
          <w:rFonts w:ascii="Arial" w:eastAsia="Arial"/>
          <w:color w:val="0000CB"/>
        </w:rPr>
        <w:t>)</w:t>
      </w:r>
      <w:r>
        <w:rPr>
          <w:color w:val="0000CB"/>
          <w:spacing w:val="-12"/>
        </w:rPr>
        <w:t>内</w:t>
      </w:r>
      <w:r>
        <w:rPr>
          <w:color w:val="0000CB"/>
          <w:spacing w:val="-11"/>
        </w:rPr>
        <w:t>资金流入量现值等于其资金流出量现值的贴现率，或者是说使项目净现值为零的贴现率。</w:t>
      </w:r>
      <w:r>
        <w:rPr>
          <w:rFonts w:ascii="Arial" w:eastAsia="Arial"/>
          <w:color w:val="0000CB"/>
          <w:spacing w:val="-6"/>
        </w:rPr>
        <w:t xml:space="preserve">IIT </w:t>
      </w:r>
      <w:r>
        <w:rPr>
          <w:color w:val="0000CB"/>
          <w:w w:val="105"/>
        </w:rPr>
        <w:t>实际上就是考虑了资金时间价值的投资收益率。</w:t>
      </w:r>
    </w:p>
    <w:p>
      <w:pPr>
        <w:pStyle w:val="BodyText"/>
        <w:spacing w:line="424" w:lineRule="auto"/>
        <w:ind w:left="140" w:right="1601" w:firstLine="637"/>
      </w:pPr>
      <w:r>
        <w:rPr>
          <w:color w:val="0000CB"/>
        </w:rPr>
        <w:t>计算其静态投资回收期、投资利润率和动态投资回收期，需要先做出该项目的损益表、现金流量表和净现值表。</w:t>
      </w:r>
    </w:p>
    <w:p>
      <w:pPr>
        <w:pStyle w:val="BodyText"/>
        <w:spacing w:line="424" w:lineRule="auto"/>
        <w:ind w:right="8572"/>
        <w:rPr>
          <w:rFonts w:ascii="Arial" w:eastAsia="Arial"/>
        </w:rPr>
      </w:pPr>
      <w:r>
        <w:rPr>
          <w:color w:val="0000CB"/>
        </w:rPr>
        <w:t>本案例中，根据已知条件可计算出： 静态投资回收期</w:t>
      </w:r>
      <w:r>
        <w:rPr>
          <w:rFonts w:ascii="Arial" w:eastAsia="Arial"/>
          <w:color w:val="0000CB"/>
        </w:rPr>
        <w:t>=4.33(</w:t>
      </w:r>
      <w:r>
        <w:rPr>
          <w:color w:val="0000CB"/>
        </w:rPr>
        <w:t>年</w:t>
      </w:r>
      <w:r>
        <w:rPr>
          <w:rFonts w:ascii="Arial" w:eastAsia="Arial"/>
          <w:color w:val="0000CB"/>
        </w:rPr>
        <w:t>)</w:t>
      </w:r>
    </w:p>
    <w:p>
      <w:pPr>
        <w:pStyle w:val="BodyText"/>
        <w:spacing w:line="424" w:lineRule="auto"/>
        <w:ind w:right="11116"/>
        <w:rPr>
          <w:rFonts w:ascii="Arial" w:eastAsia="Arial"/>
        </w:rPr>
      </w:pPr>
      <w:r>
        <w:rPr>
          <w:color w:val="0000CB"/>
        </w:rPr>
        <w:t>投资利润率＝</w:t>
      </w:r>
      <w:r>
        <w:rPr>
          <w:rFonts w:ascii="Arial" w:eastAsia="Arial"/>
          <w:color w:val="0000CB"/>
        </w:rPr>
        <w:t>27</w:t>
      </w:r>
      <w:r>
        <w:rPr>
          <w:color w:val="0000CB"/>
        </w:rPr>
        <w:t xml:space="preserve">％ </w:t>
      </w:r>
      <w:r>
        <w:rPr>
          <w:color w:val="0000CB"/>
          <w:w w:val="95"/>
        </w:rPr>
        <w:t>净现值</w:t>
      </w:r>
      <w:r>
        <w:rPr>
          <w:rFonts w:ascii="Arial" w:eastAsia="Arial"/>
          <w:color w:val="0000CB"/>
          <w:w w:val="95"/>
        </w:rPr>
        <w:t>=3.41(</w:t>
      </w:r>
      <w:r>
        <w:rPr>
          <w:color w:val="0000CB"/>
          <w:w w:val="95"/>
        </w:rPr>
        <w:t>万元</w:t>
      </w:r>
      <w:r>
        <w:rPr>
          <w:rFonts w:ascii="Arial" w:eastAsia="Arial"/>
          <w:color w:val="0000CB"/>
          <w:w w:val="95"/>
        </w:rPr>
        <w:t>)</w:t>
      </w:r>
    </w:p>
    <w:p>
      <w:pPr>
        <w:pStyle w:val="BodyText"/>
        <w:spacing w:line="396" w:lineRule="exact"/>
        <w:rPr>
          <w:rFonts w:ascii="Arial" w:eastAsia="Arial"/>
        </w:rPr>
      </w:pPr>
      <w:r>
        <w:rPr>
          <w:color w:val="0000CB"/>
        </w:rPr>
        <w:t>动态投资回收期＝</w:t>
      </w:r>
      <w:r>
        <w:rPr>
          <w:rFonts w:ascii="Arial" w:eastAsia="Arial"/>
          <w:color w:val="0000CB"/>
        </w:rPr>
        <w:t>5.78(</w:t>
      </w:r>
      <w:r>
        <w:rPr>
          <w:color w:val="0000CB"/>
        </w:rPr>
        <w:t>年</w:t>
      </w:r>
      <w:r>
        <w:rPr>
          <w:rFonts w:ascii="Arial" w:eastAsia="Arial"/>
          <w:color w:val="0000CB"/>
        </w:rPr>
        <w:t>)</w:t>
      </w:r>
    </w:p>
    <w:p>
      <w:pPr>
        <w:pStyle w:val="BodyText"/>
        <w:spacing w:before="294"/>
        <w:rPr>
          <w:rFonts w:ascii="Arial" w:eastAsia="Arial"/>
        </w:rPr>
      </w:pPr>
      <w:r>
        <w:rPr>
          <w:rFonts w:ascii="Arial" w:eastAsia="Arial"/>
          <w:color w:val="0000CB"/>
        </w:rPr>
        <w:t>(</w:t>
      </w:r>
      <w:r>
        <w:rPr>
          <w:color w:val="0000CB"/>
        </w:rPr>
        <w:t>具体计算过程请看参考答案。</w:t>
      </w:r>
      <w:r>
        <w:rPr>
          <w:rFonts w:ascii="Arial" w:eastAsia="Arial"/>
          <w:color w:val="0000CB"/>
        </w:rPr>
        <w:t>)</w:t>
      </w:r>
    </w:p>
    <w:p>
      <w:pPr>
        <w:pStyle w:val="BodyText"/>
        <w:spacing w:before="305"/>
      </w:pPr>
      <w:r>
        <w:rPr>
          <w:color w:val="0000CB"/>
        </w:rPr>
        <w:t xml:space="preserve">【问题 </w:t>
      </w:r>
      <w:r>
        <w:rPr>
          <w:rFonts w:ascii="Arial" w:eastAsia="Arial"/>
          <w:color w:val="0000CB"/>
        </w:rPr>
        <w:t>2</w:t>
      </w:r>
      <w:r>
        <w:rPr>
          <w:color w:val="0000CB"/>
        </w:rPr>
        <w:t>】</w:t>
      </w:r>
    </w:p>
    <w:p>
      <w:pPr>
        <w:pStyle w:val="BodyText"/>
        <w:spacing w:before="305"/>
      </w:pPr>
      <w:r>
        <w:rPr>
          <w:color w:val="0000CB"/>
        </w:rPr>
        <w:t>计算内部收益率，实际上就是解下面一个高次方程：</w:t>
      </w:r>
    </w:p>
    <w:p>
      <w:pPr>
        <w:pStyle w:val="BodyText"/>
        <w:spacing w:before="10"/>
        <w:ind w:left="0"/>
        <w:rPr>
          <w:sz w:val="23"/>
        </w:rPr>
      </w:pPr>
    </w:p>
    <w:p>
      <w:pPr>
        <w:pStyle w:val="BodyText"/>
        <w:rPr>
          <w:rFonts w:ascii="Arial" w:hAnsi="Arial"/>
        </w:rPr>
      </w:pPr>
      <w:r>
        <w:rPr>
          <w:rFonts w:ascii="Arial" w:hAnsi="Arial"/>
          <w:color w:val="0000CB"/>
        </w:rPr>
        <w:t>Σ [An</w:t>
      </w:r>
      <w:r>
        <w:rPr>
          <w:color w:val="0000CB"/>
        </w:rPr>
        <w:t>÷</w:t>
      </w:r>
      <w:r>
        <w:rPr>
          <w:rFonts w:ascii="Arial" w:hAnsi="Arial"/>
          <w:color w:val="0000CB"/>
        </w:rPr>
        <w:t>(1+IRR)n-1]=0</w:t>
      </w:r>
    </w:p>
    <w:p>
      <w:pPr>
        <w:pStyle w:val="BodyText"/>
        <w:spacing w:before="305" w:line="424" w:lineRule="auto"/>
        <w:ind w:left="140" w:right="1794" w:firstLine="637"/>
        <w:jc w:val="both"/>
      </w:pPr>
      <w:r>
        <w:rPr>
          <w:color w:val="0000CB"/>
          <w:w w:val="102"/>
        </w:rPr>
        <w:t>显然，直接求解是非常困难的。通常采用“逐步测试法</w:t>
      </w:r>
      <w:r>
        <w:rPr>
          <w:color w:val="0000CB"/>
          <w:spacing w:val="-18"/>
          <w:w w:val="102"/>
        </w:rPr>
        <w:t>”，首先估计一个贴现率，用它</w:t>
      </w:r>
      <w:r>
        <w:rPr>
          <w:color w:val="0000CB"/>
          <w:spacing w:val="-12"/>
        </w:rPr>
        <w:t>来计算方案的净现值；结果净现值为正数，说明方案本身的报酬率超过估计的贴现率，应提</w:t>
      </w:r>
      <w:r>
        <w:rPr>
          <w:color w:val="0000CB"/>
          <w:spacing w:val="-19"/>
        </w:rPr>
        <w:t>高贴现率后进一步测试；如果净现值为负数，说明方案本身的报酬率低于估计的贴现率，应降低贴现率后进一步测试，寻找出使净现值接近于零的贴现率，即为项目的内部收益率。</w:t>
      </w:r>
    </w:p>
    <w:p>
      <w:pPr>
        <w:pStyle w:val="BodyText"/>
        <w:spacing w:line="424" w:lineRule="auto"/>
        <w:ind w:left="140" w:right="1799" w:firstLine="637"/>
        <w:jc w:val="both"/>
      </w:pPr>
      <w:r>
        <w:rPr>
          <w:color w:val="0000CB"/>
          <w:spacing w:val="-8"/>
        </w:rPr>
        <w:t xml:space="preserve">在本案例中：用 </w:t>
      </w:r>
      <w:r>
        <w:rPr>
          <w:rFonts w:ascii="Arial" w:eastAsia="Arial"/>
          <w:color w:val="0000CB"/>
        </w:rPr>
        <w:t>10</w:t>
      </w:r>
      <w:r>
        <w:rPr>
          <w:color w:val="0000CB"/>
          <w:spacing w:val="-6"/>
        </w:rPr>
        <w:t xml:space="preserve">％的贴现率计算，净现值为 </w:t>
      </w:r>
      <w:r>
        <w:rPr>
          <w:rFonts w:ascii="Arial" w:eastAsia="Arial"/>
          <w:color w:val="0000CB"/>
        </w:rPr>
        <w:t xml:space="preserve">3.41 </w:t>
      </w:r>
      <w:r>
        <w:rPr>
          <w:color w:val="0000CB"/>
          <w:spacing w:val="-12"/>
        </w:rPr>
        <w:t xml:space="preserve">万元；用 </w:t>
      </w:r>
      <w:r>
        <w:rPr>
          <w:rFonts w:ascii="Arial" w:eastAsia="Arial"/>
          <w:color w:val="0000CB"/>
          <w:spacing w:val="-6"/>
        </w:rPr>
        <w:t>11%</w:t>
      </w:r>
      <w:r>
        <w:rPr>
          <w:color w:val="0000CB"/>
          <w:spacing w:val="-2"/>
        </w:rPr>
        <w:t>的贴现率计算，净现</w:t>
      </w:r>
      <w:r>
        <w:rPr>
          <w:color w:val="0000CB"/>
          <w:spacing w:val="-26"/>
        </w:rPr>
        <w:t xml:space="preserve">值为 </w:t>
      </w:r>
      <w:r>
        <w:rPr>
          <w:rFonts w:ascii="Arial" w:eastAsia="Arial"/>
          <w:color w:val="0000CB"/>
        </w:rPr>
        <w:t xml:space="preserve">1.18 </w:t>
      </w:r>
      <w:r>
        <w:rPr>
          <w:color w:val="0000CB"/>
        </w:rPr>
        <w:t>万元。本项目的内部收益率为：</w:t>
      </w:r>
    </w:p>
    <w:p>
      <w:pPr>
        <w:pStyle w:val="BodyText"/>
        <w:spacing w:line="395" w:lineRule="exact"/>
        <w:rPr>
          <w:rFonts w:ascii="Arial" w:eastAsia="Arial" w:hAnsi="Arial"/>
        </w:rPr>
      </w:pPr>
      <w:r>
        <w:rPr>
          <w:rFonts w:ascii="Arial" w:eastAsia="Arial" w:hAnsi="Arial"/>
          <w:color w:val="0000CB"/>
        </w:rPr>
        <w:t>10%+[3.41</w:t>
      </w:r>
      <w:r>
        <w:rPr>
          <w:color w:val="0000CB"/>
        </w:rPr>
        <w:t>÷</w:t>
      </w:r>
      <w:r>
        <w:rPr>
          <w:rFonts w:ascii="Arial" w:eastAsia="Arial" w:hAnsi="Arial"/>
          <w:color w:val="0000CB"/>
        </w:rPr>
        <w:t>(3.41</w:t>
      </w:r>
      <w:r>
        <w:rPr>
          <w:color w:val="0000CB"/>
        </w:rPr>
        <w:t>＋</w:t>
      </w:r>
      <w:r>
        <w:rPr>
          <w:rFonts w:ascii="Arial" w:eastAsia="Arial" w:hAnsi="Arial"/>
          <w:color w:val="0000CB"/>
        </w:rPr>
        <w:t>1 .18)]</w:t>
      </w:r>
      <w:r>
        <w:rPr>
          <w:color w:val="0000CB"/>
        </w:rPr>
        <w:t>＝</w:t>
      </w:r>
      <w:r>
        <w:rPr>
          <w:rFonts w:ascii="Arial" w:eastAsia="Arial" w:hAnsi="Arial"/>
          <w:color w:val="0000CB"/>
        </w:rPr>
        <w:t>10.74%</w:t>
      </w:r>
    </w:p>
    <w:p>
      <w:pPr>
        <w:pStyle w:val="BodyText"/>
        <w:spacing w:before="301"/>
        <w:sectPr>
          <w:footerReference w:type="default" r:id="rId16"/>
          <w:pgSz w:w="17860" w:h="25260"/>
          <w:pgMar w:top="1980" w:right="880" w:bottom="2320" w:left="2560" w:header="0" w:footer="2125"/>
          <w:pgNumType w:start="8"/>
          <w:cols w:space="708"/>
        </w:sectPr>
      </w:pPr>
      <w:r>
        <w:rPr>
          <w:color w:val="0000CB"/>
        </w:rPr>
        <w:t xml:space="preserve">【问题 </w:t>
      </w:r>
      <w:r>
        <w:rPr>
          <w:rFonts w:ascii="Arial" w:eastAsia="Arial"/>
          <w:color w:val="0000CB"/>
        </w:rPr>
        <w:t>3</w:t>
      </w:r>
      <w:r>
        <w:rPr>
          <w:color w:val="0000CB"/>
        </w:rPr>
        <w:t>】</w:t>
      </w:r>
    </w:p>
    <w:p>
      <w:pPr>
        <w:pStyle w:val="BodyText"/>
        <w:spacing w:before="305"/>
      </w:pPr>
      <w:r>
        <w:rPr>
          <w:color w:val="0000CB"/>
        </w:rPr>
        <w:t>判断一个项目是否有投资价值，主要看项目净现值、动态投资回收期和内部收益率等投</w:t>
      </w:r>
    </w:p>
    <w:p>
      <w:pPr>
        <w:spacing w:after="0"/>
        <w:sectPr>
          <w:footerReference w:type="default" r:id="rId17"/>
          <w:type w:val="nextPage"/>
          <w:pgSz w:w="17860" w:h="25260"/>
          <w:pgMar w:top="1980" w:right="880" w:bottom="2320" w:left="2560" w:header="0" w:footer="2125"/>
          <w:pgNumType w:start="9"/>
          <w:cols w:space="708"/>
          <w:titlePg w:val="0"/>
        </w:sectPr>
      </w:pPr>
    </w:p>
    <w:p>
      <w:pPr>
        <w:pStyle w:val="BodyText"/>
        <w:spacing w:before="44"/>
        <w:ind w:left="140"/>
      </w:pPr>
      <w:r>
        <w:rPr>
          <w:color w:val="0000CB"/>
        </w:rPr>
        <w:t>资收益分析的动态评价指标是否优于同类产品或其他投资方案。</w:t>
      </w:r>
    </w:p>
    <w:p>
      <w:pPr>
        <w:pStyle w:val="BodyText"/>
        <w:spacing w:before="11"/>
        <w:ind w:left="0"/>
        <w:rPr>
          <w:sz w:val="23"/>
        </w:rPr>
      </w:pPr>
    </w:p>
    <w:p>
      <w:pPr>
        <w:pStyle w:val="BodyText"/>
      </w:pPr>
      <w:r>
        <w:rPr>
          <w:color w:val="0000CB"/>
          <w:spacing w:val="-1"/>
        </w:rPr>
        <w:t xml:space="preserve">本案例中，该项目净现值 </w:t>
      </w:r>
      <w:r>
        <w:rPr>
          <w:rFonts w:ascii="Arial" w:eastAsia="Arial"/>
          <w:color w:val="0000CB"/>
        </w:rPr>
        <w:t>3.41</w:t>
      </w:r>
      <w:r>
        <w:rPr>
          <w:rFonts w:ascii="Arial" w:eastAsia="Arial"/>
          <w:color w:val="0000CB"/>
          <w:spacing w:val="79"/>
        </w:rPr>
        <w:t xml:space="preserve"> </w:t>
      </w:r>
      <w:r>
        <w:rPr>
          <w:color w:val="0000CB"/>
          <w:spacing w:val="-1"/>
        </w:rPr>
        <w:t xml:space="preserve">万元偏低，动态投资回收期 </w:t>
      </w:r>
      <w:r>
        <w:rPr>
          <w:rFonts w:ascii="Arial" w:eastAsia="Arial"/>
          <w:color w:val="0000CB"/>
        </w:rPr>
        <w:t>5.78</w:t>
      </w:r>
      <w:r>
        <w:rPr>
          <w:rFonts w:ascii="Arial" w:eastAsia="Arial"/>
          <w:color w:val="0000CB"/>
          <w:spacing w:val="76"/>
        </w:rPr>
        <w:t xml:space="preserve"> </w:t>
      </w:r>
      <w:r>
        <w:rPr>
          <w:color w:val="0000CB"/>
        </w:rPr>
        <w:t>年偏长，内部收益率</w:t>
      </w:r>
    </w:p>
    <w:p>
      <w:pPr>
        <w:pStyle w:val="BodyText"/>
        <w:spacing w:before="305" w:line="424" w:lineRule="auto"/>
        <w:ind w:right="2723" w:hanging="637"/>
      </w:pPr>
      <w:r>
        <w:rPr>
          <w:rFonts w:ascii="Arial" w:eastAsia="Arial"/>
          <w:color w:val="0000CB"/>
        </w:rPr>
        <w:t>10.74%</w:t>
      </w:r>
      <w:r>
        <w:rPr>
          <w:color w:val="0000CB"/>
        </w:rPr>
        <w:t>也偏低。与同类</w:t>
      </w:r>
      <w:r>
        <w:rPr>
          <w:rFonts w:ascii="Arial" w:eastAsia="Arial"/>
          <w:color w:val="0000CB"/>
        </w:rPr>
        <w:t xml:space="preserve">IT </w:t>
      </w:r>
      <w:r>
        <w:rPr>
          <w:color w:val="0000CB"/>
        </w:rPr>
        <w:t>产品相比，投资收益分析的三项动态评价指标均不理想。基本可判定该项目无太大投资价值。</w:t>
      </w:r>
    </w:p>
    <w:p>
      <w:pPr>
        <w:pStyle w:val="BodyText"/>
        <w:spacing w:line="395" w:lineRule="exact"/>
      </w:pPr>
      <w:r>
        <w:rPr>
          <w:color w:val="0000CB"/>
        </w:rPr>
        <w:t>参考答案</w:t>
      </w:r>
    </w:p>
    <w:p>
      <w:pPr>
        <w:pStyle w:val="BodyText"/>
        <w:spacing w:before="10"/>
        <w:ind w:left="0"/>
        <w:rPr>
          <w:sz w:val="23"/>
        </w:rPr>
      </w:pPr>
    </w:p>
    <w:p>
      <w:pPr>
        <w:pStyle w:val="BodyText"/>
      </w:pPr>
      <w:r>
        <w:rPr>
          <w:color w:val="0000CB"/>
        </w:rPr>
        <w:t xml:space="preserve">【问题 </w:t>
      </w:r>
      <w:r>
        <w:rPr>
          <w:rFonts w:ascii="Arial" w:eastAsia="Arial"/>
          <w:color w:val="0000CB"/>
        </w:rPr>
        <w:t>1</w:t>
      </w:r>
      <w:r>
        <w:rPr>
          <w:color w:val="0000CB"/>
        </w:rPr>
        <w:t>】</w:t>
      </w:r>
    </w:p>
    <w:p>
      <w:pPr>
        <w:pStyle w:val="BodyText"/>
        <w:spacing w:before="305" w:line="424" w:lineRule="auto"/>
        <w:ind w:right="2182"/>
      </w:pPr>
      <w:r>
        <w:drawing>
          <wp:anchor distT="0" distB="0" distL="0" distR="0" simplePos="0" relativeHeight="251663360" behindDoc="1" locked="0" layoutInCell="1" allowOverlap="1">
            <wp:simplePos x="0" y="0"/>
            <wp:positionH relativeFrom="page">
              <wp:posOffset>5629275</wp:posOffset>
            </wp:positionH>
            <wp:positionV relativeFrom="paragraph">
              <wp:posOffset>895271</wp:posOffset>
            </wp:positionV>
            <wp:extent cx="5076825" cy="4151073"/>
            <wp:effectExtent l="0" t="0" r="0" b="0"/>
            <wp:wrapNone/>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jpeg"/>
                    <pic:cNvPicPr/>
                  </pic:nvPicPr>
                  <pic:blipFill>
                    <a:blip xmlns:r="http://schemas.openxmlformats.org/officeDocument/2006/relationships" r:embed="rId18" cstate="print"/>
                    <a:stretch>
                      <a:fillRect/>
                    </a:stretch>
                  </pic:blipFill>
                  <pic:spPr>
                    <a:xfrm>
                      <a:off x="0" y="0"/>
                      <a:ext cx="5076825" cy="4151073"/>
                    </a:xfrm>
                    <a:prstGeom prst="rect">
                      <a:avLst/>
                    </a:prstGeom>
                  </pic:spPr>
                </pic:pic>
              </a:graphicData>
            </a:graphic>
          </wp:anchor>
        </w:drawing>
      </w:r>
      <w:r>
        <w:rPr>
          <w:color w:val="0000CB"/>
        </w:rPr>
        <w:t>首先根据已知条件做出该项目的损益表、现金流量表和净现值表，如表</w:t>
      </w:r>
      <w:r>
        <w:rPr>
          <w:rFonts w:ascii="Arial" w:eastAsia="Arial"/>
          <w:color w:val="0000CB"/>
        </w:rPr>
        <w:t>10-1</w:t>
      </w:r>
      <w:r>
        <w:rPr>
          <w:rFonts w:ascii="Arial" w:eastAsia="Arial"/>
          <w:color w:val="0000CB"/>
          <w:spacing w:val="53"/>
        </w:rPr>
        <w:t xml:space="preserve"> </w:t>
      </w:r>
      <w:r>
        <w:rPr>
          <w:color w:val="0000CB"/>
          <w:spacing w:val="-6"/>
        </w:rPr>
        <w:t>所示。</w:t>
      </w:r>
      <w:r>
        <w:rPr>
          <w:color w:val="0000CB"/>
        </w:rPr>
        <w:t>然后计算其静态投资回收期、投资利润率和动态投资回收期。</w:t>
      </w:r>
    </w:p>
    <w:p>
      <w:pPr>
        <w:pStyle w:val="BodyText"/>
        <w:spacing w:line="424" w:lineRule="auto"/>
        <w:ind w:left="140" w:right="8411" w:firstLine="637"/>
        <w:jc w:val="both"/>
        <w:rPr>
          <w:rFonts w:ascii="Arial" w:eastAsia="Arial" w:hAnsi="Arial"/>
        </w:rPr>
      </w:pPr>
      <w:r>
        <w:rPr>
          <w:color w:val="0000CB"/>
        </w:rPr>
        <w:t>静态投资回收期＝</w:t>
      </w:r>
      <w:r>
        <w:rPr>
          <w:rFonts w:ascii="Arial" w:eastAsia="Arial" w:hAnsi="Arial"/>
          <w:color w:val="0000CB"/>
        </w:rPr>
        <w:t>(</w:t>
      </w:r>
      <w:r>
        <w:rPr>
          <w:color w:val="0000CB"/>
        </w:rPr>
        <w:t xml:space="preserve">累计净现金流量开始出现正值年份数一 </w:t>
      </w:r>
      <w:r>
        <w:rPr>
          <w:rFonts w:ascii="Arial" w:eastAsia="Arial" w:hAnsi="Arial"/>
          <w:color w:val="0000CB"/>
        </w:rPr>
        <w:t>1)</w:t>
      </w:r>
      <w:r>
        <w:rPr>
          <w:color w:val="0000CB"/>
        </w:rPr>
        <w:t>＋</w:t>
      </w:r>
      <w:r>
        <w:rPr>
          <w:rFonts w:ascii="Arial" w:eastAsia="Arial" w:hAnsi="Arial"/>
          <w:color w:val="0000CB"/>
        </w:rPr>
        <w:t>(</w:t>
      </w:r>
      <w:r>
        <w:rPr>
          <w:color w:val="0000CB"/>
        </w:rPr>
        <w:t xml:space="preserve">上年累计净现金流量的绝对值 </w:t>
      </w:r>
      <w:r>
        <w:rPr>
          <w:rFonts w:ascii="Arial" w:eastAsia="Arial" w:hAnsi="Arial"/>
          <w:color w:val="0000CB"/>
        </w:rPr>
        <w:t>=</w:t>
      </w:r>
      <w:r>
        <w:rPr>
          <w:color w:val="0000CB"/>
        </w:rPr>
        <w:t xml:space="preserve">当年净现金流量 </w:t>
      </w:r>
      <w:r>
        <w:rPr>
          <w:rFonts w:ascii="Arial" w:eastAsia="Arial" w:hAnsi="Arial"/>
          <w:color w:val="0000CB"/>
        </w:rPr>
        <w:t>)=4+17</w:t>
      </w:r>
      <w:r>
        <w:rPr>
          <w:color w:val="0000CB"/>
        </w:rPr>
        <w:t xml:space="preserve">÷ </w:t>
      </w:r>
      <w:r>
        <w:rPr>
          <w:rFonts w:ascii="Arial" w:eastAsia="Arial" w:hAnsi="Arial"/>
          <w:color w:val="0000CB"/>
        </w:rPr>
        <w:t>51=4.33(</w:t>
      </w:r>
      <w:r>
        <w:rPr>
          <w:color w:val="0000CB"/>
        </w:rPr>
        <w:t>年</w:t>
      </w:r>
      <w:r>
        <w:rPr>
          <w:rFonts w:ascii="Arial" w:eastAsia="Arial" w:hAnsi="Arial"/>
          <w:color w:val="0000CB"/>
        </w:rPr>
        <w:t>)</w:t>
      </w:r>
    </w:p>
    <w:p>
      <w:pPr>
        <w:pStyle w:val="BodyText"/>
        <w:spacing w:line="424" w:lineRule="auto"/>
        <w:ind w:left="140" w:right="8572" w:firstLine="637"/>
        <w:rPr>
          <w:rFonts w:ascii="Arial" w:eastAsia="Arial" w:hAnsi="Arial"/>
        </w:rPr>
      </w:pPr>
      <w:r>
        <w:rPr>
          <w:color w:val="0000CB"/>
        </w:rPr>
        <w:t>投资利润率</w:t>
      </w:r>
      <w:r>
        <w:rPr>
          <w:rFonts w:ascii="Arial" w:eastAsia="Arial" w:hAnsi="Arial"/>
          <w:color w:val="0000CB"/>
        </w:rPr>
        <w:t>=</w:t>
      </w:r>
      <w:r>
        <w:rPr>
          <w:color w:val="0000CB"/>
        </w:rPr>
        <w:t>年均净利润÷投资总额</w:t>
      </w:r>
      <w:r>
        <w:rPr>
          <w:rFonts w:ascii="Arial" w:eastAsia="Arial" w:hAnsi="Arial"/>
          <w:color w:val="0000CB"/>
        </w:rPr>
        <w:t>= 45.9</w:t>
      </w:r>
      <w:r>
        <w:rPr>
          <w:color w:val="0000CB"/>
        </w:rPr>
        <w:t>÷</w:t>
      </w:r>
      <w:r>
        <w:rPr>
          <w:rFonts w:ascii="Arial" w:eastAsia="Arial" w:hAnsi="Arial"/>
          <w:color w:val="0000CB"/>
        </w:rPr>
        <w:t>170=27%</w:t>
      </w:r>
    </w:p>
    <w:p>
      <w:pPr>
        <w:pStyle w:val="BodyText"/>
        <w:spacing w:line="424" w:lineRule="auto"/>
        <w:ind w:left="140" w:right="8408" w:firstLine="637"/>
        <w:jc w:val="both"/>
        <w:rPr>
          <w:rFonts w:ascii="Arial" w:eastAsia="Arial" w:hAnsi="Arial"/>
        </w:rPr>
      </w:pPr>
      <w:r>
        <w:rPr>
          <w:color w:val="0000CB"/>
        </w:rPr>
        <w:t xml:space="preserve">动态投资回收期 </w:t>
      </w:r>
      <w:r>
        <w:rPr>
          <w:rFonts w:ascii="Arial" w:eastAsia="Arial" w:hAnsi="Arial"/>
          <w:color w:val="0000CB"/>
        </w:rPr>
        <w:t>=(</w:t>
      </w:r>
      <w:r>
        <w:rPr>
          <w:color w:val="0000CB"/>
        </w:rPr>
        <w:t xml:space="preserve">累计净现值开始出现正值年份数一 </w:t>
      </w:r>
      <w:r>
        <w:rPr>
          <w:rFonts w:ascii="Arial" w:eastAsia="Arial" w:hAnsi="Arial"/>
          <w:color w:val="0000CB"/>
        </w:rPr>
        <w:t>1)</w:t>
      </w:r>
      <w:r>
        <w:rPr>
          <w:color w:val="0000CB"/>
        </w:rPr>
        <w:t>＋</w:t>
      </w:r>
      <w:r>
        <w:rPr>
          <w:rFonts w:ascii="Arial" w:eastAsia="Arial" w:hAnsi="Arial"/>
          <w:color w:val="0000CB"/>
        </w:rPr>
        <w:t>(</w:t>
      </w:r>
      <w:r>
        <w:rPr>
          <w:color w:val="0000CB"/>
        </w:rPr>
        <w:t xml:space="preserve">上年累计净现值的绝对 值 一 当 年 净 现 值 </w:t>
      </w:r>
      <w:r>
        <w:rPr>
          <w:rFonts w:ascii="Arial" w:eastAsia="Arial" w:hAnsi="Arial"/>
          <w:color w:val="0000CB"/>
        </w:rPr>
        <w:t xml:space="preserve">)=5+12.4 </w:t>
      </w:r>
      <w:r>
        <w:rPr>
          <w:color w:val="0000CB"/>
        </w:rPr>
        <w:t xml:space="preserve">÷ </w:t>
      </w:r>
      <w:r>
        <w:rPr>
          <w:rFonts w:ascii="Arial" w:eastAsia="Arial" w:hAnsi="Arial"/>
          <w:color w:val="0000CB"/>
        </w:rPr>
        <w:t>15.81=5.78(</w:t>
      </w:r>
      <w:r>
        <w:rPr>
          <w:color w:val="0000CB"/>
        </w:rPr>
        <w:t>年</w:t>
      </w:r>
      <w:r>
        <w:rPr>
          <w:rFonts w:ascii="Arial" w:eastAsia="Arial" w:hAnsi="Arial"/>
          <w:color w:val="0000CB"/>
        </w:rPr>
        <w:t>)</w:t>
      </w:r>
    </w:p>
    <w:p>
      <w:pPr>
        <w:pStyle w:val="BodyText"/>
        <w:spacing w:line="394" w:lineRule="exact"/>
      </w:pPr>
      <w:r>
        <w:rPr>
          <w:color w:val="0000CB"/>
        </w:rPr>
        <w:t xml:space="preserve">【问题 </w:t>
      </w:r>
      <w:r>
        <w:rPr>
          <w:rFonts w:ascii="Arial" w:eastAsia="Arial"/>
          <w:color w:val="0000CB"/>
        </w:rPr>
        <w:t>2</w:t>
      </w:r>
      <w:r>
        <w:rPr>
          <w:color w:val="0000CB"/>
        </w:rPr>
        <w:t>】</w:t>
      </w:r>
    </w:p>
    <w:p>
      <w:pPr>
        <w:pStyle w:val="BodyText"/>
        <w:spacing w:before="297"/>
      </w:pPr>
      <w:r>
        <w:rPr>
          <w:color w:val="0000CB"/>
        </w:rPr>
        <w:t xml:space="preserve">已知：用 </w:t>
      </w:r>
      <w:r>
        <w:rPr>
          <w:rFonts w:ascii="Arial" w:eastAsia="Arial"/>
          <w:color w:val="0000CB"/>
        </w:rPr>
        <w:t>10</w:t>
      </w:r>
      <w:r>
        <w:rPr>
          <w:color w:val="0000CB"/>
        </w:rPr>
        <w:t>％的贴现率计算，净现值为</w:t>
      </w:r>
      <w:r>
        <w:rPr>
          <w:rFonts w:ascii="Arial" w:eastAsia="Arial"/>
          <w:color w:val="0000CB"/>
        </w:rPr>
        <w:t xml:space="preserve">3.41 </w:t>
      </w:r>
      <w:r>
        <w:rPr>
          <w:color w:val="0000CB"/>
        </w:rPr>
        <w:t xml:space="preserve">万元；用 </w:t>
      </w:r>
      <w:r>
        <w:rPr>
          <w:rFonts w:ascii="Arial" w:eastAsia="Arial"/>
          <w:color w:val="0000CB"/>
        </w:rPr>
        <w:t>11</w:t>
      </w:r>
      <w:r>
        <w:rPr>
          <w:color w:val="0000CB"/>
        </w:rPr>
        <w:t>％的贴现率计算，净现值为一</w:t>
      </w:r>
    </w:p>
    <w:p>
      <w:pPr>
        <w:pStyle w:val="BodyText"/>
        <w:spacing w:before="305"/>
        <w:ind w:left="140"/>
      </w:pPr>
      <w:r>
        <w:rPr>
          <w:rFonts w:ascii="Arial" w:eastAsia="Arial"/>
          <w:color w:val="0000CB"/>
        </w:rPr>
        <w:t xml:space="preserve">1.18 </w:t>
      </w:r>
      <w:r>
        <w:rPr>
          <w:color w:val="0000CB"/>
        </w:rPr>
        <w:t>万元。因此，本项目的内部收益率为：</w:t>
      </w:r>
    </w:p>
    <w:p>
      <w:pPr>
        <w:pStyle w:val="BodyText"/>
        <w:spacing w:before="305"/>
      </w:pPr>
      <w:r>
        <w:rPr>
          <w:rFonts w:ascii="Arial" w:eastAsia="Arial" w:hAnsi="Arial"/>
          <w:color w:val="0000CB"/>
        </w:rPr>
        <w:t>10</w:t>
      </w:r>
      <w:r>
        <w:rPr>
          <w:color w:val="0000CB"/>
        </w:rPr>
        <w:t>％＋</w:t>
      </w:r>
      <w:r>
        <w:rPr>
          <w:rFonts w:ascii="Arial" w:eastAsia="Arial" w:hAnsi="Arial"/>
          <w:color w:val="0000CB"/>
        </w:rPr>
        <w:t>[3.41</w:t>
      </w:r>
      <w:r>
        <w:rPr>
          <w:color w:val="0000CB"/>
        </w:rPr>
        <w:t>÷</w:t>
      </w:r>
      <w:r>
        <w:rPr>
          <w:rFonts w:ascii="Arial" w:eastAsia="Arial" w:hAnsi="Arial"/>
          <w:color w:val="0000CB"/>
        </w:rPr>
        <w:t>(3.41</w:t>
      </w:r>
      <w:r>
        <w:rPr>
          <w:color w:val="0000CB"/>
        </w:rPr>
        <w:t>＋</w:t>
      </w:r>
      <w:r>
        <w:rPr>
          <w:rFonts w:ascii="Arial" w:eastAsia="Arial" w:hAnsi="Arial"/>
          <w:color w:val="0000CB"/>
        </w:rPr>
        <w:t>1.18)]=10.74</w:t>
      </w:r>
      <w:r>
        <w:rPr>
          <w:color w:val="0000CB"/>
        </w:rPr>
        <w:t>％</w:t>
      </w:r>
    </w:p>
    <w:p>
      <w:pPr>
        <w:pStyle w:val="BodyText"/>
        <w:spacing w:before="305"/>
      </w:pPr>
      <w:r>
        <w:rPr>
          <w:color w:val="0000CB"/>
        </w:rPr>
        <w:t xml:space="preserve">【问题 </w:t>
      </w:r>
      <w:r>
        <w:rPr>
          <w:rFonts w:ascii="Arial" w:eastAsia="Arial"/>
          <w:color w:val="0000CB"/>
        </w:rPr>
        <w:t>3</w:t>
      </w:r>
      <w:r>
        <w:rPr>
          <w:color w:val="0000CB"/>
        </w:rPr>
        <w:t>】</w:t>
      </w:r>
    </w:p>
    <w:p>
      <w:pPr>
        <w:pStyle w:val="BodyText"/>
        <w:spacing w:before="305" w:line="424" w:lineRule="auto"/>
        <w:ind w:left="140" w:right="1756" w:firstLine="637"/>
        <w:jc w:val="both"/>
      </w:pPr>
      <w:r>
        <w:rPr>
          <w:color w:val="0000CB"/>
          <w:spacing w:val="25"/>
        </w:rPr>
        <w:t>与同类</w:t>
      </w:r>
      <w:r>
        <w:rPr>
          <w:rFonts w:ascii="Arial" w:eastAsia="Arial"/>
          <w:color w:val="0000CB"/>
        </w:rPr>
        <w:t xml:space="preserve">IT </w:t>
      </w:r>
      <w:r>
        <w:rPr>
          <w:color w:val="0000CB"/>
          <w:spacing w:val="-12"/>
        </w:rPr>
        <w:t xml:space="preserve">产品相比，该项目净现值 </w:t>
      </w:r>
      <w:r>
        <w:rPr>
          <w:rFonts w:ascii="Arial" w:eastAsia="Arial"/>
          <w:color w:val="0000CB"/>
        </w:rPr>
        <w:t xml:space="preserve">3.41 </w:t>
      </w:r>
      <w:r>
        <w:rPr>
          <w:color w:val="0000CB"/>
          <w:spacing w:val="-13"/>
        </w:rPr>
        <w:t xml:space="preserve">万元偏低，动态投资回收期 </w:t>
      </w:r>
      <w:r>
        <w:rPr>
          <w:rFonts w:ascii="Arial" w:eastAsia="Arial"/>
          <w:color w:val="0000CB"/>
        </w:rPr>
        <w:t xml:space="preserve">5.78 </w:t>
      </w:r>
      <w:r>
        <w:rPr>
          <w:color w:val="0000CB"/>
          <w:spacing w:val="-10"/>
        </w:rPr>
        <w:t>年偏长，内部</w:t>
      </w:r>
      <w:r>
        <w:rPr>
          <w:color w:val="0000CB"/>
          <w:spacing w:val="25"/>
        </w:rPr>
        <w:t xml:space="preserve">收益率 </w:t>
      </w:r>
      <w:r>
        <w:rPr>
          <w:rFonts w:ascii="Arial" w:eastAsia="Arial"/>
          <w:color w:val="0000CB"/>
        </w:rPr>
        <w:t>10.74%</w:t>
      </w:r>
      <w:r>
        <w:rPr>
          <w:color w:val="0000CB"/>
          <w:spacing w:val="-1"/>
        </w:rPr>
        <w:t>也偏低，投资收益分析的三项动态评价指标均不理想。基本可判定该项目无</w:t>
      </w:r>
      <w:r>
        <w:rPr>
          <w:color w:val="0000CB"/>
        </w:rPr>
        <w:t>太大投资价值。</w:t>
      </w:r>
    </w:p>
    <w:p>
      <w:pPr>
        <w:pStyle w:val="BodyText"/>
        <w:spacing w:before="5"/>
        <w:ind w:left="0"/>
        <w:rPr>
          <w:sz w:val="30"/>
        </w:rPr>
      </w:pPr>
    </w:p>
    <w:p>
      <w:pPr>
        <w:pStyle w:val="Heading1"/>
        <w:numPr>
          <w:ilvl w:val="1"/>
          <w:numId w:val="10"/>
        </w:numPr>
        <w:tabs>
          <w:tab w:val="left" w:pos="613"/>
        </w:tabs>
        <w:spacing w:before="0" w:after="0" w:line="240" w:lineRule="auto"/>
        <w:ind w:left="612" w:right="0" w:hanging="473"/>
        <w:jc w:val="left"/>
        <w:rPr>
          <w:rFonts w:ascii="Arial" w:eastAsia="Arial"/>
          <w:color w:val="0000CB"/>
        </w:rPr>
      </w:pPr>
      <w:r>
        <w:rPr>
          <w:color w:val="0000CB"/>
        </w:rPr>
        <w:t>关键路径识别与进度规划</w:t>
      </w:r>
    </w:p>
    <w:p>
      <w:pPr>
        <w:pStyle w:val="BodyText"/>
        <w:ind w:left="0"/>
        <w:rPr>
          <w:b/>
          <w:sz w:val="36"/>
        </w:rPr>
      </w:pPr>
    </w:p>
    <w:p>
      <w:pPr>
        <w:pStyle w:val="BodyText"/>
        <w:spacing w:before="233"/>
      </w:pPr>
      <w:r>
        <w:rPr>
          <w:color w:val="0000CB"/>
        </w:rPr>
        <w:t>【案例一】关键路径识别与进度规划</w:t>
      </w:r>
    </w:p>
    <w:p>
      <w:pPr>
        <w:spacing w:after="0"/>
        <w:sectPr>
          <w:footerReference w:type="default" r:id="rId19"/>
          <w:pgSz w:w="17860" w:h="25260"/>
          <w:pgMar w:top="1980" w:right="880" w:bottom="2320" w:left="2560" w:header="0" w:footer="2125"/>
          <w:pgNumType w:start="10"/>
          <w:cols w:space="708"/>
        </w:sectPr>
      </w:pPr>
    </w:p>
    <w:p>
      <w:pPr>
        <w:pStyle w:val="BodyText"/>
        <w:spacing w:before="84" w:line="424" w:lineRule="auto"/>
        <w:ind w:left="140" w:right="1759" w:firstLine="637"/>
        <w:jc w:val="both"/>
      </w:pPr>
      <w:r>
        <w:rPr>
          <w:color w:val="0000CB"/>
          <w:spacing w:val="8"/>
        </w:rPr>
        <w:t xml:space="preserve">小张为一家 </w:t>
      </w:r>
      <w:r>
        <w:rPr>
          <w:rFonts w:ascii="Arial" w:eastAsia="Arial"/>
          <w:color w:val="0000CB"/>
        </w:rPr>
        <w:t>IT</w:t>
      </w:r>
      <w:r>
        <w:rPr>
          <w:rFonts w:ascii="Arial" w:eastAsia="Arial"/>
          <w:color w:val="0000CB"/>
          <w:spacing w:val="39"/>
        </w:rPr>
        <w:t xml:space="preserve"> </w:t>
      </w:r>
      <w:r>
        <w:rPr>
          <w:color w:val="0000CB"/>
          <w:spacing w:val="-1"/>
        </w:rPr>
        <w:t>主管，最近接到公司总裁的命令，负责开发一个电子商务平台。小张粗</w:t>
      </w:r>
      <w:r>
        <w:rPr>
          <w:color w:val="0000CB"/>
          <w:spacing w:val="-8"/>
        </w:rPr>
        <w:t xml:space="preserve">略地估算该项目在正常速度下需花费的时间和成本。由于公司业务发展需要，公司总裁急于 </w:t>
      </w:r>
      <w:r>
        <w:rPr>
          <w:color w:val="0000CB"/>
          <w:spacing w:val="-16"/>
        </w:rPr>
        <w:t>启动电子商务平台项目，因此，要求小张准备一份关于尽快启动电子商务平台项目的时间和成本的估算报告。</w:t>
      </w:r>
    </w:p>
    <w:p>
      <w:pPr>
        <w:pStyle w:val="BodyText"/>
        <w:spacing w:line="394" w:lineRule="exact"/>
      </w:pPr>
      <w:r>
        <w:rPr>
          <w:color w:val="0000CB"/>
        </w:rPr>
        <w:t>在第一次项目团队会议上，项目团队确定出了与项目相关的任务如下：</w:t>
      </w:r>
    </w:p>
    <w:p>
      <w:pPr>
        <w:pStyle w:val="BodyText"/>
        <w:spacing w:before="10"/>
        <w:ind w:left="0"/>
        <w:rPr>
          <w:sz w:val="23"/>
        </w:rPr>
      </w:pPr>
    </w:p>
    <w:p>
      <w:pPr>
        <w:pStyle w:val="BodyText"/>
        <w:spacing w:line="424" w:lineRule="auto"/>
        <w:ind w:left="140" w:right="1800" w:firstLine="637"/>
        <w:jc w:val="both"/>
      </w:pPr>
      <w:r>
        <w:rPr>
          <w:color w:val="0000CB"/>
        </w:rPr>
        <w:t>第一项任务是比较现有电子商务平台，按照正常速度估算完成这项任务需要花</w:t>
      </w:r>
      <w:r>
        <w:rPr>
          <w:rFonts w:ascii="Arial" w:eastAsia="Arial"/>
          <w:color w:val="0000CB"/>
        </w:rPr>
        <w:t>10</w:t>
      </w:r>
      <w:r>
        <w:rPr>
          <w:rFonts w:ascii="Arial" w:eastAsia="Arial"/>
          <w:color w:val="0000CB"/>
          <w:spacing w:val="84"/>
        </w:rPr>
        <w:t xml:space="preserve"> </w:t>
      </w:r>
      <w:r>
        <w:rPr>
          <w:color w:val="0000CB"/>
          <w:spacing w:val="-7"/>
        </w:rPr>
        <w:t xml:space="preserve">天， </w:t>
      </w:r>
      <w:r>
        <w:rPr>
          <w:color w:val="0000CB"/>
          <w:spacing w:val="-16"/>
        </w:rPr>
        <w:t xml:space="preserve">成本为 </w:t>
      </w:r>
      <w:r>
        <w:rPr>
          <w:rFonts w:ascii="Arial" w:eastAsia="Arial"/>
          <w:color w:val="0000CB"/>
        </w:rPr>
        <w:t xml:space="preserve">15000 </w:t>
      </w:r>
      <w:r>
        <w:rPr>
          <w:color w:val="0000CB"/>
          <w:spacing w:val="-1"/>
        </w:rPr>
        <w:t>元。但是，如果使用允许的最多加班工作量，则可在</w:t>
      </w:r>
      <w:r>
        <w:rPr>
          <w:rFonts w:ascii="Arial" w:eastAsia="Arial"/>
          <w:color w:val="0000CB"/>
        </w:rPr>
        <w:t xml:space="preserve">7 </w:t>
      </w:r>
      <w:r>
        <w:rPr>
          <w:color w:val="0000CB"/>
          <w:spacing w:val="-9"/>
        </w:rPr>
        <w:t>天、</w:t>
      </w:r>
      <w:r>
        <w:rPr>
          <w:rFonts w:ascii="Arial" w:eastAsia="Arial"/>
          <w:color w:val="0000CB"/>
        </w:rPr>
        <w:t xml:space="preserve">18750 </w:t>
      </w:r>
      <w:r>
        <w:rPr>
          <w:color w:val="0000CB"/>
          <w:spacing w:val="-3"/>
        </w:rPr>
        <w:t>元的条件下</w:t>
      </w:r>
      <w:r>
        <w:rPr>
          <w:color w:val="0000CB"/>
        </w:rPr>
        <w:t>完成。</w:t>
      </w:r>
    </w:p>
    <w:p>
      <w:pPr>
        <w:pStyle w:val="BodyText"/>
        <w:spacing w:line="424" w:lineRule="auto"/>
        <w:ind w:left="140" w:right="1804" w:firstLine="637"/>
        <w:jc w:val="both"/>
      </w:pPr>
      <w:r>
        <w:rPr>
          <w:color w:val="0000CB"/>
          <w:spacing w:val="-14"/>
        </w:rPr>
        <w:t>一旦完成比较任务，就需要向最高层管理层提交项目计划和项目定义文件，以便获得批</w:t>
      </w:r>
      <w:r>
        <w:rPr>
          <w:color w:val="0000CB"/>
          <w:spacing w:val="2"/>
        </w:rPr>
        <w:t>准。项目团队估算完成这项任务按正常速度为</w:t>
      </w:r>
      <w:r>
        <w:rPr>
          <w:rFonts w:ascii="Arial" w:eastAsia="Arial"/>
          <w:color w:val="0000CB"/>
        </w:rPr>
        <w:t xml:space="preserve">5 </w:t>
      </w:r>
      <w:r>
        <w:rPr>
          <w:color w:val="0000CB"/>
          <w:spacing w:val="-10"/>
        </w:rPr>
        <w:t xml:space="preserve">天，成本 </w:t>
      </w:r>
      <w:r>
        <w:rPr>
          <w:rFonts w:ascii="Arial" w:eastAsia="Arial"/>
          <w:color w:val="0000CB"/>
        </w:rPr>
        <w:t xml:space="preserve">3750 </w:t>
      </w:r>
      <w:r>
        <w:rPr>
          <w:color w:val="0000CB"/>
          <w:spacing w:val="-7"/>
        </w:rPr>
        <w:t xml:space="preserve">元，如果赶工为 </w:t>
      </w:r>
      <w:r>
        <w:rPr>
          <w:rFonts w:ascii="Arial" w:eastAsia="Arial"/>
          <w:color w:val="0000CB"/>
        </w:rPr>
        <w:t xml:space="preserve">3 </w:t>
      </w:r>
      <w:r>
        <w:rPr>
          <w:color w:val="0000CB"/>
          <w:spacing w:val="-4"/>
        </w:rPr>
        <w:t>天，成本</w:t>
      </w:r>
      <w:r>
        <w:rPr>
          <w:color w:val="0000CB"/>
          <w:spacing w:val="-39"/>
        </w:rPr>
        <w:t xml:space="preserve">为 </w:t>
      </w:r>
      <w:r>
        <w:rPr>
          <w:rFonts w:ascii="Arial" w:eastAsia="Arial"/>
          <w:color w:val="0000CB"/>
        </w:rPr>
        <w:t xml:space="preserve">4500 </w:t>
      </w:r>
      <w:r>
        <w:rPr>
          <w:color w:val="0000CB"/>
        </w:rPr>
        <w:t>元。</w:t>
      </w:r>
    </w:p>
    <w:p>
      <w:pPr>
        <w:pStyle w:val="BodyText"/>
        <w:spacing w:line="424" w:lineRule="auto"/>
        <w:ind w:left="140" w:right="1649" w:firstLine="637"/>
        <w:jc w:val="both"/>
      </w:pPr>
      <w:r>
        <w:rPr>
          <w:color w:val="0000CB"/>
          <w:spacing w:val="-12"/>
        </w:rPr>
        <w:t xml:space="preserve">当项目团队获得高层批准后，各项工作就可以开始了。项目团队估计需求分析为 </w:t>
      </w:r>
      <w:r>
        <w:rPr>
          <w:rFonts w:ascii="Arial" w:eastAsia="Arial"/>
          <w:color w:val="0000CB"/>
        </w:rPr>
        <w:t>15</w:t>
      </w:r>
      <w:r>
        <w:rPr>
          <w:rFonts w:ascii="Arial" w:eastAsia="Arial"/>
          <w:color w:val="0000CB"/>
          <w:spacing w:val="9"/>
        </w:rPr>
        <w:t xml:space="preserve"> </w:t>
      </w:r>
      <w:r>
        <w:rPr>
          <w:color w:val="0000CB"/>
          <w:spacing w:val="-8"/>
        </w:rPr>
        <w:t xml:space="preserve">天， </w:t>
      </w:r>
      <w:r>
        <w:rPr>
          <w:color w:val="0000CB"/>
          <w:spacing w:val="-26"/>
        </w:rPr>
        <w:t xml:space="preserve">成本 </w:t>
      </w:r>
      <w:r>
        <w:rPr>
          <w:rFonts w:ascii="Arial" w:eastAsia="Arial"/>
          <w:color w:val="0000CB"/>
        </w:rPr>
        <w:t>45000</w:t>
      </w:r>
      <w:r>
        <w:rPr>
          <w:rFonts w:ascii="Arial" w:eastAsia="Arial"/>
          <w:color w:val="0000CB"/>
          <w:spacing w:val="-16"/>
        </w:rPr>
        <w:t xml:space="preserve"> </w:t>
      </w:r>
      <w:r>
        <w:rPr>
          <w:color w:val="0000CB"/>
          <w:spacing w:val="-11"/>
        </w:rPr>
        <w:t xml:space="preserve">元，如加班则为 </w:t>
      </w:r>
      <w:r>
        <w:rPr>
          <w:rFonts w:ascii="Arial" w:eastAsia="Arial"/>
          <w:color w:val="0000CB"/>
        </w:rPr>
        <w:t>10</w:t>
      </w:r>
      <w:r>
        <w:rPr>
          <w:rFonts w:ascii="Arial" w:eastAsia="Arial"/>
          <w:color w:val="0000CB"/>
          <w:spacing w:val="-12"/>
        </w:rPr>
        <w:t xml:space="preserve"> </w:t>
      </w:r>
      <w:r>
        <w:rPr>
          <w:color w:val="0000CB"/>
          <w:spacing w:val="-17"/>
        </w:rPr>
        <w:t xml:space="preserve">天，成本 </w:t>
      </w:r>
      <w:r>
        <w:rPr>
          <w:rFonts w:ascii="Arial" w:eastAsia="Arial"/>
          <w:color w:val="0000CB"/>
        </w:rPr>
        <w:t>58500</w:t>
      </w:r>
      <w:r>
        <w:rPr>
          <w:rFonts w:ascii="Arial" w:eastAsia="Arial"/>
          <w:color w:val="0000CB"/>
          <w:spacing w:val="-11"/>
        </w:rPr>
        <w:t xml:space="preserve"> </w:t>
      </w:r>
      <w:r>
        <w:rPr>
          <w:color w:val="0000CB"/>
        </w:rPr>
        <w:t>元。</w:t>
      </w:r>
    </w:p>
    <w:p>
      <w:pPr>
        <w:pStyle w:val="BodyText"/>
        <w:spacing w:line="424" w:lineRule="auto"/>
        <w:ind w:left="140" w:right="1744" w:firstLine="637"/>
      </w:pPr>
      <w:r>
        <w:rPr>
          <w:color w:val="0000CB"/>
          <w:spacing w:val="-4"/>
        </w:rPr>
        <w:t xml:space="preserve">设计完成后，有 </w:t>
      </w:r>
      <w:r>
        <w:rPr>
          <w:rFonts w:ascii="Arial" w:eastAsia="Arial" w:hAnsi="Arial"/>
          <w:color w:val="0000CB"/>
        </w:rPr>
        <w:t>3</w:t>
      </w:r>
      <w:r>
        <w:rPr>
          <w:rFonts w:ascii="Arial" w:eastAsia="Arial" w:hAnsi="Arial"/>
          <w:color w:val="0000CB"/>
          <w:spacing w:val="49"/>
        </w:rPr>
        <w:t xml:space="preserve"> </w:t>
      </w:r>
      <w:r>
        <w:rPr>
          <w:color w:val="0000CB"/>
        </w:rPr>
        <w:t xml:space="preserve">项任务必须同时进行：①开发电子商务平台数据库； ②开发和编写实际网页代码；③开发和编写电子商务平台表格码。估计数据库的开发在不加班的时候为 </w:t>
      </w:r>
      <w:r>
        <w:rPr>
          <w:rFonts w:ascii="Arial" w:eastAsia="Arial" w:hAnsi="Arial"/>
          <w:color w:val="0000CB"/>
        </w:rPr>
        <w:t xml:space="preserve">10 </w:t>
      </w:r>
      <w:r>
        <w:rPr>
          <w:color w:val="0000CB"/>
          <w:spacing w:val="-25"/>
        </w:rPr>
        <w:t xml:space="preserve">天和 </w:t>
      </w:r>
      <w:r>
        <w:rPr>
          <w:rFonts w:ascii="Arial" w:eastAsia="Arial" w:hAnsi="Arial"/>
          <w:color w:val="0000CB"/>
        </w:rPr>
        <w:t>9000</w:t>
      </w:r>
      <w:r>
        <w:rPr>
          <w:rFonts w:ascii="Arial" w:eastAsia="Arial" w:hAnsi="Arial"/>
          <w:color w:val="0000CB"/>
          <w:spacing w:val="-3"/>
        </w:rPr>
        <w:t xml:space="preserve"> </w:t>
      </w:r>
      <w:r>
        <w:rPr>
          <w:color w:val="0000CB"/>
          <w:spacing w:val="5"/>
        </w:rPr>
        <w:t>元，加班时可以在</w:t>
      </w:r>
      <w:r>
        <w:rPr>
          <w:rFonts w:ascii="Arial" w:eastAsia="Arial" w:hAnsi="Arial"/>
          <w:color w:val="0000CB"/>
        </w:rPr>
        <w:t>7</w:t>
      </w:r>
      <w:r>
        <w:rPr>
          <w:rFonts w:ascii="Arial" w:eastAsia="Arial" w:hAnsi="Arial"/>
          <w:color w:val="0000CB"/>
          <w:spacing w:val="1"/>
        </w:rPr>
        <w:t xml:space="preserve"> </w:t>
      </w:r>
      <w:r>
        <w:rPr>
          <w:color w:val="0000CB"/>
          <w:spacing w:val="-25"/>
        </w:rPr>
        <w:t xml:space="preserve">天和 </w:t>
      </w:r>
      <w:r>
        <w:rPr>
          <w:rFonts w:ascii="Arial" w:eastAsia="Arial" w:hAnsi="Arial"/>
          <w:color w:val="0000CB"/>
        </w:rPr>
        <w:t>11250</w:t>
      </w:r>
      <w:r>
        <w:rPr>
          <w:rFonts w:ascii="Arial" w:eastAsia="Arial" w:hAnsi="Arial"/>
          <w:color w:val="0000CB"/>
          <w:spacing w:val="-15"/>
        </w:rPr>
        <w:t xml:space="preserve"> </w:t>
      </w:r>
      <w:r>
        <w:rPr>
          <w:color w:val="0000CB"/>
          <w:spacing w:val="-1"/>
        </w:rPr>
        <w:t>元的情况下完成。同样，项目团队估算在不加</w:t>
      </w:r>
      <w:r>
        <w:rPr>
          <w:color w:val="0000CB"/>
          <w:spacing w:val="-11"/>
        </w:rPr>
        <w:t>班的情况下，开发和编写网页代码需要</w:t>
      </w:r>
      <w:r>
        <w:rPr>
          <w:rFonts w:ascii="Arial" w:eastAsia="Arial" w:hAnsi="Arial"/>
          <w:color w:val="0000CB"/>
        </w:rPr>
        <w:t>10</w:t>
      </w:r>
      <w:r>
        <w:rPr>
          <w:rFonts w:ascii="Arial" w:eastAsia="Arial" w:hAnsi="Arial"/>
          <w:color w:val="0000CB"/>
          <w:spacing w:val="-15"/>
        </w:rPr>
        <w:t xml:space="preserve"> </w:t>
      </w:r>
      <w:r>
        <w:rPr>
          <w:color w:val="0000CB"/>
          <w:spacing w:val="-26"/>
        </w:rPr>
        <w:t xml:space="preserve">天和 </w:t>
      </w:r>
      <w:r>
        <w:rPr>
          <w:rFonts w:ascii="Arial" w:eastAsia="Arial" w:hAnsi="Arial"/>
          <w:color w:val="0000CB"/>
        </w:rPr>
        <w:t>17500</w:t>
      </w:r>
      <w:r>
        <w:rPr>
          <w:rFonts w:ascii="Arial" w:eastAsia="Arial" w:hAnsi="Arial"/>
          <w:color w:val="0000CB"/>
          <w:spacing w:val="-16"/>
        </w:rPr>
        <w:t xml:space="preserve"> </w:t>
      </w:r>
      <w:r>
        <w:rPr>
          <w:color w:val="0000CB"/>
          <w:spacing w:val="-30"/>
        </w:rPr>
        <w:t xml:space="preserve">元，加班则可以减少两天，成本为 </w:t>
      </w:r>
      <w:r>
        <w:rPr>
          <w:rFonts w:ascii="Arial" w:eastAsia="Arial" w:hAnsi="Arial"/>
          <w:color w:val="0000CB"/>
        </w:rPr>
        <w:t xml:space="preserve">19500 </w:t>
      </w:r>
      <w:r>
        <w:rPr>
          <w:color w:val="0000CB"/>
          <w:spacing w:val="3"/>
        </w:rPr>
        <w:t>元。开发表格工作分包给别的公司，需要</w:t>
      </w:r>
      <w:r>
        <w:rPr>
          <w:rFonts w:ascii="Arial" w:eastAsia="Arial" w:hAnsi="Arial"/>
          <w:color w:val="0000CB"/>
        </w:rPr>
        <w:t>7</w:t>
      </w:r>
      <w:r>
        <w:rPr>
          <w:rFonts w:ascii="Arial" w:eastAsia="Arial" w:hAnsi="Arial"/>
          <w:color w:val="0000CB"/>
          <w:spacing w:val="46"/>
        </w:rPr>
        <w:t xml:space="preserve"> </w:t>
      </w:r>
      <w:r>
        <w:rPr>
          <w:color w:val="0000CB"/>
          <w:spacing w:val="-7"/>
        </w:rPr>
        <w:t xml:space="preserve">天、成本 </w:t>
      </w:r>
      <w:r>
        <w:rPr>
          <w:rFonts w:ascii="Arial" w:eastAsia="Arial" w:hAnsi="Arial"/>
          <w:color w:val="0000CB"/>
        </w:rPr>
        <w:t>8400</w:t>
      </w:r>
      <w:r>
        <w:rPr>
          <w:rFonts w:ascii="Arial" w:eastAsia="Arial" w:hAnsi="Arial"/>
          <w:color w:val="0000CB"/>
          <w:spacing w:val="42"/>
        </w:rPr>
        <w:t xml:space="preserve"> </w:t>
      </w:r>
      <w:r>
        <w:rPr>
          <w:color w:val="0000CB"/>
        </w:rPr>
        <w:t>元。开发表格的公司并没有提供赶工多收费的方案。</w:t>
      </w:r>
    </w:p>
    <w:p>
      <w:pPr>
        <w:pStyle w:val="BodyText"/>
        <w:spacing w:line="424" w:lineRule="auto"/>
        <w:ind w:left="140" w:right="1625" w:firstLine="637"/>
        <w:rPr>
          <w:rFonts w:ascii="Arial" w:eastAsia="Arial"/>
        </w:rPr>
      </w:pPr>
      <w:r>
        <w:rPr>
          <w:color w:val="0000CB"/>
          <w:spacing w:val="-21"/>
        </w:rPr>
        <w:t>最后，一旦数据库开发出来，网页和表格编码完毕，整个电子商务平台就需要进行测试、</w:t>
      </w:r>
      <w:r>
        <w:rPr>
          <w:color w:val="0000CB"/>
          <w:spacing w:val="-16"/>
        </w:rPr>
        <w:t xml:space="preserve">修改，项目团队估算需要 </w:t>
      </w:r>
      <w:r>
        <w:rPr>
          <w:rFonts w:ascii="Arial" w:eastAsia="Arial"/>
          <w:color w:val="0000CB"/>
        </w:rPr>
        <w:t xml:space="preserve">3 </w:t>
      </w:r>
      <w:r>
        <w:rPr>
          <w:color w:val="0000CB"/>
          <w:spacing w:val="-30"/>
        </w:rPr>
        <w:t xml:space="preserve">天，成本 </w:t>
      </w:r>
      <w:r>
        <w:rPr>
          <w:rFonts w:ascii="Arial" w:eastAsia="Arial"/>
          <w:color w:val="0000CB"/>
        </w:rPr>
        <w:t xml:space="preserve">4500 </w:t>
      </w:r>
      <w:r>
        <w:rPr>
          <w:color w:val="0000CB"/>
          <w:spacing w:val="-21"/>
        </w:rPr>
        <w:t xml:space="preserve">元。如果加班的话，则可以减少一天，成本为 </w:t>
      </w:r>
      <w:r>
        <w:rPr>
          <w:rFonts w:ascii="Arial" w:eastAsia="Arial"/>
          <w:color w:val="0000CB"/>
        </w:rPr>
        <w:t>6750</w:t>
      </w:r>
    </w:p>
    <w:p>
      <w:pPr>
        <w:pStyle w:val="BodyText"/>
        <w:spacing w:line="383" w:lineRule="exact"/>
        <w:ind w:left="140"/>
      </w:pPr>
      <w:r>
        <w:rPr>
          <w:color w:val="0000CB"/>
        </w:rPr>
        <w:t>元。</w:t>
      </w:r>
    </w:p>
    <w:p>
      <w:pPr>
        <w:pStyle w:val="BodyText"/>
        <w:spacing w:before="10"/>
        <w:ind w:left="0"/>
        <w:rPr>
          <w:sz w:val="23"/>
        </w:rPr>
      </w:pPr>
    </w:p>
    <w:p>
      <w:pPr>
        <w:pStyle w:val="BodyText"/>
      </w:pPr>
      <w:r>
        <w:rPr>
          <w:color w:val="0000CB"/>
        </w:rPr>
        <w:t xml:space="preserve">【问题 </w:t>
      </w:r>
      <w:r>
        <w:rPr>
          <w:rFonts w:ascii="Arial" w:eastAsia="Arial"/>
          <w:color w:val="0000CB"/>
        </w:rPr>
        <w:t>1</w:t>
      </w:r>
      <w:r>
        <w:rPr>
          <w:color w:val="0000CB"/>
        </w:rPr>
        <w:t>】 如果不加班，完成此项目的成本是多少？完成这一项目要花多长时间？</w:t>
      </w:r>
    </w:p>
    <w:p>
      <w:pPr>
        <w:pStyle w:val="BodyText"/>
        <w:spacing w:before="305"/>
      </w:pPr>
      <w:r>
        <w:rPr>
          <w:color w:val="0000CB"/>
        </w:rPr>
        <w:t xml:space="preserve">【问题  </w:t>
      </w:r>
      <w:r>
        <w:rPr>
          <w:rFonts w:ascii="Arial" w:eastAsia="Arial"/>
          <w:color w:val="0000CB"/>
        </w:rPr>
        <w:t>2</w:t>
      </w:r>
      <w:r>
        <w:rPr>
          <w:color w:val="0000CB"/>
          <w:spacing w:val="-9"/>
        </w:rPr>
        <w:t>】项目可以完成的最短时间量是多少？在最短时间内完成项目的成本是多少？</w:t>
      </w:r>
    </w:p>
    <w:p>
      <w:pPr>
        <w:pStyle w:val="BodyText"/>
        <w:spacing w:before="305"/>
      </w:pPr>
      <w:r>
        <w:rPr>
          <w:color w:val="0000CB"/>
          <w:spacing w:val="-10"/>
        </w:rPr>
        <w:t xml:space="preserve">【问题 </w:t>
      </w:r>
      <w:r>
        <w:rPr>
          <w:rFonts w:ascii="Arial" w:eastAsia="Arial"/>
          <w:color w:val="0000CB"/>
        </w:rPr>
        <w:t>3</w:t>
      </w:r>
      <w:r>
        <w:rPr>
          <w:color w:val="0000CB"/>
          <w:spacing w:val="2"/>
        </w:rPr>
        <w:t>】假定比较其他电子商务平台的任务执行需要</w:t>
      </w:r>
      <w:r>
        <w:rPr>
          <w:rFonts w:ascii="Arial" w:eastAsia="Arial"/>
          <w:color w:val="0000CB"/>
        </w:rPr>
        <w:t>13</w:t>
      </w:r>
      <w:r>
        <w:rPr>
          <w:rFonts w:ascii="Arial" w:eastAsia="Arial"/>
          <w:color w:val="0000CB"/>
          <w:spacing w:val="31"/>
        </w:rPr>
        <w:t xml:space="preserve"> </w:t>
      </w:r>
      <w:r>
        <w:rPr>
          <w:color w:val="0000CB"/>
          <w:spacing w:val="-6"/>
        </w:rPr>
        <w:t xml:space="preserve">天而不是原来估算的 </w:t>
      </w:r>
      <w:r>
        <w:rPr>
          <w:rFonts w:ascii="Arial" w:eastAsia="Arial"/>
          <w:color w:val="0000CB"/>
        </w:rPr>
        <w:t>10</w:t>
      </w:r>
      <w:r>
        <w:rPr>
          <w:rFonts w:ascii="Arial" w:eastAsia="Arial"/>
          <w:color w:val="0000CB"/>
          <w:spacing w:val="31"/>
        </w:rPr>
        <w:t xml:space="preserve"> </w:t>
      </w:r>
      <w:r>
        <w:rPr>
          <w:color w:val="0000CB"/>
        </w:rPr>
        <w:t>天。</w:t>
      </w:r>
    </w:p>
    <w:p>
      <w:pPr>
        <w:pStyle w:val="BodyText"/>
        <w:spacing w:before="12"/>
        <w:ind w:left="0"/>
        <w:rPr>
          <w:sz w:val="18"/>
        </w:rPr>
      </w:pPr>
    </w:p>
    <w:p>
      <w:pPr>
        <w:pStyle w:val="BodyText"/>
        <w:spacing w:before="62"/>
        <w:ind w:left="140"/>
      </w:pPr>
      <w:r>
        <w:rPr>
          <w:color w:val="0000CB"/>
        </w:rPr>
        <w:t>小张将采取什么行动保持项目按常规速度进行？</w:t>
      </w:r>
    </w:p>
    <w:p>
      <w:pPr>
        <w:pStyle w:val="BodyText"/>
        <w:spacing w:before="10"/>
        <w:ind w:left="0"/>
        <w:rPr>
          <w:sz w:val="23"/>
        </w:rPr>
      </w:pPr>
    </w:p>
    <w:p>
      <w:pPr>
        <w:pStyle w:val="BodyText"/>
        <w:spacing w:before="1"/>
      </w:pPr>
      <w:r>
        <w:rPr>
          <w:color w:val="0000CB"/>
        </w:rPr>
        <w:t xml:space="preserve">【问题 </w:t>
      </w:r>
      <w:r>
        <w:rPr>
          <w:rFonts w:ascii="Arial" w:eastAsia="Arial"/>
          <w:color w:val="0000CB"/>
        </w:rPr>
        <w:t>4</w:t>
      </w:r>
      <w:r>
        <w:rPr>
          <w:color w:val="0000CB"/>
        </w:rPr>
        <w:t xml:space="preserve">】假定总裁想在 </w:t>
      </w:r>
      <w:r>
        <w:rPr>
          <w:rFonts w:ascii="Arial" w:eastAsia="Arial"/>
          <w:color w:val="0000CB"/>
        </w:rPr>
        <w:t xml:space="preserve">35 </w:t>
      </w:r>
      <w:r>
        <w:rPr>
          <w:color w:val="0000CB"/>
        </w:rPr>
        <w:t>天内启动项目，小张将采取什么行动来达到这一期限？在</w:t>
      </w:r>
    </w:p>
    <w:p>
      <w:pPr>
        <w:pStyle w:val="BodyText"/>
        <w:spacing w:before="304"/>
        <w:ind w:left="140"/>
      </w:pPr>
      <w:r>
        <w:rPr>
          <w:rFonts w:ascii="Arial" w:eastAsia="Arial"/>
          <w:color w:val="0000CB"/>
        </w:rPr>
        <w:t xml:space="preserve">35 </w:t>
      </w:r>
      <w:r>
        <w:rPr>
          <w:color w:val="0000CB"/>
        </w:rPr>
        <w:t>天完成项目将花费多少？</w:t>
      </w:r>
    </w:p>
    <w:p>
      <w:pPr>
        <w:pStyle w:val="Heading1"/>
        <w:spacing w:before="305"/>
        <w:ind w:left="781" w:firstLine="0"/>
      </w:pPr>
      <w:r>
        <w:rPr>
          <w:color w:val="0000CB"/>
        </w:rPr>
        <w:t>※案例分析</w:t>
      </w:r>
    </w:p>
    <w:p>
      <w:pPr>
        <w:pStyle w:val="BodyText"/>
        <w:spacing w:before="10"/>
        <w:ind w:left="0"/>
        <w:rPr>
          <w:b/>
          <w:sz w:val="23"/>
        </w:rPr>
        <w:sectPr>
          <w:footerReference w:type="default" r:id="rId20"/>
          <w:pgSz w:w="17860" w:h="25260"/>
          <w:pgMar w:top="1940" w:right="880" w:bottom="2320" w:left="2560" w:header="0" w:footer="2125"/>
          <w:pgNumType w:start="11"/>
          <w:cols w:space="708"/>
        </w:sectPr>
      </w:pPr>
    </w:p>
    <w:p>
      <w:pPr>
        <w:pStyle w:val="BodyText"/>
      </w:pPr>
      <w:r>
        <w:rPr>
          <w:color w:val="0000CB"/>
        </w:rPr>
        <w:t>本案例主要考查项目的时间管理。时间管理是项目管理的一项关键内容，其目的就是合</w:t>
      </w:r>
    </w:p>
    <w:p>
      <w:pPr>
        <w:spacing w:after="0"/>
        <w:sectPr>
          <w:footerReference w:type="default" r:id="rId21"/>
          <w:type w:val="nextPage"/>
          <w:pgSz w:w="17860" w:h="25260"/>
          <w:pgMar w:top="1940" w:right="880" w:bottom="2320" w:left="2560" w:header="0" w:footer="2125"/>
          <w:pgNumType w:start="12"/>
          <w:cols w:space="708"/>
          <w:titlePg w:val="0"/>
        </w:sectPr>
      </w:pPr>
    </w:p>
    <w:p>
      <w:pPr>
        <w:pStyle w:val="BodyText"/>
        <w:spacing w:before="44" w:line="424" w:lineRule="auto"/>
        <w:ind w:left="140" w:right="1604"/>
      </w:pPr>
      <w:r>
        <w:rPr>
          <w:color w:val="0000CB"/>
          <w:spacing w:val="-13"/>
        </w:rPr>
        <w:t xml:space="preserve">理的分配项目资源、保证项目能够按照进度计划按时完成。时间管理的主要工作包括了项目 </w:t>
      </w:r>
      <w:r>
        <w:rPr>
          <w:color w:val="0000CB"/>
          <w:spacing w:val="-14"/>
        </w:rPr>
        <w:t>活动的定义、对任务、活动进行排序、对每项活动的工期估算、制订项目的进度计划、资源</w:t>
      </w:r>
      <w:r>
        <w:rPr>
          <w:color w:val="0000CB"/>
        </w:rPr>
        <w:t>共享分配、监控项目进度等内容。</w:t>
      </w:r>
    </w:p>
    <w:p>
      <w:pPr>
        <w:pStyle w:val="ListParagraph"/>
        <w:numPr>
          <w:ilvl w:val="0"/>
          <w:numId w:val="12"/>
        </w:numPr>
        <w:tabs>
          <w:tab w:val="left" w:pos="1254"/>
        </w:tabs>
        <w:spacing w:before="0" w:after="0" w:line="395" w:lineRule="exact"/>
        <w:ind w:left="1254" w:right="0" w:hanging="477"/>
        <w:jc w:val="left"/>
        <w:rPr>
          <w:sz w:val="31"/>
        </w:rPr>
      </w:pPr>
      <w:r>
        <w:rPr>
          <w:color w:val="0000CB"/>
          <w:sz w:val="31"/>
        </w:rPr>
        <w:t>项目活动定义</w:t>
      </w:r>
    </w:p>
    <w:p>
      <w:pPr>
        <w:pStyle w:val="BodyText"/>
        <w:spacing w:before="305" w:line="424" w:lineRule="auto"/>
        <w:ind w:left="140" w:right="1790" w:firstLine="637"/>
        <w:jc w:val="both"/>
      </w:pPr>
      <w:r>
        <w:rPr>
          <w:color w:val="0000CB"/>
          <w:spacing w:val="-9"/>
        </w:rPr>
        <w:t>项目活动定义的目的是将项目工作分解为更小、更易管理的工作包也叫活动或任务，这些小的活动应该是能够保障完成交付产品的可实施的详细任务</w:t>
      </w:r>
      <w:r>
        <w:rPr>
          <w:color w:val="0000CB"/>
          <w:spacing w:val="-19"/>
        </w:rPr>
        <w:t>。将所有活动列成一个明确的</w:t>
      </w:r>
      <w:r>
        <w:rPr>
          <w:color w:val="0000CB"/>
        </w:rPr>
        <w:t>活动清单，并且让项目团队的每一个成员能够清楚有多少工作需要处理。</w:t>
      </w:r>
    </w:p>
    <w:p>
      <w:pPr>
        <w:pStyle w:val="BodyText"/>
        <w:spacing w:line="394" w:lineRule="exact"/>
        <w:jc w:val="both"/>
      </w:pPr>
      <w:r>
        <w:rPr>
          <w:color w:val="0000CB"/>
        </w:rPr>
        <w:t>在该案例中，已经完成了对活动的定义，总共定义了</w:t>
      </w:r>
      <w:r>
        <w:rPr>
          <w:rFonts w:ascii="Arial" w:eastAsia="Arial"/>
          <w:color w:val="0000CB"/>
        </w:rPr>
        <w:t xml:space="preserve">7 </w:t>
      </w:r>
      <w:r>
        <w:rPr>
          <w:color w:val="0000CB"/>
        </w:rPr>
        <w:t>项任务：</w:t>
      </w:r>
    </w:p>
    <w:p>
      <w:pPr>
        <w:pStyle w:val="BodyText"/>
        <w:spacing w:before="11"/>
        <w:ind w:left="0"/>
        <w:rPr>
          <w:sz w:val="23"/>
        </w:rPr>
      </w:pPr>
    </w:p>
    <w:p>
      <w:pPr>
        <w:pStyle w:val="ListParagraph"/>
        <w:numPr>
          <w:ilvl w:val="0"/>
          <w:numId w:val="9"/>
        </w:numPr>
        <w:tabs>
          <w:tab w:val="left" w:pos="1149"/>
        </w:tabs>
        <w:spacing w:before="0" w:after="0" w:line="240" w:lineRule="auto"/>
        <w:ind w:left="1148" w:right="0" w:hanging="372"/>
        <w:jc w:val="left"/>
        <w:rPr>
          <w:sz w:val="31"/>
        </w:rPr>
      </w:pPr>
      <w:r>
        <w:rPr>
          <w:color w:val="0000CB"/>
          <w:sz w:val="31"/>
        </w:rPr>
        <w:t>比较现有电子商务平台。</w:t>
      </w:r>
    </w:p>
    <w:p>
      <w:pPr>
        <w:pStyle w:val="ListParagraph"/>
        <w:numPr>
          <w:ilvl w:val="0"/>
          <w:numId w:val="9"/>
        </w:numPr>
        <w:tabs>
          <w:tab w:val="left" w:pos="1149"/>
        </w:tabs>
        <w:spacing w:before="305" w:after="0" w:line="424" w:lineRule="auto"/>
        <w:ind w:left="777" w:right="6619" w:firstLine="0"/>
        <w:jc w:val="left"/>
        <w:rPr>
          <w:sz w:val="31"/>
        </w:rPr>
      </w:pPr>
      <w:r>
        <w:rPr>
          <w:color w:val="0000CB"/>
          <w:spacing w:val="-1"/>
          <w:sz w:val="31"/>
        </w:rPr>
        <w:t>向最高层管理层提交项目计划和项目定义文件。</w:t>
      </w:r>
      <w:r>
        <w:rPr>
          <w:rFonts w:ascii="Arial" w:eastAsia="Arial"/>
          <w:color w:val="0000CB"/>
          <w:sz w:val="31"/>
        </w:rPr>
        <w:t>(3)</w:t>
      </w:r>
      <w:r>
        <w:rPr>
          <w:color w:val="0000CB"/>
          <w:sz w:val="31"/>
        </w:rPr>
        <w:t>电子商务平台设计需求。</w:t>
      </w:r>
    </w:p>
    <w:p>
      <w:pPr>
        <w:pStyle w:val="BodyText"/>
        <w:spacing w:line="424" w:lineRule="auto"/>
        <w:ind w:right="9472"/>
      </w:pPr>
      <w:r>
        <w:rPr>
          <w:rFonts w:ascii="Arial" w:eastAsia="Arial"/>
          <w:color w:val="0000CB"/>
        </w:rPr>
        <w:t>(4)</w:t>
      </w:r>
      <w:r>
        <w:rPr>
          <w:color w:val="0000CB"/>
        </w:rPr>
        <w:t>开发电子商务平台数据库。</w:t>
      </w:r>
      <w:r>
        <w:rPr>
          <w:rFonts w:ascii="Arial" w:eastAsia="Arial"/>
          <w:color w:val="0000CB"/>
        </w:rPr>
        <w:t>(5)</w:t>
      </w:r>
      <w:r>
        <w:rPr>
          <w:color w:val="0000CB"/>
        </w:rPr>
        <w:t>开发和编写实际网页代码。</w:t>
      </w:r>
    </w:p>
    <w:p>
      <w:pPr>
        <w:pStyle w:val="BodyText"/>
        <w:spacing w:line="424" w:lineRule="auto"/>
        <w:ind w:right="8520"/>
      </w:pPr>
      <w:r>
        <w:rPr>
          <w:rFonts w:ascii="Arial" w:eastAsia="Arial"/>
          <w:color w:val="0000CB"/>
        </w:rPr>
        <w:t>(6)</w:t>
      </w:r>
      <w:r>
        <w:rPr>
          <w:color w:val="0000CB"/>
        </w:rPr>
        <w:t>开发和编写电子商务平台表格码。</w:t>
      </w:r>
      <w:r>
        <w:rPr>
          <w:rFonts w:ascii="Arial" w:eastAsia="Arial"/>
          <w:color w:val="0000CB"/>
        </w:rPr>
        <w:t>(7)</w:t>
      </w:r>
      <w:r>
        <w:rPr>
          <w:color w:val="0000CB"/>
        </w:rPr>
        <w:t>测试，修改。</w:t>
      </w:r>
    </w:p>
    <w:p>
      <w:pPr>
        <w:pStyle w:val="ListParagraph"/>
        <w:numPr>
          <w:ilvl w:val="0"/>
          <w:numId w:val="12"/>
        </w:numPr>
        <w:tabs>
          <w:tab w:val="left" w:pos="1254"/>
        </w:tabs>
        <w:spacing w:before="0" w:after="0" w:line="395" w:lineRule="exact"/>
        <w:ind w:left="1254" w:right="0" w:hanging="477"/>
        <w:jc w:val="left"/>
        <w:rPr>
          <w:sz w:val="31"/>
        </w:rPr>
      </w:pPr>
      <w:r>
        <w:rPr>
          <w:color w:val="0000CB"/>
          <w:sz w:val="31"/>
        </w:rPr>
        <w:t>活动排序</w:t>
      </w:r>
    </w:p>
    <w:p>
      <w:pPr>
        <w:pStyle w:val="BodyText"/>
        <w:spacing w:before="301" w:line="424" w:lineRule="auto"/>
        <w:ind w:left="140" w:right="1773" w:firstLine="637"/>
      </w:pPr>
      <w:r>
        <w:rPr>
          <w:color w:val="0000CB"/>
          <w:spacing w:val="-16"/>
        </w:rPr>
        <w:t>在产品描述、活动清单的基础上，要找出项目活动之间的依赖关系和特殊领域的依赖关</w:t>
      </w:r>
      <w:r>
        <w:rPr>
          <w:color w:val="0000CB"/>
        </w:rPr>
        <w:t>系、工作顺序。</w:t>
      </w:r>
    </w:p>
    <w:p>
      <w:pPr>
        <w:pStyle w:val="BodyText"/>
        <w:spacing w:line="424" w:lineRule="auto"/>
        <w:ind w:left="140" w:right="1621" w:firstLine="637"/>
        <w:jc w:val="both"/>
      </w:pPr>
      <w:r>
        <w:rPr>
          <w:color w:val="0000CB"/>
        </w:rPr>
        <w:t>设立项目里程碑是排序工作中很重要的一部分</w:t>
      </w:r>
      <w:r>
        <w:rPr>
          <w:color w:val="0000CB"/>
          <w:spacing w:val="-14"/>
        </w:rPr>
        <w:t xml:space="preserve">。里程碑是项目中关键的事件及关键的目 </w:t>
      </w:r>
      <w:r>
        <w:rPr>
          <w:color w:val="0000CB"/>
          <w:spacing w:val="-16"/>
        </w:rPr>
        <w:t xml:space="preserve">标时间，是项目成功的重要因素。里程碑事件是确保完成项目需求的活动序列中不可或缺的 </w:t>
      </w:r>
      <w:r>
        <w:rPr>
          <w:color w:val="0000CB"/>
          <w:spacing w:val="-15"/>
        </w:rPr>
        <w:t>一部分。比如在开发项目中可以将需求的最终确认、产品移交等关键任务作为项目的里程碑。</w:t>
      </w:r>
    </w:p>
    <w:p>
      <w:pPr>
        <w:pStyle w:val="BodyText"/>
        <w:spacing w:line="424" w:lineRule="auto"/>
        <w:ind w:left="140" w:right="1807" w:firstLine="637"/>
      </w:pPr>
      <w:r>
        <w:rPr>
          <w:color w:val="0000CB"/>
        </w:rPr>
        <w:t>在进行项目活动排序时一般采用优先图示法、箭线图示法、条件图示法、网络模板这</w:t>
      </w:r>
      <w:r>
        <w:rPr>
          <w:rFonts w:ascii="Arial" w:eastAsia="Arial"/>
          <w:color w:val="0000CB"/>
        </w:rPr>
        <w:t xml:space="preserve">4 </w:t>
      </w:r>
      <w:r>
        <w:rPr>
          <w:color w:val="0000CB"/>
        </w:rPr>
        <w:t>种方法，最终形成一套项目网络图。</w:t>
      </w:r>
    </w:p>
    <w:p>
      <w:pPr>
        <w:pStyle w:val="ListParagraph"/>
        <w:numPr>
          <w:ilvl w:val="0"/>
          <w:numId w:val="12"/>
        </w:numPr>
        <w:tabs>
          <w:tab w:val="left" w:pos="1254"/>
        </w:tabs>
        <w:spacing w:before="0" w:after="0" w:line="396" w:lineRule="exact"/>
        <w:ind w:left="1254" w:right="0" w:hanging="477"/>
        <w:jc w:val="left"/>
        <w:rPr>
          <w:sz w:val="31"/>
        </w:rPr>
      </w:pPr>
      <w:r>
        <w:rPr>
          <w:color w:val="0000CB"/>
          <w:sz w:val="31"/>
        </w:rPr>
        <w:t>项目活动工期估算</w:t>
      </w:r>
    </w:p>
    <w:p>
      <w:pPr>
        <w:pStyle w:val="BodyText"/>
        <w:spacing w:before="300" w:line="424" w:lineRule="auto"/>
        <w:ind w:left="140" w:right="1794" w:firstLine="637"/>
        <w:jc w:val="both"/>
      </w:pPr>
      <w:r>
        <w:rPr>
          <w:color w:val="0000CB"/>
          <w:spacing w:val="-10"/>
        </w:rPr>
        <w:t>项目活动工期估算是根据项目范围、资源状况计划列出项目活动所需要的工期。在估算</w:t>
      </w:r>
      <w:r>
        <w:rPr>
          <w:color w:val="0000CB"/>
          <w:spacing w:val="-19"/>
        </w:rPr>
        <w:t>工期时要充分考虑活动清单、合理的资源需求、人员的能力因素，以及环境因素对项目工期</w:t>
      </w:r>
      <w:r>
        <w:rPr>
          <w:color w:val="0000CB"/>
        </w:rPr>
        <w:t>的影响。在对每项活动的工期估算中应充分考虑风险因素对工期的影响。</w:t>
      </w:r>
    </w:p>
    <w:p>
      <w:pPr>
        <w:pStyle w:val="BodyText"/>
        <w:spacing w:line="394" w:lineRule="exact"/>
      </w:pPr>
      <w:r>
        <w:rPr>
          <w:color w:val="0000CB"/>
        </w:rPr>
        <w:t>一般说来，工期估算可采取以下几种方式：</w:t>
      </w:r>
    </w:p>
    <w:p>
      <w:pPr>
        <w:pStyle w:val="BodyText"/>
        <w:spacing w:before="10"/>
        <w:ind w:left="0"/>
        <w:rPr>
          <w:sz w:val="23"/>
        </w:rPr>
      </w:pPr>
    </w:p>
    <w:p>
      <w:pPr>
        <w:pStyle w:val="ListParagraph"/>
        <w:numPr>
          <w:ilvl w:val="0"/>
          <w:numId w:val="8"/>
        </w:numPr>
        <w:tabs>
          <w:tab w:val="left" w:pos="1149"/>
        </w:tabs>
        <w:spacing w:before="0" w:after="0" w:line="240" w:lineRule="auto"/>
        <w:ind w:left="1148" w:right="0" w:hanging="372"/>
        <w:jc w:val="left"/>
        <w:rPr>
          <w:sz w:val="31"/>
        </w:rPr>
        <w:sectPr>
          <w:footerReference w:type="default" r:id="rId22"/>
          <w:pgSz w:w="17860" w:h="25260"/>
          <w:pgMar w:top="1980" w:right="880" w:bottom="2320" w:left="2560" w:header="0" w:footer="2125"/>
          <w:pgNumType w:start="13"/>
          <w:cols w:space="708"/>
        </w:sectPr>
      </w:pPr>
      <w:r>
        <w:rPr>
          <w:color w:val="0000CB"/>
          <w:sz w:val="31"/>
        </w:rPr>
        <w:t>专家评审。专家的判断主要依赖于历时的经验和信息。</w:t>
      </w:r>
    </w:p>
    <w:p>
      <w:pPr>
        <w:pStyle w:val="ListParagraph"/>
        <w:numPr>
          <w:ilvl w:val="0"/>
          <w:numId w:val="8"/>
        </w:numPr>
        <w:tabs>
          <w:tab w:val="left" w:pos="1149"/>
        </w:tabs>
        <w:spacing w:before="305" w:after="0" w:line="240" w:lineRule="auto"/>
        <w:ind w:left="1148" w:right="0" w:hanging="372"/>
        <w:jc w:val="left"/>
        <w:rPr>
          <w:sz w:val="31"/>
        </w:rPr>
      </w:pPr>
      <w:r>
        <w:rPr>
          <w:color w:val="0000CB"/>
          <w:sz w:val="31"/>
        </w:rPr>
        <w:t>类比估算。使用以前类似的活动的完成事件作为当前活动工期的估算基础，计算评</w:t>
      </w:r>
    </w:p>
    <w:p>
      <w:pPr>
        <w:spacing w:after="0" w:line="240" w:lineRule="auto"/>
        <w:jc w:val="left"/>
        <w:rPr>
          <w:sz w:val="31"/>
        </w:rPr>
        <w:sectPr>
          <w:footerReference w:type="default" r:id="rId23"/>
          <w:type w:val="nextPage"/>
          <w:pgSz w:w="17860" w:h="25260"/>
          <w:pgMar w:top="1980" w:right="880" w:bottom="2320" w:left="2560" w:header="0" w:footer="2125"/>
          <w:pgNumType w:start="14"/>
          <w:cols w:space="708"/>
          <w:titlePg w:val="0"/>
        </w:sectPr>
      </w:pPr>
    </w:p>
    <w:p>
      <w:pPr>
        <w:pStyle w:val="BodyText"/>
        <w:spacing w:before="44"/>
        <w:ind w:left="140"/>
      </w:pPr>
      <w:r>
        <w:rPr>
          <w:color w:val="0000CB"/>
        </w:rPr>
        <w:t>估工期。</w:t>
      </w:r>
    </w:p>
    <w:p>
      <w:pPr>
        <w:pStyle w:val="BodyText"/>
        <w:spacing w:before="11"/>
        <w:ind w:left="0"/>
        <w:rPr>
          <w:sz w:val="23"/>
        </w:rPr>
      </w:pPr>
    </w:p>
    <w:p>
      <w:pPr>
        <w:pStyle w:val="ListParagraph"/>
        <w:numPr>
          <w:ilvl w:val="0"/>
          <w:numId w:val="13"/>
        </w:numPr>
        <w:tabs>
          <w:tab w:val="left" w:pos="1149"/>
        </w:tabs>
        <w:spacing w:before="0" w:after="0" w:line="424" w:lineRule="auto"/>
        <w:ind w:left="140" w:right="1791" w:firstLine="637"/>
        <w:jc w:val="left"/>
        <w:rPr>
          <w:sz w:val="31"/>
        </w:rPr>
      </w:pPr>
      <w:r>
        <w:rPr>
          <w:color w:val="0000CB"/>
          <w:spacing w:val="-1"/>
          <w:sz w:val="31"/>
        </w:rPr>
        <w:t>基于数量的历时。由工程</w:t>
      </w:r>
      <w:r>
        <w:rPr>
          <w:rFonts w:ascii="Arial" w:eastAsia="Arial"/>
          <w:color w:val="0000CB"/>
          <w:sz w:val="31"/>
        </w:rPr>
        <w:t>/</w:t>
      </w:r>
      <w:r>
        <w:rPr>
          <w:color w:val="0000CB"/>
          <w:spacing w:val="-1"/>
          <w:sz w:val="31"/>
        </w:rPr>
        <w:t>设计所确定的每一特定类型工作所需完成的工作量，乘以</w:t>
      </w:r>
      <w:r>
        <w:rPr>
          <w:color w:val="0000CB"/>
          <w:sz w:val="31"/>
        </w:rPr>
        <w:t>生产率，所得结果用于估算活动历时。</w:t>
      </w:r>
    </w:p>
    <w:p>
      <w:pPr>
        <w:pStyle w:val="ListParagraph"/>
        <w:numPr>
          <w:ilvl w:val="0"/>
          <w:numId w:val="13"/>
        </w:numPr>
        <w:tabs>
          <w:tab w:val="left" w:pos="1149"/>
        </w:tabs>
        <w:spacing w:before="0" w:after="0" w:line="424" w:lineRule="auto"/>
        <w:ind w:left="777" w:right="3451" w:firstLine="0"/>
        <w:jc w:val="left"/>
        <w:rPr>
          <w:sz w:val="31"/>
        </w:rPr>
      </w:pPr>
      <w:r>
        <w:rPr>
          <w:color w:val="0000CB"/>
          <w:spacing w:val="-1"/>
          <w:sz w:val="31"/>
        </w:rPr>
        <w:t>保留时间。工期估算中预留一定比例作为冗余时间，以应付项目风险。</w:t>
      </w:r>
      <w:r>
        <w:rPr>
          <w:rFonts w:ascii="Arial" w:eastAsia="Arial"/>
          <w:color w:val="0000CB"/>
          <w:sz w:val="31"/>
        </w:rPr>
        <w:t>4</w:t>
      </w:r>
      <w:r>
        <w:rPr>
          <w:color w:val="0000CB"/>
          <w:sz w:val="31"/>
        </w:rPr>
        <w:t>）安排进度表</w:t>
      </w:r>
    </w:p>
    <w:p>
      <w:pPr>
        <w:pStyle w:val="BodyText"/>
        <w:spacing w:line="424" w:lineRule="auto"/>
        <w:ind w:left="140" w:right="1604" w:firstLine="637"/>
      </w:pPr>
      <w:r>
        <w:rPr>
          <w:color w:val="0000CB"/>
        </w:rPr>
        <w:t>项目的进度计划意味着明确定义项目活动的开始和结束日期</w:t>
      </w:r>
      <w:r>
        <w:rPr>
          <w:color w:val="0000CB"/>
          <w:spacing w:val="-19"/>
        </w:rPr>
        <w:t>。进度表的确定应根据项目 网络图、估算的活动工期、资源需求、资源共享情况、项目执行的工作日历、进度限制、最</w:t>
      </w:r>
      <w:r>
        <w:rPr>
          <w:color w:val="0000CB"/>
        </w:rPr>
        <w:t>早和最晚时间、风险管理计划、活动特征等统一考虑。</w:t>
      </w:r>
    </w:p>
    <w:p>
      <w:pPr>
        <w:pStyle w:val="BodyText"/>
        <w:spacing w:line="395" w:lineRule="exact"/>
      </w:pPr>
      <w:r>
        <w:rPr>
          <w:rFonts w:ascii="Arial" w:eastAsia="Arial"/>
          <w:color w:val="0000CB"/>
        </w:rPr>
        <w:t>5</w:t>
      </w:r>
      <w:r>
        <w:rPr>
          <w:color w:val="0000CB"/>
        </w:rPr>
        <w:t>）进度控制</w:t>
      </w:r>
    </w:p>
    <w:p>
      <w:pPr>
        <w:pStyle w:val="BodyText"/>
        <w:spacing w:before="301" w:line="424" w:lineRule="auto"/>
        <w:ind w:left="140" w:right="1790" w:firstLine="637"/>
        <w:jc w:val="both"/>
      </w:pPr>
      <w:r>
        <w:rPr>
          <w:color w:val="0000CB"/>
          <w:spacing w:val="-10"/>
        </w:rPr>
        <w:t>进度控制主要是监督进度的执行状况，及时发现和纠正偏差、错误。在控制中要考虑影</w:t>
      </w:r>
      <w:r>
        <w:rPr>
          <w:color w:val="0000CB"/>
          <w:spacing w:val="-17"/>
        </w:rPr>
        <w:t>响项目进度变化的因素，项目进度变更对其他部分的影响因素，以及进度表变更时应采取的</w:t>
      </w:r>
      <w:r>
        <w:rPr>
          <w:color w:val="0000CB"/>
        </w:rPr>
        <w:t>实际措施。</w:t>
      </w:r>
    </w:p>
    <w:p>
      <w:pPr>
        <w:pStyle w:val="BodyText"/>
        <w:spacing w:line="424" w:lineRule="auto"/>
        <w:ind w:left="140" w:right="1804" w:firstLine="637"/>
        <w:jc w:val="both"/>
      </w:pPr>
      <w:r>
        <w:drawing>
          <wp:anchor distT="0" distB="0" distL="0" distR="0" simplePos="0" relativeHeight="251664384" behindDoc="1" locked="0" layoutInCell="1" allowOverlap="1">
            <wp:simplePos x="0" y="0"/>
            <wp:positionH relativeFrom="page">
              <wp:posOffset>2119376</wp:posOffset>
            </wp:positionH>
            <wp:positionV relativeFrom="paragraph">
              <wp:posOffset>852889</wp:posOffset>
            </wp:positionV>
            <wp:extent cx="6149424" cy="2163697"/>
            <wp:effectExtent l="0" t="0" r="0" b="0"/>
            <wp:wrapNone/>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jpeg"/>
                    <pic:cNvPicPr/>
                  </pic:nvPicPr>
                  <pic:blipFill>
                    <a:blip xmlns:r="http://schemas.openxmlformats.org/officeDocument/2006/relationships" r:embed="rId24" cstate="print"/>
                    <a:stretch>
                      <a:fillRect/>
                    </a:stretch>
                  </pic:blipFill>
                  <pic:spPr>
                    <a:xfrm>
                      <a:off x="0" y="0"/>
                      <a:ext cx="6149424" cy="2163697"/>
                    </a:xfrm>
                    <a:prstGeom prst="rect">
                      <a:avLst/>
                    </a:prstGeom>
                  </pic:spPr>
                </pic:pic>
              </a:graphicData>
            </a:graphic>
          </wp:anchor>
        </w:drawing>
      </w:r>
      <w:r>
        <w:rPr>
          <w:color w:val="0000CB"/>
          <w:spacing w:val="-5"/>
        </w:rPr>
        <w:t xml:space="preserve">根据本题的场景描述，共有 </w:t>
      </w:r>
      <w:r>
        <w:rPr>
          <w:rFonts w:ascii="Arial" w:eastAsia="Arial"/>
          <w:color w:val="0000CB"/>
        </w:rPr>
        <w:t xml:space="preserve">7 </w:t>
      </w:r>
      <w:r>
        <w:rPr>
          <w:color w:val="0000CB"/>
          <w:spacing w:val="-13"/>
        </w:rPr>
        <w:t>项主要任务。首先对任务编号并进行任务的排序，编号及</w:t>
      </w:r>
      <w:r>
        <w:rPr>
          <w:color w:val="0000CB"/>
        </w:rPr>
        <w:t>排序如下表所示。</w:t>
      </w: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spacing w:before="11"/>
        <w:ind w:left="0"/>
        <w:rPr>
          <w:sz w:val="35"/>
        </w:rPr>
      </w:pPr>
    </w:p>
    <w:p>
      <w:pPr>
        <w:pStyle w:val="BodyText"/>
        <w:spacing w:after="3" w:line="424" w:lineRule="auto"/>
        <w:ind w:left="140" w:right="1808" w:firstLine="637"/>
      </w:pPr>
      <w:r>
        <w:rPr>
          <w:color w:val="0000CB"/>
          <w:spacing w:val="-15"/>
        </w:rPr>
        <w:t>第二步：根据题目信息比较正常的时间和赶工的时间，以及正常费用和赶工费用，同时</w:t>
      </w:r>
      <w:r>
        <w:rPr>
          <w:color w:val="0000CB"/>
        </w:rPr>
        <w:t>计算出赶工费用率，如下表所示。</w:t>
      </w:r>
    </w:p>
    <w:p>
      <w:pPr>
        <w:pStyle w:val="BodyText"/>
        <w:ind w:left="800"/>
        <w:rPr>
          <w:sz w:val="20"/>
        </w:rPr>
      </w:pPr>
      <w:r>
        <w:rPr>
          <w:sz w:val="20"/>
        </w:rPr>
        <w:drawing>
          <wp:inline distT="0" distB="0" distL="0" distR="0">
            <wp:extent cx="7672460" cy="3014662"/>
            <wp:effectExtent l="0" t="0" r="0" b="0"/>
            <wp:docPr id="13"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jpeg"/>
                    <pic:cNvPicPr/>
                  </pic:nvPicPr>
                  <pic:blipFill>
                    <a:blip xmlns:r="http://schemas.openxmlformats.org/officeDocument/2006/relationships" r:embed="rId25" cstate="print"/>
                    <a:stretch>
                      <a:fillRect/>
                    </a:stretch>
                  </pic:blipFill>
                  <pic:spPr>
                    <a:xfrm>
                      <a:off x="0" y="0"/>
                      <a:ext cx="7672460" cy="3014662"/>
                    </a:xfrm>
                    <a:prstGeom prst="rect">
                      <a:avLst/>
                    </a:prstGeom>
                  </pic:spPr>
                </pic:pic>
              </a:graphicData>
            </a:graphic>
          </wp:inline>
        </w:drawing>
      </w:r>
    </w:p>
    <w:p>
      <w:pPr>
        <w:pStyle w:val="BodyText"/>
        <w:spacing w:before="11"/>
        <w:ind w:left="0"/>
        <w:rPr>
          <w:sz w:val="30"/>
        </w:rPr>
      </w:pPr>
    </w:p>
    <w:p>
      <w:pPr>
        <w:pStyle w:val="BodyText"/>
        <w:spacing w:before="1"/>
      </w:pPr>
      <w:r>
        <w:rPr>
          <w:color w:val="0000CB"/>
        </w:rPr>
        <w:t>第三步：根据活动编号画出该项目的双代号网络图，如下图所示。</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https://d.book118.com/888127125105006024</w:t>
        </w:r>
      </w:hyperlink>
    </w:p>
    <w:p>
      <w:pPr>
        <w:spacing w:after="0"/>
      </w:pPr>
    </w:p>
    <w:sectPr>
      <w:footerReference w:type="default" r:id="rId27"/>
      <w:pgSz w:w="17860" w:h="25260"/>
      <w:pgMar w:top="1980" w:right="880" w:bottom="2320" w:left="2560" w:header="0" w:footer="2125"/>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45.7pt;height:15.5pt;margin-top:1145.62pt;margin-left:427.64pt;mso-position-horizontal-relative:page;mso-position-vertical-relative:page;position:absolute;z-index:-251658240"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1</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45.7pt;height:15.5pt;margin-top:1145.62pt;margin-left:427.64pt;mso-position-horizontal-relative:page;mso-position-vertical-relative:page;position:absolute;z-index:-251657216"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29</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45.7pt;height:15.5pt;margin-top:1145.62pt;margin-left:427.64pt;mso-position-horizontal-relative:page;mso-position-vertical-relative:page;position:absolute;z-index:-251656192"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29</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45.7pt;height:15.5pt;margin-top:1145.62pt;margin-left:427.64pt;mso-position-horizontal-relative:page;mso-position-vertical-relative:page;position:absolute;z-index:-251655168"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4</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45.7pt;height:15.5pt;margin-top:1145.62pt;margin-left:427.64pt;mso-position-horizontal-relative:page;mso-position-vertical-relative:page;position:absolute;z-index:-251654144"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5</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45.7pt;height:15.5pt;margin-top:1145.62pt;margin-left:427.64pt;mso-position-horizontal-relative:page;mso-position-vertical-relative:page;position:absolute;z-index:-251653120"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6</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45.7pt;height:15.5pt;margin-top:1145.62pt;margin-left:427.64pt;mso-position-horizontal-relative:page;mso-position-vertical-relative:page;position:absolute;z-index:-251652096"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7</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45.7pt;height:15.5pt;margin-top:1145.62pt;margin-left:427.64pt;mso-position-horizontal-relative:page;mso-position-vertical-relative:page;position:absolute;z-index:-251651072"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8</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45.7pt;height:15.5pt;margin-top:1145.62pt;margin-left:427.64pt;mso-position-horizontal-relative:page;mso-position-vertical-relative:page;position:absolute;z-index:-251650048"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9</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45.7pt;height:15.5pt;margin-top:1145.62pt;margin-left:427.64pt;mso-position-horizontal-relative:page;mso-position-vertical-relative:page;position:absolute;z-index:-251649024"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10</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45.7pt;height:15.5pt;margin-top:1145.62pt;margin-left:427.64pt;mso-position-horizontal-relative:page;mso-position-vertical-relative:page;position:absolute;z-index:-251648000"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11</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45.7pt;height:15.5pt;margin-top:1145.62pt;margin-left:427.64pt;mso-position-horizontal-relative:page;mso-position-vertical-relative:page;position:absolute;z-index:-251646976"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12</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45.7pt;height:15.5pt;margin-top:1145.62pt;margin-left:427.64pt;mso-position-horizontal-relative:page;mso-position-vertical-relative:page;position:absolute;z-index:-251645952"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13</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45.7pt;height:15.5pt;margin-top:1145.62pt;margin-left:427.64pt;mso-position-horizontal-relative:page;mso-position-vertical-relative:page;position:absolute;z-index:-251644928"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14</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45.7pt;height:15.5pt;margin-top:1145.62pt;margin-left:427.64pt;mso-position-horizontal-relative:page;mso-position-vertical-relative:page;position:absolute;z-index:-251643904" filled="f" stroked="f">
          <v:textbox inset="0,0,0,0">
            <w:txbxContent>
              <w:p>
                <w:pPr>
                  <w:spacing w:before="0" w:line="295" w:lineRule="exact"/>
                  <w:ind w:left="60" w:right="0" w:firstLine="0"/>
                  <w:jc w:val="left"/>
                  <w:rPr>
                    <w:rFonts w:ascii="Calibri"/>
                    <w:b/>
                    <w:sz w:val="27"/>
                  </w:rPr>
                </w:pPr>
                <w:r>
                  <w:fldChar w:fldCharType="begin"/>
                </w:r>
                <w:r>
                  <w:rPr>
                    <w:rFonts w:ascii="Calibri"/>
                    <w:b/>
                    <w:sz w:val="27"/>
                  </w:rPr>
                  <w:instrText xml:space="preserve"> PAGE </w:instrText>
                </w:r>
                <w:r>
                  <w:fldChar w:fldCharType="separate"/>
                </w:r>
                <w:r>
                  <w:rPr>
                    <w:rFonts w:ascii="Calibri"/>
                    <w:b/>
                    <w:sz w:val="27"/>
                  </w:rPr>
                  <w:t>16</w:t>
                </w:r>
                <w:r>
                  <w:fldChar w:fldCharType="end"/>
                </w:r>
                <w:r>
                  <w:rPr>
                    <w:rFonts w:ascii="Calibri"/>
                    <w:b/>
                    <w:sz w:val="27"/>
                  </w:rPr>
                  <w:t xml:space="preserve"> </w:t>
                </w:r>
                <w:r>
                  <w:rPr>
                    <w:rFonts w:ascii="Calibri"/>
                    <w:sz w:val="27"/>
                  </w:rPr>
                  <w:t xml:space="preserve">/ </w:t>
                </w:r>
                <w:r>
                  <w:rPr>
                    <w:rFonts w:ascii="Calibri"/>
                    <w:b/>
                    <w:sz w:val="27"/>
                  </w:rPr>
                  <w:t>23</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1C9FAD"/>
    <w:multiLevelType w:val="hybridMultilevel"/>
    <w:tmpl w:val="00000000"/>
    <w:lvl w:ilvl="0">
      <w:start w:val="2"/>
      <w:numFmt w:val="decimal"/>
      <w:lvlText w:val="(%1)"/>
      <w:lvlJc w:val="left"/>
      <w:pPr>
        <w:ind w:left="1148" w:hanging="371"/>
        <w:jc w:val="left"/>
      </w:pPr>
      <w:rPr>
        <w:rFonts w:ascii="Arial" w:eastAsia="Arial" w:hAnsi="Arial" w:cs="Arial" w:hint="default"/>
        <w:color w:val="0000CB"/>
        <w:spacing w:val="-3"/>
        <w:w w:val="97"/>
        <w:sz w:val="29"/>
        <w:szCs w:val="29"/>
      </w:rPr>
    </w:lvl>
    <w:lvl w:ilvl="1">
      <w:start w:val="0"/>
      <w:numFmt w:val="bullet"/>
      <w:lvlText w:val="•"/>
      <w:lvlJc w:val="left"/>
      <w:pPr>
        <w:ind w:left="2467" w:hanging="371"/>
      </w:pPr>
      <w:rPr>
        <w:rFonts w:hint="default"/>
      </w:rPr>
    </w:lvl>
    <w:lvl w:ilvl="2">
      <w:start w:val="0"/>
      <w:numFmt w:val="bullet"/>
      <w:lvlText w:val="•"/>
      <w:lvlJc w:val="left"/>
      <w:pPr>
        <w:ind w:left="3795" w:hanging="371"/>
      </w:pPr>
      <w:rPr>
        <w:rFonts w:hint="default"/>
      </w:rPr>
    </w:lvl>
    <w:lvl w:ilvl="3">
      <w:start w:val="0"/>
      <w:numFmt w:val="bullet"/>
      <w:lvlText w:val="•"/>
      <w:lvlJc w:val="left"/>
      <w:pPr>
        <w:ind w:left="5123" w:hanging="371"/>
      </w:pPr>
      <w:rPr>
        <w:rFonts w:hint="default"/>
      </w:rPr>
    </w:lvl>
    <w:lvl w:ilvl="4">
      <w:start w:val="0"/>
      <w:numFmt w:val="bullet"/>
      <w:lvlText w:val="•"/>
      <w:lvlJc w:val="left"/>
      <w:pPr>
        <w:ind w:left="6451" w:hanging="371"/>
      </w:pPr>
      <w:rPr>
        <w:rFonts w:hint="default"/>
      </w:rPr>
    </w:lvl>
    <w:lvl w:ilvl="5">
      <w:start w:val="0"/>
      <w:numFmt w:val="bullet"/>
      <w:lvlText w:val="•"/>
      <w:lvlJc w:val="left"/>
      <w:pPr>
        <w:ind w:left="7779" w:hanging="371"/>
      </w:pPr>
      <w:rPr>
        <w:rFonts w:hint="default"/>
      </w:rPr>
    </w:lvl>
    <w:lvl w:ilvl="6">
      <w:start w:val="0"/>
      <w:numFmt w:val="bullet"/>
      <w:lvlText w:val="•"/>
      <w:lvlJc w:val="left"/>
      <w:pPr>
        <w:ind w:left="9107" w:hanging="371"/>
      </w:pPr>
      <w:rPr>
        <w:rFonts w:hint="default"/>
      </w:rPr>
    </w:lvl>
    <w:lvl w:ilvl="7">
      <w:start w:val="0"/>
      <w:numFmt w:val="bullet"/>
      <w:lvlText w:val="•"/>
      <w:lvlJc w:val="left"/>
      <w:pPr>
        <w:ind w:left="10435" w:hanging="371"/>
      </w:pPr>
      <w:rPr>
        <w:rFonts w:hint="default"/>
      </w:rPr>
    </w:lvl>
    <w:lvl w:ilvl="8">
      <w:start w:val="0"/>
      <w:numFmt w:val="bullet"/>
      <w:lvlText w:val="•"/>
      <w:lvlJc w:val="left"/>
      <w:pPr>
        <w:ind w:left="11763" w:hanging="371"/>
      </w:pPr>
      <w:rPr>
        <w:rFonts w:hint="default"/>
      </w:rPr>
    </w:lvl>
  </w:abstractNum>
  <w:abstractNum w:abstractNumId="1">
    <w:nsid w:val="1A3BF3B0"/>
    <w:multiLevelType w:val="hybridMultilevel"/>
    <w:tmpl w:val="00000000"/>
    <w:lvl w:ilvl="0">
      <w:start w:val="1"/>
      <w:numFmt w:val="decimal"/>
      <w:lvlText w:val="(%1)"/>
      <w:lvlJc w:val="left"/>
      <w:pPr>
        <w:ind w:left="1148" w:hanging="371"/>
        <w:jc w:val="left"/>
      </w:pPr>
      <w:rPr>
        <w:rFonts w:ascii="Arial" w:eastAsia="Arial" w:hAnsi="Arial" w:cs="Arial" w:hint="default"/>
        <w:color w:val="0000CB"/>
        <w:spacing w:val="-3"/>
        <w:w w:val="97"/>
        <w:sz w:val="29"/>
        <w:szCs w:val="29"/>
      </w:rPr>
    </w:lvl>
    <w:lvl w:ilvl="1">
      <w:start w:val="0"/>
      <w:numFmt w:val="bullet"/>
      <w:lvlText w:val="•"/>
      <w:lvlJc w:val="left"/>
      <w:pPr>
        <w:ind w:left="2467" w:hanging="371"/>
      </w:pPr>
      <w:rPr>
        <w:rFonts w:hint="default"/>
      </w:rPr>
    </w:lvl>
    <w:lvl w:ilvl="2">
      <w:start w:val="0"/>
      <w:numFmt w:val="bullet"/>
      <w:lvlText w:val="•"/>
      <w:lvlJc w:val="left"/>
      <w:pPr>
        <w:ind w:left="3795" w:hanging="371"/>
      </w:pPr>
      <w:rPr>
        <w:rFonts w:hint="default"/>
      </w:rPr>
    </w:lvl>
    <w:lvl w:ilvl="3">
      <w:start w:val="0"/>
      <w:numFmt w:val="bullet"/>
      <w:lvlText w:val="•"/>
      <w:lvlJc w:val="left"/>
      <w:pPr>
        <w:ind w:left="5123" w:hanging="371"/>
      </w:pPr>
      <w:rPr>
        <w:rFonts w:hint="default"/>
      </w:rPr>
    </w:lvl>
    <w:lvl w:ilvl="4">
      <w:start w:val="0"/>
      <w:numFmt w:val="bullet"/>
      <w:lvlText w:val="•"/>
      <w:lvlJc w:val="left"/>
      <w:pPr>
        <w:ind w:left="6451" w:hanging="371"/>
      </w:pPr>
      <w:rPr>
        <w:rFonts w:hint="default"/>
      </w:rPr>
    </w:lvl>
    <w:lvl w:ilvl="5">
      <w:start w:val="0"/>
      <w:numFmt w:val="bullet"/>
      <w:lvlText w:val="•"/>
      <w:lvlJc w:val="left"/>
      <w:pPr>
        <w:ind w:left="7779" w:hanging="371"/>
      </w:pPr>
      <w:rPr>
        <w:rFonts w:hint="default"/>
      </w:rPr>
    </w:lvl>
    <w:lvl w:ilvl="6">
      <w:start w:val="0"/>
      <w:numFmt w:val="bullet"/>
      <w:lvlText w:val="•"/>
      <w:lvlJc w:val="left"/>
      <w:pPr>
        <w:ind w:left="9107" w:hanging="371"/>
      </w:pPr>
      <w:rPr>
        <w:rFonts w:hint="default"/>
      </w:rPr>
    </w:lvl>
    <w:lvl w:ilvl="7">
      <w:start w:val="0"/>
      <w:numFmt w:val="bullet"/>
      <w:lvlText w:val="•"/>
      <w:lvlJc w:val="left"/>
      <w:pPr>
        <w:ind w:left="10435" w:hanging="371"/>
      </w:pPr>
      <w:rPr>
        <w:rFonts w:hint="default"/>
      </w:rPr>
    </w:lvl>
    <w:lvl w:ilvl="8">
      <w:start w:val="0"/>
      <w:numFmt w:val="bullet"/>
      <w:lvlText w:val="•"/>
      <w:lvlJc w:val="left"/>
      <w:pPr>
        <w:ind w:left="11763" w:hanging="371"/>
      </w:pPr>
      <w:rPr>
        <w:rFonts w:hint="default"/>
      </w:rPr>
    </w:lvl>
  </w:abstractNum>
  <w:abstractNum w:abstractNumId="2">
    <w:nsid w:val="1A90D845"/>
    <w:multiLevelType w:val="hybridMultilevel"/>
    <w:tmpl w:val="00000000"/>
    <w:lvl w:ilvl="0">
      <w:start w:val="6"/>
      <w:numFmt w:val="decimal"/>
      <w:lvlText w:val="%1"/>
      <w:lvlJc w:val="left"/>
      <w:pPr>
        <w:ind w:left="691" w:hanging="551"/>
        <w:jc w:val="left"/>
      </w:pPr>
      <w:rPr>
        <w:rFonts w:hint="default"/>
      </w:rPr>
    </w:lvl>
    <w:lvl w:ilvl="1">
      <w:start w:val="1"/>
      <w:numFmt w:val="decimal"/>
      <w:lvlText w:val="%1.%2"/>
      <w:lvlJc w:val="left"/>
      <w:pPr>
        <w:ind w:left="691" w:hanging="551"/>
        <w:jc w:val="left"/>
      </w:pPr>
      <w:rPr>
        <w:rFonts w:ascii="Arial" w:eastAsia="Arial" w:hAnsi="Arial" w:cs="Arial" w:hint="default"/>
        <w:b/>
        <w:bCs/>
        <w:color w:val="FF0000"/>
        <w:w w:val="91"/>
        <w:sz w:val="31"/>
        <w:szCs w:val="31"/>
      </w:rPr>
    </w:lvl>
    <w:lvl w:ilvl="2">
      <w:start w:val="1"/>
      <w:numFmt w:val="decimal"/>
      <w:lvlText w:val="（%3）"/>
      <w:lvlJc w:val="left"/>
      <w:pPr>
        <w:ind w:left="1570" w:hanging="793"/>
        <w:jc w:val="left"/>
      </w:pPr>
      <w:rPr>
        <w:rFonts w:ascii="宋体" w:eastAsia="宋体" w:hAnsi="宋体" w:cs="宋体" w:hint="default"/>
        <w:color w:val="0000CB"/>
        <w:w w:val="91"/>
        <w:sz w:val="29"/>
        <w:szCs w:val="29"/>
      </w:rPr>
    </w:lvl>
    <w:lvl w:ilvl="3">
      <w:start w:val="0"/>
      <w:numFmt w:val="bullet"/>
      <w:lvlText w:val="•"/>
      <w:lvlJc w:val="left"/>
      <w:pPr>
        <w:ind w:left="4433" w:hanging="793"/>
      </w:pPr>
      <w:rPr>
        <w:rFonts w:hint="default"/>
      </w:rPr>
    </w:lvl>
    <w:lvl w:ilvl="4">
      <w:start w:val="0"/>
      <w:numFmt w:val="bullet"/>
      <w:lvlText w:val="•"/>
      <w:lvlJc w:val="left"/>
      <w:pPr>
        <w:ind w:left="5859" w:hanging="793"/>
      </w:pPr>
      <w:rPr>
        <w:rFonts w:hint="default"/>
      </w:rPr>
    </w:lvl>
    <w:lvl w:ilvl="5">
      <w:start w:val="0"/>
      <w:numFmt w:val="bullet"/>
      <w:lvlText w:val="•"/>
      <w:lvlJc w:val="left"/>
      <w:pPr>
        <w:ind w:left="7286" w:hanging="793"/>
      </w:pPr>
      <w:rPr>
        <w:rFonts w:hint="default"/>
      </w:rPr>
    </w:lvl>
    <w:lvl w:ilvl="6">
      <w:start w:val="0"/>
      <w:numFmt w:val="bullet"/>
      <w:lvlText w:val="•"/>
      <w:lvlJc w:val="left"/>
      <w:pPr>
        <w:ind w:left="8713" w:hanging="793"/>
      </w:pPr>
      <w:rPr>
        <w:rFonts w:hint="default"/>
      </w:rPr>
    </w:lvl>
    <w:lvl w:ilvl="7">
      <w:start w:val="0"/>
      <w:numFmt w:val="bullet"/>
      <w:lvlText w:val="•"/>
      <w:lvlJc w:val="left"/>
      <w:pPr>
        <w:ind w:left="10139" w:hanging="793"/>
      </w:pPr>
      <w:rPr>
        <w:rFonts w:hint="default"/>
      </w:rPr>
    </w:lvl>
    <w:lvl w:ilvl="8">
      <w:start w:val="0"/>
      <w:numFmt w:val="bullet"/>
      <w:lvlText w:val="•"/>
      <w:lvlJc w:val="left"/>
      <w:pPr>
        <w:ind w:left="11566" w:hanging="793"/>
      </w:pPr>
      <w:rPr>
        <w:rFonts w:hint="default"/>
      </w:rPr>
    </w:lvl>
  </w:abstractNum>
  <w:abstractNum w:abstractNumId="3">
    <w:nsid w:val="1EF4EEBE"/>
    <w:multiLevelType w:val="hybridMultilevel"/>
    <w:tmpl w:val="00000000"/>
    <w:lvl w:ilvl="0">
      <w:start w:val="1"/>
      <w:numFmt w:val="decimal"/>
      <w:lvlText w:val="%1."/>
      <w:lvlJc w:val="left"/>
      <w:pPr>
        <w:ind w:left="1254" w:hanging="477"/>
        <w:jc w:val="left"/>
      </w:pPr>
      <w:rPr>
        <w:rFonts w:hint="default"/>
        <w:w w:val="98"/>
      </w:rPr>
    </w:lvl>
    <w:lvl w:ilvl="1">
      <w:start w:val="0"/>
      <w:numFmt w:val="bullet"/>
      <w:lvlText w:val="•"/>
      <w:lvlJc w:val="left"/>
      <w:pPr>
        <w:ind w:left="2575" w:hanging="477"/>
      </w:pPr>
      <w:rPr>
        <w:rFonts w:hint="default"/>
      </w:rPr>
    </w:lvl>
    <w:lvl w:ilvl="2">
      <w:start w:val="0"/>
      <w:numFmt w:val="bullet"/>
      <w:lvlText w:val="•"/>
      <w:lvlJc w:val="left"/>
      <w:pPr>
        <w:ind w:left="3891" w:hanging="477"/>
      </w:pPr>
      <w:rPr>
        <w:rFonts w:hint="default"/>
      </w:rPr>
    </w:lvl>
    <w:lvl w:ilvl="3">
      <w:start w:val="0"/>
      <w:numFmt w:val="bullet"/>
      <w:lvlText w:val="•"/>
      <w:lvlJc w:val="left"/>
      <w:pPr>
        <w:ind w:left="5207" w:hanging="477"/>
      </w:pPr>
      <w:rPr>
        <w:rFonts w:hint="default"/>
      </w:rPr>
    </w:lvl>
    <w:lvl w:ilvl="4">
      <w:start w:val="0"/>
      <w:numFmt w:val="bullet"/>
      <w:lvlText w:val="•"/>
      <w:lvlJc w:val="left"/>
      <w:pPr>
        <w:ind w:left="6523" w:hanging="477"/>
      </w:pPr>
      <w:rPr>
        <w:rFonts w:hint="default"/>
      </w:rPr>
    </w:lvl>
    <w:lvl w:ilvl="5">
      <w:start w:val="0"/>
      <w:numFmt w:val="bullet"/>
      <w:lvlText w:val="•"/>
      <w:lvlJc w:val="left"/>
      <w:pPr>
        <w:ind w:left="7839" w:hanging="477"/>
      </w:pPr>
      <w:rPr>
        <w:rFonts w:hint="default"/>
      </w:rPr>
    </w:lvl>
    <w:lvl w:ilvl="6">
      <w:start w:val="0"/>
      <w:numFmt w:val="bullet"/>
      <w:lvlText w:val="•"/>
      <w:lvlJc w:val="left"/>
      <w:pPr>
        <w:ind w:left="9155" w:hanging="477"/>
      </w:pPr>
      <w:rPr>
        <w:rFonts w:hint="default"/>
      </w:rPr>
    </w:lvl>
    <w:lvl w:ilvl="7">
      <w:start w:val="0"/>
      <w:numFmt w:val="bullet"/>
      <w:lvlText w:val="•"/>
      <w:lvlJc w:val="left"/>
      <w:pPr>
        <w:ind w:left="10471" w:hanging="477"/>
      </w:pPr>
      <w:rPr>
        <w:rFonts w:hint="default"/>
      </w:rPr>
    </w:lvl>
    <w:lvl w:ilvl="8">
      <w:start w:val="0"/>
      <w:numFmt w:val="bullet"/>
      <w:lvlText w:val="•"/>
      <w:lvlJc w:val="left"/>
      <w:pPr>
        <w:ind w:left="11787" w:hanging="477"/>
      </w:pPr>
      <w:rPr>
        <w:rFonts w:hint="default"/>
      </w:rPr>
    </w:lvl>
  </w:abstractNum>
  <w:abstractNum w:abstractNumId="4">
    <w:nsid w:val="1F8A7E4D"/>
    <w:multiLevelType w:val="hybridMultilevel"/>
    <w:tmpl w:val="00000000"/>
    <w:lvl w:ilvl="0">
      <w:start w:val="1"/>
      <w:numFmt w:val="decimal"/>
      <w:lvlText w:val="%1）"/>
      <w:lvlJc w:val="left"/>
      <w:pPr>
        <w:ind w:left="1254" w:hanging="477"/>
        <w:jc w:val="left"/>
      </w:pPr>
      <w:rPr>
        <w:rFonts w:ascii="Arial" w:eastAsia="Arial" w:hAnsi="Arial" w:cs="Arial" w:hint="default"/>
        <w:color w:val="0000CB"/>
        <w:w w:val="91"/>
        <w:sz w:val="29"/>
        <w:szCs w:val="29"/>
      </w:rPr>
    </w:lvl>
    <w:lvl w:ilvl="1">
      <w:start w:val="0"/>
      <w:numFmt w:val="bullet"/>
      <w:lvlText w:val="•"/>
      <w:lvlJc w:val="left"/>
      <w:pPr>
        <w:ind w:left="2575" w:hanging="477"/>
      </w:pPr>
      <w:rPr>
        <w:rFonts w:hint="default"/>
      </w:rPr>
    </w:lvl>
    <w:lvl w:ilvl="2">
      <w:start w:val="0"/>
      <w:numFmt w:val="bullet"/>
      <w:lvlText w:val="•"/>
      <w:lvlJc w:val="left"/>
      <w:pPr>
        <w:ind w:left="3891" w:hanging="477"/>
      </w:pPr>
      <w:rPr>
        <w:rFonts w:hint="default"/>
      </w:rPr>
    </w:lvl>
    <w:lvl w:ilvl="3">
      <w:start w:val="0"/>
      <w:numFmt w:val="bullet"/>
      <w:lvlText w:val="•"/>
      <w:lvlJc w:val="left"/>
      <w:pPr>
        <w:ind w:left="5207" w:hanging="477"/>
      </w:pPr>
      <w:rPr>
        <w:rFonts w:hint="default"/>
      </w:rPr>
    </w:lvl>
    <w:lvl w:ilvl="4">
      <w:start w:val="0"/>
      <w:numFmt w:val="bullet"/>
      <w:lvlText w:val="•"/>
      <w:lvlJc w:val="left"/>
      <w:pPr>
        <w:ind w:left="6523" w:hanging="477"/>
      </w:pPr>
      <w:rPr>
        <w:rFonts w:hint="default"/>
      </w:rPr>
    </w:lvl>
    <w:lvl w:ilvl="5">
      <w:start w:val="0"/>
      <w:numFmt w:val="bullet"/>
      <w:lvlText w:val="•"/>
      <w:lvlJc w:val="left"/>
      <w:pPr>
        <w:ind w:left="7839" w:hanging="477"/>
      </w:pPr>
      <w:rPr>
        <w:rFonts w:hint="default"/>
      </w:rPr>
    </w:lvl>
    <w:lvl w:ilvl="6">
      <w:start w:val="0"/>
      <w:numFmt w:val="bullet"/>
      <w:lvlText w:val="•"/>
      <w:lvlJc w:val="left"/>
      <w:pPr>
        <w:ind w:left="9155" w:hanging="477"/>
      </w:pPr>
      <w:rPr>
        <w:rFonts w:hint="default"/>
      </w:rPr>
    </w:lvl>
    <w:lvl w:ilvl="7">
      <w:start w:val="0"/>
      <w:numFmt w:val="bullet"/>
      <w:lvlText w:val="•"/>
      <w:lvlJc w:val="left"/>
      <w:pPr>
        <w:ind w:left="10471" w:hanging="477"/>
      </w:pPr>
      <w:rPr>
        <w:rFonts w:hint="default"/>
      </w:rPr>
    </w:lvl>
    <w:lvl w:ilvl="8">
      <w:start w:val="0"/>
      <w:numFmt w:val="bullet"/>
      <w:lvlText w:val="•"/>
      <w:lvlJc w:val="left"/>
      <w:pPr>
        <w:ind w:left="11787" w:hanging="477"/>
      </w:pPr>
      <w:rPr>
        <w:rFonts w:hint="default"/>
      </w:rPr>
    </w:lvl>
  </w:abstractNum>
  <w:abstractNum w:abstractNumId="5">
    <w:nsid w:val="30D5F0A7"/>
    <w:multiLevelType w:val="hybridMultilevel"/>
    <w:tmpl w:val="00000000"/>
    <w:lvl w:ilvl="0">
      <w:start w:val="1"/>
      <w:numFmt w:val="upperLetter"/>
      <w:lvlText w:val="%1."/>
      <w:lvlJc w:val="left"/>
      <w:pPr>
        <w:ind w:left="777" w:hanging="549"/>
        <w:jc w:val="right"/>
      </w:pPr>
      <w:rPr>
        <w:rFonts w:ascii="Arial" w:eastAsia="Arial" w:hAnsi="Arial" w:cs="Arial" w:hint="default"/>
        <w:color w:val="0000CB"/>
        <w:spacing w:val="0"/>
        <w:w w:val="102"/>
        <w:sz w:val="29"/>
        <w:szCs w:val="29"/>
      </w:rPr>
    </w:lvl>
    <w:lvl w:ilvl="1">
      <w:start w:val="0"/>
      <w:numFmt w:val="bullet"/>
      <w:lvlText w:val="•"/>
      <w:lvlJc w:val="left"/>
      <w:pPr>
        <w:ind w:left="1024" w:hanging="549"/>
      </w:pPr>
      <w:rPr>
        <w:rFonts w:hint="default"/>
      </w:rPr>
    </w:lvl>
    <w:lvl w:ilvl="2">
      <w:start w:val="0"/>
      <w:numFmt w:val="bullet"/>
      <w:lvlText w:val="•"/>
      <w:lvlJc w:val="left"/>
      <w:pPr>
        <w:ind w:left="1269" w:hanging="549"/>
      </w:pPr>
      <w:rPr>
        <w:rFonts w:hint="default"/>
      </w:rPr>
    </w:lvl>
    <w:lvl w:ilvl="3">
      <w:start w:val="0"/>
      <w:numFmt w:val="bullet"/>
      <w:lvlText w:val="•"/>
      <w:lvlJc w:val="left"/>
      <w:pPr>
        <w:ind w:left="1513" w:hanging="549"/>
      </w:pPr>
      <w:rPr>
        <w:rFonts w:hint="default"/>
      </w:rPr>
    </w:lvl>
    <w:lvl w:ilvl="4">
      <w:start w:val="0"/>
      <w:numFmt w:val="bullet"/>
      <w:lvlText w:val="•"/>
      <w:lvlJc w:val="left"/>
      <w:pPr>
        <w:ind w:left="1758" w:hanging="549"/>
      </w:pPr>
      <w:rPr>
        <w:rFonts w:hint="default"/>
      </w:rPr>
    </w:lvl>
    <w:lvl w:ilvl="5">
      <w:start w:val="0"/>
      <w:numFmt w:val="bullet"/>
      <w:lvlText w:val="•"/>
      <w:lvlJc w:val="left"/>
      <w:pPr>
        <w:ind w:left="2002" w:hanging="549"/>
      </w:pPr>
      <w:rPr>
        <w:rFonts w:hint="default"/>
      </w:rPr>
    </w:lvl>
    <w:lvl w:ilvl="6">
      <w:start w:val="0"/>
      <w:numFmt w:val="bullet"/>
      <w:lvlText w:val="•"/>
      <w:lvlJc w:val="left"/>
      <w:pPr>
        <w:ind w:left="2247" w:hanging="549"/>
      </w:pPr>
      <w:rPr>
        <w:rFonts w:hint="default"/>
      </w:rPr>
    </w:lvl>
    <w:lvl w:ilvl="7">
      <w:start w:val="0"/>
      <w:numFmt w:val="bullet"/>
      <w:lvlText w:val="•"/>
      <w:lvlJc w:val="left"/>
      <w:pPr>
        <w:ind w:left="2492" w:hanging="549"/>
      </w:pPr>
      <w:rPr>
        <w:rFonts w:hint="default"/>
      </w:rPr>
    </w:lvl>
    <w:lvl w:ilvl="8">
      <w:start w:val="0"/>
      <w:numFmt w:val="bullet"/>
      <w:lvlText w:val="•"/>
      <w:lvlJc w:val="left"/>
      <w:pPr>
        <w:ind w:left="2736" w:hanging="549"/>
      </w:pPr>
      <w:rPr>
        <w:rFonts w:hint="default"/>
      </w:rPr>
    </w:lvl>
  </w:abstractNum>
  <w:abstractNum w:abstractNumId="6">
    <w:nsid w:val="426C0FD5"/>
    <w:multiLevelType w:val="hybridMultilevel"/>
    <w:tmpl w:val="00000000"/>
    <w:lvl w:ilvl="0">
      <w:start w:val="1"/>
      <w:numFmt w:val="decimal"/>
      <w:lvlText w:val="(%1)"/>
      <w:lvlJc w:val="left"/>
      <w:pPr>
        <w:ind w:left="1148" w:hanging="371"/>
        <w:jc w:val="left"/>
      </w:pPr>
      <w:rPr>
        <w:rFonts w:ascii="Arial" w:eastAsia="Arial" w:hAnsi="Arial" w:cs="Arial" w:hint="default"/>
        <w:color w:val="0000CB"/>
        <w:spacing w:val="-3"/>
        <w:w w:val="97"/>
        <w:sz w:val="29"/>
        <w:szCs w:val="29"/>
      </w:rPr>
    </w:lvl>
    <w:lvl w:ilvl="1">
      <w:start w:val="0"/>
      <w:numFmt w:val="bullet"/>
      <w:lvlText w:val="•"/>
      <w:lvlJc w:val="left"/>
      <w:pPr>
        <w:ind w:left="2467" w:hanging="371"/>
      </w:pPr>
      <w:rPr>
        <w:rFonts w:hint="default"/>
      </w:rPr>
    </w:lvl>
    <w:lvl w:ilvl="2">
      <w:start w:val="0"/>
      <w:numFmt w:val="bullet"/>
      <w:lvlText w:val="•"/>
      <w:lvlJc w:val="left"/>
      <w:pPr>
        <w:ind w:left="3795" w:hanging="371"/>
      </w:pPr>
      <w:rPr>
        <w:rFonts w:hint="default"/>
      </w:rPr>
    </w:lvl>
    <w:lvl w:ilvl="3">
      <w:start w:val="0"/>
      <w:numFmt w:val="bullet"/>
      <w:lvlText w:val="•"/>
      <w:lvlJc w:val="left"/>
      <w:pPr>
        <w:ind w:left="5123" w:hanging="371"/>
      </w:pPr>
      <w:rPr>
        <w:rFonts w:hint="default"/>
      </w:rPr>
    </w:lvl>
    <w:lvl w:ilvl="4">
      <w:start w:val="0"/>
      <w:numFmt w:val="bullet"/>
      <w:lvlText w:val="•"/>
      <w:lvlJc w:val="left"/>
      <w:pPr>
        <w:ind w:left="6451" w:hanging="371"/>
      </w:pPr>
      <w:rPr>
        <w:rFonts w:hint="default"/>
      </w:rPr>
    </w:lvl>
    <w:lvl w:ilvl="5">
      <w:start w:val="0"/>
      <w:numFmt w:val="bullet"/>
      <w:lvlText w:val="•"/>
      <w:lvlJc w:val="left"/>
      <w:pPr>
        <w:ind w:left="7779" w:hanging="371"/>
      </w:pPr>
      <w:rPr>
        <w:rFonts w:hint="default"/>
      </w:rPr>
    </w:lvl>
    <w:lvl w:ilvl="6">
      <w:start w:val="0"/>
      <w:numFmt w:val="bullet"/>
      <w:lvlText w:val="•"/>
      <w:lvlJc w:val="left"/>
      <w:pPr>
        <w:ind w:left="9107" w:hanging="371"/>
      </w:pPr>
      <w:rPr>
        <w:rFonts w:hint="default"/>
      </w:rPr>
    </w:lvl>
    <w:lvl w:ilvl="7">
      <w:start w:val="0"/>
      <w:numFmt w:val="bullet"/>
      <w:lvlText w:val="•"/>
      <w:lvlJc w:val="left"/>
      <w:pPr>
        <w:ind w:left="10435" w:hanging="371"/>
      </w:pPr>
      <w:rPr>
        <w:rFonts w:hint="default"/>
      </w:rPr>
    </w:lvl>
    <w:lvl w:ilvl="8">
      <w:start w:val="0"/>
      <w:numFmt w:val="bullet"/>
      <w:lvlText w:val="•"/>
      <w:lvlJc w:val="left"/>
      <w:pPr>
        <w:ind w:left="11763" w:hanging="371"/>
      </w:pPr>
      <w:rPr>
        <w:rFonts w:hint="default"/>
      </w:rPr>
    </w:lvl>
  </w:abstractNum>
  <w:abstractNum w:abstractNumId="7">
    <w:nsid w:val="46E7F632"/>
    <w:multiLevelType w:val="hybridMultilevel"/>
    <w:tmpl w:val="00000000"/>
    <w:lvl w:ilvl="0">
      <w:start w:val="6"/>
      <w:numFmt w:val="decimal"/>
      <w:lvlText w:val="%1"/>
      <w:lvlJc w:val="left"/>
      <w:pPr>
        <w:ind w:left="612" w:hanging="472"/>
        <w:jc w:val="left"/>
      </w:pPr>
      <w:rPr>
        <w:rFonts w:hint="default"/>
      </w:rPr>
    </w:lvl>
    <w:lvl w:ilvl="1">
      <w:start w:val="2"/>
      <w:numFmt w:val="decimal"/>
      <w:lvlText w:val="%1.%2"/>
      <w:lvlJc w:val="left"/>
      <w:pPr>
        <w:ind w:left="612" w:hanging="472"/>
        <w:jc w:val="left"/>
      </w:pPr>
      <w:rPr>
        <w:rFonts w:hint="default"/>
        <w:b/>
        <w:bCs/>
        <w:i/>
        <w:w w:val="91"/>
      </w:rPr>
    </w:lvl>
    <w:lvl w:ilvl="2">
      <w:start w:val="1"/>
      <w:numFmt w:val="decimal"/>
      <w:lvlText w:val="(%3)"/>
      <w:lvlJc w:val="left"/>
      <w:pPr>
        <w:ind w:left="1148" w:hanging="371"/>
        <w:jc w:val="right"/>
      </w:pPr>
      <w:rPr>
        <w:rFonts w:ascii="Times New Roman" w:eastAsia="Times New Roman" w:hAnsi="Times New Roman" w:cs="Times New Roman" w:hint="default"/>
        <w:color w:val="0000CB"/>
        <w:spacing w:val="-3"/>
        <w:w w:val="102"/>
        <w:sz w:val="29"/>
        <w:szCs w:val="29"/>
      </w:rPr>
    </w:lvl>
    <w:lvl w:ilvl="3">
      <w:start w:val="1"/>
      <w:numFmt w:val="decimal"/>
      <w:lvlText w:val="(%4)"/>
      <w:lvlJc w:val="left"/>
      <w:pPr>
        <w:ind w:left="1306" w:hanging="371"/>
        <w:jc w:val="left"/>
      </w:pPr>
      <w:rPr>
        <w:rFonts w:ascii="Bookman Old Style" w:eastAsia="Bookman Old Style" w:hAnsi="Bookman Old Style" w:cs="Bookman Old Style" w:hint="default"/>
        <w:color w:val="0000CB"/>
        <w:spacing w:val="-3"/>
        <w:w w:val="97"/>
        <w:sz w:val="29"/>
        <w:szCs w:val="29"/>
      </w:rPr>
    </w:lvl>
    <w:lvl w:ilvl="4">
      <w:start w:val="0"/>
      <w:numFmt w:val="bullet"/>
      <w:lvlText w:val="•"/>
      <w:lvlJc w:val="left"/>
      <w:pPr>
        <w:ind w:left="4579" w:hanging="371"/>
      </w:pPr>
      <w:rPr>
        <w:rFonts w:hint="default"/>
      </w:rPr>
    </w:lvl>
    <w:lvl w:ilvl="5">
      <w:start w:val="0"/>
      <w:numFmt w:val="bullet"/>
      <w:lvlText w:val="•"/>
      <w:lvlJc w:val="left"/>
      <w:pPr>
        <w:ind w:left="6219" w:hanging="371"/>
      </w:pPr>
      <w:rPr>
        <w:rFonts w:hint="default"/>
      </w:rPr>
    </w:lvl>
    <w:lvl w:ilvl="6">
      <w:start w:val="0"/>
      <w:numFmt w:val="bullet"/>
      <w:lvlText w:val="•"/>
      <w:lvlJc w:val="left"/>
      <w:pPr>
        <w:ind w:left="7859" w:hanging="371"/>
      </w:pPr>
      <w:rPr>
        <w:rFonts w:hint="default"/>
      </w:rPr>
    </w:lvl>
    <w:lvl w:ilvl="7">
      <w:start w:val="0"/>
      <w:numFmt w:val="bullet"/>
      <w:lvlText w:val="•"/>
      <w:lvlJc w:val="left"/>
      <w:pPr>
        <w:ind w:left="9499" w:hanging="371"/>
      </w:pPr>
      <w:rPr>
        <w:rFonts w:hint="default"/>
      </w:rPr>
    </w:lvl>
    <w:lvl w:ilvl="8">
      <w:start w:val="0"/>
      <w:numFmt w:val="bullet"/>
      <w:lvlText w:val="•"/>
      <w:lvlJc w:val="left"/>
      <w:pPr>
        <w:ind w:left="11139" w:hanging="371"/>
      </w:pPr>
      <w:rPr>
        <w:rFonts w:hint="default"/>
      </w:rPr>
    </w:lvl>
  </w:abstractNum>
  <w:abstractNum w:abstractNumId="8">
    <w:nsid w:val="4AD33458"/>
    <w:multiLevelType w:val="hybridMultilevel"/>
    <w:tmpl w:val="00000000"/>
    <w:lvl w:ilvl="0">
      <w:start w:val="1"/>
      <w:numFmt w:val="upperLetter"/>
      <w:lvlText w:val="%1."/>
      <w:lvlJc w:val="left"/>
      <w:pPr>
        <w:ind w:left="777" w:hanging="310"/>
        <w:jc w:val="left"/>
      </w:pPr>
      <w:rPr>
        <w:rFonts w:ascii="Arial" w:eastAsia="Arial" w:hAnsi="Arial" w:cs="Arial" w:hint="default"/>
        <w:color w:val="0000CB"/>
        <w:w w:val="105"/>
        <w:sz w:val="29"/>
        <w:szCs w:val="29"/>
      </w:rPr>
    </w:lvl>
    <w:lvl w:ilvl="1">
      <w:start w:val="0"/>
      <w:numFmt w:val="bullet"/>
      <w:lvlText w:val="•"/>
      <w:lvlJc w:val="left"/>
      <w:pPr>
        <w:ind w:left="2143" w:hanging="310"/>
      </w:pPr>
      <w:rPr>
        <w:rFonts w:hint="default"/>
      </w:rPr>
    </w:lvl>
    <w:lvl w:ilvl="2">
      <w:start w:val="0"/>
      <w:numFmt w:val="bullet"/>
      <w:lvlText w:val="•"/>
      <w:lvlJc w:val="left"/>
      <w:pPr>
        <w:ind w:left="3507" w:hanging="310"/>
      </w:pPr>
      <w:rPr>
        <w:rFonts w:hint="default"/>
      </w:rPr>
    </w:lvl>
    <w:lvl w:ilvl="3">
      <w:start w:val="0"/>
      <w:numFmt w:val="bullet"/>
      <w:lvlText w:val="•"/>
      <w:lvlJc w:val="left"/>
      <w:pPr>
        <w:ind w:left="4871" w:hanging="310"/>
      </w:pPr>
      <w:rPr>
        <w:rFonts w:hint="default"/>
      </w:rPr>
    </w:lvl>
    <w:lvl w:ilvl="4">
      <w:start w:val="0"/>
      <w:numFmt w:val="bullet"/>
      <w:lvlText w:val="•"/>
      <w:lvlJc w:val="left"/>
      <w:pPr>
        <w:ind w:left="6235" w:hanging="310"/>
      </w:pPr>
      <w:rPr>
        <w:rFonts w:hint="default"/>
      </w:rPr>
    </w:lvl>
    <w:lvl w:ilvl="5">
      <w:start w:val="0"/>
      <w:numFmt w:val="bullet"/>
      <w:lvlText w:val="•"/>
      <w:lvlJc w:val="left"/>
      <w:pPr>
        <w:ind w:left="7599" w:hanging="310"/>
      </w:pPr>
      <w:rPr>
        <w:rFonts w:hint="default"/>
      </w:rPr>
    </w:lvl>
    <w:lvl w:ilvl="6">
      <w:start w:val="0"/>
      <w:numFmt w:val="bullet"/>
      <w:lvlText w:val="•"/>
      <w:lvlJc w:val="left"/>
      <w:pPr>
        <w:ind w:left="8963" w:hanging="310"/>
      </w:pPr>
      <w:rPr>
        <w:rFonts w:hint="default"/>
      </w:rPr>
    </w:lvl>
    <w:lvl w:ilvl="7">
      <w:start w:val="0"/>
      <w:numFmt w:val="bullet"/>
      <w:lvlText w:val="•"/>
      <w:lvlJc w:val="left"/>
      <w:pPr>
        <w:ind w:left="10327" w:hanging="310"/>
      </w:pPr>
      <w:rPr>
        <w:rFonts w:hint="default"/>
      </w:rPr>
    </w:lvl>
    <w:lvl w:ilvl="8">
      <w:start w:val="0"/>
      <w:numFmt w:val="bullet"/>
      <w:lvlText w:val="•"/>
      <w:lvlJc w:val="left"/>
      <w:pPr>
        <w:ind w:left="11691" w:hanging="310"/>
      </w:pPr>
      <w:rPr>
        <w:rFonts w:hint="default"/>
      </w:rPr>
    </w:lvl>
  </w:abstractNum>
  <w:abstractNum w:abstractNumId="9">
    <w:nsid w:val="57F0B7D1"/>
    <w:multiLevelType w:val="hybridMultilevel"/>
    <w:tmpl w:val="00000000"/>
    <w:lvl w:ilvl="0">
      <w:start w:val="1"/>
      <w:numFmt w:val="decimal"/>
      <w:lvlText w:val="(%1)"/>
      <w:lvlJc w:val="left"/>
      <w:pPr>
        <w:ind w:left="1148" w:hanging="371"/>
        <w:jc w:val="left"/>
      </w:pPr>
      <w:rPr>
        <w:rFonts w:ascii="Arial" w:eastAsia="Arial" w:hAnsi="Arial" w:cs="Arial" w:hint="default"/>
        <w:color w:val="0000CB"/>
        <w:spacing w:val="-3"/>
        <w:w w:val="97"/>
        <w:sz w:val="29"/>
        <w:szCs w:val="29"/>
      </w:rPr>
    </w:lvl>
    <w:lvl w:ilvl="1">
      <w:start w:val="0"/>
      <w:numFmt w:val="bullet"/>
      <w:lvlText w:val="•"/>
      <w:lvlJc w:val="left"/>
      <w:pPr>
        <w:ind w:left="2467" w:hanging="371"/>
      </w:pPr>
      <w:rPr>
        <w:rFonts w:hint="default"/>
      </w:rPr>
    </w:lvl>
    <w:lvl w:ilvl="2">
      <w:start w:val="0"/>
      <w:numFmt w:val="bullet"/>
      <w:lvlText w:val="•"/>
      <w:lvlJc w:val="left"/>
      <w:pPr>
        <w:ind w:left="3795" w:hanging="371"/>
      </w:pPr>
      <w:rPr>
        <w:rFonts w:hint="default"/>
      </w:rPr>
    </w:lvl>
    <w:lvl w:ilvl="3">
      <w:start w:val="0"/>
      <w:numFmt w:val="bullet"/>
      <w:lvlText w:val="•"/>
      <w:lvlJc w:val="left"/>
      <w:pPr>
        <w:ind w:left="5123" w:hanging="371"/>
      </w:pPr>
      <w:rPr>
        <w:rFonts w:hint="default"/>
      </w:rPr>
    </w:lvl>
    <w:lvl w:ilvl="4">
      <w:start w:val="0"/>
      <w:numFmt w:val="bullet"/>
      <w:lvlText w:val="•"/>
      <w:lvlJc w:val="left"/>
      <w:pPr>
        <w:ind w:left="6451" w:hanging="371"/>
      </w:pPr>
      <w:rPr>
        <w:rFonts w:hint="default"/>
      </w:rPr>
    </w:lvl>
    <w:lvl w:ilvl="5">
      <w:start w:val="0"/>
      <w:numFmt w:val="bullet"/>
      <w:lvlText w:val="•"/>
      <w:lvlJc w:val="left"/>
      <w:pPr>
        <w:ind w:left="7779" w:hanging="371"/>
      </w:pPr>
      <w:rPr>
        <w:rFonts w:hint="default"/>
      </w:rPr>
    </w:lvl>
    <w:lvl w:ilvl="6">
      <w:start w:val="0"/>
      <w:numFmt w:val="bullet"/>
      <w:lvlText w:val="•"/>
      <w:lvlJc w:val="left"/>
      <w:pPr>
        <w:ind w:left="9107" w:hanging="371"/>
      </w:pPr>
      <w:rPr>
        <w:rFonts w:hint="default"/>
      </w:rPr>
    </w:lvl>
    <w:lvl w:ilvl="7">
      <w:start w:val="0"/>
      <w:numFmt w:val="bullet"/>
      <w:lvlText w:val="•"/>
      <w:lvlJc w:val="left"/>
      <w:pPr>
        <w:ind w:left="10435" w:hanging="371"/>
      </w:pPr>
      <w:rPr>
        <w:rFonts w:hint="default"/>
      </w:rPr>
    </w:lvl>
    <w:lvl w:ilvl="8">
      <w:start w:val="0"/>
      <w:numFmt w:val="bullet"/>
      <w:lvlText w:val="•"/>
      <w:lvlJc w:val="left"/>
      <w:pPr>
        <w:ind w:left="11763" w:hanging="371"/>
      </w:pPr>
      <w:rPr>
        <w:rFonts w:hint="default"/>
      </w:rPr>
    </w:lvl>
  </w:abstractNum>
  <w:abstractNum w:abstractNumId="10">
    <w:nsid w:val="5955642B"/>
    <w:multiLevelType w:val="hybridMultilevel"/>
    <w:tmpl w:val="00000000"/>
    <w:lvl w:ilvl="0">
      <w:start w:val="1"/>
      <w:numFmt w:val="decimal"/>
      <w:lvlText w:val="%1）"/>
      <w:lvlJc w:val="left"/>
      <w:pPr>
        <w:ind w:left="1254" w:hanging="477"/>
        <w:jc w:val="left"/>
      </w:pPr>
      <w:rPr>
        <w:rFonts w:ascii="Arial" w:eastAsia="Arial" w:hAnsi="Arial" w:cs="Arial" w:hint="default"/>
        <w:color w:val="0000CB"/>
        <w:w w:val="91"/>
        <w:sz w:val="29"/>
        <w:szCs w:val="29"/>
      </w:rPr>
    </w:lvl>
    <w:lvl w:ilvl="1">
      <w:start w:val="0"/>
      <w:numFmt w:val="bullet"/>
      <w:lvlText w:val="•"/>
      <w:lvlJc w:val="left"/>
      <w:pPr>
        <w:ind w:left="2575" w:hanging="477"/>
      </w:pPr>
      <w:rPr>
        <w:rFonts w:hint="default"/>
      </w:rPr>
    </w:lvl>
    <w:lvl w:ilvl="2">
      <w:start w:val="0"/>
      <w:numFmt w:val="bullet"/>
      <w:lvlText w:val="•"/>
      <w:lvlJc w:val="left"/>
      <w:pPr>
        <w:ind w:left="3891" w:hanging="477"/>
      </w:pPr>
      <w:rPr>
        <w:rFonts w:hint="default"/>
      </w:rPr>
    </w:lvl>
    <w:lvl w:ilvl="3">
      <w:start w:val="0"/>
      <w:numFmt w:val="bullet"/>
      <w:lvlText w:val="•"/>
      <w:lvlJc w:val="left"/>
      <w:pPr>
        <w:ind w:left="5207" w:hanging="477"/>
      </w:pPr>
      <w:rPr>
        <w:rFonts w:hint="default"/>
      </w:rPr>
    </w:lvl>
    <w:lvl w:ilvl="4">
      <w:start w:val="0"/>
      <w:numFmt w:val="bullet"/>
      <w:lvlText w:val="•"/>
      <w:lvlJc w:val="left"/>
      <w:pPr>
        <w:ind w:left="6523" w:hanging="477"/>
      </w:pPr>
      <w:rPr>
        <w:rFonts w:hint="default"/>
      </w:rPr>
    </w:lvl>
    <w:lvl w:ilvl="5">
      <w:start w:val="0"/>
      <w:numFmt w:val="bullet"/>
      <w:lvlText w:val="•"/>
      <w:lvlJc w:val="left"/>
      <w:pPr>
        <w:ind w:left="7839" w:hanging="477"/>
      </w:pPr>
      <w:rPr>
        <w:rFonts w:hint="default"/>
      </w:rPr>
    </w:lvl>
    <w:lvl w:ilvl="6">
      <w:start w:val="0"/>
      <w:numFmt w:val="bullet"/>
      <w:lvlText w:val="•"/>
      <w:lvlJc w:val="left"/>
      <w:pPr>
        <w:ind w:left="9155" w:hanging="477"/>
      </w:pPr>
      <w:rPr>
        <w:rFonts w:hint="default"/>
      </w:rPr>
    </w:lvl>
    <w:lvl w:ilvl="7">
      <w:start w:val="0"/>
      <w:numFmt w:val="bullet"/>
      <w:lvlText w:val="•"/>
      <w:lvlJc w:val="left"/>
      <w:pPr>
        <w:ind w:left="10471" w:hanging="477"/>
      </w:pPr>
      <w:rPr>
        <w:rFonts w:hint="default"/>
      </w:rPr>
    </w:lvl>
    <w:lvl w:ilvl="8">
      <w:start w:val="0"/>
      <w:numFmt w:val="bullet"/>
      <w:lvlText w:val="•"/>
      <w:lvlJc w:val="left"/>
      <w:pPr>
        <w:ind w:left="11787" w:hanging="477"/>
      </w:pPr>
      <w:rPr>
        <w:rFonts w:hint="default"/>
      </w:rPr>
    </w:lvl>
  </w:abstractNum>
  <w:abstractNum w:abstractNumId="11">
    <w:nsid w:val="754334CC"/>
    <w:multiLevelType w:val="hybridMultilevel"/>
    <w:tmpl w:val="00000000"/>
    <w:lvl w:ilvl="0">
      <w:start w:val="1"/>
      <w:numFmt w:val="decimal"/>
      <w:lvlText w:val="(%1)"/>
      <w:lvlJc w:val="left"/>
      <w:pPr>
        <w:ind w:left="1148" w:hanging="371"/>
        <w:jc w:val="left"/>
      </w:pPr>
      <w:rPr>
        <w:rFonts w:ascii="Arial" w:eastAsia="Arial" w:hAnsi="Arial" w:cs="Arial" w:hint="default"/>
        <w:color w:val="0000CB"/>
        <w:spacing w:val="-3"/>
        <w:w w:val="97"/>
        <w:sz w:val="29"/>
        <w:szCs w:val="29"/>
      </w:rPr>
    </w:lvl>
    <w:lvl w:ilvl="1">
      <w:start w:val="0"/>
      <w:numFmt w:val="bullet"/>
      <w:lvlText w:val="•"/>
      <w:lvlJc w:val="left"/>
      <w:pPr>
        <w:ind w:left="2467" w:hanging="371"/>
      </w:pPr>
      <w:rPr>
        <w:rFonts w:hint="default"/>
      </w:rPr>
    </w:lvl>
    <w:lvl w:ilvl="2">
      <w:start w:val="0"/>
      <w:numFmt w:val="bullet"/>
      <w:lvlText w:val="•"/>
      <w:lvlJc w:val="left"/>
      <w:pPr>
        <w:ind w:left="3795" w:hanging="371"/>
      </w:pPr>
      <w:rPr>
        <w:rFonts w:hint="default"/>
      </w:rPr>
    </w:lvl>
    <w:lvl w:ilvl="3">
      <w:start w:val="0"/>
      <w:numFmt w:val="bullet"/>
      <w:lvlText w:val="•"/>
      <w:lvlJc w:val="left"/>
      <w:pPr>
        <w:ind w:left="5123" w:hanging="371"/>
      </w:pPr>
      <w:rPr>
        <w:rFonts w:hint="default"/>
      </w:rPr>
    </w:lvl>
    <w:lvl w:ilvl="4">
      <w:start w:val="0"/>
      <w:numFmt w:val="bullet"/>
      <w:lvlText w:val="•"/>
      <w:lvlJc w:val="left"/>
      <w:pPr>
        <w:ind w:left="6451" w:hanging="371"/>
      </w:pPr>
      <w:rPr>
        <w:rFonts w:hint="default"/>
      </w:rPr>
    </w:lvl>
    <w:lvl w:ilvl="5">
      <w:start w:val="0"/>
      <w:numFmt w:val="bullet"/>
      <w:lvlText w:val="•"/>
      <w:lvlJc w:val="left"/>
      <w:pPr>
        <w:ind w:left="7779" w:hanging="371"/>
      </w:pPr>
      <w:rPr>
        <w:rFonts w:hint="default"/>
      </w:rPr>
    </w:lvl>
    <w:lvl w:ilvl="6">
      <w:start w:val="0"/>
      <w:numFmt w:val="bullet"/>
      <w:lvlText w:val="•"/>
      <w:lvlJc w:val="left"/>
      <w:pPr>
        <w:ind w:left="9107" w:hanging="371"/>
      </w:pPr>
      <w:rPr>
        <w:rFonts w:hint="default"/>
      </w:rPr>
    </w:lvl>
    <w:lvl w:ilvl="7">
      <w:start w:val="0"/>
      <w:numFmt w:val="bullet"/>
      <w:lvlText w:val="•"/>
      <w:lvlJc w:val="left"/>
      <w:pPr>
        <w:ind w:left="10435" w:hanging="371"/>
      </w:pPr>
      <w:rPr>
        <w:rFonts w:hint="default"/>
      </w:rPr>
    </w:lvl>
    <w:lvl w:ilvl="8">
      <w:start w:val="0"/>
      <w:numFmt w:val="bullet"/>
      <w:lvlText w:val="•"/>
      <w:lvlJc w:val="left"/>
      <w:pPr>
        <w:ind w:left="11763" w:hanging="371"/>
      </w:pPr>
      <w:rPr>
        <w:rFonts w:hint="default"/>
      </w:rPr>
    </w:lvl>
  </w:abstractNum>
  <w:abstractNum w:abstractNumId="12">
    <w:nsid w:val="781DD1FD"/>
    <w:multiLevelType w:val="hybridMultilevel"/>
    <w:tmpl w:val="00000000"/>
    <w:lvl w:ilvl="0">
      <w:start w:val="1"/>
      <w:numFmt w:val="decimal"/>
      <w:lvlText w:val="(%1)"/>
      <w:lvlJc w:val="left"/>
      <w:pPr>
        <w:ind w:left="140" w:hanging="371"/>
        <w:jc w:val="left"/>
      </w:pPr>
      <w:rPr>
        <w:rFonts w:ascii="Arial" w:eastAsia="Arial" w:hAnsi="Arial" w:cs="Arial" w:hint="default"/>
        <w:color w:val="0000CB"/>
        <w:w w:val="97"/>
        <w:sz w:val="29"/>
        <w:szCs w:val="29"/>
      </w:rPr>
    </w:lvl>
    <w:lvl w:ilvl="1">
      <w:start w:val="0"/>
      <w:numFmt w:val="bullet"/>
      <w:lvlText w:val="•"/>
      <w:lvlJc w:val="left"/>
      <w:pPr>
        <w:ind w:left="1567" w:hanging="371"/>
      </w:pPr>
      <w:rPr>
        <w:rFonts w:hint="default"/>
      </w:rPr>
    </w:lvl>
    <w:lvl w:ilvl="2">
      <w:start w:val="0"/>
      <w:numFmt w:val="bullet"/>
      <w:lvlText w:val="•"/>
      <w:lvlJc w:val="left"/>
      <w:pPr>
        <w:ind w:left="2995" w:hanging="371"/>
      </w:pPr>
      <w:rPr>
        <w:rFonts w:hint="default"/>
      </w:rPr>
    </w:lvl>
    <w:lvl w:ilvl="3">
      <w:start w:val="0"/>
      <w:numFmt w:val="bullet"/>
      <w:lvlText w:val="•"/>
      <w:lvlJc w:val="left"/>
      <w:pPr>
        <w:ind w:left="4423" w:hanging="371"/>
      </w:pPr>
      <w:rPr>
        <w:rFonts w:hint="default"/>
      </w:rPr>
    </w:lvl>
    <w:lvl w:ilvl="4">
      <w:start w:val="0"/>
      <w:numFmt w:val="bullet"/>
      <w:lvlText w:val="•"/>
      <w:lvlJc w:val="left"/>
      <w:pPr>
        <w:ind w:left="5851" w:hanging="371"/>
      </w:pPr>
      <w:rPr>
        <w:rFonts w:hint="default"/>
      </w:rPr>
    </w:lvl>
    <w:lvl w:ilvl="5">
      <w:start w:val="0"/>
      <w:numFmt w:val="bullet"/>
      <w:lvlText w:val="•"/>
      <w:lvlJc w:val="left"/>
      <w:pPr>
        <w:ind w:left="7279" w:hanging="371"/>
      </w:pPr>
      <w:rPr>
        <w:rFonts w:hint="default"/>
      </w:rPr>
    </w:lvl>
    <w:lvl w:ilvl="6">
      <w:start w:val="0"/>
      <w:numFmt w:val="bullet"/>
      <w:lvlText w:val="•"/>
      <w:lvlJc w:val="left"/>
      <w:pPr>
        <w:ind w:left="8707" w:hanging="371"/>
      </w:pPr>
      <w:rPr>
        <w:rFonts w:hint="default"/>
      </w:rPr>
    </w:lvl>
    <w:lvl w:ilvl="7">
      <w:start w:val="0"/>
      <w:numFmt w:val="bullet"/>
      <w:lvlText w:val="•"/>
      <w:lvlJc w:val="left"/>
      <w:pPr>
        <w:ind w:left="10135" w:hanging="371"/>
      </w:pPr>
      <w:rPr>
        <w:rFonts w:hint="default"/>
      </w:rPr>
    </w:lvl>
    <w:lvl w:ilvl="8">
      <w:start w:val="0"/>
      <w:numFmt w:val="bullet"/>
      <w:lvlText w:val="•"/>
      <w:lvlJc w:val="left"/>
      <w:pPr>
        <w:ind w:left="11563" w:hanging="371"/>
      </w:pPr>
      <w:rPr>
        <w:rFonts w:hint="default"/>
      </w:rPr>
    </w:lvl>
  </w:abstractNum>
  <w:num w:numId="1">
    <w:abstractNumId w:val="10"/>
  </w:num>
  <w:num w:numId="2">
    <w:abstractNumId w:val="5"/>
  </w:num>
  <w:num w:numId="3">
    <w:abstractNumId w:val="0"/>
  </w:num>
  <w:num w:numId="4">
    <w:abstractNumId w:val="8"/>
  </w:num>
  <w:num w:numId="5">
    <w:abstractNumId w:val="12"/>
  </w:num>
  <w:num w:numId="6">
    <w:abstractNumId w:val="3"/>
  </w:num>
  <w:num w:numId="7">
    <w:abstractNumId w:val="11"/>
  </w:num>
  <w:num w:numId="8">
    <w:abstractNumId w:val="1"/>
  </w:num>
  <w:num w:numId="9">
    <w:abstractNumId w:val="6"/>
  </w:num>
  <w:num w:numId="10">
    <w:abstractNumId w:val="7"/>
  </w:num>
  <w:num w:numId="11">
    <w:abstractNumId w:val="2"/>
  </w:num>
  <w:num w:numId="12">
    <w:abstractNumId w:val="4"/>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612" w:hanging="473"/>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777"/>
    </w:pPr>
    <w:rPr>
      <w:rFonts w:ascii="宋体" w:eastAsia="宋体" w:hAnsi="宋体" w:cs="宋体"/>
      <w:sz w:val="31"/>
      <w:szCs w:val="31"/>
    </w:rPr>
  </w:style>
  <w:style w:type="paragraph" w:styleId="ListParagraph">
    <w:name w:val="List Paragraph"/>
    <w:basedOn w:val="Normal"/>
    <w:uiPriority w:val="1"/>
    <w:qFormat/>
    <w:pPr>
      <w:ind w:left="1148" w:hanging="372"/>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image" Target="media/image6.jpeg"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image" Target="media/image7.jpeg" /><Relationship Id="rId25" Type="http://schemas.openxmlformats.org/officeDocument/2006/relationships/image" Target="media/image8.jpeg" /><Relationship Id="rId26" Type="http://schemas.openxmlformats.org/officeDocument/2006/relationships/hyperlink" Target="https://d.book118.com/888127125105006024" TargetMode="External" /><Relationship Id="rId27" Type="http://schemas.openxmlformats.org/officeDocument/2006/relationships/footer" Target="footer15.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2023-12-09T19:21:45Z</dcterms:created>
  <dcterms:modified xsi:type="dcterms:W3CDTF">2023-12-09T19:21:45Z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2023-12-09T00:00:00Z</vt:filetime>
  </property>
</Properties>
</file>