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63" w:line="226" w:lineRule="auto"/>
        <w:ind w:left="3747"/>
        <w:outlineLvl w:val="0"/>
        <w:rPr>
          <w:rFonts w:ascii="SimSun" w:eastAsia="SimSun" w:hAnsi="SimSun" w:cs="SimSun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-7"/>
          <w:sz w:val="31"/>
          <w:szCs w:val="31"/>
        </w:rPr>
        <w:t>1</w:t>
      </w:r>
      <w:r>
        <w:rPr>
          <w:rFonts w:ascii="Times New Roman" w:eastAsia="Times New Roman" w:hAnsi="Times New Roman" w:cs="Times New Roman"/>
          <w:b/>
          <w:bCs/>
          <w:spacing w:val="20"/>
          <w:sz w:val="31"/>
          <w:szCs w:val="31"/>
        </w:rPr>
        <w:t xml:space="preserve"> </w:t>
      </w:r>
      <w:r>
        <w:rPr>
          <w:rFonts w:ascii="SimSun" w:eastAsia="SimSun" w:hAnsi="SimSun" w:cs="SimSun"/>
          <w:b/>
          <w:bCs/>
          <w:spacing w:val="-7"/>
          <w:sz w:val="31"/>
          <w:szCs w:val="31"/>
        </w:rPr>
        <w:t>总则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before="65" w:line="468" w:lineRule="exact"/>
        <w:ind w:left="27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9"/>
          <w:position w:val="20"/>
          <w:sz w:val="20"/>
          <w:szCs w:val="20"/>
        </w:rPr>
        <w:t xml:space="preserve">1.0.1  </w:t>
      </w:r>
      <w:r>
        <w:rPr>
          <w:rFonts w:ascii="SimSun" w:eastAsia="SimSun" w:hAnsi="SimSun" w:cs="SimSun"/>
          <w:spacing w:val="9"/>
          <w:position w:val="20"/>
          <w:sz w:val="20"/>
          <w:szCs w:val="20"/>
        </w:rPr>
        <w:t>为贯彻绿色发展理念，落实国家冰雪运动发展战略，节约资源，保护</w:t>
      </w:r>
      <w:r>
        <w:rPr>
          <w:rFonts w:ascii="SimSun" w:eastAsia="SimSun" w:hAnsi="SimSun" w:cs="SimSun"/>
          <w:spacing w:val="8"/>
          <w:position w:val="20"/>
          <w:sz w:val="20"/>
          <w:szCs w:val="20"/>
        </w:rPr>
        <w:t>环境，推进雪上</w:t>
      </w:r>
    </w:p>
    <w:p>
      <w:pPr>
        <w:spacing w:line="227" w:lineRule="auto"/>
        <w:ind w:left="2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运动场馆高质量可持续发展，制定本标准。</w:t>
      </w:r>
    </w:p>
    <w:p>
      <w:pPr>
        <w:spacing w:before="221" w:line="227" w:lineRule="auto"/>
        <w:ind w:left="27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7"/>
          <w:sz w:val="20"/>
          <w:szCs w:val="20"/>
        </w:rPr>
        <w:t xml:space="preserve">1.0.2  </w:t>
      </w:r>
      <w:r>
        <w:rPr>
          <w:rFonts w:ascii="SimSun" w:eastAsia="SimSun" w:hAnsi="SimSun" w:cs="SimSun"/>
          <w:spacing w:val="7"/>
          <w:sz w:val="20"/>
          <w:szCs w:val="20"/>
        </w:rPr>
        <w:t>本标准适用于雪上运动场馆绿色性能的评价。</w:t>
      </w:r>
    </w:p>
    <w:p>
      <w:pPr>
        <w:spacing w:before="222" w:line="432" w:lineRule="auto"/>
        <w:ind w:left="23" w:firstLine="3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6"/>
          <w:sz w:val="20"/>
          <w:szCs w:val="20"/>
        </w:rPr>
        <w:t xml:space="preserve">1.0.3  </w:t>
      </w:r>
      <w:r>
        <w:rPr>
          <w:rFonts w:ascii="SimSun" w:eastAsia="SimSun" w:hAnsi="SimSun" w:cs="SimSun"/>
          <w:spacing w:val="6"/>
          <w:sz w:val="20"/>
          <w:szCs w:val="20"/>
        </w:rPr>
        <w:t>绿色雪上运动场馆评价应遵循因地制宜的原则，结合当地的气候</w:t>
      </w:r>
      <w:r>
        <w:rPr>
          <w:rFonts w:ascii="SimSun" w:eastAsia="SimSun" w:hAnsi="SimSun" w:cs="SimSun"/>
          <w:spacing w:val="5"/>
          <w:sz w:val="20"/>
          <w:szCs w:val="20"/>
        </w:rPr>
        <w:t>、环境、资源、经济、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文化和体育项目等特点，对场馆全寿命期内的生态环境保护、资源节约、健康与人文关怀等</w:t>
      </w:r>
    </w:p>
    <w:p>
      <w:pPr>
        <w:spacing w:before="1" w:line="226" w:lineRule="auto"/>
        <w:ind w:left="2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性能进行综合评价。</w:t>
      </w:r>
    </w:p>
    <w:p>
      <w:pPr>
        <w:spacing w:before="222" w:line="227" w:lineRule="auto"/>
        <w:jc w:val="right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6"/>
          <w:sz w:val="20"/>
          <w:szCs w:val="20"/>
        </w:rPr>
        <w:t xml:space="preserve">1.0.4  </w:t>
      </w:r>
      <w:r>
        <w:rPr>
          <w:rFonts w:ascii="SimSun" w:eastAsia="SimSun" w:hAnsi="SimSun" w:cs="SimSun"/>
          <w:spacing w:val="6"/>
          <w:sz w:val="20"/>
          <w:szCs w:val="20"/>
        </w:rPr>
        <w:t>绿色雪上运动场馆的评价应符合本标准的规定外，尚应符合国家现</w:t>
      </w:r>
      <w:r>
        <w:rPr>
          <w:rFonts w:ascii="SimSun" w:eastAsia="SimSun" w:hAnsi="SimSun" w:cs="SimSun"/>
          <w:spacing w:val="5"/>
          <w:sz w:val="20"/>
          <w:szCs w:val="20"/>
        </w:rPr>
        <w:t>行有关标准的规定。</w:t>
      </w:r>
    </w:p>
    <w:p>
      <w:pPr>
        <w:spacing w:line="227" w:lineRule="auto"/>
        <w:rPr>
          <w:rFonts w:ascii="SimSun" w:eastAsia="SimSun" w:hAnsi="SimSun" w:cs="SimSun"/>
          <w:sz w:val="20"/>
          <w:szCs w:val="20"/>
        </w:rPr>
        <w:sectPr>
          <w:footerReference w:type="default" r:id="rId4"/>
          <w:pgSz w:w="11907" w:h="16840"/>
          <w:pgMar w:top="1431" w:right="1731" w:bottom="1298" w:left="1786" w:header="0" w:footer="1134" w:gutter="0"/>
          <w:cols w:space="708"/>
        </w:sectPr>
      </w:pPr>
    </w:p>
    <w:p>
      <w:pPr>
        <w:pStyle w:val="BodyText"/>
        <w:spacing w:before="163" w:line="225" w:lineRule="auto"/>
        <w:ind w:left="3734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31"/>
          <w:szCs w:val="31"/>
        </w:rPr>
        <w:t>2</w:t>
      </w:r>
      <w:r>
        <w:rPr>
          <w:rFonts w:ascii="Times New Roman" w:eastAsia="Times New Roman" w:hAnsi="Times New Roman" w:cs="Times New Roman"/>
          <w:b/>
          <w:bCs/>
          <w:spacing w:val="18"/>
          <w:sz w:val="31"/>
          <w:szCs w:val="31"/>
        </w:rPr>
        <w:t xml:space="preserve"> </w:t>
      </w:r>
      <w:r>
        <w:rPr>
          <w:b/>
          <w:bCs/>
          <w:spacing w:val="-2"/>
          <w:sz w:val="31"/>
          <w:szCs w:val="31"/>
        </w:rPr>
        <w:t>术语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65" w:line="221" w:lineRule="auto"/>
        <w:ind w:left="1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spacing w:val="9"/>
        </w:rPr>
        <w:t xml:space="preserve">2.0.1  </w:t>
      </w:r>
      <w:r>
        <w:rPr>
          <w:spacing w:val="9"/>
        </w:rPr>
        <w:t>雪上运动场馆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 w:cs="Times New Roman"/>
        </w:rPr>
        <w:t>snow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</w:rPr>
        <w:t>sports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</w:rPr>
        <w:t>venue</w:t>
      </w:r>
    </w:p>
    <w:p>
      <w:pPr>
        <w:pStyle w:val="BodyText"/>
        <w:spacing w:before="228" w:line="468" w:lineRule="exact"/>
        <w:ind w:right="56"/>
        <w:jc w:val="right"/>
      </w:pPr>
      <w:r>
        <w:rPr>
          <w:spacing w:val="7"/>
          <w:position w:val="20"/>
        </w:rPr>
        <w:t>进行与滑雪有关的训练、竞赛、健身、休闲等活动的场所，包括滑雪道及其永久或临时</w:t>
      </w:r>
    </w:p>
    <w:p>
      <w:pPr>
        <w:pStyle w:val="BodyText"/>
        <w:spacing w:line="229" w:lineRule="auto"/>
        <w:ind w:left="39"/>
      </w:pPr>
      <w:r>
        <w:rPr>
          <w:spacing w:val="5"/>
        </w:rPr>
        <w:t>的配套建筑和设施。</w:t>
      </w:r>
    </w:p>
    <w:p>
      <w:pPr>
        <w:pStyle w:val="BodyText"/>
        <w:spacing w:before="219" w:line="221" w:lineRule="auto"/>
        <w:ind w:left="1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spacing w:val="10"/>
        </w:rPr>
        <w:t xml:space="preserve">2.0.2  </w:t>
      </w:r>
      <w:r>
        <w:rPr>
          <w:spacing w:val="10"/>
        </w:rPr>
        <w:t>绿色雪上运动场馆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</w:rPr>
        <w:t>green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</w:rPr>
        <w:t>snow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</w:rPr>
        <w:t>sports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</w:rPr>
        <w:t>venue</w:t>
      </w:r>
    </w:p>
    <w:p>
      <w:pPr>
        <w:pStyle w:val="BodyText"/>
        <w:spacing w:before="228" w:line="468" w:lineRule="exact"/>
        <w:ind w:right="56"/>
        <w:jc w:val="right"/>
      </w:pPr>
      <w:r>
        <w:rPr>
          <w:spacing w:val="7"/>
          <w:position w:val="20"/>
        </w:rPr>
        <w:t>在全寿命期内，节约资源、保护环境、减少污染，为人们提供健康、适用、高效的雪上</w:t>
      </w:r>
    </w:p>
    <w:p>
      <w:pPr>
        <w:pStyle w:val="BodyText"/>
        <w:spacing w:before="1" w:line="228" w:lineRule="auto"/>
        <w:ind w:left="22"/>
      </w:pPr>
      <w:r>
        <w:rPr>
          <w:spacing w:val="9"/>
        </w:rPr>
        <w:t>运动空间及设施，最大限度地实现人与自然和谐共生的雪上运动场馆。</w:t>
      </w:r>
    </w:p>
    <w:p>
      <w:pPr>
        <w:pStyle w:val="BodyText"/>
        <w:spacing w:before="190" w:line="274" w:lineRule="exact"/>
        <w:ind w:left="1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spacing w:val="10"/>
          <w:position w:val="2"/>
        </w:rPr>
        <w:t xml:space="preserve">2.0.3  </w:t>
      </w:r>
      <w:r>
        <w:rPr>
          <w:spacing w:val="10"/>
          <w:position w:val="2"/>
        </w:rPr>
        <w:t xml:space="preserve">雪上运动场馆绿色性能 </w:t>
      </w:r>
      <w:r>
        <w:rPr>
          <w:rFonts w:ascii="Times New Roman" w:eastAsia="Times New Roman" w:hAnsi="Times New Roman" w:cs="Times New Roman"/>
          <w:position w:val="2"/>
        </w:rPr>
        <w:t>green</w:t>
      </w:r>
      <w:r>
        <w:rPr>
          <w:rFonts w:ascii="Times New Roman" w:eastAsia="Times New Roman" w:hAnsi="Times New Roman" w:cs="Times New Roman"/>
          <w:spacing w:val="10"/>
          <w:position w:val="2"/>
        </w:rPr>
        <w:t xml:space="preserve"> </w:t>
      </w:r>
      <w:r>
        <w:rPr>
          <w:rFonts w:ascii="Times New Roman" w:eastAsia="Times New Roman" w:hAnsi="Times New Roman" w:cs="Times New Roman"/>
          <w:position w:val="2"/>
        </w:rPr>
        <w:t>performance</w:t>
      </w:r>
    </w:p>
    <w:p>
      <w:pPr>
        <w:pStyle w:val="BodyText"/>
        <w:spacing w:before="224" w:line="468" w:lineRule="exact"/>
        <w:ind w:right="58"/>
        <w:jc w:val="right"/>
      </w:pPr>
      <w:r>
        <w:rPr>
          <w:spacing w:val="7"/>
          <w:position w:val="20"/>
        </w:rPr>
        <w:t>涉及雪上运动场馆生态环境、资源节约（节能、节水、节材）、健康与人文以及管理与</w:t>
      </w:r>
    </w:p>
    <w:p>
      <w:pPr>
        <w:pStyle w:val="BodyText"/>
        <w:spacing w:before="1" w:line="228" w:lineRule="auto"/>
        <w:ind w:left="22"/>
      </w:pPr>
      <w:r>
        <w:rPr>
          <w:spacing w:val="8"/>
        </w:rPr>
        <w:t>创新等方面的综合性能。</w:t>
      </w:r>
    </w:p>
    <w:p>
      <w:pPr>
        <w:pStyle w:val="BodyText"/>
        <w:spacing w:before="190" w:line="274" w:lineRule="exact"/>
        <w:ind w:left="1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spacing w:val="7"/>
          <w:position w:val="2"/>
        </w:rPr>
        <w:t xml:space="preserve">2.0.4  </w:t>
      </w:r>
      <w:r>
        <w:rPr>
          <w:spacing w:val="7"/>
          <w:position w:val="2"/>
        </w:rPr>
        <w:t>滑雪道</w:t>
      </w:r>
      <w:r>
        <w:rPr>
          <w:spacing w:val="-35"/>
          <w:position w:val="2"/>
        </w:rPr>
        <w:t xml:space="preserve"> </w:t>
      </w:r>
      <w:r>
        <w:rPr>
          <w:rFonts w:ascii="Times New Roman" w:eastAsia="Times New Roman" w:hAnsi="Times New Roman" w:cs="Times New Roman"/>
          <w:position w:val="2"/>
        </w:rPr>
        <w:t>skiing</w:t>
      </w:r>
      <w:r>
        <w:rPr>
          <w:rFonts w:ascii="Times New Roman" w:eastAsia="Times New Roman" w:hAnsi="Times New Roman" w:cs="Times New Roman"/>
          <w:spacing w:val="7"/>
          <w:position w:val="2"/>
        </w:rPr>
        <w:t xml:space="preserve"> </w:t>
      </w:r>
      <w:r>
        <w:rPr>
          <w:rFonts w:ascii="Times New Roman" w:eastAsia="Times New Roman" w:hAnsi="Times New Roman" w:cs="Times New Roman"/>
          <w:position w:val="2"/>
        </w:rPr>
        <w:t>trail</w:t>
      </w:r>
    </w:p>
    <w:p>
      <w:pPr>
        <w:pStyle w:val="BodyText"/>
        <w:spacing w:before="224" w:line="229" w:lineRule="auto"/>
        <w:ind w:left="442"/>
      </w:pPr>
      <w:r>
        <w:rPr>
          <w:spacing w:val="8"/>
        </w:rPr>
        <w:t>开展滑雪活动的专门区域。</w:t>
      </w:r>
    </w:p>
    <w:p>
      <w:pPr>
        <w:pStyle w:val="BodyText"/>
        <w:spacing w:before="189" w:line="275" w:lineRule="exact"/>
        <w:ind w:left="1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spacing w:val="10"/>
          <w:position w:val="2"/>
        </w:rPr>
        <w:t xml:space="preserve">2.0.5  </w:t>
      </w:r>
      <w:r>
        <w:rPr>
          <w:spacing w:val="10"/>
          <w:position w:val="2"/>
        </w:rPr>
        <w:t>生态保护红线</w:t>
      </w:r>
      <w:r>
        <w:rPr>
          <w:spacing w:val="-39"/>
          <w:position w:val="2"/>
        </w:rPr>
        <w:t xml:space="preserve"> </w:t>
      </w:r>
      <w:r>
        <w:rPr>
          <w:rFonts w:ascii="Times New Roman" w:eastAsia="Times New Roman" w:hAnsi="Times New Roman" w:cs="Times New Roman"/>
          <w:position w:val="2"/>
        </w:rPr>
        <w:t>ecological</w:t>
      </w:r>
      <w:r>
        <w:rPr>
          <w:rFonts w:ascii="Times New Roman" w:eastAsia="Times New Roman" w:hAnsi="Times New Roman" w:cs="Times New Roman"/>
          <w:spacing w:val="10"/>
          <w:position w:val="2"/>
        </w:rPr>
        <w:t xml:space="preserve"> </w:t>
      </w:r>
      <w:r>
        <w:rPr>
          <w:rFonts w:ascii="Times New Roman" w:eastAsia="Times New Roman" w:hAnsi="Times New Roman" w:cs="Times New Roman"/>
          <w:position w:val="2"/>
        </w:rPr>
        <w:t>redline</w:t>
      </w:r>
    </w:p>
    <w:p>
      <w:pPr>
        <w:pStyle w:val="BodyText"/>
        <w:spacing w:before="224" w:line="432" w:lineRule="auto"/>
        <w:ind w:left="35" w:firstLine="405"/>
        <w:jc w:val="both"/>
      </w:pPr>
      <w:r>
        <w:rPr>
          <w:spacing w:val="7"/>
        </w:rPr>
        <w:t>在生态空间范围内具有特殊重要生态功能、必须强制性严格保护的区域，是保障和维护</w:t>
      </w:r>
      <w:r>
        <w:rPr>
          <w:spacing w:val="9"/>
        </w:rPr>
        <w:t xml:space="preserve"> </w:t>
      </w:r>
      <w:r>
        <w:rPr>
          <w:spacing w:val="9"/>
        </w:rPr>
        <w:t>国家生态安全的底线和生命线，通常包括具有</w:t>
      </w:r>
      <w:r>
        <w:rPr>
          <w:spacing w:val="8"/>
        </w:rPr>
        <w:t>重要水源涵养、生物多样性维护、水土保持、</w:t>
      </w:r>
      <w:r>
        <w:t xml:space="preserve"> </w:t>
      </w:r>
      <w:r>
        <w:rPr>
          <w:spacing w:val="9"/>
        </w:rPr>
        <w:t>防风固沙、海岸生态稳定等功能的生态功能重</w:t>
      </w:r>
      <w:r>
        <w:rPr>
          <w:spacing w:val="8"/>
        </w:rPr>
        <w:t>要区域，以及水土流失、土地沙化、石漠化、</w:t>
      </w:r>
    </w:p>
    <w:p>
      <w:pPr>
        <w:pStyle w:val="BodyText"/>
        <w:spacing w:before="1" w:line="227" w:lineRule="auto"/>
        <w:ind w:left="23"/>
      </w:pPr>
      <w:r>
        <w:rPr>
          <w:spacing w:val="8"/>
        </w:rPr>
        <w:t>盐渍化等生态环境敏感脆弱区域。</w:t>
      </w:r>
    </w:p>
    <w:p>
      <w:pPr>
        <w:pStyle w:val="BodyText"/>
        <w:spacing w:before="191" w:line="274" w:lineRule="exact"/>
        <w:ind w:left="1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spacing w:val="9"/>
          <w:position w:val="2"/>
        </w:rPr>
        <w:t xml:space="preserve">2.0.6  </w:t>
      </w:r>
      <w:r>
        <w:rPr>
          <w:spacing w:val="9"/>
          <w:position w:val="2"/>
        </w:rPr>
        <w:t>绿色电力</w:t>
      </w:r>
      <w:r>
        <w:rPr>
          <w:spacing w:val="-35"/>
          <w:position w:val="2"/>
        </w:rPr>
        <w:t xml:space="preserve"> </w:t>
      </w:r>
      <w:r>
        <w:rPr>
          <w:rFonts w:ascii="Times New Roman" w:eastAsia="Times New Roman" w:hAnsi="Times New Roman" w:cs="Times New Roman"/>
          <w:position w:val="2"/>
        </w:rPr>
        <w:t>green</w:t>
      </w:r>
      <w:r>
        <w:rPr>
          <w:rFonts w:ascii="Times New Roman" w:eastAsia="Times New Roman" w:hAnsi="Times New Roman" w:cs="Times New Roman"/>
          <w:spacing w:val="9"/>
          <w:position w:val="2"/>
        </w:rPr>
        <w:t xml:space="preserve"> </w:t>
      </w:r>
      <w:r>
        <w:rPr>
          <w:rFonts w:ascii="Times New Roman" w:eastAsia="Times New Roman" w:hAnsi="Times New Roman" w:cs="Times New Roman"/>
          <w:position w:val="2"/>
        </w:rPr>
        <w:t>electricity</w:t>
      </w:r>
    </w:p>
    <w:p>
      <w:pPr>
        <w:pStyle w:val="BodyText"/>
        <w:spacing w:before="224" w:line="438" w:lineRule="exact"/>
        <w:ind w:left="442"/>
      </w:pPr>
      <w:r>
        <w:rPr>
          <w:spacing w:val="9"/>
          <w:position w:val="17"/>
        </w:rPr>
        <w:t>利用特定的发电设备，将可再生能源转化成电能，并通过电网输送至用户的电力。</w:t>
      </w:r>
    </w:p>
    <w:p>
      <w:pPr>
        <w:pStyle w:val="BodyText"/>
        <w:spacing w:line="274" w:lineRule="exact"/>
        <w:ind w:left="1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spacing w:val="10"/>
          <w:position w:val="2"/>
        </w:rPr>
        <w:t xml:space="preserve">2.0.7  </w:t>
      </w:r>
      <w:r>
        <w:rPr>
          <w:spacing w:val="10"/>
          <w:position w:val="2"/>
        </w:rPr>
        <w:t xml:space="preserve">绿色施工 </w:t>
      </w:r>
      <w:r>
        <w:rPr>
          <w:rFonts w:ascii="Times New Roman" w:eastAsia="Times New Roman" w:hAnsi="Times New Roman" w:cs="Times New Roman"/>
          <w:position w:val="2"/>
        </w:rPr>
        <w:t>green</w:t>
      </w:r>
      <w:r>
        <w:rPr>
          <w:rFonts w:ascii="Times New Roman" w:eastAsia="Times New Roman" w:hAnsi="Times New Roman" w:cs="Times New Roman"/>
          <w:spacing w:val="16"/>
          <w:position w:val="2"/>
        </w:rPr>
        <w:t xml:space="preserve"> </w:t>
      </w:r>
      <w:r>
        <w:rPr>
          <w:rFonts w:ascii="Times New Roman" w:eastAsia="Times New Roman" w:hAnsi="Times New Roman" w:cs="Times New Roman"/>
          <w:position w:val="2"/>
        </w:rPr>
        <w:t>construction</w:t>
      </w:r>
    </w:p>
    <w:p>
      <w:pPr>
        <w:pStyle w:val="BodyText"/>
        <w:spacing w:before="224" w:line="432" w:lineRule="auto"/>
        <w:ind w:left="21" w:right="58" w:firstLine="420"/>
      </w:pPr>
      <w:r>
        <w:rPr>
          <w:spacing w:val="7"/>
        </w:rPr>
        <w:t>在保证质量、安全等基本要求的前提下，通过科学管理和技术进步，最大限度地节约资</w:t>
      </w:r>
      <w:r>
        <w:rPr>
          <w:spacing w:val="9"/>
        </w:rPr>
        <w:t xml:space="preserve"> </w:t>
      </w:r>
      <w:r>
        <w:rPr>
          <w:spacing w:val="7"/>
        </w:rPr>
        <w:t>源，减少对环境负面影响，实现</w:t>
      </w:r>
      <w:r>
        <w:rPr>
          <w:rFonts w:ascii="Times New Roman" w:eastAsia="Times New Roman" w:hAnsi="Times New Roman" w:cs="Times New Roman"/>
          <w:spacing w:val="7"/>
        </w:rPr>
        <w:t>“</w:t>
      </w:r>
      <w:r>
        <w:rPr>
          <w:rFonts w:ascii="Times New Roman" w:eastAsia="Times New Roman" w:hAnsi="Times New Roman" w:cs="Times New Roman"/>
          <w:spacing w:val="-19"/>
        </w:rPr>
        <w:t xml:space="preserve"> </w:t>
      </w:r>
      <w:r>
        <w:rPr>
          <w:spacing w:val="7"/>
        </w:rPr>
        <w:t>四节一环保</w:t>
      </w:r>
      <w:r>
        <w:rPr>
          <w:rFonts w:ascii="Times New Roman" w:eastAsia="Times New Roman" w:hAnsi="Times New Roman" w:cs="Times New Roman"/>
          <w:spacing w:val="7"/>
        </w:rPr>
        <w:t>”</w:t>
      </w:r>
      <w:r>
        <w:rPr>
          <w:spacing w:val="7"/>
        </w:rPr>
        <w:t>（节能、节材、节水、节地和环境保护）的建</w:t>
      </w:r>
    </w:p>
    <w:p>
      <w:pPr>
        <w:pStyle w:val="BodyText"/>
        <w:spacing w:line="229" w:lineRule="auto"/>
        <w:ind w:left="23"/>
      </w:pPr>
      <w:r>
        <w:rPr>
          <w:spacing w:val="7"/>
        </w:rPr>
        <w:t>筑工程施工活动。</w:t>
      </w:r>
    </w:p>
    <w:p>
      <w:pPr>
        <w:pStyle w:val="BodyText"/>
        <w:spacing w:before="189" w:line="275" w:lineRule="exact"/>
        <w:ind w:left="18"/>
        <w:rPr>
          <w:rFonts w:ascii="Times New Roman" w:eastAsia="Times New Roman" w:hAnsi="Times New Roman" w:cs="Times New Roman"/>
        </w:rPr>
        <w:sectPr>
          <w:footerReference w:type="default" r:id="rId5"/>
          <w:pgSz w:w="11907" w:h="16840"/>
          <w:pgMar w:top="1431" w:right="1744" w:bottom="1300" w:left="1786" w:header="0" w:footer="1134" w:gutter="0"/>
          <w:pgNumType w:start="2"/>
          <w:cols w:space="708"/>
        </w:sectPr>
      </w:pPr>
      <w:r>
        <w:rPr>
          <w:rFonts w:ascii="Times New Roman" w:eastAsia="Times New Roman" w:hAnsi="Times New Roman" w:cs="Times New Roman"/>
          <w:b/>
          <w:bCs/>
          <w:spacing w:val="8"/>
          <w:position w:val="2"/>
        </w:rPr>
        <w:t xml:space="preserve">2.0.8  </w:t>
      </w:r>
      <w:r>
        <w:rPr>
          <w:spacing w:val="8"/>
          <w:position w:val="2"/>
        </w:rPr>
        <w:t xml:space="preserve">智慧工地 </w:t>
      </w:r>
      <w:r>
        <w:rPr>
          <w:rFonts w:ascii="Times New Roman" w:eastAsia="Times New Roman" w:hAnsi="Times New Roman" w:cs="Times New Roman"/>
          <w:position w:val="2"/>
        </w:rPr>
        <w:t>intelligent</w:t>
      </w:r>
      <w:r>
        <w:rPr>
          <w:rFonts w:ascii="Times New Roman" w:eastAsia="Times New Roman" w:hAnsi="Times New Roman" w:cs="Times New Roman"/>
          <w:spacing w:val="22"/>
          <w:position w:val="2"/>
        </w:rPr>
        <w:t xml:space="preserve"> </w:t>
      </w:r>
      <w:r>
        <w:rPr>
          <w:rFonts w:ascii="Times New Roman" w:eastAsia="Times New Roman" w:hAnsi="Times New Roman" w:cs="Times New Roman"/>
          <w:position w:val="2"/>
        </w:rPr>
        <w:t>site</w:t>
      </w:r>
    </w:p>
    <w:p>
      <w:pPr>
        <w:pStyle w:val="BodyText"/>
        <w:spacing w:before="224" w:line="432" w:lineRule="auto"/>
        <w:ind w:left="17" w:right="56" w:firstLine="448"/>
        <w:jc w:val="both"/>
      </w:pPr>
      <w:r>
        <w:rPr>
          <w:spacing w:val="7"/>
        </w:rPr>
        <w:t>以施工现场人员、机械设备、物料、组织设计、作业环境</w:t>
      </w:r>
      <w:r>
        <w:rPr>
          <w:spacing w:val="6"/>
        </w:rPr>
        <w:t>等关键要素为核心，综合运用</w:t>
      </w:r>
      <w:r>
        <w:t xml:space="preserve"> </w:t>
      </w:r>
      <w:r>
        <w:rPr>
          <w:rFonts w:ascii="Times New Roman" w:eastAsia="Times New Roman" w:hAnsi="Times New Roman" w:cs="Times New Roman"/>
        </w:rPr>
        <w:t>BIM</w:t>
      </w:r>
      <w:r>
        <w:rPr>
          <w:spacing w:val="9"/>
        </w:rPr>
        <w:t>（建筑信息模型）、大数据、智能化、物联</w:t>
      </w:r>
      <w:r>
        <w:rPr>
          <w:spacing w:val="8"/>
        </w:rPr>
        <w:t>网、移动计算、云计算等信息技术，支持建</w:t>
      </w:r>
      <w:r>
        <w:t xml:space="preserve"> </w:t>
      </w:r>
      <w:r>
        <w:rPr>
          <w:spacing w:val="8"/>
        </w:rPr>
        <w:t>造过程可感知、可预测、可科学决策，提高施工现</w:t>
      </w:r>
      <w:r>
        <w:rPr>
          <w:spacing w:val="7"/>
        </w:rPr>
        <w:t>场的生产效率、管理水平和决策能力，实</w:t>
      </w:r>
    </w:p>
    <w:p>
      <w:pPr>
        <w:pStyle w:val="BodyText"/>
        <w:spacing w:before="1" w:line="227" w:lineRule="auto"/>
        <w:ind w:left="23"/>
      </w:pPr>
      <w:r>
        <w:rPr>
          <w:spacing w:val="9"/>
        </w:rPr>
        <w:t>现数字化、精细化、绿色化、智慧化生产和管理的施工环境。</w:t>
      </w:r>
    </w:p>
    <w:p>
      <w:pPr>
        <w:spacing w:line="227" w:lineRule="auto"/>
        <w:sectPr>
          <w:footerReference w:type="default" r:id="rId6"/>
          <w:type w:val="nextPage"/>
          <w:pgSz w:w="11907" w:h="16840"/>
          <w:pgMar w:top="1431" w:right="1744" w:bottom="1300" w:left="1786" w:header="0" w:footer="1134" w:gutter="0"/>
          <w:pgNumType w:start="3"/>
          <w:cols w:space="708"/>
          <w:titlePg w:val="0"/>
        </w:sectPr>
      </w:pPr>
    </w:p>
    <w:p>
      <w:pPr>
        <w:pStyle w:val="BodyText"/>
        <w:spacing w:before="162" w:line="225" w:lineRule="auto"/>
        <w:ind w:left="3456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3"/>
          <w:sz w:val="31"/>
          <w:szCs w:val="31"/>
        </w:rPr>
        <w:t>3</w:t>
      </w:r>
      <w:r>
        <w:rPr>
          <w:rFonts w:ascii="Times New Roman" w:eastAsia="Times New Roman" w:hAnsi="Times New Roman" w:cs="Times New Roman"/>
          <w:b/>
          <w:bCs/>
          <w:spacing w:val="17"/>
          <w:sz w:val="31"/>
          <w:szCs w:val="31"/>
        </w:rPr>
        <w:t xml:space="preserve"> </w:t>
      </w:r>
      <w:r>
        <w:rPr>
          <w:b/>
          <w:bCs/>
          <w:spacing w:val="3"/>
          <w:sz w:val="31"/>
          <w:szCs w:val="31"/>
        </w:rPr>
        <w:t>基本规定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78" w:line="221" w:lineRule="auto"/>
        <w:ind w:left="3555"/>
        <w:outlineLvl w:val="0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3.1</w:t>
      </w:r>
      <w:r>
        <w:rPr>
          <w:rFonts w:ascii="Times New Roman" w:eastAsia="Times New Roman" w:hAnsi="Times New Roman" w:cs="Times New Roman"/>
          <w:b/>
          <w:bCs/>
          <w:spacing w:val="15"/>
          <w:sz w:val="24"/>
          <w:szCs w:val="24"/>
        </w:rPr>
        <w:t xml:space="preserve"> </w:t>
      </w:r>
      <w:r>
        <w:rPr>
          <w:b/>
          <w:bCs/>
          <w:spacing w:val="-4"/>
          <w:sz w:val="24"/>
          <w:szCs w:val="24"/>
        </w:rPr>
        <w:t>一般规定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65" w:line="378" w:lineRule="auto"/>
        <w:ind w:left="69" w:right="59" w:hanging="6"/>
        <w:jc w:val="both"/>
      </w:pPr>
      <w:r>
        <w:rPr>
          <w:rFonts w:ascii="Times New Roman" w:eastAsia="Times New Roman" w:hAnsi="Times New Roman" w:cs="Times New Roman"/>
          <w:b/>
          <w:bCs/>
          <w:spacing w:val="9"/>
        </w:rPr>
        <w:t xml:space="preserve">3.1.1  </w:t>
      </w:r>
      <w:r>
        <w:rPr>
          <w:spacing w:val="9"/>
        </w:rPr>
        <w:t>绿色雪上运动场馆开发建设、管理、安全保障等应满足国家及地方相关管理规定的要</w:t>
      </w:r>
      <w:r>
        <w:rPr>
          <w:spacing w:val="5"/>
        </w:rPr>
        <w:t xml:space="preserve"> </w:t>
      </w:r>
      <w:r>
        <w:rPr>
          <w:spacing w:val="7"/>
        </w:rPr>
        <w:t>求。当作为赛事场馆承接赛事时，应根据赛事主办方相应的赛事要求提供滑雪道、场地和配</w:t>
      </w:r>
    </w:p>
    <w:p>
      <w:pPr>
        <w:pStyle w:val="BodyText"/>
        <w:spacing w:line="229" w:lineRule="auto"/>
        <w:ind w:left="68"/>
      </w:pPr>
      <w:r>
        <w:rPr>
          <w:spacing w:val="4"/>
        </w:rPr>
        <w:t>套设施。</w:t>
      </w:r>
    </w:p>
    <w:p>
      <w:pPr>
        <w:pStyle w:val="BodyText"/>
        <w:spacing w:before="158" w:line="303" w:lineRule="auto"/>
        <w:ind w:left="71" w:right="61" w:hanging="8"/>
      </w:pPr>
      <w:r>
        <w:rPr>
          <w:rFonts w:ascii="Times New Roman" w:eastAsia="Times New Roman" w:hAnsi="Times New Roman" w:cs="Times New Roman"/>
          <w:b/>
          <w:bCs/>
          <w:spacing w:val="9"/>
        </w:rPr>
        <w:t>3.1.2</w:t>
      </w:r>
      <w:r>
        <w:rPr>
          <w:rFonts w:ascii="Times New Roman" w:eastAsia="Times New Roman" w:hAnsi="Times New Roman" w:cs="Times New Roman"/>
          <w:b/>
          <w:bCs/>
          <w:spacing w:val="19"/>
          <w:w w:val="101"/>
        </w:rPr>
        <w:t xml:space="preserve">  </w:t>
      </w:r>
      <w:r>
        <w:rPr>
          <w:spacing w:val="9"/>
        </w:rPr>
        <w:t>申请评价项目的环境影响评价文件、可行性</w:t>
      </w:r>
      <w:r>
        <w:rPr>
          <w:spacing w:val="8"/>
        </w:rPr>
        <w:t>研究报告和设计文件中应体现绿色可持续</w:t>
      </w:r>
      <w:r>
        <w:t xml:space="preserve"> </w:t>
      </w:r>
      <w:r>
        <w:rPr>
          <w:spacing w:val="8"/>
        </w:rPr>
        <w:t>发展及经济可持续发展的内容。</w:t>
      </w:r>
    </w:p>
    <w:p>
      <w:pPr>
        <w:pStyle w:val="BodyText"/>
        <w:spacing w:before="160" w:line="303" w:lineRule="auto"/>
        <w:ind w:left="67" w:right="59" w:hanging="4"/>
      </w:pPr>
      <w:r>
        <w:rPr>
          <w:rFonts w:ascii="Times New Roman" w:eastAsia="Times New Roman" w:hAnsi="Times New Roman" w:cs="Times New Roman"/>
          <w:b/>
          <w:bCs/>
          <w:spacing w:val="9"/>
        </w:rPr>
        <w:t xml:space="preserve">3.1.3  </w:t>
      </w:r>
      <w:r>
        <w:rPr>
          <w:spacing w:val="9"/>
        </w:rPr>
        <w:t>绿色雪上运动场馆的评价应包含完整的雪上运动场馆用地范围，对于涉及系统性、整</w:t>
      </w:r>
      <w:r>
        <w:rPr>
          <w:spacing w:val="6"/>
        </w:rPr>
        <w:t xml:space="preserve"> </w:t>
      </w:r>
      <w:r>
        <w:rPr>
          <w:spacing w:val="9"/>
        </w:rPr>
        <w:t>体性的指标，可基于场馆所在区域的总体情况进行评价。</w:t>
      </w:r>
    </w:p>
    <w:p>
      <w:pPr>
        <w:pStyle w:val="BodyText"/>
        <w:spacing w:before="162" w:line="302" w:lineRule="auto"/>
        <w:ind w:left="88" w:right="59" w:hanging="25"/>
      </w:pPr>
      <w:r>
        <w:rPr>
          <w:rFonts w:ascii="Times New Roman" w:eastAsia="Times New Roman" w:hAnsi="Times New Roman" w:cs="Times New Roman"/>
          <w:b/>
          <w:bCs/>
          <w:spacing w:val="9"/>
        </w:rPr>
        <w:t xml:space="preserve">3.1.4  </w:t>
      </w:r>
      <w:r>
        <w:rPr>
          <w:spacing w:val="9"/>
        </w:rPr>
        <w:t>绿色雪上运动场馆的评价分为预评价和评价。绿色雪上运动场馆预评价应在场馆施工</w:t>
      </w:r>
      <w:r>
        <w:rPr>
          <w:spacing w:val="5"/>
        </w:rPr>
        <w:t xml:space="preserve"> </w:t>
      </w:r>
      <w:r>
        <w:rPr>
          <w:spacing w:val="9"/>
        </w:rPr>
        <w:t>图设计完成后进行，绿色雪上运动场馆评价应</w:t>
      </w:r>
      <w:r>
        <w:rPr>
          <w:spacing w:val="8"/>
        </w:rPr>
        <w:t>在完成竣工验收后进行。</w:t>
      </w:r>
    </w:p>
    <w:p>
      <w:pPr>
        <w:pStyle w:val="BodyText"/>
        <w:spacing w:before="163" w:line="303" w:lineRule="auto"/>
        <w:ind w:left="71" w:right="2" w:hanging="8"/>
      </w:pPr>
      <w:r>
        <w:rPr>
          <w:rFonts w:ascii="Times New Roman" w:eastAsia="Times New Roman" w:hAnsi="Times New Roman" w:cs="Times New Roman"/>
          <w:b/>
          <w:bCs/>
          <w:spacing w:val="9"/>
        </w:rPr>
        <w:t>3.1.5</w:t>
      </w:r>
      <w:r>
        <w:rPr>
          <w:rFonts w:ascii="Times New Roman" w:eastAsia="Times New Roman" w:hAnsi="Times New Roman" w:cs="Times New Roman"/>
          <w:b/>
          <w:bCs/>
          <w:spacing w:val="19"/>
          <w:w w:val="101"/>
        </w:rPr>
        <w:t xml:space="preserve">  </w:t>
      </w:r>
      <w:r>
        <w:rPr>
          <w:spacing w:val="9"/>
        </w:rPr>
        <w:t>申请评价方应对参评项目进行全寿命期技术和经</w:t>
      </w:r>
      <w:r>
        <w:rPr>
          <w:spacing w:val="8"/>
        </w:rPr>
        <w:t>济分析，合理确定项目规模，选用适</w:t>
      </w:r>
      <w:r>
        <w:t xml:space="preserve"> </w:t>
      </w:r>
      <w:r>
        <w:rPr>
          <w:spacing w:val="9"/>
        </w:rPr>
        <w:t>宜技术、设备和材料，对规划、设计、施工、运行阶段进行全过程</w:t>
      </w:r>
      <w:r>
        <w:rPr>
          <w:spacing w:val="8"/>
        </w:rPr>
        <w:t>控制，并提交相应分析、</w:t>
      </w:r>
    </w:p>
    <w:p>
      <w:pPr>
        <w:pStyle w:val="BodyText"/>
        <w:spacing w:before="161" w:line="227" w:lineRule="auto"/>
        <w:ind w:left="68"/>
      </w:pPr>
      <w:r>
        <w:rPr>
          <w:spacing w:val="8"/>
        </w:rPr>
        <w:t>测试报告和相关文件。</w:t>
      </w:r>
      <w:r>
        <w:rPr>
          <w:spacing w:val="-57"/>
        </w:rPr>
        <w:t xml:space="preserve"> </w:t>
      </w:r>
      <w:r>
        <w:rPr>
          <w:spacing w:val="8"/>
        </w:rPr>
        <w:t>申请评价方应对所提交资料的真实性和完整性负责。</w:t>
      </w:r>
    </w:p>
    <w:p>
      <w:pPr>
        <w:pStyle w:val="BodyText"/>
        <w:spacing w:before="162" w:line="408" w:lineRule="exact"/>
        <w:jc w:val="right"/>
      </w:pPr>
      <w:r>
        <w:rPr>
          <w:rFonts w:ascii="Times New Roman" w:eastAsia="Times New Roman" w:hAnsi="Times New Roman" w:cs="Times New Roman"/>
          <w:b/>
          <w:bCs/>
          <w:spacing w:val="6"/>
          <w:position w:val="15"/>
        </w:rPr>
        <w:t xml:space="preserve">3.1.6  </w:t>
      </w:r>
      <w:r>
        <w:rPr>
          <w:spacing w:val="6"/>
          <w:position w:val="15"/>
        </w:rPr>
        <w:t>评价机构应对申请评价方提交的分析、测试报告和相关</w:t>
      </w:r>
      <w:r>
        <w:rPr>
          <w:spacing w:val="5"/>
          <w:position w:val="15"/>
        </w:rPr>
        <w:t>文件进行审查，出具评价报告，</w:t>
      </w:r>
    </w:p>
    <w:p>
      <w:pPr>
        <w:pStyle w:val="BodyText"/>
        <w:spacing w:line="228" w:lineRule="auto"/>
        <w:ind w:left="67"/>
      </w:pPr>
      <w:r>
        <w:rPr>
          <w:spacing w:val="5"/>
        </w:rPr>
        <w:t>确定等级。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pStyle w:val="BodyText"/>
        <w:spacing w:before="79" w:line="219" w:lineRule="auto"/>
        <w:ind w:left="3193"/>
        <w:outlineLvl w:val="0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3.2 </w:t>
      </w:r>
      <w:r>
        <w:rPr>
          <w:b/>
          <w:bCs/>
          <w:spacing w:val="-2"/>
          <w:sz w:val="24"/>
          <w:szCs w:val="24"/>
        </w:rPr>
        <w:t>评价与等级划分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66" w:line="378" w:lineRule="auto"/>
        <w:ind w:left="70" w:right="59" w:hanging="7"/>
        <w:jc w:val="both"/>
      </w:pPr>
      <w:r>
        <w:rPr>
          <w:rFonts w:ascii="Times New Roman" w:eastAsia="Times New Roman" w:hAnsi="Times New Roman" w:cs="Times New Roman"/>
          <w:b/>
          <w:bCs/>
          <w:spacing w:val="10"/>
        </w:rPr>
        <w:t xml:space="preserve">3.2.1 </w:t>
      </w:r>
      <w:r>
        <w:rPr>
          <w:spacing w:val="10"/>
        </w:rPr>
        <w:t>雪上运动场馆绿色性能评价指标体系应由生态环境、资源节约、健康与人文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10"/>
        </w:rPr>
        <w:t xml:space="preserve">3 </w:t>
      </w:r>
      <w:r>
        <w:rPr>
          <w:spacing w:val="10"/>
        </w:rPr>
        <w:t>类</w:t>
      </w:r>
      <w:r>
        <w:rPr>
          <w:spacing w:val="9"/>
        </w:rPr>
        <w:t>指标</w:t>
      </w:r>
      <w:r>
        <w:t xml:space="preserve"> </w:t>
      </w:r>
      <w:r>
        <w:rPr>
          <w:spacing w:val="7"/>
        </w:rPr>
        <w:t>组成。每类指标均应包括控制项和评分项。针对管理和创新，评价指标体系还统一设置加分</w:t>
      </w:r>
    </w:p>
    <w:p>
      <w:pPr>
        <w:pStyle w:val="BodyText"/>
        <w:spacing w:line="229" w:lineRule="auto"/>
        <w:ind w:left="71"/>
      </w:pPr>
      <w:r>
        <w:rPr>
          <w:spacing w:val="-2"/>
        </w:rPr>
        <w:t>项。</w:t>
      </w:r>
    </w:p>
    <w:p>
      <w:pPr>
        <w:pStyle w:val="BodyText"/>
        <w:spacing w:before="159" w:line="302" w:lineRule="auto"/>
        <w:ind w:left="68" w:right="59" w:hanging="5"/>
      </w:pPr>
      <w:r>
        <w:rPr>
          <w:rFonts w:ascii="Times New Roman" w:eastAsia="Times New Roman" w:hAnsi="Times New Roman" w:cs="Times New Roman"/>
          <w:b/>
          <w:bCs/>
          <w:spacing w:val="9"/>
        </w:rPr>
        <w:t xml:space="preserve">3.2.2  </w:t>
      </w:r>
      <w:r>
        <w:rPr>
          <w:spacing w:val="9"/>
        </w:rPr>
        <w:t>控制项的评定结果应为达标或不达标；评分项和加分项的评定结果应为分值。雪上运</w:t>
      </w:r>
      <w:r>
        <w:rPr>
          <w:spacing w:val="6"/>
        </w:rPr>
        <w:t xml:space="preserve"> </w:t>
      </w:r>
      <w:r>
        <w:rPr>
          <w:spacing w:val="9"/>
        </w:rPr>
        <w:t>动场馆绿色性能评价应根据控制项和总得分情况确定等级。</w:t>
      </w:r>
    </w:p>
    <w:p>
      <w:pPr>
        <w:pStyle w:val="BodyText"/>
        <w:spacing w:before="162" w:line="227" w:lineRule="auto"/>
        <w:ind w:left="63"/>
      </w:pPr>
      <w:r>
        <w:rPr>
          <w:rFonts w:ascii="Times New Roman" w:eastAsia="Times New Roman" w:hAnsi="Times New Roman" w:cs="Times New Roman"/>
          <w:b/>
          <w:bCs/>
          <w:spacing w:val="7"/>
        </w:rPr>
        <w:t xml:space="preserve">3.2.3  </w:t>
      </w:r>
      <w:r>
        <w:rPr>
          <w:spacing w:val="7"/>
        </w:rPr>
        <w:t>评价指标体系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3 </w:t>
      </w:r>
      <w:r>
        <w:rPr>
          <w:spacing w:val="7"/>
        </w:rPr>
        <w:t>类指标及加分项的评分项总分值的设定应符</w:t>
      </w:r>
      <w:r>
        <w:rPr>
          <w:spacing w:val="6"/>
        </w:rPr>
        <w:t>合表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3.2.3</w:t>
      </w:r>
      <w:r>
        <w:rPr>
          <w:rFonts w:ascii="Times New Roman" w:eastAsia="Times New Roman" w:hAnsi="Times New Roman" w:cs="Times New Roman"/>
          <w:spacing w:val="27"/>
        </w:rPr>
        <w:t xml:space="preserve"> </w:t>
      </w:r>
      <w:r>
        <w:rPr>
          <w:spacing w:val="6"/>
        </w:rPr>
        <w:t>的规定。</w:t>
      </w:r>
    </w:p>
    <w:p>
      <w:pPr>
        <w:pStyle w:val="BodyText"/>
        <w:spacing w:before="261" w:line="227" w:lineRule="auto"/>
        <w:ind w:left="1744"/>
        <w:sectPr>
          <w:footerReference w:type="default" r:id="rId7"/>
          <w:pgSz w:w="11907" w:h="16840"/>
          <w:pgMar w:top="1431" w:right="1741" w:bottom="1300" w:left="1740" w:header="0" w:footer="1134" w:gutter="0"/>
          <w:pgNumType w:start="4"/>
          <w:cols w:space="708"/>
        </w:sectPr>
      </w:pPr>
      <w:r>
        <w:rPr>
          <w:b/>
          <w:bCs/>
          <w:spacing w:val="7"/>
        </w:rPr>
        <w:t>表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7"/>
        </w:rPr>
        <w:t xml:space="preserve">3.2.3 </w:t>
      </w:r>
      <w:r>
        <w:rPr>
          <w:b/>
          <w:bCs/>
          <w:spacing w:val="7"/>
        </w:rPr>
        <w:t>绿色雪上运动场馆各类评价指标评分项总分值</w:t>
      </w:r>
    </w:p>
    <w:p>
      <w:pPr>
        <w:spacing w:line="94" w:lineRule="exact"/>
      </w:pPr>
    </w:p>
    <w:tbl>
      <w:tblPr>
        <w:tblStyle w:val="TableNormal0"/>
        <w:tblW w:w="842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746"/>
        <w:gridCol w:w="1557"/>
        <w:gridCol w:w="1703"/>
        <w:gridCol w:w="1703"/>
        <w:gridCol w:w="1711"/>
      </w:tblGrid>
      <w:tr>
        <w:tblPrEx>
          <w:tblW w:w="842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76"/>
        </w:trPr>
        <w:tc>
          <w:tcPr>
            <w:tcW w:w="1746" w:type="dxa"/>
            <w:vAlign w:val="top"/>
          </w:tcPr>
          <w:p>
            <w:pPr>
              <w:spacing w:before="158" w:line="206" w:lineRule="auto"/>
              <w:ind w:left="41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评价指标</w:t>
            </w:r>
            <w:r>
              <w:rPr>
                <w:rFonts w:ascii="SimSun" w:eastAsia="SimSun" w:hAnsi="SimSun" w:cs="SimSun"/>
                <w:spacing w:val="-3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2"/>
                <w:sz w:val="20"/>
                <w:szCs w:val="20"/>
              </w:rPr>
              <w:t>Q</w:t>
            </w:r>
          </w:p>
        </w:tc>
        <w:tc>
          <w:tcPr>
            <w:tcW w:w="1557" w:type="dxa"/>
            <w:vAlign w:val="top"/>
          </w:tcPr>
          <w:p>
            <w:pPr>
              <w:spacing w:before="158" w:line="206" w:lineRule="auto"/>
              <w:ind w:left="290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生态环境</w:t>
            </w:r>
            <w:r>
              <w:rPr>
                <w:rFonts w:ascii="SimSun" w:eastAsia="SimSun" w:hAnsi="SimSun" w:cs="SimSun"/>
                <w:spacing w:val="-3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2"/>
                <w:sz w:val="20"/>
                <w:szCs w:val="20"/>
              </w:rPr>
              <w:t>Q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2"/>
                <w:position w:val="-1"/>
                <w:sz w:val="13"/>
                <w:szCs w:val="13"/>
              </w:rPr>
              <w:t>1</w:t>
            </w:r>
          </w:p>
        </w:tc>
        <w:tc>
          <w:tcPr>
            <w:tcW w:w="1703" w:type="dxa"/>
            <w:vAlign w:val="top"/>
          </w:tcPr>
          <w:p>
            <w:pPr>
              <w:spacing w:before="158" w:line="206" w:lineRule="auto"/>
              <w:ind w:left="371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资源节约</w:t>
            </w:r>
            <w:r>
              <w:rPr>
                <w:rFonts w:ascii="SimSun" w:eastAsia="SimSun" w:hAnsi="SimSun" w:cs="SimSun"/>
                <w:spacing w:val="-3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3"/>
                <w:sz w:val="20"/>
                <w:szCs w:val="20"/>
              </w:rPr>
              <w:t>Q</w:t>
            </w:r>
            <w:r>
              <w:rPr>
                <w:rFonts w:ascii="Times New Roman" w:eastAsia="Times New Roman" w:hAnsi="Times New Roman" w:cs="Times New Roman"/>
                <w:spacing w:val="-3"/>
                <w:position w:val="-1"/>
                <w:sz w:val="13"/>
                <w:szCs w:val="13"/>
              </w:rPr>
              <w:t>2</w:t>
            </w:r>
          </w:p>
        </w:tc>
        <w:tc>
          <w:tcPr>
            <w:tcW w:w="1703" w:type="dxa"/>
            <w:vAlign w:val="top"/>
          </w:tcPr>
          <w:p>
            <w:pPr>
              <w:spacing w:before="158" w:line="206" w:lineRule="auto"/>
              <w:ind w:left="275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健康与人文</w:t>
            </w:r>
            <w:r>
              <w:rPr>
                <w:rFonts w:ascii="SimSun" w:eastAsia="SimSun" w:hAnsi="SimSun" w:cs="SimSun"/>
                <w:spacing w:val="-37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"/>
                <w:sz w:val="20"/>
                <w:szCs w:val="20"/>
              </w:rPr>
              <w:t>Q</w:t>
            </w:r>
            <w:r>
              <w:rPr>
                <w:rFonts w:ascii="Times New Roman" w:eastAsia="Times New Roman" w:hAnsi="Times New Roman" w:cs="Times New Roman"/>
                <w:spacing w:val="-1"/>
                <w:position w:val="-1"/>
                <w:sz w:val="13"/>
                <w:szCs w:val="13"/>
              </w:rPr>
              <w:t>3</w:t>
            </w:r>
          </w:p>
        </w:tc>
        <w:tc>
          <w:tcPr>
            <w:tcW w:w="1711" w:type="dxa"/>
            <w:vAlign w:val="top"/>
          </w:tcPr>
          <w:p>
            <w:pPr>
              <w:spacing w:before="158" w:line="206" w:lineRule="auto"/>
              <w:ind w:left="266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管理与创新</w:t>
            </w:r>
            <w:r>
              <w:rPr>
                <w:rFonts w:ascii="SimSun" w:eastAsia="SimSun" w:hAnsi="SimSun" w:cs="SimSun"/>
                <w:spacing w:val="-3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2"/>
                <w:sz w:val="20"/>
                <w:szCs w:val="20"/>
              </w:rPr>
              <w:t>Q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3"/>
                <w:szCs w:val="13"/>
              </w:rPr>
              <w:t>A</w:t>
            </w:r>
          </w:p>
        </w:tc>
      </w:tr>
      <w:tr>
        <w:tblPrEx>
          <w:tblW w:w="8420" w:type="dxa"/>
          <w:tblInd w:w="2" w:type="dxa"/>
          <w:tblLayout w:type="fixed"/>
        </w:tblPrEx>
        <w:trPr>
          <w:trHeight w:val="940"/>
        </w:trPr>
        <w:tc>
          <w:tcPr>
            <w:tcW w:w="1746" w:type="dxa"/>
            <w:vAlign w:val="top"/>
          </w:tcPr>
          <w:p>
            <w:pPr>
              <w:spacing w:before="147" w:line="468" w:lineRule="exact"/>
              <w:ind w:left="16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position w:val="22"/>
                <w:sz w:val="18"/>
                <w:szCs w:val="18"/>
              </w:rPr>
              <w:t>室外雪上运动场馆</w:t>
            </w:r>
          </w:p>
          <w:p>
            <w:pPr>
              <w:spacing w:line="218" w:lineRule="auto"/>
              <w:ind w:left="42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评价总分值</w:t>
            </w:r>
          </w:p>
        </w:tc>
        <w:tc>
          <w:tcPr>
            <w:tcW w:w="1557" w:type="dxa"/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</w:p>
          <w:p>
            <w:pPr>
              <w:spacing w:before="52" w:line="188" w:lineRule="auto"/>
              <w:ind w:left="66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100</w:t>
            </w:r>
          </w:p>
        </w:tc>
        <w:tc>
          <w:tcPr>
            <w:tcW w:w="1703" w:type="dxa"/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</w:p>
          <w:p>
            <w:pPr>
              <w:spacing w:before="52" w:line="188" w:lineRule="auto"/>
              <w:ind w:left="73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150</w:t>
            </w:r>
          </w:p>
        </w:tc>
        <w:tc>
          <w:tcPr>
            <w:tcW w:w="1703" w:type="dxa"/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</w:p>
          <w:p>
            <w:pPr>
              <w:spacing w:before="52" w:line="188" w:lineRule="auto"/>
              <w:ind w:left="73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100</w:t>
            </w:r>
          </w:p>
        </w:tc>
        <w:tc>
          <w:tcPr>
            <w:tcW w:w="1711" w:type="dxa"/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</w:p>
          <w:p>
            <w:pPr>
              <w:spacing w:before="52" w:line="188" w:lineRule="auto"/>
              <w:ind w:left="73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100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8"/>
          <w:type w:val="nextPage"/>
          <w:pgSz w:w="11907" w:h="16840"/>
          <w:pgMar w:top="1431" w:right="1741" w:bottom="1300" w:left="1740" w:header="0" w:footer="1134" w:gutter="0"/>
          <w:pgNumType w:start="5"/>
          <w:cols w:space="708"/>
          <w:titlePg w:val="0"/>
        </w:sectPr>
      </w:pPr>
    </w:p>
    <w:p>
      <w:pPr>
        <w:spacing w:line="90" w:lineRule="auto"/>
        <w:rPr>
          <w:rFonts w:ascii="Arial"/>
          <w:sz w:val="2"/>
        </w:rPr>
      </w:pPr>
    </w:p>
    <w:tbl>
      <w:tblPr>
        <w:tblStyle w:val="TableNormal1"/>
        <w:tblW w:w="842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746"/>
        <w:gridCol w:w="1557"/>
        <w:gridCol w:w="1703"/>
        <w:gridCol w:w="1703"/>
        <w:gridCol w:w="1711"/>
      </w:tblGrid>
      <w:tr>
        <w:tblPrEx>
          <w:tblW w:w="842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945"/>
        </w:trPr>
        <w:tc>
          <w:tcPr>
            <w:tcW w:w="1746" w:type="dxa"/>
            <w:vAlign w:val="top"/>
          </w:tcPr>
          <w:p>
            <w:pPr>
              <w:spacing w:before="148" w:line="468" w:lineRule="exact"/>
              <w:ind w:left="16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position w:val="22"/>
                <w:sz w:val="18"/>
                <w:szCs w:val="18"/>
              </w:rPr>
              <w:t>室内雪上运动场馆</w:t>
            </w:r>
          </w:p>
          <w:p>
            <w:pPr>
              <w:spacing w:line="218" w:lineRule="auto"/>
              <w:ind w:left="42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评价总分值</w:t>
            </w:r>
          </w:p>
        </w:tc>
        <w:tc>
          <w:tcPr>
            <w:tcW w:w="1557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88" w:lineRule="auto"/>
              <w:ind w:left="692"/>
            </w:pPr>
            <w:r>
              <w:rPr>
                <w:spacing w:val="-4"/>
              </w:rPr>
              <w:t>60</w:t>
            </w:r>
          </w:p>
        </w:tc>
        <w:tc>
          <w:tcPr>
            <w:tcW w:w="1703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88" w:lineRule="auto"/>
              <w:ind w:left="735"/>
            </w:pPr>
            <w:r>
              <w:rPr>
                <w:spacing w:val="-7"/>
              </w:rPr>
              <w:t>190</w:t>
            </w:r>
          </w:p>
        </w:tc>
        <w:tc>
          <w:tcPr>
            <w:tcW w:w="1703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88" w:lineRule="auto"/>
              <w:ind w:left="736"/>
            </w:pPr>
            <w:r>
              <w:rPr>
                <w:spacing w:val="-7"/>
              </w:rPr>
              <w:t>100</w:t>
            </w:r>
          </w:p>
        </w:tc>
        <w:tc>
          <w:tcPr>
            <w:tcW w:w="1711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88" w:lineRule="auto"/>
              <w:ind w:left="739"/>
            </w:pPr>
            <w:r>
              <w:rPr>
                <w:spacing w:val="-8"/>
              </w:rPr>
              <w:t>100</w:t>
            </w:r>
          </w:p>
        </w:tc>
      </w:tr>
    </w:tbl>
    <w:p>
      <w:pPr>
        <w:pStyle w:val="BodyText"/>
        <w:spacing w:before="32" w:line="377" w:lineRule="exact"/>
        <w:ind w:left="63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42.1pt;height:15.05pt;margin-top:21.01pt;margin-left:352.22pt;position:absolute;z-index:25165824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41" w:lineRule="auto"/>
                    <w:ind w:left="20"/>
                  </w:pPr>
                  <w:r>
                    <w:rPr>
                      <w:spacing w:val="1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</w:rPr>
                    <w:t>3.2.4</w:t>
                  </w:r>
                  <w:r>
                    <w:rPr>
                      <w:spacing w:val="1"/>
                    </w:rPr>
                    <w:t>）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b/>
          <w:bCs/>
          <w:spacing w:val="7"/>
          <w:position w:val="13"/>
        </w:rPr>
        <w:t xml:space="preserve">3.2.4  </w:t>
      </w:r>
      <w:r>
        <w:rPr>
          <w:spacing w:val="7"/>
          <w:position w:val="13"/>
        </w:rPr>
        <w:t>雪上运动场馆绿色性能评价总得分</w:t>
      </w:r>
      <w:r>
        <w:rPr>
          <w:spacing w:val="-27"/>
          <w:position w:val="1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7"/>
          <w:position w:val="13"/>
        </w:rPr>
        <w:t xml:space="preserve">Q </w:t>
      </w:r>
      <w:r>
        <w:rPr>
          <w:spacing w:val="7"/>
          <w:position w:val="13"/>
        </w:rPr>
        <w:t>应按下式计算：</w:t>
      </w:r>
    </w:p>
    <w:p>
      <w:pPr>
        <w:spacing w:line="274" w:lineRule="exact"/>
        <w:ind w:left="3494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i/>
          <w:iCs/>
          <w:spacing w:val="5"/>
          <w:position w:val="4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5"/>
          <w:position w:val="4"/>
          <w:sz w:val="20"/>
          <w:szCs w:val="20"/>
        </w:rPr>
        <w:t>=</w:t>
      </w:r>
      <w:r>
        <w:rPr>
          <w:rFonts w:ascii="Times New Roman" w:eastAsia="Times New Roman" w:hAnsi="Times New Roman" w:cs="Times New Roman"/>
          <w:i/>
          <w:iCs/>
          <w:spacing w:val="5"/>
          <w:position w:val="4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5"/>
          <w:position w:val="3"/>
          <w:sz w:val="13"/>
          <w:szCs w:val="13"/>
        </w:rPr>
        <w:t>1</w:t>
      </w:r>
      <w:r>
        <w:rPr>
          <w:rFonts w:ascii="Times New Roman" w:eastAsia="Times New Roman" w:hAnsi="Times New Roman" w:cs="Times New Roman"/>
          <w:spacing w:val="5"/>
          <w:position w:val="4"/>
          <w:sz w:val="20"/>
          <w:szCs w:val="20"/>
        </w:rPr>
        <w:t>+</w:t>
      </w:r>
      <w:r>
        <w:rPr>
          <w:rFonts w:ascii="Times New Roman" w:eastAsia="Times New Roman" w:hAnsi="Times New Roman" w:cs="Times New Roman"/>
          <w:i/>
          <w:iCs/>
          <w:spacing w:val="5"/>
          <w:position w:val="4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5"/>
          <w:position w:val="3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pacing w:val="5"/>
          <w:position w:val="4"/>
          <w:sz w:val="20"/>
          <w:szCs w:val="20"/>
        </w:rPr>
        <w:t>+</w:t>
      </w:r>
      <w:r>
        <w:rPr>
          <w:rFonts w:ascii="Times New Roman" w:eastAsia="Times New Roman" w:hAnsi="Times New Roman" w:cs="Times New Roman"/>
          <w:i/>
          <w:iCs/>
          <w:spacing w:val="5"/>
          <w:position w:val="4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5"/>
          <w:position w:val="3"/>
          <w:sz w:val="13"/>
          <w:szCs w:val="13"/>
        </w:rPr>
        <w:t>3</w:t>
      </w:r>
      <w:r>
        <w:rPr>
          <w:rFonts w:ascii="Times New Roman" w:eastAsia="Times New Roman" w:hAnsi="Times New Roman" w:cs="Times New Roman"/>
          <w:spacing w:val="5"/>
          <w:position w:val="4"/>
          <w:sz w:val="20"/>
          <w:szCs w:val="20"/>
        </w:rPr>
        <w:t>+</w:t>
      </w:r>
      <w:r>
        <w:rPr>
          <w:rFonts w:ascii="Times New Roman" w:eastAsia="Times New Roman" w:hAnsi="Times New Roman" w:cs="Times New Roman"/>
          <w:i/>
          <w:iCs/>
          <w:position w:val="4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position w:val="3"/>
          <w:sz w:val="13"/>
          <w:szCs w:val="13"/>
        </w:rPr>
        <w:t>A</w:t>
      </w:r>
    </w:p>
    <w:p>
      <w:pPr>
        <w:pStyle w:val="BodyText"/>
        <w:spacing w:before="164" w:line="221" w:lineRule="auto"/>
        <w:ind w:left="271"/>
      </w:pPr>
      <w:r>
        <w:rPr>
          <w:spacing w:val="6"/>
        </w:rPr>
        <w:t>式中：</w:t>
      </w:r>
      <w:r>
        <w:rPr>
          <w:rFonts w:ascii="Times New Roman" w:eastAsia="Times New Roman" w:hAnsi="Times New Roman" w:cs="Times New Roman"/>
          <w:i/>
          <w:iCs/>
          <w:spacing w:val="6"/>
        </w:rPr>
        <w:t xml:space="preserve">Q  </w:t>
      </w:r>
      <w:r>
        <w:rPr>
          <w:spacing w:val="6"/>
        </w:rPr>
        <w:t>——总得分；</w:t>
      </w:r>
    </w:p>
    <w:p>
      <w:pPr>
        <w:pStyle w:val="BodyText"/>
        <w:spacing w:before="168" w:line="221" w:lineRule="auto"/>
        <w:ind w:left="268"/>
      </w:pPr>
      <w:r>
        <w:rPr>
          <w:rFonts w:ascii="Times New Roman" w:eastAsia="Times New Roman" w:hAnsi="Times New Roman" w:cs="Times New Roman"/>
          <w:i/>
          <w:iCs/>
          <w:spacing w:val="7"/>
        </w:rPr>
        <w:t>Q</w:t>
      </w:r>
      <w:r>
        <w:rPr>
          <w:rFonts w:ascii="Times New Roman" w:eastAsia="Times New Roman" w:hAnsi="Times New Roman" w:cs="Times New Roman"/>
          <w:i/>
          <w:iCs/>
          <w:spacing w:val="7"/>
          <w:position w:val="-1"/>
          <w:sz w:val="13"/>
          <w:szCs w:val="13"/>
        </w:rPr>
        <w:t>1</w:t>
      </w:r>
      <w:r>
        <w:rPr>
          <w:spacing w:val="7"/>
        </w:rPr>
        <w:t>——生态环境折算得分；</w:t>
      </w:r>
    </w:p>
    <w:p>
      <w:pPr>
        <w:pStyle w:val="BodyText"/>
        <w:spacing w:before="170" w:line="221" w:lineRule="auto"/>
        <w:ind w:left="268"/>
      </w:pPr>
      <w:r>
        <w:rPr>
          <w:rFonts w:ascii="Times New Roman" w:eastAsia="Times New Roman" w:hAnsi="Times New Roman" w:cs="Times New Roman"/>
          <w:i/>
          <w:iCs/>
          <w:spacing w:val="7"/>
        </w:rPr>
        <w:t>Q</w:t>
      </w:r>
      <w:r>
        <w:rPr>
          <w:rFonts w:ascii="Times New Roman" w:eastAsia="Times New Roman" w:hAnsi="Times New Roman" w:cs="Times New Roman"/>
          <w:i/>
          <w:iCs/>
          <w:spacing w:val="7"/>
          <w:position w:val="-1"/>
          <w:sz w:val="13"/>
          <w:szCs w:val="13"/>
        </w:rPr>
        <w:t>2</w:t>
      </w:r>
      <w:r>
        <w:rPr>
          <w:spacing w:val="7"/>
        </w:rPr>
        <w:t>——资源节约折算得分；</w:t>
      </w:r>
    </w:p>
    <w:p>
      <w:pPr>
        <w:pStyle w:val="BodyText"/>
        <w:spacing w:before="169" w:line="408" w:lineRule="exact"/>
        <w:ind w:left="268"/>
      </w:pPr>
      <w:r>
        <w:rPr>
          <w:rFonts w:ascii="Times New Roman" w:eastAsia="Times New Roman" w:hAnsi="Times New Roman" w:cs="Times New Roman"/>
          <w:i/>
          <w:iCs/>
          <w:spacing w:val="7"/>
          <w:position w:val="15"/>
        </w:rPr>
        <w:t>Q</w:t>
      </w:r>
      <w:r>
        <w:rPr>
          <w:rFonts w:ascii="Times New Roman" w:eastAsia="Times New Roman" w:hAnsi="Times New Roman" w:cs="Times New Roman"/>
          <w:i/>
          <w:iCs/>
          <w:spacing w:val="7"/>
          <w:position w:val="14"/>
          <w:sz w:val="13"/>
          <w:szCs w:val="13"/>
        </w:rPr>
        <w:t>3</w:t>
      </w:r>
      <w:r>
        <w:rPr>
          <w:spacing w:val="7"/>
          <w:position w:val="15"/>
        </w:rPr>
        <w:t>——健康与人文折算得分；</w:t>
      </w:r>
    </w:p>
    <w:p>
      <w:pPr>
        <w:pStyle w:val="BodyText"/>
        <w:spacing w:before="1" w:line="220" w:lineRule="auto"/>
        <w:ind w:left="268"/>
      </w:pPr>
      <w:r>
        <w:rPr>
          <w:rFonts w:ascii="Times New Roman" w:eastAsia="Times New Roman" w:hAnsi="Times New Roman" w:cs="Times New Roman"/>
          <w:i/>
          <w:iCs/>
        </w:rPr>
        <w:t>Q</w:t>
      </w:r>
      <w:r>
        <w:rPr>
          <w:rFonts w:ascii="Times New Roman" w:eastAsia="Times New Roman" w:hAnsi="Times New Roman" w:cs="Times New Roman"/>
          <w:i/>
          <w:iCs/>
          <w:position w:val="-1"/>
          <w:sz w:val="13"/>
          <w:szCs w:val="13"/>
        </w:rPr>
        <w:t>A</w:t>
      </w:r>
      <w:r>
        <w:rPr>
          <w:spacing w:val="9"/>
        </w:rPr>
        <w:t>——管理与创新实际得分。</w:t>
      </w:r>
    </w:p>
    <w:p>
      <w:pPr>
        <w:spacing w:line="463" w:lineRule="auto"/>
        <w:rPr>
          <w:rFonts w:ascii="Arial"/>
          <w:sz w:val="21"/>
        </w:rPr>
      </w:pPr>
    </w:p>
    <w:p>
      <w:pPr>
        <w:pStyle w:val="BodyText"/>
        <w:spacing w:before="65" w:line="227" w:lineRule="auto"/>
        <w:ind w:left="63"/>
      </w:pPr>
      <w:r>
        <w:rPr>
          <w:rFonts w:ascii="Times New Roman" w:eastAsia="Times New Roman" w:hAnsi="Times New Roman" w:cs="Times New Roman"/>
          <w:b/>
          <w:bCs/>
          <w:spacing w:val="8"/>
        </w:rPr>
        <w:t xml:space="preserve">3.2.5  </w:t>
      </w:r>
      <w:r>
        <w:rPr>
          <w:spacing w:val="8"/>
        </w:rPr>
        <w:t>雪上运动场馆评价划分应为基本级、一星级、二星级、三星级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 xml:space="preserve">4 </w:t>
      </w:r>
      <w:r>
        <w:rPr>
          <w:spacing w:val="8"/>
        </w:rPr>
        <w:t>个等级。</w:t>
      </w:r>
    </w:p>
    <w:p>
      <w:pPr>
        <w:pStyle w:val="BodyText"/>
        <w:spacing w:before="163" w:line="228" w:lineRule="auto"/>
        <w:ind w:left="63"/>
      </w:pPr>
      <w:r>
        <w:rPr>
          <w:rFonts w:ascii="Times New Roman" w:eastAsia="Times New Roman" w:hAnsi="Times New Roman" w:cs="Times New Roman"/>
          <w:b/>
          <w:bCs/>
          <w:spacing w:val="8"/>
        </w:rPr>
        <w:t xml:space="preserve">3.2.6  </w:t>
      </w:r>
      <w:r>
        <w:rPr>
          <w:spacing w:val="8"/>
        </w:rPr>
        <w:t>绿色雪上运动场馆星级等级应按下</w:t>
      </w:r>
      <w:r>
        <w:rPr>
          <w:spacing w:val="7"/>
        </w:rPr>
        <w:t>列规定确定：</w:t>
      </w:r>
    </w:p>
    <w:p>
      <w:pPr>
        <w:pStyle w:val="BodyText"/>
        <w:spacing w:before="161" w:line="377" w:lineRule="auto"/>
        <w:ind w:left="67" w:right="2" w:firstLine="425"/>
      </w:pPr>
      <w:r>
        <w:rPr>
          <w:rFonts w:ascii="Times New Roman" w:eastAsia="Times New Roman" w:hAnsi="Times New Roman" w:cs="Times New Roman"/>
          <w:b/>
          <w:bCs/>
          <w:spacing w:val="8"/>
        </w:rPr>
        <w:t xml:space="preserve">1  </w:t>
      </w:r>
      <w:r>
        <w:rPr>
          <w:spacing w:val="8"/>
        </w:rPr>
        <w:t xml:space="preserve">绿色雪上运动场馆满足本标准所有控制项的要求，对于室外雪上运动场馆生态环境、 </w:t>
      </w:r>
      <w:r>
        <w:rPr>
          <w:spacing w:val="7"/>
        </w:rPr>
        <w:t>健康与人文</w:t>
      </w:r>
      <w:r>
        <w:rPr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2 </w:t>
      </w:r>
      <w:r>
        <w:rPr>
          <w:spacing w:val="7"/>
        </w:rPr>
        <w:t>类指标的评分项得分均不小于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40 </w:t>
      </w:r>
      <w:r>
        <w:rPr>
          <w:spacing w:val="7"/>
        </w:rPr>
        <w:t>分，资源节约类指标的评分项得分不小于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60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spacing w:val="10"/>
        </w:rPr>
        <w:t>分，可认定为基本级；对于室内雪上运动场馆生态环境类指标的评分项得分不</w:t>
      </w:r>
      <w:r>
        <w:rPr>
          <w:spacing w:val="9"/>
        </w:rPr>
        <w:t>小于</w:t>
      </w:r>
      <w:r>
        <w:rPr>
          <w:spacing w:val="-42"/>
        </w:rPr>
        <w:t xml:space="preserve"> </w:t>
      </w:r>
      <w:r>
        <w:rPr>
          <w:rFonts w:ascii="Times New Roman" w:eastAsia="Times New Roman" w:hAnsi="Times New Roman" w:cs="Times New Roman"/>
          <w:spacing w:val="9"/>
        </w:rPr>
        <w:t xml:space="preserve">24 </w:t>
      </w:r>
      <w:r>
        <w:rPr>
          <w:spacing w:val="9"/>
        </w:rPr>
        <w:t>分，</w:t>
      </w:r>
      <w:r>
        <w:t xml:space="preserve"> </w:t>
      </w:r>
      <w:r>
        <w:rPr>
          <w:spacing w:val="8"/>
        </w:rPr>
        <w:t>资源节约类指标的评分项得分不小于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 xml:space="preserve">76 </w:t>
      </w:r>
      <w:r>
        <w:rPr>
          <w:spacing w:val="7"/>
        </w:rPr>
        <w:t>分，健康与人文类指标的评分项得分不小于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40 </w:t>
      </w:r>
      <w:r>
        <w:rPr>
          <w:spacing w:val="7"/>
        </w:rPr>
        <w:t>分，</w:t>
      </w:r>
    </w:p>
    <w:p>
      <w:pPr>
        <w:pStyle w:val="BodyText"/>
        <w:spacing w:before="1" w:line="227" w:lineRule="auto"/>
        <w:ind w:left="70"/>
      </w:pPr>
      <w:r>
        <w:rPr>
          <w:spacing w:val="5"/>
        </w:rPr>
        <w:t>为基本级；</w:t>
      </w:r>
    </w:p>
    <w:p>
      <w:pPr>
        <w:pStyle w:val="BodyText"/>
        <w:spacing w:before="163" w:line="408" w:lineRule="exact"/>
        <w:ind w:right="59"/>
        <w:jc w:val="right"/>
      </w:pPr>
      <w:r>
        <w:rPr>
          <w:rFonts w:ascii="Times New Roman" w:eastAsia="Times New Roman" w:hAnsi="Times New Roman" w:cs="Times New Roman"/>
          <w:b/>
          <w:bCs/>
          <w:spacing w:val="8"/>
          <w:position w:val="15"/>
        </w:rPr>
        <w:t xml:space="preserve">2  </w:t>
      </w:r>
      <w:r>
        <w:rPr>
          <w:spacing w:val="8"/>
          <w:position w:val="15"/>
        </w:rPr>
        <w:t>对于预评价，当总得分分别达到</w:t>
      </w:r>
      <w:r>
        <w:rPr>
          <w:spacing w:val="-38"/>
          <w:position w:val="15"/>
        </w:rPr>
        <w:t xml:space="preserve"> </w:t>
      </w:r>
      <w:r>
        <w:rPr>
          <w:rFonts w:ascii="Times New Roman" w:eastAsia="Times New Roman" w:hAnsi="Times New Roman" w:cs="Times New Roman"/>
          <w:spacing w:val="8"/>
          <w:position w:val="15"/>
        </w:rPr>
        <w:t xml:space="preserve">200 </w:t>
      </w:r>
      <w:r>
        <w:rPr>
          <w:spacing w:val="8"/>
          <w:position w:val="15"/>
        </w:rPr>
        <w:t>分、</w:t>
      </w:r>
      <w:r>
        <w:rPr>
          <w:rFonts w:ascii="Times New Roman" w:eastAsia="Times New Roman" w:hAnsi="Times New Roman" w:cs="Times New Roman"/>
          <w:spacing w:val="8"/>
          <w:position w:val="15"/>
        </w:rPr>
        <w:t xml:space="preserve">240 </w:t>
      </w:r>
      <w:r>
        <w:rPr>
          <w:spacing w:val="8"/>
          <w:position w:val="15"/>
        </w:rPr>
        <w:t>分、</w:t>
      </w:r>
      <w:r>
        <w:rPr>
          <w:rFonts w:ascii="Times New Roman" w:eastAsia="Times New Roman" w:hAnsi="Times New Roman" w:cs="Times New Roman"/>
          <w:spacing w:val="8"/>
          <w:position w:val="15"/>
        </w:rPr>
        <w:t xml:space="preserve">280 </w:t>
      </w:r>
      <w:r>
        <w:rPr>
          <w:spacing w:val="8"/>
          <w:position w:val="15"/>
        </w:rPr>
        <w:t>分时，绿色雪上运动场馆等级</w:t>
      </w:r>
    </w:p>
    <w:p>
      <w:pPr>
        <w:pStyle w:val="BodyText"/>
        <w:spacing w:before="1" w:line="229" w:lineRule="auto"/>
        <w:ind w:left="70"/>
      </w:pPr>
      <w:r>
        <w:rPr>
          <w:spacing w:val="8"/>
        </w:rPr>
        <w:t>分别为一星级、二星级、三星级；</w:t>
      </w:r>
    </w:p>
    <w:p>
      <w:pPr>
        <w:pStyle w:val="BodyText"/>
        <w:spacing w:before="159" w:line="408" w:lineRule="exact"/>
        <w:ind w:left="483"/>
      </w:pPr>
      <w:r>
        <w:rPr>
          <w:rFonts w:ascii="Times New Roman" w:eastAsia="Times New Roman" w:hAnsi="Times New Roman" w:cs="Times New Roman"/>
          <w:b/>
          <w:bCs/>
          <w:spacing w:val="8"/>
          <w:position w:val="15"/>
        </w:rPr>
        <w:t xml:space="preserve">3  </w:t>
      </w:r>
      <w:r>
        <w:rPr>
          <w:spacing w:val="8"/>
          <w:position w:val="15"/>
        </w:rPr>
        <w:t>对于评价，当总得分分别达到</w:t>
      </w:r>
      <w:r>
        <w:rPr>
          <w:spacing w:val="-39"/>
          <w:position w:val="15"/>
        </w:rPr>
        <w:t xml:space="preserve"> </w:t>
      </w:r>
      <w:r>
        <w:rPr>
          <w:rFonts w:ascii="Times New Roman" w:eastAsia="Times New Roman" w:hAnsi="Times New Roman" w:cs="Times New Roman"/>
          <w:spacing w:val="8"/>
          <w:position w:val="15"/>
        </w:rPr>
        <w:t xml:space="preserve">220 </w:t>
      </w:r>
      <w:r>
        <w:rPr>
          <w:spacing w:val="8"/>
          <w:position w:val="15"/>
        </w:rPr>
        <w:t>分、</w:t>
      </w:r>
      <w:r>
        <w:rPr>
          <w:rFonts w:ascii="Times New Roman" w:eastAsia="Times New Roman" w:hAnsi="Times New Roman" w:cs="Times New Roman"/>
          <w:spacing w:val="8"/>
          <w:position w:val="15"/>
        </w:rPr>
        <w:t xml:space="preserve">260 </w:t>
      </w:r>
      <w:r>
        <w:rPr>
          <w:spacing w:val="8"/>
          <w:position w:val="15"/>
        </w:rPr>
        <w:t>分、</w:t>
      </w:r>
      <w:r>
        <w:rPr>
          <w:rFonts w:ascii="Times New Roman" w:eastAsia="Times New Roman" w:hAnsi="Times New Roman" w:cs="Times New Roman"/>
          <w:spacing w:val="8"/>
          <w:position w:val="15"/>
        </w:rPr>
        <w:t xml:space="preserve">300 </w:t>
      </w:r>
      <w:r>
        <w:rPr>
          <w:spacing w:val="8"/>
          <w:position w:val="15"/>
        </w:rPr>
        <w:t>分时，绿色雪上运动场馆等级分</w:t>
      </w:r>
    </w:p>
    <w:p>
      <w:pPr>
        <w:pStyle w:val="BodyText"/>
        <w:spacing w:before="1" w:line="229" w:lineRule="auto"/>
        <w:ind w:left="70"/>
      </w:pPr>
      <w:r>
        <w:rPr>
          <w:spacing w:val="8"/>
        </w:rPr>
        <w:t>别为一星级、二星级、三星级。</w:t>
      </w:r>
    </w:p>
    <w:p>
      <w:pPr>
        <w:spacing w:line="229" w:lineRule="auto"/>
        <w:sectPr>
          <w:footerReference w:type="default" r:id="rId9"/>
          <w:pgSz w:w="11907" w:h="16840"/>
          <w:pgMar w:top="1431" w:right="1741" w:bottom="1298" w:left="1740" w:header="0" w:footer="1134" w:gutter="0"/>
          <w:pgNumType w:start="6"/>
          <w:cols w:space="708"/>
        </w:sectPr>
      </w:pPr>
    </w:p>
    <w:p>
      <w:pPr>
        <w:pStyle w:val="BodyText"/>
        <w:spacing w:before="163" w:line="226" w:lineRule="auto"/>
        <w:ind w:left="3413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2"/>
          <w:sz w:val="31"/>
          <w:szCs w:val="31"/>
        </w:rPr>
        <w:t>4</w:t>
      </w:r>
      <w:r>
        <w:rPr>
          <w:rFonts w:ascii="Times New Roman" w:eastAsia="Times New Roman" w:hAnsi="Times New Roman" w:cs="Times New Roman"/>
          <w:b/>
          <w:bCs/>
          <w:spacing w:val="19"/>
          <w:sz w:val="31"/>
          <w:szCs w:val="31"/>
        </w:rPr>
        <w:t xml:space="preserve"> </w:t>
      </w:r>
      <w:r>
        <w:rPr>
          <w:b/>
          <w:bCs/>
          <w:spacing w:val="2"/>
          <w:sz w:val="31"/>
          <w:szCs w:val="31"/>
        </w:rPr>
        <w:t>生态环境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pStyle w:val="BodyText"/>
        <w:spacing w:before="78" w:line="221" w:lineRule="auto"/>
        <w:ind w:left="3631"/>
        <w:outlineLvl w:val="0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4.1 </w:t>
      </w:r>
      <w:r>
        <w:rPr>
          <w:b/>
          <w:bCs/>
          <w:spacing w:val="-2"/>
          <w:sz w:val="24"/>
          <w:szCs w:val="24"/>
        </w:rPr>
        <w:t>控制项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65" w:line="468" w:lineRule="exact"/>
        <w:ind w:left="19"/>
      </w:pPr>
      <w:r>
        <w:rPr>
          <w:rFonts w:ascii="Times New Roman" w:eastAsia="Times New Roman" w:hAnsi="Times New Roman" w:cs="Times New Roman"/>
          <w:b/>
          <w:bCs/>
          <w:spacing w:val="10"/>
          <w:position w:val="20"/>
        </w:rPr>
        <w:t xml:space="preserve">4.1.1 </w:t>
      </w:r>
      <w:r>
        <w:rPr>
          <w:spacing w:val="10"/>
          <w:position w:val="20"/>
        </w:rPr>
        <w:t>场址环境应安全可靠，不应在</w:t>
      </w:r>
      <w:r>
        <w:rPr>
          <w:spacing w:val="9"/>
          <w:position w:val="20"/>
        </w:rPr>
        <w:t>泥石流、滑坡等自然灾害，</w:t>
      </w:r>
      <w:r>
        <w:rPr>
          <w:spacing w:val="-59"/>
          <w:position w:val="20"/>
        </w:rPr>
        <w:t xml:space="preserve"> </w:t>
      </w:r>
      <w:r>
        <w:rPr>
          <w:spacing w:val="9"/>
          <w:position w:val="20"/>
        </w:rPr>
        <w:t>以及对建筑抗震不利地段的</w:t>
      </w:r>
    </w:p>
    <w:p>
      <w:pPr>
        <w:pStyle w:val="BodyText"/>
        <w:spacing w:line="229" w:lineRule="auto"/>
        <w:ind w:left="21"/>
      </w:pPr>
      <w:r>
        <w:rPr>
          <w:spacing w:val="6"/>
        </w:rPr>
        <w:t>场址建设。</w:t>
      </w:r>
    </w:p>
    <w:p>
      <w:pPr>
        <w:pStyle w:val="BodyText"/>
        <w:spacing w:before="220" w:line="228" w:lineRule="auto"/>
        <w:ind w:left="19"/>
      </w:pPr>
      <w:r>
        <w:rPr>
          <w:rFonts w:ascii="Times New Roman" w:eastAsia="Times New Roman" w:hAnsi="Times New Roman" w:cs="Times New Roman"/>
          <w:b/>
          <w:bCs/>
          <w:spacing w:val="10"/>
        </w:rPr>
        <w:t xml:space="preserve">4.1.2 </w:t>
      </w:r>
      <w:r>
        <w:rPr>
          <w:spacing w:val="10"/>
        </w:rPr>
        <w:t>场馆选址、规划与建设应进行所在地的生态环境管控，并应符合各类保护区、文物古</w:t>
      </w:r>
    </w:p>
    <w:p>
      <w:pPr>
        <w:pStyle w:val="BodyText"/>
        <w:spacing w:before="220" w:line="229" w:lineRule="auto"/>
        <w:ind w:left="21"/>
      </w:pPr>
      <w:r>
        <w:rPr>
          <w:spacing w:val="7"/>
        </w:rPr>
        <w:t>迹保护的控制要求。</w:t>
      </w:r>
    </w:p>
    <w:p>
      <w:pPr>
        <w:pStyle w:val="BodyText"/>
        <w:spacing w:before="121" w:line="228" w:lineRule="auto"/>
        <w:ind w:left="19"/>
      </w:pPr>
      <w:r>
        <w:rPr>
          <w:rFonts w:ascii="Times New Roman" w:eastAsia="Times New Roman" w:hAnsi="Times New Roman" w:cs="Times New Roman"/>
          <w:b/>
          <w:bCs/>
          <w:spacing w:val="8"/>
        </w:rPr>
        <w:t xml:space="preserve">4.1.3 </w:t>
      </w:r>
      <w:r>
        <w:rPr>
          <w:spacing w:val="8"/>
        </w:rPr>
        <w:t>场馆布局应合理，整体设计应与周边环境相协调。</w:t>
      </w:r>
    </w:p>
    <w:p>
      <w:pPr>
        <w:pStyle w:val="BodyText"/>
        <w:spacing w:before="161" w:line="227" w:lineRule="auto"/>
        <w:ind w:left="19"/>
      </w:pPr>
      <w:r>
        <w:rPr>
          <w:rFonts w:ascii="Times New Roman" w:eastAsia="Times New Roman" w:hAnsi="Times New Roman" w:cs="Times New Roman"/>
          <w:b/>
          <w:bCs/>
          <w:spacing w:val="9"/>
        </w:rPr>
        <w:t xml:space="preserve">4.1.4 </w:t>
      </w:r>
      <w:r>
        <w:rPr>
          <w:spacing w:val="9"/>
        </w:rPr>
        <w:t>场馆建设前应编制环境影响评价、水资源论证、水土</w:t>
      </w:r>
      <w:r>
        <w:rPr>
          <w:spacing w:val="8"/>
        </w:rPr>
        <w:t>保持和洪水影响评价等文件。</w:t>
      </w:r>
    </w:p>
    <w:p>
      <w:pPr>
        <w:pStyle w:val="BodyText"/>
        <w:spacing w:before="248" w:line="221" w:lineRule="auto"/>
        <w:ind w:left="3631"/>
        <w:outlineLvl w:val="0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4.2 </w:t>
      </w:r>
      <w:r>
        <w:rPr>
          <w:b/>
          <w:bCs/>
          <w:spacing w:val="-2"/>
          <w:sz w:val="24"/>
          <w:szCs w:val="24"/>
        </w:rPr>
        <w:t>评分项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78" w:line="221" w:lineRule="auto"/>
        <w:ind w:left="3593"/>
        <w:rPr>
          <w:sz w:val="24"/>
          <w:szCs w:val="24"/>
        </w:rPr>
      </w:pPr>
      <w:r>
        <w:rPr>
          <w:spacing w:val="-20"/>
          <w:sz w:val="24"/>
          <w:szCs w:val="24"/>
        </w:rPr>
        <w:t>Ⅰ</w:t>
      </w:r>
      <w:r>
        <w:rPr>
          <w:spacing w:val="11"/>
          <w:sz w:val="24"/>
          <w:szCs w:val="24"/>
        </w:rPr>
        <w:t xml:space="preserve"> </w:t>
      </w:r>
      <w:r>
        <w:rPr>
          <w:spacing w:val="-20"/>
          <w:sz w:val="24"/>
          <w:szCs w:val="24"/>
        </w:rPr>
        <w:t>生态保护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66" w:line="408" w:lineRule="exact"/>
        <w:ind w:left="19"/>
      </w:pPr>
      <w:r>
        <w:rPr>
          <w:rFonts w:ascii="Times New Roman" w:eastAsia="Times New Roman" w:hAnsi="Times New Roman" w:cs="Times New Roman"/>
          <w:b/>
          <w:bCs/>
          <w:spacing w:val="10"/>
          <w:position w:val="15"/>
        </w:rPr>
        <w:t xml:space="preserve">4.2.1 </w:t>
      </w:r>
      <w:r>
        <w:rPr>
          <w:spacing w:val="10"/>
          <w:position w:val="15"/>
        </w:rPr>
        <w:t>结合地形地貌，实施土石方减量化措施，回收利用表土资源，评价</w:t>
      </w:r>
      <w:r>
        <w:rPr>
          <w:spacing w:val="9"/>
          <w:position w:val="15"/>
        </w:rPr>
        <w:t>总分值为</w:t>
      </w:r>
      <w:r>
        <w:rPr>
          <w:spacing w:val="-37"/>
          <w:position w:val="15"/>
        </w:rPr>
        <w:t xml:space="preserve"> </w:t>
      </w:r>
      <w:r>
        <w:rPr>
          <w:rFonts w:ascii="Times New Roman" w:eastAsia="Times New Roman" w:hAnsi="Times New Roman" w:cs="Times New Roman"/>
          <w:spacing w:val="9"/>
          <w:position w:val="15"/>
        </w:rPr>
        <w:t>7</w:t>
      </w:r>
      <w:r>
        <w:rPr>
          <w:rFonts w:ascii="Times New Roman" w:eastAsia="Times New Roman" w:hAnsi="Times New Roman" w:cs="Times New Roman"/>
          <w:spacing w:val="17"/>
          <w:position w:val="15"/>
        </w:rPr>
        <w:t xml:space="preserve"> </w:t>
      </w:r>
      <w:r>
        <w:rPr>
          <w:spacing w:val="9"/>
          <w:position w:val="15"/>
        </w:rPr>
        <w:t>分，并</w:t>
      </w:r>
    </w:p>
    <w:p>
      <w:pPr>
        <w:pStyle w:val="BodyText"/>
        <w:spacing w:line="228" w:lineRule="auto"/>
        <w:ind w:left="23"/>
      </w:pPr>
      <w:r>
        <w:rPr>
          <w:spacing w:val="8"/>
        </w:rPr>
        <w:t>按下列规则分别评分并累计：</w:t>
      </w:r>
    </w:p>
    <w:p>
      <w:pPr>
        <w:pStyle w:val="BodyText"/>
        <w:spacing w:before="161" w:line="228" w:lineRule="auto"/>
        <w:ind w:left="447"/>
      </w:pPr>
      <w:r>
        <w:rPr>
          <w:rFonts w:ascii="Times New Roman" w:eastAsia="Times New Roman" w:hAnsi="Times New Roman" w:cs="Times New Roman"/>
          <w:b/>
          <w:bCs/>
          <w:spacing w:val="8"/>
        </w:rPr>
        <w:t xml:space="preserve">1  </w:t>
      </w:r>
      <w:r>
        <w:rPr>
          <w:spacing w:val="8"/>
        </w:rPr>
        <w:t>制定土石方减量化和综合利用计划，实现挖填平衡、无外运土方，得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 xml:space="preserve">3 </w:t>
      </w:r>
      <w:r>
        <w:rPr>
          <w:spacing w:val="8"/>
        </w:rPr>
        <w:t>分；</w:t>
      </w:r>
    </w:p>
    <w:p>
      <w:pPr>
        <w:pStyle w:val="BodyText"/>
        <w:spacing w:before="161" w:line="410" w:lineRule="exact"/>
        <w:jc w:val="right"/>
      </w:pPr>
      <w:r>
        <w:rPr>
          <w:rFonts w:ascii="Times New Roman" w:eastAsia="Times New Roman" w:hAnsi="Times New Roman" w:cs="Times New Roman"/>
          <w:b/>
          <w:bCs/>
          <w:spacing w:val="5"/>
          <w:position w:val="15"/>
        </w:rPr>
        <w:t xml:space="preserve">2 </w:t>
      </w:r>
      <w:r>
        <w:rPr>
          <w:spacing w:val="5"/>
          <w:position w:val="15"/>
        </w:rPr>
        <w:t>合理利用表层土资源，对受扰动土地具</w:t>
      </w:r>
      <w:r>
        <w:rPr>
          <w:spacing w:val="4"/>
          <w:position w:val="15"/>
        </w:rPr>
        <w:t>备剥离条件的表层土进行剥离和利用，得</w:t>
      </w:r>
      <w:r>
        <w:rPr>
          <w:spacing w:val="-44"/>
          <w:position w:val="15"/>
        </w:rPr>
        <w:t xml:space="preserve"> </w:t>
      </w:r>
      <w:r>
        <w:rPr>
          <w:rFonts w:ascii="Times New Roman" w:eastAsia="Times New Roman" w:hAnsi="Times New Roman" w:cs="Times New Roman"/>
          <w:spacing w:val="4"/>
          <w:position w:val="15"/>
        </w:rPr>
        <w:t>4</w:t>
      </w:r>
      <w:r>
        <w:rPr>
          <w:rFonts w:ascii="Times New Roman" w:eastAsia="Times New Roman" w:hAnsi="Times New Roman" w:cs="Times New Roman"/>
          <w:spacing w:val="14"/>
          <w:w w:val="101"/>
          <w:position w:val="15"/>
        </w:rPr>
        <w:t xml:space="preserve"> </w:t>
      </w:r>
      <w:r>
        <w:rPr>
          <w:spacing w:val="4"/>
          <w:position w:val="15"/>
        </w:rPr>
        <w:t>分。</w:t>
      </w:r>
    </w:p>
    <w:p>
      <w:pPr>
        <w:pStyle w:val="BodyText"/>
        <w:spacing w:before="1" w:line="226" w:lineRule="auto"/>
        <w:ind w:left="19"/>
      </w:pPr>
      <w:r>
        <w:rPr>
          <w:rFonts w:ascii="Times New Roman" w:eastAsia="Times New Roman" w:hAnsi="Times New Roman" w:cs="Times New Roman"/>
          <w:b/>
          <w:bCs/>
          <w:spacing w:val="7"/>
        </w:rPr>
        <w:t xml:space="preserve">4.2.2 </w:t>
      </w:r>
      <w:r>
        <w:rPr>
          <w:spacing w:val="7"/>
        </w:rPr>
        <w:t>实施动植物保护措施评价总分值为</w:t>
      </w:r>
      <w:r>
        <w:rPr>
          <w:spacing w:val="-8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15 </w:t>
      </w:r>
      <w:r>
        <w:rPr>
          <w:spacing w:val="7"/>
        </w:rPr>
        <w:t>分，并按下列规则评分并累计：</w:t>
      </w:r>
    </w:p>
    <w:p>
      <w:pPr>
        <w:pStyle w:val="BodyText"/>
        <w:spacing w:before="162" w:line="408" w:lineRule="exact"/>
        <w:jc w:val="right"/>
      </w:pPr>
      <w:r>
        <w:rPr>
          <w:rFonts w:ascii="Times New Roman" w:eastAsia="Times New Roman" w:hAnsi="Times New Roman" w:cs="Times New Roman"/>
          <w:b/>
          <w:bCs/>
          <w:spacing w:val="5"/>
          <w:position w:val="15"/>
        </w:rPr>
        <w:t xml:space="preserve">1 </w:t>
      </w:r>
      <w:r>
        <w:rPr>
          <w:spacing w:val="5"/>
          <w:position w:val="15"/>
        </w:rPr>
        <w:t>建设前进行生态本底调查、建设前后开展生物多样性评价、制定</w:t>
      </w:r>
      <w:r>
        <w:rPr>
          <w:spacing w:val="4"/>
          <w:position w:val="15"/>
        </w:rPr>
        <w:t>野生动植物保护方案、</w:t>
      </w:r>
    </w:p>
    <w:p>
      <w:pPr>
        <w:pStyle w:val="BodyText"/>
        <w:spacing w:before="1" w:line="228" w:lineRule="auto"/>
        <w:ind w:left="23"/>
      </w:pPr>
      <w:r>
        <w:rPr>
          <w:spacing w:val="8"/>
        </w:rPr>
        <w:t>生物入侵防治措施等，满足一项得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 xml:space="preserve">2 </w:t>
      </w:r>
      <w:r>
        <w:rPr>
          <w:spacing w:val="8"/>
        </w:rPr>
        <w:t>分；每增加满足一项得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 xml:space="preserve">2 </w:t>
      </w:r>
      <w:r>
        <w:rPr>
          <w:spacing w:val="8"/>
        </w:rPr>
        <w:t>分，最高不超过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6 </w:t>
      </w:r>
      <w:r>
        <w:rPr>
          <w:spacing w:val="7"/>
        </w:rPr>
        <w:t>分；</w:t>
      </w:r>
    </w:p>
    <w:p>
      <w:pPr>
        <w:pStyle w:val="BodyText"/>
        <w:spacing w:before="160" w:line="410" w:lineRule="exact"/>
        <w:ind w:right="42"/>
        <w:jc w:val="right"/>
      </w:pPr>
      <w:r>
        <w:rPr>
          <w:rFonts w:ascii="Times New Roman" w:eastAsia="Times New Roman" w:hAnsi="Times New Roman" w:cs="Times New Roman"/>
          <w:b/>
          <w:bCs/>
          <w:spacing w:val="9"/>
          <w:position w:val="15"/>
        </w:rPr>
        <w:t xml:space="preserve">2 </w:t>
      </w:r>
      <w:r>
        <w:rPr>
          <w:spacing w:val="9"/>
          <w:position w:val="15"/>
        </w:rPr>
        <w:t>实施野生植物迁地保护或就地保护、设置野生动物通道、就地保护野生动物栖息地、</w:t>
      </w:r>
    </w:p>
    <w:p>
      <w:pPr>
        <w:pStyle w:val="BodyText"/>
        <w:spacing w:before="1" w:line="228" w:lineRule="auto"/>
        <w:ind w:left="22"/>
      </w:pPr>
      <w:r>
        <w:rPr>
          <w:spacing w:val="7"/>
        </w:rPr>
        <w:t>监控巡查等，满足一项得</w:t>
      </w:r>
      <w:r>
        <w:rPr>
          <w:spacing w:val="-22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3 </w:t>
      </w:r>
      <w:r>
        <w:rPr>
          <w:spacing w:val="7"/>
        </w:rPr>
        <w:t>分；每增加满足一项得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3 </w:t>
      </w:r>
      <w:r>
        <w:rPr>
          <w:spacing w:val="7"/>
        </w:rPr>
        <w:t>分，最高不超过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9 </w:t>
      </w:r>
      <w:r>
        <w:rPr>
          <w:spacing w:val="7"/>
        </w:rPr>
        <w:t>分。</w:t>
      </w:r>
    </w:p>
    <w:p>
      <w:pPr>
        <w:pStyle w:val="BodyText"/>
        <w:spacing w:before="160" w:line="408" w:lineRule="exact"/>
        <w:ind w:left="19"/>
      </w:pPr>
      <w:r>
        <w:rPr>
          <w:rFonts w:ascii="Times New Roman" w:eastAsia="Times New Roman" w:hAnsi="Times New Roman" w:cs="Times New Roman"/>
          <w:b/>
          <w:bCs/>
          <w:spacing w:val="9"/>
          <w:position w:val="15"/>
        </w:rPr>
        <w:t xml:space="preserve">4.2.3  </w:t>
      </w:r>
      <w:r>
        <w:rPr>
          <w:spacing w:val="9"/>
          <w:position w:val="15"/>
        </w:rPr>
        <w:t>充分利用场地空间进行绿化设计，合</w:t>
      </w:r>
      <w:r>
        <w:rPr>
          <w:spacing w:val="8"/>
          <w:position w:val="15"/>
        </w:rPr>
        <w:t>理选择绿化方式，评价总分值为</w:t>
      </w:r>
      <w:r>
        <w:rPr>
          <w:spacing w:val="-36"/>
          <w:position w:val="15"/>
        </w:rPr>
        <w:t xml:space="preserve"> </w:t>
      </w:r>
      <w:r>
        <w:rPr>
          <w:rFonts w:ascii="Times New Roman" w:eastAsia="Times New Roman" w:hAnsi="Times New Roman" w:cs="Times New Roman"/>
          <w:spacing w:val="8"/>
          <w:position w:val="15"/>
        </w:rPr>
        <w:t xml:space="preserve">6 </w:t>
      </w:r>
      <w:r>
        <w:rPr>
          <w:spacing w:val="8"/>
          <w:position w:val="15"/>
        </w:rPr>
        <w:t>分，并按下列</w:t>
      </w:r>
    </w:p>
    <w:p>
      <w:pPr>
        <w:pStyle w:val="BodyText"/>
        <w:spacing w:before="1" w:line="229" w:lineRule="auto"/>
        <w:ind w:left="22"/>
      </w:pPr>
      <w:r>
        <w:rPr>
          <w:spacing w:val="5"/>
        </w:rPr>
        <w:t>规则评分：</w:t>
      </w:r>
    </w:p>
    <w:p>
      <w:pPr>
        <w:pStyle w:val="BodyText"/>
        <w:spacing w:before="159" w:line="228" w:lineRule="auto"/>
        <w:ind w:left="656"/>
        <w:sectPr>
          <w:footerReference w:type="default" r:id="rId10"/>
          <w:pgSz w:w="11907" w:h="16840"/>
          <w:pgMar w:top="1431" w:right="1731" w:bottom="1298" w:left="1786" w:header="0" w:footer="1134" w:gutter="0"/>
          <w:pgNumType w:start="7"/>
          <w:cols w:space="708"/>
        </w:sectPr>
      </w:pPr>
      <w:r>
        <w:rPr>
          <w:rFonts w:ascii="Times New Roman" w:eastAsia="Times New Roman" w:hAnsi="Times New Roman" w:cs="Times New Roman"/>
          <w:b/>
          <w:bCs/>
          <w:spacing w:val="8"/>
        </w:rPr>
        <w:t xml:space="preserve">1 </w:t>
      </w:r>
      <w:r>
        <w:rPr>
          <w:spacing w:val="8"/>
        </w:rPr>
        <w:t>人工绿化时所用植物采用乡土物种或当地成功引种驯化的植物物种，得</w:t>
      </w:r>
      <w:r>
        <w:rPr>
          <w:spacing w:val="-24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 xml:space="preserve">2 </w:t>
      </w:r>
      <w:r>
        <w:rPr>
          <w:spacing w:val="8"/>
        </w:rPr>
        <w:t>分；</w:t>
      </w:r>
    </w:p>
    <w:p>
      <w:pPr>
        <w:pStyle w:val="BodyText"/>
        <w:spacing w:before="161" w:line="408" w:lineRule="exact"/>
        <w:ind w:left="647"/>
      </w:pPr>
      <w:r>
        <w:rPr>
          <w:rFonts w:ascii="Times New Roman" w:eastAsia="Times New Roman" w:hAnsi="Times New Roman" w:cs="Times New Roman"/>
          <w:b/>
          <w:bCs/>
          <w:spacing w:val="8"/>
          <w:position w:val="15"/>
        </w:rPr>
        <w:t xml:space="preserve">2 </w:t>
      </w:r>
      <w:r>
        <w:rPr>
          <w:spacing w:val="8"/>
          <w:position w:val="15"/>
        </w:rPr>
        <w:t>场地绿化采用乔、灌、草结合的复层结构或季节性使用的滑雪道及周边实施植被恢</w:t>
      </w:r>
    </w:p>
    <w:p>
      <w:pPr>
        <w:pStyle w:val="BodyText"/>
        <w:spacing w:before="1" w:line="228" w:lineRule="auto"/>
        <w:ind w:left="27"/>
      </w:pPr>
      <w:r>
        <w:rPr>
          <w:spacing w:val="4"/>
        </w:rPr>
        <w:t>复措施，得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2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spacing w:val="4"/>
        </w:rPr>
        <w:t>分；</w:t>
      </w:r>
    </w:p>
    <w:p>
      <w:pPr>
        <w:pStyle w:val="BodyText"/>
        <w:spacing w:before="163" w:line="228" w:lineRule="auto"/>
        <w:ind w:left="646"/>
      </w:pPr>
      <w:r>
        <w:rPr>
          <w:rFonts w:ascii="Times New Roman" w:eastAsia="Times New Roman" w:hAnsi="Times New Roman" w:cs="Times New Roman"/>
          <w:b/>
          <w:bCs/>
          <w:spacing w:val="7"/>
        </w:rPr>
        <w:t>3</w:t>
      </w:r>
      <w:r>
        <w:rPr>
          <w:rFonts w:ascii="Times New Roman" w:eastAsia="Times New Roman" w:hAnsi="Times New Roman" w:cs="Times New Roman"/>
          <w:b/>
          <w:bCs/>
          <w:spacing w:val="29"/>
        </w:rPr>
        <w:t xml:space="preserve"> </w:t>
      </w:r>
      <w:r>
        <w:rPr>
          <w:spacing w:val="7"/>
        </w:rPr>
        <w:t>设置景观小品美化生活环境，设置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2 </w:t>
      </w:r>
      <w:r>
        <w:rPr>
          <w:spacing w:val="7"/>
        </w:rPr>
        <w:t>类及以上，得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2 </w:t>
      </w:r>
      <w:r>
        <w:rPr>
          <w:spacing w:val="7"/>
        </w:rPr>
        <w:t>分。</w:t>
      </w:r>
    </w:p>
    <w:p>
      <w:pPr>
        <w:pStyle w:val="BodyText"/>
        <w:spacing w:before="161" w:line="318" w:lineRule="auto"/>
        <w:ind w:left="21" w:right="71" w:hanging="2"/>
      </w:pPr>
      <w:r>
        <w:rPr>
          <w:rFonts w:ascii="Times New Roman" w:eastAsia="Times New Roman" w:hAnsi="Times New Roman" w:cs="Times New Roman"/>
          <w:b/>
          <w:bCs/>
          <w:spacing w:val="10"/>
        </w:rPr>
        <w:t xml:space="preserve">4.2.4 </w:t>
      </w:r>
      <w:r>
        <w:rPr>
          <w:spacing w:val="10"/>
        </w:rPr>
        <w:t>规划场地地表雨水径流，对场地雨水实施外排总量控制，评价</w:t>
      </w:r>
      <w:r>
        <w:rPr>
          <w:spacing w:val="9"/>
        </w:rPr>
        <w:t>总分值为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9"/>
        </w:rPr>
        <w:t xml:space="preserve">8 </w:t>
      </w:r>
      <w:r>
        <w:rPr>
          <w:spacing w:val="9"/>
        </w:rPr>
        <w:t>分。场地年</w:t>
      </w:r>
      <w:r>
        <w:t xml:space="preserve"> </w:t>
      </w:r>
      <w:r>
        <w:rPr>
          <w:spacing w:val="4"/>
        </w:rPr>
        <w:t>径流总量控制率达到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55%</w:t>
      </w:r>
      <w:r>
        <w:rPr>
          <w:rFonts w:ascii="Times New Roman" w:eastAsia="Times New Roman" w:hAnsi="Times New Roman" w:cs="Times New Roman"/>
          <w:spacing w:val="-26"/>
        </w:rPr>
        <w:t xml:space="preserve"> </w:t>
      </w:r>
      <w:r>
        <w:rPr>
          <w:spacing w:val="4"/>
        </w:rPr>
        <w:t>，得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3</w:t>
      </w:r>
      <w:r>
        <w:rPr>
          <w:rFonts w:ascii="Times New Roman" w:eastAsia="Times New Roman" w:hAnsi="Times New Roman" w:cs="Times New Roman"/>
          <w:spacing w:val="15"/>
          <w:w w:val="101"/>
        </w:rPr>
        <w:t xml:space="preserve"> </w:t>
      </w:r>
      <w:r>
        <w:rPr>
          <w:spacing w:val="4"/>
        </w:rPr>
        <w:t>分；达到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>70%</w:t>
      </w:r>
      <w:r>
        <w:rPr>
          <w:rFonts w:ascii="Times New Roman" w:eastAsia="Times New Roman" w:hAnsi="Times New Roman" w:cs="Times New Roman"/>
          <w:spacing w:val="-26"/>
        </w:rPr>
        <w:t xml:space="preserve"> </w:t>
      </w:r>
      <w:r>
        <w:rPr>
          <w:spacing w:val="3"/>
        </w:rPr>
        <w:t>，得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>8</w:t>
      </w:r>
      <w:r>
        <w:rPr>
          <w:rFonts w:ascii="Times New Roman" w:eastAsia="Times New Roman" w:hAnsi="Times New Roman" w:cs="Times New Roman"/>
          <w:spacing w:val="14"/>
          <w:w w:val="101"/>
        </w:rPr>
        <w:t xml:space="preserve"> </w:t>
      </w:r>
      <w:r>
        <w:rPr>
          <w:spacing w:val="3"/>
        </w:rPr>
        <w:t>分。</w:t>
      </w:r>
    </w:p>
    <w:p>
      <w:pPr>
        <w:pStyle w:val="BodyText"/>
        <w:spacing w:before="127" w:line="227" w:lineRule="auto"/>
        <w:ind w:left="19"/>
      </w:pPr>
      <w:r>
        <w:rPr>
          <w:rFonts w:ascii="Times New Roman" w:eastAsia="Times New Roman" w:hAnsi="Times New Roman" w:cs="Times New Roman"/>
          <w:b/>
          <w:bCs/>
          <w:spacing w:val="10"/>
        </w:rPr>
        <w:t xml:space="preserve">4.2.5 </w:t>
      </w:r>
      <w:r>
        <w:rPr>
          <w:spacing w:val="10"/>
        </w:rPr>
        <w:t>实施施工期生态保护措施，减少对周围环境的影响，评价总分值为</w:t>
      </w:r>
      <w:r>
        <w:rPr>
          <w:spacing w:val="-42"/>
        </w:rPr>
        <w:t xml:space="preserve"> </w:t>
      </w:r>
      <w:r>
        <w:rPr>
          <w:rFonts w:ascii="Times New Roman" w:eastAsia="Times New Roman" w:hAnsi="Times New Roman" w:cs="Times New Roman"/>
          <w:spacing w:val="9"/>
        </w:rPr>
        <w:t>4</w:t>
      </w:r>
      <w:r>
        <w:rPr>
          <w:rFonts w:ascii="Times New Roman" w:eastAsia="Times New Roman" w:hAnsi="Times New Roman" w:cs="Times New Roman"/>
          <w:spacing w:val="17"/>
          <w:w w:val="101"/>
        </w:rPr>
        <w:t xml:space="preserve"> </w:t>
      </w:r>
      <w:r>
        <w:rPr>
          <w:spacing w:val="9"/>
        </w:rPr>
        <w:t>分，并按下列规</w:t>
      </w:r>
    </w:p>
    <w:p>
      <w:pPr>
        <w:spacing w:line="227" w:lineRule="auto"/>
        <w:sectPr>
          <w:footerReference w:type="default" r:id="rId11"/>
          <w:type w:val="nextPage"/>
          <w:pgSz w:w="11907" w:h="16840"/>
          <w:pgMar w:top="1431" w:right="1731" w:bottom="1298" w:left="1786" w:header="0" w:footer="1134" w:gutter="0"/>
          <w:pgNumType w:start="8"/>
          <w:cols w:space="708"/>
          <w:titlePg w:val="0"/>
        </w:sectPr>
      </w:pPr>
    </w:p>
    <w:p>
      <w:pPr>
        <w:pStyle w:val="BodyText"/>
        <w:spacing w:before="42" w:line="228" w:lineRule="auto"/>
        <w:ind w:left="26"/>
      </w:pPr>
      <w:r>
        <w:rPr>
          <w:spacing w:val="7"/>
        </w:rPr>
        <w:t>则分别评分并累计：</w:t>
      </w:r>
    </w:p>
    <w:p>
      <w:pPr>
        <w:pStyle w:val="BodyText"/>
        <w:spacing w:before="161" w:line="228" w:lineRule="auto"/>
        <w:ind w:left="447"/>
      </w:pPr>
      <w:r>
        <w:rPr>
          <w:rFonts w:ascii="Times New Roman" w:eastAsia="Times New Roman" w:hAnsi="Times New Roman" w:cs="Times New Roman"/>
          <w:b/>
          <w:bCs/>
          <w:spacing w:val="8"/>
        </w:rPr>
        <w:t xml:space="preserve">1 </w:t>
      </w:r>
      <w:r>
        <w:rPr>
          <w:spacing w:val="8"/>
        </w:rPr>
        <w:t>施工项目部制定施工全过程的环境保护计划，并组织实施，得</w:t>
      </w:r>
      <w:r>
        <w:rPr>
          <w:spacing w:val="-34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 xml:space="preserve">2 </w:t>
      </w:r>
      <w:r>
        <w:rPr>
          <w:spacing w:val="8"/>
        </w:rPr>
        <w:t>分；</w:t>
      </w:r>
    </w:p>
    <w:p>
      <w:pPr>
        <w:pStyle w:val="BodyText"/>
        <w:spacing w:before="162" w:line="408" w:lineRule="exact"/>
        <w:ind w:right="42"/>
        <w:jc w:val="right"/>
      </w:pPr>
      <w:r>
        <w:rPr>
          <w:rFonts w:ascii="Times New Roman" w:eastAsia="Times New Roman" w:hAnsi="Times New Roman" w:cs="Times New Roman"/>
          <w:b/>
          <w:bCs/>
          <w:spacing w:val="8"/>
          <w:position w:val="15"/>
        </w:rPr>
        <w:t xml:space="preserve">2 </w:t>
      </w:r>
      <w:r>
        <w:rPr>
          <w:spacing w:val="8"/>
          <w:position w:val="15"/>
        </w:rPr>
        <w:t>施工道路、施工场地布设等施工活动避让林地、绿地、</w:t>
      </w:r>
      <w:r>
        <w:rPr>
          <w:spacing w:val="-52"/>
          <w:position w:val="15"/>
        </w:rPr>
        <w:t xml:space="preserve"> </w:t>
      </w:r>
      <w:r>
        <w:rPr>
          <w:spacing w:val="8"/>
          <w:position w:val="15"/>
        </w:rPr>
        <w:t>自然水体、湿地等生态</w:t>
      </w:r>
      <w:r>
        <w:rPr>
          <w:spacing w:val="7"/>
          <w:position w:val="15"/>
        </w:rPr>
        <w:t>系统，</w:t>
      </w:r>
    </w:p>
    <w:p>
      <w:pPr>
        <w:pStyle w:val="BodyText"/>
        <w:spacing w:line="228" w:lineRule="auto"/>
        <w:ind w:left="22"/>
      </w:pPr>
      <w:r>
        <w:rPr>
          <w:spacing w:val="-1"/>
        </w:rPr>
        <w:t>得</w:t>
      </w:r>
      <w:r>
        <w:rPr>
          <w:spacing w:val="-4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2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spacing w:val="-1"/>
        </w:rPr>
        <w:t>分。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pStyle w:val="BodyText"/>
        <w:spacing w:before="78" w:line="221" w:lineRule="auto"/>
        <w:ind w:left="3556"/>
        <w:rPr>
          <w:sz w:val="24"/>
          <w:szCs w:val="24"/>
        </w:rPr>
      </w:pPr>
      <w:r>
        <w:rPr>
          <w:spacing w:val="-12"/>
          <w:sz w:val="24"/>
          <w:szCs w:val="24"/>
        </w:rPr>
        <w:t>Ⅱ</w:t>
      </w:r>
      <w:r>
        <w:rPr>
          <w:spacing w:val="9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>环境保护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65" w:line="227" w:lineRule="auto"/>
        <w:ind w:left="19"/>
      </w:pPr>
      <w:r>
        <w:rPr>
          <w:rFonts w:ascii="Times New Roman" w:eastAsia="Times New Roman" w:hAnsi="Times New Roman" w:cs="Times New Roman"/>
          <w:b/>
          <w:bCs/>
          <w:spacing w:val="8"/>
        </w:rPr>
        <w:t xml:space="preserve">4.2.6 </w:t>
      </w:r>
      <w:r>
        <w:rPr>
          <w:spacing w:val="8"/>
        </w:rPr>
        <w:t>采取有效措施防治水污染，评价总分值为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 xml:space="preserve">10 </w:t>
      </w:r>
      <w:r>
        <w:rPr>
          <w:spacing w:val="8"/>
        </w:rPr>
        <w:t>分，</w:t>
      </w:r>
      <w:r>
        <w:rPr>
          <w:spacing w:val="7"/>
        </w:rPr>
        <w:t>并按下列规则分别评分并累计：</w:t>
      </w:r>
    </w:p>
    <w:p>
      <w:pPr>
        <w:pStyle w:val="BodyText"/>
        <w:spacing w:before="162" w:line="379" w:lineRule="exact"/>
        <w:jc w:val="right"/>
      </w:pPr>
      <w:r>
        <w:rPr>
          <w:rFonts w:ascii="Times New Roman" w:eastAsia="Times New Roman" w:hAnsi="Times New Roman" w:cs="Times New Roman"/>
          <w:b/>
          <w:bCs/>
          <w:spacing w:val="4"/>
          <w:position w:val="13"/>
        </w:rPr>
        <w:t xml:space="preserve">1 </w:t>
      </w:r>
      <w:r>
        <w:rPr>
          <w:spacing w:val="4"/>
          <w:position w:val="13"/>
        </w:rPr>
        <w:t>场馆及配套设施产生污水做到全收集全处理、达标排放，得</w:t>
      </w:r>
      <w:r>
        <w:rPr>
          <w:spacing w:val="-44"/>
          <w:position w:val="13"/>
        </w:rPr>
        <w:t xml:space="preserve"> </w:t>
      </w:r>
      <w:r>
        <w:rPr>
          <w:rFonts w:ascii="Times New Roman" w:eastAsia="Times New Roman" w:hAnsi="Times New Roman" w:cs="Times New Roman"/>
          <w:spacing w:val="4"/>
          <w:position w:val="13"/>
        </w:rPr>
        <w:t>4</w:t>
      </w:r>
      <w:r>
        <w:rPr>
          <w:rFonts w:ascii="Times New Roman" w:eastAsia="Times New Roman" w:hAnsi="Times New Roman" w:cs="Times New Roman"/>
          <w:spacing w:val="14"/>
          <w:w w:val="101"/>
          <w:position w:val="13"/>
        </w:rPr>
        <w:t xml:space="preserve"> </w:t>
      </w:r>
      <w:r>
        <w:rPr>
          <w:spacing w:val="4"/>
          <w:position w:val="13"/>
        </w:rPr>
        <w:t>分；</w:t>
      </w:r>
      <w:r>
        <w:rPr>
          <w:rFonts w:ascii="Times New Roman" w:eastAsia="Times New Roman" w:hAnsi="Times New Roman" w:cs="Times New Roman"/>
          <w:position w:val="13"/>
        </w:rPr>
        <w:t>COD</w:t>
      </w:r>
      <w:r>
        <w:rPr>
          <w:spacing w:val="4"/>
          <w:position w:val="13"/>
        </w:rPr>
        <w:t>、氨</w:t>
      </w:r>
      <w:r>
        <w:rPr>
          <w:spacing w:val="3"/>
          <w:position w:val="13"/>
        </w:rPr>
        <w:t>氮、总氮、</w:t>
      </w:r>
    </w:p>
    <w:p>
      <w:pPr>
        <w:pStyle w:val="BodyText"/>
        <w:spacing w:line="275" w:lineRule="exact"/>
        <w:ind w:left="24"/>
      </w:pPr>
      <w:r>
        <w:rPr>
          <w:spacing w:val="4"/>
          <w:position w:val="1"/>
        </w:rPr>
        <w:t>总磷等污染物浓度比排放限值低</w:t>
      </w:r>
      <w:r>
        <w:rPr>
          <w:spacing w:val="-20"/>
          <w:position w:val="1"/>
        </w:rPr>
        <w:t xml:space="preserve"> </w:t>
      </w:r>
      <w:r>
        <w:rPr>
          <w:rFonts w:ascii="Times New Roman" w:eastAsia="Times New Roman" w:hAnsi="Times New Roman" w:cs="Times New Roman"/>
          <w:spacing w:val="4"/>
          <w:position w:val="1"/>
        </w:rPr>
        <w:t>10%</w:t>
      </w:r>
      <w:r>
        <w:rPr>
          <w:rFonts w:ascii="Times New Roman" w:eastAsia="Times New Roman" w:hAnsi="Times New Roman" w:cs="Times New Roman"/>
          <w:spacing w:val="-29"/>
          <w:position w:val="1"/>
        </w:rPr>
        <w:t xml:space="preserve"> </w:t>
      </w:r>
      <w:r>
        <w:rPr>
          <w:spacing w:val="4"/>
          <w:position w:val="1"/>
        </w:rPr>
        <w:t>，得</w:t>
      </w:r>
      <w:r>
        <w:rPr>
          <w:spacing w:val="-37"/>
          <w:position w:val="1"/>
        </w:rPr>
        <w:t xml:space="preserve"> </w:t>
      </w:r>
      <w:r>
        <w:rPr>
          <w:rFonts w:ascii="Times New Roman" w:eastAsia="Times New Roman" w:hAnsi="Times New Roman" w:cs="Times New Roman"/>
          <w:spacing w:val="4"/>
          <w:position w:val="1"/>
        </w:rPr>
        <w:t>5</w:t>
      </w:r>
      <w:r>
        <w:rPr>
          <w:rFonts w:ascii="Times New Roman" w:eastAsia="Times New Roman" w:hAnsi="Times New Roman" w:cs="Times New Roman"/>
          <w:spacing w:val="14"/>
          <w:w w:val="101"/>
          <w:position w:val="1"/>
        </w:rPr>
        <w:t xml:space="preserve"> </w:t>
      </w:r>
      <w:r>
        <w:rPr>
          <w:spacing w:val="4"/>
          <w:position w:val="1"/>
        </w:rPr>
        <w:t>分；</w:t>
      </w:r>
      <w:r>
        <w:rPr>
          <w:spacing w:val="-58"/>
          <w:position w:val="1"/>
        </w:rPr>
        <w:t xml:space="preserve"> </w:t>
      </w:r>
      <w:r>
        <w:rPr>
          <w:spacing w:val="4"/>
          <w:position w:val="1"/>
        </w:rPr>
        <w:t>比限值低</w:t>
      </w:r>
      <w:r>
        <w:rPr>
          <w:spacing w:val="-43"/>
          <w:position w:val="1"/>
        </w:rPr>
        <w:t xml:space="preserve"> </w:t>
      </w:r>
      <w:r>
        <w:rPr>
          <w:rFonts w:ascii="Times New Roman" w:eastAsia="Times New Roman" w:hAnsi="Times New Roman" w:cs="Times New Roman"/>
          <w:spacing w:val="4"/>
          <w:position w:val="1"/>
        </w:rPr>
        <w:t>2</w:t>
      </w:r>
      <w:r>
        <w:rPr>
          <w:rFonts w:ascii="Times New Roman" w:eastAsia="Times New Roman" w:hAnsi="Times New Roman" w:cs="Times New Roman"/>
          <w:spacing w:val="3"/>
          <w:position w:val="1"/>
        </w:rPr>
        <w:t>0%</w:t>
      </w:r>
      <w:r>
        <w:rPr>
          <w:rFonts w:ascii="Times New Roman" w:eastAsia="Times New Roman" w:hAnsi="Times New Roman" w:cs="Times New Roman"/>
          <w:spacing w:val="-26"/>
          <w:position w:val="1"/>
        </w:rPr>
        <w:t xml:space="preserve"> </w:t>
      </w:r>
      <w:r>
        <w:rPr>
          <w:spacing w:val="3"/>
          <w:position w:val="1"/>
        </w:rPr>
        <w:t>，得</w:t>
      </w:r>
      <w:r>
        <w:rPr>
          <w:spacing w:val="-36"/>
          <w:position w:val="1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1"/>
        </w:rPr>
        <w:t xml:space="preserve">6 </w:t>
      </w:r>
      <w:r>
        <w:rPr>
          <w:spacing w:val="3"/>
          <w:position w:val="1"/>
        </w:rPr>
        <w:t>分；</w:t>
      </w:r>
    </w:p>
    <w:p>
      <w:pPr>
        <w:pStyle w:val="BodyText"/>
        <w:spacing w:before="164" w:line="228" w:lineRule="auto"/>
        <w:ind w:left="438"/>
      </w:pPr>
      <w:r>
        <w:rPr>
          <w:rFonts w:ascii="Times New Roman" w:eastAsia="Times New Roman" w:hAnsi="Times New Roman" w:cs="Times New Roman"/>
          <w:b/>
          <w:bCs/>
          <w:spacing w:val="9"/>
        </w:rPr>
        <w:t xml:space="preserve">2 </w:t>
      </w:r>
      <w:r>
        <w:rPr>
          <w:spacing w:val="9"/>
        </w:rPr>
        <w:t>可能存在漏损隐患的设施采取防渗漏、</w:t>
      </w:r>
      <w:r>
        <w:rPr>
          <w:spacing w:val="8"/>
        </w:rPr>
        <w:t>防腐蚀、防冻裂措施，得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 xml:space="preserve">4 </w:t>
      </w:r>
      <w:r>
        <w:rPr>
          <w:spacing w:val="8"/>
        </w:rPr>
        <w:t>分。</w:t>
      </w:r>
    </w:p>
    <w:p>
      <w:pPr>
        <w:pStyle w:val="BodyText"/>
        <w:spacing w:before="161" w:line="408" w:lineRule="exact"/>
        <w:ind w:left="19"/>
      </w:pPr>
      <w:r>
        <w:rPr>
          <w:rFonts w:ascii="Times New Roman" w:eastAsia="Times New Roman" w:hAnsi="Times New Roman" w:cs="Times New Roman"/>
          <w:b/>
          <w:bCs/>
          <w:spacing w:val="7"/>
          <w:position w:val="15"/>
        </w:rPr>
        <w:t xml:space="preserve">4.2.7 </w:t>
      </w:r>
      <w:r>
        <w:rPr>
          <w:spacing w:val="7"/>
          <w:position w:val="15"/>
        </w:rPr>
        <w:t>对各类废气污染源采取治理措施，确保废气达标排放，评价总分值为</w:t>
      </w:r>
      <w:r>
        <w:rPr>
          <w:spacing w:val="-18"/>
          <w:position w:val="15"/>
        </w:rPr>
        <w:t xml:space="preserve"> </w:t>
      </w:r>
      <w:r>
        <w:rPr>
          <w:rFonts w:ascii="Times New Roman" w:eastAsia="Times New Roman" w:hAnsi="Times New Roman" w:cs="Times New Roman"/>
          <w:spacing w:val="7"/>
          <w:position w:val="15"/>
        </w:rPr>
        <w:t xml:space="preserve">12 </w:t>
      </w:r>
      <w:r>
        <w:rPr>
          <w:spacing w:val="7"/>
          <w:position w:val="15"/>
        </w:rPr>
        <w:t>分，并按下列</w:t>
      </w:r>
    </w:p>
    <w:p>
      <w:pPr>
        <w:pStyle w:val="BodyText"/>
        <w:spacing w:before="1" w:line="228" w:lineRule="auto"/>
        <w:ind w:left="22"/>
      </w:pPr>
      <w:r>
        <w:rPr>
          <w:spacing w:val="7"/>
        </w:rPr>
        <w:t>规则分别评分并累计：</w:t>
      </w:r>
    </w:p>
    <w:p>
      <w:pPr>
        <w:pStyle w:val="BodyText"/>
        <w:spacing w:before="162" w:line="408" w:lineRule="exact"/>
        <w:ind w:right="42"/>
        <w:jc w:val="right"/>
      </w:pPr>
      <w:r>
        <w:rPr>
          <w:rFonts w:ascii="Times New Roman" w:eastAsia="Times New Roman" w:hAnsi="Times New Roman" w:cs="Times New Roman"/>
          <w:b/>
          <w:bCs/>
          <w:spacing w:val="9"/>
          <w:position w:val="15"/>
        </w:rPr>
        <w:t xml:space="preserve">1 </w:t>
      </w:r>
      <w:r>
        <w:rPr>
          <w:spacing w:val="9"/>
          <w:position w:val="15"/>
        </w:rPr>
        <w:t>排放油烟的餐饮设施安装油烟净化设施并符合现行国家标准《饮食业油烟排放</w:t>
      </w:r>
      <w:r>
        <w:rPr>
          <w:spacing w:val="8"/>
          <w:position w:val="15"/>
        </w:rPr>
        <w:t>标准》</w:t>
      </w:r>
    </w:p>
    <w:p>
      <w:pPr>
        <w:pStyle w:val="BodyText"/>
        <w:spacing w:before="1" w:line="228" w:lineRule="auto"/>
        <w:ind w:left="21"/>
      </w:pPr>
      <w:r>
        <w:rPr>
          <w:rFonts w:ascii="Times New Roman" w:eastAsia="Times New Roman" w:hAnsi="Times New Roman" w:cs="Times New Roman"/>
        </w:rPr>
        <w:t>GB</w:t>
      </w:r>
      <w:r>
        <w:rPr>
          <w:rFonts w:ascii="Times New Roman" w:eastAsia="Times New Roman" w:hAnsi="Times New Roman" w:cs="Times New Roman"/>
          <w:spacing w:val="34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18483</w:t>
      </w:r>
      <w:r>
        <w:rPr>
          <w:rFonts w:ascii="Times New Roman" w:eastAsia="Times New Roman" w:hAnsi="Times New Roman" w:cs="Times New Roman"/>
          <w:spacing w:val="29"/>
        </w:rPr>
        <w:t xml:space="preserve"> </w:t>
      </w:r>
      <w:r>
        <w:rPr>
          <w:spacing w:val="1"/>
        </w:rPr>
        <w:t>的规定，得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3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spacing w:val="1"/>
        </w:rPr>
        <w:t>分；</w:t>
      </w:r>
    </w:p>
    <w:p>
      <w:pPr>
        <w:pStyle w:val="BodyText"/>
        <w:spacing w:before="161" w:line="228" w:lineRule="auto"/>
        <w:ind w:left="438"/>
      </w:pPr>
      <w:r>
        <w:rPr>
          <w:rFonts w:ascii="Times New Roman" w:eastAsia="Times New Roman" w:hAnsi="Times New Roman" w:cs="Times New Roman"/>
          <w:b/>
          <w:bCs/>
          <w:spacing w:val="8"/>
        </w:rPr>
        <w:t xml:space="preserve">2 </w:t>
      </w:r>
      <w:r>
        <w:rPr>
          <w:spacing w:val="8"/>
        </w:rPr>
        <w:t>大型永久餐饮服务单位安装净化设施在线监控系统，得</w:t>
      </w:r>
      <w:r>
        <w:rPr>
          <w:spacing w:val="-30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 xml:space="preserve">2 </w:t>
      </w:r>
      <w:r>
        <w:rPr>
          <w:spacing w:val="8"/>
        </w:rPr>
        <w:t>分；</w:t>
      </w:r>
    </w:p>
    <w:p>
      <w:pPr>
        <w:pStyle w:val="BodyText"/>
        <w:spacing w:before="160" w:line="408" w:lineRule="exact"/>
        <w:ind w:left="437"/>
      </w:pPr>
      <w:r>
        <w:rPr>
          <w:rFonts w:ascii="Times New Roman" w:eastAsia="Times New Roman" w:hAnsi="Times New Roman" w:cs="Times New Roman"/>
          <w:b/>
          <w:bCs/>
          <w:spacing w:val="8"/>
          <w:position w:val="15"/>
        </w:rPr>
        <w:t xml:space="preserve">3 </w:t>
      </w:r>
      <w:r>
        <w:rPr>
          <w:spacing w:val="8"/>
          <w:position w:val="15"/>
        </w:rPr>
        <w:t>污水处理设施产生的恶臭气体密闭收集并处理，达标排放，得</w:t>
      </w:r>
      <w:r>
        <w:rPr>
          <w:spacing w:val="-24"/>
          <w:position w:val="15"/>
        </w:rPr>
        <w:t xml:space="preserve"> </w:t>
      </w:r>
      <w:r>
        <w:rPr>
          <w:rFonts w:ascii="Times New Roman" w:eastAsia="Times New Roman" w:hAnsi="Times New Roman" w:cs="Times New Roman"/>
          <w:spacing w:val="8"/>
          <w:position w:val="15"/>
        </w:rPr>
        <w:t xml:space="preserve">3 </w:t>
      </w:r>
      <w:r>
        <w:rPr>
          <w:spacing w:val="8"/>
          <w:position w:val="15"/>
        </w:rPr>
        <w:t>分；</w:t>
      </w:r>
    </w:p>
    <w:p>
      <w:pPr>
        <w:pStyle w:val="BodyText"/>
        <w:spacing w:before="1" w:line="227" w:lineRule="auto"/>
        <w:ind w:left="439"/>
      </w:pPr>
      <w:r>
        <w:rPr>
          <w:rFonts w:ascii="Times New Roman" w:eastAsia="Times New Roman" w:hAnsi="Times New Roman" w:cs="Times New Roman"/>
          <w:b/>
          <w:bCs/>
          <w:spacing w:val="8"/>
        </w:rPr>
        <w:t xml:space="preserve">4 </w:t>
      </w:r>
      <w:r>
        <w:rPr>
          <w:spacing w:val="8"/>
        </w:rPr>
        <w:t>污水处理设施采取有效措施，实现温室气体协同控制，得</w:t>
      </w:r>
      <w:r>
        <w:rPr>
          <w:spacing w:val="-30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 xml:space="preserve">2 </w:t>
      </w:r>
      <w:r>
        <w:rPr>
          <w:spacing w:val="8"/>
        </w:rPr>
        <w:t>分；</w:t>
      </w:r>
    </w:p>
    <w:p>
      <w:pPr>
        <w:pStyle w:val="BodyText"/>
        <w:spacing w:before="163" w:line="377" w:lineRule="auto"/>
        <w:ind w:left="19" w:firstLine="421"/>
      </w:pPr>
      <w:r>
        <w:rPr>
          <w:rFonts w:ascii="Times New Roman" w:eastAsia="Times New Roman" w:hAnsi="Times New Roman" w:cs="Times New Roman"/>
          <w:b/>
          <w:bCs/>
          <w:spacing w:val="4"/>
        </w:rPr>
        <w:t xml:space="preserve">5 </w:t>
      </w:r>
      <w:r>
        <w:rPr>
          <w:spacing w:val="4"/>
        </w:rPr>
        <w:t>生活垃圾等废物贮存、处理设施设置恶臭气体密闭收集处理装置，达标排放，得</w:t>
      </w:r>
      <w:r>
        <w:rPr>
          <w:spacing w:val="-27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2</w:t>
      </w:r>
      <w:r>
        <w:rPr>
          <w:rFonts w:ascii="Times New Roman" w:eastAsia="Times New Roman" w:hAnsi="Times New Roman" w:cs="Times New Roman"/>
          <w:spacing w:val="14"/>
          <w:w w:val="101"/>
        </w:rPr>
        <w:t xml:space="preserve"> </w:t>
      </w:r>
      <w:r>
        <w:rPr>
          <w:spacing w:val="4"/>
        </w:rPr>
        <w:t>分。</w:t>
      </w:r>
      <w:r>
        <w:t xml:space="preserve"> </w:t>
      </w:r>
      <w:r>
        <w:rPr>
          <w:rFonts w:ascii="Times New Roman" w:eastAsia="Times New Roman" w:hAnsi="Times New Roman" w:cs="Times New Roman"/>
          <w:b/>
          <w:bCs/>
          <w:spacing w:val="5"/>
        </w:rPr>
        <w:t xml:space="preserve">4.2.8 </w:t>
      </w:r>
      <w:r>
        <w:rPr>
          <w:spacing w:val="5"/>
        </w:rPr>
        <w:t xml:space="preserve">采取有效措施防止或减轻场馆及设施产生的噪声污染，场界噪声符合现行国家标准《社 </w:t>
      </w:r>
      <w:r>
        <w:rPr>
          <w:spacing w:val="9"/>
        </w:rPr>
        <w:t>会生活环境噪声排放标准》</w:t>
      </w:r>
      <w:r>
        <w:rPr>
          <w:rFonts w:ascii="Times New Roman" w:eastAsia="Times New Roman" w:hAnsi="Times New Roman" w:cs="Times New Roman"/>
        </w:rPr>
        <w:t>GB</w:t>
      </w:r>
      <w:r>
        <w:rPr>
          <w:rFonts w:ascii="Times New Roman" w:eastAsia="Times New Roman" w:hAnsi="Times New Roman" w:cs="Times New Roman"/>
          <w:spacing w:val="9"/>
        </w:rPr>
        <w:t xml:space="preserve"> 22337</w:t>
      </w:r>
      <w:r>
        <w:rPr>
          <w:rFonts w:ascii="Times New Roman" w:eastAsia="Times New Roman" w:hAnsi="Times New Roman" w:cs="Times New Roman"/>
          <w:spacing w:val="31"/>
          <w:w w:val="101"/>
        </w:rPr>
        <w:t xml:space="preserve"> </w:t>
      </w:r>
      <w:r>
        <w:rPr>
          <w:spacing w:val="9"/>
        </w:rPr>
        <w:t>的规定，评价总分值为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9"/>
        </w:rPr>
        <w:t>7</w:t>
      </w:r>
      <w:r>
        <w:rPr>
          <w:rFonts w:ascii="Times New Roman" w:eastAsia="Times New Roman" w:hAnsi="Times New Roman" w:cs="Times New Roman"/>
          <w:spacing w:val="17"/>
          <w:w w:val="101"/>
        </w:rPr>
        <w:t xml:space="preserve"> </w:t>
      </w:r>
      <w:r>
        <w:rPr>
          <w:spacing w:val="9"/>
        </w:rPr>
        <w:t>分，并按</w:t>
      </w:r>
      <w:r>
        <w:rPr>
          <w:spacing w:val="8"/>
        </w:rPr>
        <w:t>下列规则分别评分</w:t>
      </w:r>
    </w:p>
    <w:p>
      <w:pPr>
        <w:pStyle w:val="BodyText"/>
        <w:spacing w:line="228" w:lineRule="auto"/>
        <w:ind w:left="27"/>
      </w:pPr>
      <w:r>
        <w:rPr>
          <w:spacing w:val="3"/>
        </w:rPr>
        <w:t>并累计：</w:t>
      </w:r>
    </w:p>
    <w:p>
      <w:pPr>
        <w:pStyle w:val="BodyText"/>
        <w:spacing w:before="160" w:line="228" w:lineRule="auto"/>
        <w:ind w:left="447"/>
      </w:pPr>
      <w:r>
        <w:rPr>
          <w:rFonts w:ascii="Times New Roman" w:eastAsia="Times New Roman" w:hAnsi="Times New Roman" w:cs="Times New Roman"/>
          <w:b/>
          <w:bCs/>
          <w:spacing w:val="7"/>
        </w:rPr>
        <w:t xml:space="preserve">1 </w:t>
      </w:r>
      <w:r>
        <w:rPr>
          <w:spacing w:val="7"/>
        </w:rPr>
        <w:t>合理布设场馆和配套设施的固定声源，得</w:t>
      </w:r>
      <w:r>
        <w:rPr>
          <w:spacing w:val="-27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3 </w:t>
      </w:r>
      <w:r>
        <w:rPr>
          <w:spacing w:val="7"/>
        </w:rPr>
        <w:t>分；</w:t>
      </w:r>
    </w:p>
    <w:p>
      <w:pPr>
        <w:pStyle w:val="BodyText"/>
        <w:spacing w:before="165" w:line="228" w:lineRule="auto"/>
        <w:ind w:left="438"/>
      </w:pPr>
      <w:r>
        <w:rPr>
          <w:rFonts w:ascii="Times New Roman" w:eastAsia="Times New Roman" w:hAnsi="Times New Roman" w:cs="Times New Roman"/>
          <w:b/>
          <w:bCs/>
          <w:spacing w:val="8"/>
        </w:rPr>
        <w:t xml:space="preserve">2 </w:t>
      </w:r>
      <w:r>
        <w:rPr>
          <w:spacing w:val="8"/>
        </w:rPr>
        <w:t>选用低噪声设备设施，降低声源排放强度，得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 xml:space="preserve">2 </w:t>
      </w:r>
      <w:r>
        <w:rPr>
          <w:spacing w:val="8"/>
        </w:rPr>
        <w:t>分；</w:t>
      </w:r>
    </w:p>
    <w:p>
      <w:pPr>
        <w:pStyle w:val="BodyText"/>
        <w:spacing w:before="161" w:line="228" w:lineRule="auto"/>
        <w:ind w:left="437"/>
      </w:pPr>
      <w:r>
        <w:rPr>
          <w:rFonts w:ascii="Times New Roman" w:eastAsia="Times New Roman" w:hAnsi="Times New Roman" w:cs="Times New Roman"/>
          <w:b/>
          <w:bCs/>
          <w:spacing w:val="8"/>
        </w:rPr>
        <w:t xml:space="preserve">3 </w:t>
      </w:r>
      <w:r>
        <w:rPr>
          <w:spacing w:val="8"/>
        </w:rPr>
        <w:t>选用隔、吸、消等声学技术削减噪声，使声源稳定达标，得</w:t>
      </w:r>
      <w:r>
        <w:rPr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 xml:space="preserve">2 </w:t>
      </w:r>
      <w:r>
        <w:rPr>
          <w:spacing w:val="8"/>
        </w:rPr>
        <w:t>分。</w:t>
      </w:r>
    </w:p>
    <w:p>
      <w:pPr>
        <w:pStyle w:val="BodyText"/>
        <w:spacing w:before="160" w:line="408" w:lineRule="exact"/>
        <w:ind w:left="19"/>
      </w:pPr>
      <w:r>
        <w:rPr>
          <w:rFonts w:ascii="Times New Roman" w:eastAsia="Times New Roman" w:hAnsi="Times New Roman" w:cs="Times New Roman"/>
          <w:b/>
          <w:bCs/>
          <w:spacing w:val="7"/>
          <w:position w:val="15"/>
        </w:rPr>
        <w:t xml:space="preserve">4.2.9 </w:t>
      </w:r>
      <w:r>
        <w:rPr>
          <w:spacing w:val="7"/>
          <w:position w:val="15"/>
        </w:rPr>
        <w:t>按减量化、资源化和无害化原则，实施固体废物管理措施，评价总分值为</w:t>
      </w:r>
      <w:r>
        <w:rPr>
          <w:spacing w:val="-18"/>
          <w:position w:val="15"/>
        </w:rPr>
        <w:t xml:space="preserve"> </w:t>
      </w:r>
      <w:r>
        <w:rPr>
          <w:rFonts w:ascii="Times New Roman" w:eastAsia="Times New Roman" w:hAnsi="Times New Roman" w:cs="Times New Roman"/>
          <w:spacing w:val="7"/>
          <w:position w:val="15"/>
        </w:rPr>
        <w:t xml:space="preserve">11 </w:t>
      </w:r>
      <w:r>
        <w:rPr>
          <w:spacing w:val="7"/>
          <w:position w:val="15"/>
        </w:rPr>
        <w:t>分，并按</w:t>
      </w:r>
    </w:p>
    <w:p>
      <w:pPr>
        <w:pStyle w:val="BodyText"/>
        <w:spacing w:before="1" w:line="228" w:lineRule="auto"/>
        <w:ind w:left="28"/>
      </w:pPr>
      <w:r>
        <w:rPr>
          <w:spacing w:val="7"/>
        </w:rPr>
        <w:t>下列规则分别评分并累计：</w:t>
      </w:r>
    </w:p>
    <w:p>
      <w:pPr>
        <w:pStyle w:val="BodyText"/>
        <w:spacing w:before="160" w:line="228" w:lineRule="auto"/>
        <w:ind w:left="447"/>
      </w:pPr>
      <w:r>
        <w:rPr>
          <w:rFonts w:ascii="Times New Roman" w:eastAsia="Times New Roman" w:hAnsi="Times New Roman" w:cs="Times New Roman"/>
          <w:b/>
          <w:bCs/>
          <w:spacing w:val="8"/>
        </w:rPr>
        <w:t xml:space="preserve">1 </w:t>
      </w:r>
      <w:r>
        <w:rPr>
          <w:spacing w:val="8"/>
        </w:rPr>
        <w:t>合理布设垃圾分类收集容器及设施，图文标识规范，得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>3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spacing w:val="7"/>
        </w:rPr>
        <w:t>分；</w:t>
      </w:r>
    </w:p>
    <w:p>
      <w:pPr>
        <w:pStyle w:val="BodyText"/>
        <w:spacing w:before="130" w:line="275" w:lineRule="exact"/>
        <w:ind w:left="438"/>
        <w:sectPr>
          <w:footerReference w:type="default" r:id="rId12"/>
          <w:pgSz w:w="11907" w:h="16840"/>
          <w:pgMar w:top="1428" w:right="1731" w:bottom="1300" w:left="1786" w:header="0" w:footer="1134" w:gutter="0"/>
          <w:pgNumType w:start="9"/>
          <w:cols w:space="708"/>
        </w:sectPr>
      </w:pPr>
      <w:r>
        <w:rPr>
          <w:rFonts w:ascii="Times New Roman" w:eastAsia="Times New Roman" w:hAnsi="Times New Roman" w:cs="Times New Roman"/>
          <w:b/>
          <w:bCs/>
          <w:spacing w:val="7"/>
          <w:position w:val="1"/>
        </w:rPr>
        <w:t xml:space="preserve">2 </w:t>
      </w:r>
      <w:r>
        <w:rPr>
          <w:spacing w:val="7"/>
          <w:position w:val="1"/>
        </w:rPr>
        <w:t>垃圾分类管理制度健全，生活垃圾分类收集</w:t>
      </w:r>
      <w:r>
        <w:rPr>
          <w:spacing w:val="6"/>
          <w:position w:val="1"/>
        </w:rPr>
        <w:t>率达到</w:t>
      </w:r>
      <w:r>
        <w:rPr>
          <w:spacing w:val="-20"/>
          <w:position w:val="1"/>
        </w:rPr>
        <w:t xml:space="preserve"> </w:t>
      </w:r>
      <w:r>
        <w:rPr>
          <w:rFonts w:ascii="Times New Roman" w:eastAsia="Times New Roman" w:hAnsi="Times New Roman" w:cs="Times New Roman"/>
          <w:spacing w:val="6"/>
          <w:position w:val="1"/>
        </w:rPr>
        <w:t>100%</w:t>
      </w:r>
      <w:r>
        <w:rPr>
          <w:rFonts w:ascii="Times New Roman" w:eastAsia="Times New Roman" w:hAnsi="Times New Roman" w:cs="Times New Roman"/>
          <w:spacing w:val="-29"/>
          <w:position w:val="1"/>
        </w:rPr>
        <w:t xml:space="preserve"> </w:t>
      </w:r>
      <w:r>
        <w:rPr>
          <w:spacing w:val="6"/>
          <w:position w:val="1"/>
        </w:rPr>
        <w:t>，得</w:t>
      </w:r>
      <w:r>
        <w:rPr>
          <w:spacing w:val="-41"/>
          <w:position w:val="1"/>
        </w:rPr>
        <w:t xml:space="preserve"> </w:t>
      </w:r>
      <w:r>
        <w:rPr>
          <w:rFonts w:ascii="Times New Roman" w:eastAsia="Times New Roman" w:hAnsi="Times New Roman" w:cs="Times New Roman"/>
          <w:spacing w:val="6"/>
          <w:position w:val="1"/>
        </w:rPr>
        <w:t xml:space="preserve">2 </w:t>
      </w:r>
      <w:r>
        <w:rPr>
          <w:spacing w:val="6"/>
          <w:position w:val="1"/>
        </w:rPr>
        <w:t>分；</w:t>
      </w:r>
    </w:p>
    <w:p>
      <w:pPr>
        <w:pStyle w:val="BodyText"/>
        <w:spacing w:before="167" w:line="228" w:lineRule="auto"/>
        <w:jc w:val="right"/>
      </w:pPr>
      <w:r>
        <w:rPr>
          <w:rFonts w:ascii="Times New Roman" w:eastAsia="Times New Roman" w:hAnsi="Times New Roman" w:cs="Times New Roman"/>
          <w:b/>
          <w:bCs/>
          <w:spacing w:val="3"/>
        </w:rPr>
        <w:t>3</w:t>
      </w:r>
      <w:r>
        <w:rPr>
          <w:rFonts w:ascii="Times New Roman" w:eastAsia="Times New Roman" w:hAnsi="Times New Roman" w:cs="Times New Roman"/>
          <w:b/>
          <w:bCs/>
          <w:spacing w:val="44"/>
        </w:rPr>
        <w:t xml:space="preserve"> </w:t>
      </w:r>
      <w:r>
        <w:rPr>
          <w:spacing w:val="3"/>
        </w:rPr>
        <w:t>固体废物贮存设施防渗措施健全，防止存储过程渗漏造成土壤及地下水污染，得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>2</w:t>
      </w:r>
      <w:r>
        <w:rPr>
          <w:rFonts w:ascii="Times New Roman" w:eastAsia="Times New Roman" w:hAnsi="Times New Roman" w:cs="Times New Roman"/>
          <w:spacing w:val="14"/>
          <w:w w:val="101"/>
        </w:rPr>
        <w:t xml:space="preserve"> </w:t>
      </w:r>
      <w:r>
        <w:rPr>
          <w:spacing w:val="3"/>
        </w:rPr>
        <w:t>分；</w:t>
      </w:r>
    </w:p>
    <w:p>
      <w:pPr>
        <w:pStyle w:val="BodyText"/>
        <w:spacing w:before="160" w:line="408" w:lineRule="exact"/>
        <w:jc w:val="right"/>
      </w:pPr>
      <w:r>
        <w:rPr>
          <w:rFonts w:ascii="Times New Roman" w:eastAsia="Times New Roman" w:hAnsi="Times New Roman" w:cs="Times New Roman"/>
          <w:b/>
          <w:bCs/>
          <w:spacing w:val="5"/>
          <w:position w:val="15"/>
        </w:rPr>
        <w:t xml:space="preserve">4 </w:t>
      </w:r>
      <w:r>
        <w:rPr>
          <w:spacing w:val="5"/>
          <w:position w:val="15"/>
        </w:rPr>
        <w:t>对生活垃圾、餐厨垃圾、污水处理过程中产生的污</w:t>
      </w:r>
      <w:r>
        <w:rPr>
          <w:spacing w:val="4"/>
          <w:position w:val="15"/>
        </w:rPr>
        <w:t>泥等进行资源化再利用和有效处置，</w:t>
      </w:r>
    </w:p>
    <w:p>
      <w:pPr>
        <w:pStyle w:val="BodyText"/>
        <w:spacing w:before="1" w:line="228" w:lineRule="auto"/>
        <w:ind w:left="22"/>
      </w:pPr>
      <w:r>
        <w:rPr>
          <w:spacing w:val="-1"/>
        </w:rPr>
        <w:t>得</w:t>
      </w:r>
      <w:r>
        <w:rPr>
          <w:spacing w:val="-4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2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spacing w:val="-1"/>
        </w:rPr>
        <w:t>分；</w:t>
      </w:r>
    </w:p>
    <w:p>
      <w:pPr>
        <w:pStyle w:val="BodyText"/>
        <w:spacing w:before="160" w:line="411" w:lineRule="exact"/>
        <w:ind w:left="441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spacing w:val="12"/>
          <w:position w:val="15"/>
        </w:rPr>
        <w:t xml:space="preserve">5  </w:t>
      </w:r>
      <w:r>
        <w:rPr>
          <w:spacing w:val="12"/>
          <w:position w:val="15"/>
        </w:rPr>
        <w:t>医疗废物、有害垃圾纳入危险废物管理，</w:t>
      </w:r>
      <w:r>
        <w:rPr>
          <w:spacing w:val="-53"/>
          <w:position w:val="15"/>
        </w:rPr>
        <w:t xml:space="preserve"> </w:t>
      </w:r>
      <w:r>
        <w:rPr>
          <w:spacing w:val="12"/>
          <w:position w:val="15"/>
        </w:rPr>
        <w:t>由具备相应处置资质单位进行处置，得</w:t>
      </w:r>
      <w:r>
        <w:rPr>
          <w:spacing w:val="-38"/>
          <w:position w:val="15"/>
        </w:rPr>
        <w:t xml:space="preserve"> </w:t>
      </w:r>
      <w:r>
        <w:rPr>
          <w:rFonts w:ascii="Times New Roman" w:eastAsia="Times New Roman" w:hAnsi="Times New Roman" w:cs="Times New Roman"/>
          <w:spacing w:val="12"/>
          <w:position w:val="15"/>
        </w:rPr>
        <w:t>2</w:t>
      </w:r>
    </w:p>
    <w:p>
      <w:pPr>
        <w:pStyle w:val="BodyText"/>
        <w:spacing w:line="229" w:lineRule="auto"/>
        <w:ind w:left="24"/>
      </w:pPr>
      <w:r>
        <w:rPr>
          <w:spacing w:val="-1"/>
        </w:rPr>
        <w:t>分。</w:t>
      </w:r>
    </w:p>
    <w:p>
      <w:pPr>
        <w:spacing w:line="229" w:lineRule="auto"/>
        <w:sectPr>
          <w:footerReference w:type="default" r:id="rId13"/>
          <w:type w:val="nextPage"/>
          <w:pgSz w:w="11907" w:h="16840"/>
          <w:pgMar w:top="1428" w:right="1731" w:bottom="1300" w:left="1786" w:header="0" w:footer="1134" w:gutter="0"/>
          <w:pgNumType w:start="10"/>
          <w:cols w:space="708"/>
          <w:titlePg w:val="0"/>
        </w:sectPr>
      </w:pPr>
    </w:p>
    <w:p>
      <w:pPr>
        <w:pStyle w:val="BodyText"/>
        <w:spacing w:before="41" w:line="408" w:lineRule="exact"/>
        <w:ind w:left="19"/>
      </w:pPr>
      <w:r>
        <w:rPr>
          <w:rFonts w:ascii="Times New Roman" w:eastAsia="Times New Roman" w:hAnsi="Times New Roman" w:cs="Times New Roman"/>
          <w:b/>
          <w:bCs/>
          <w:spacing w:val="8"/>
          <w:position w:val="15"/>
        </w:rPr>
        <w:t xml:space="preserve">4.2.10  </w:t>
      </w:r>
      <w:r>
        <w:rPr>
          <w:spacing w:val="8"/>
          <w:position w:val="15"/>
        </w:rPr>
        <w:t>减轻施工期对水环境的影响，评价总分值为</w:t>
      </w:r>
      <w:r>
        <w:rPr>
          <w:spacing w:val="-39"/>
          <w:position w:val="15"/>
        </w:rPr>
        <w:t xml:space="preserve"> </w:t>
      </w:r>
      <w:r>
        <w:rPr>
          <w:rFonts w:ascii="Times New Roman" w:eastAsia="Times New Roman" w:hAnsi="Times New Roman" w:cs="Times New Roman"/>
          <w:spacing w:val="8"/>
          <w:position w:val="15"/>
        </w:rPr>
        <w:t xml:space="preserve">4 </w:t>
      </w:r>
      <w:r>
        <w:rPr>
          <w:spacing w:val="8"/>
          <w:position w:val="15"/>
        </w:rPr>
        <w:t>分，并按下列规则分别评分并累计：</w:t>
      </w:r>
    </w:p>
    <w:p>
      <w:pPr>
        <w:pStyle w:val="BodyText"/>
        <w:spacing w:line="228" w:lineRule="auto"/>
        <w:ind w:left="447"/>
      </w:pPr>
      <w:r>
        <w:rPr>
          <w:rFonts w:ascii="Times New Roman" w:eastAsia="Times New Roman" w:hAnsi="Times New Roman" w:cs="Times New Roman"/>
          <w:b/>
          <w:bCs/>
          <w:spacing w:val="8"/>
        </w:rPr>
        <w:t xml:space="preserve">1  </w:t>
      </w:r>
      <w:r>
        <w:rPr>
          <w:spacing w:val="8"/>
        </w:rPr>
        <w:t>施工营地避开河道、溪流等地表水体，防止堵塞河流或污染地表</w:t>
      </w:r>
      <w:r>
        <w:rPr>
          <w:spacing w:val="7"/>
        </w:rPr>
        <w:t>水体，得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1 </w:t>
      </w:r>
      <w:r>
        <w:rPr>
          <w:spacing w:val="7"/>
        </w:rPr>
        <w:t>分；</w:t>
      </w:r>
    </w:p>
    <w:p>
      <w:pPr>
        <w:pStyle w:val="BodyText"/>
        <w:spacing w:before="132" w:line="438" w:lineRule="exact"/>
        <w:ind w:left="43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spacing w:val="5"/>
          <w:position w:val="14"/>
        </w:rPr>
        <w:t xml:space="preserve">2  </w:t>
      </w:r>
      <w:r>
        <w:rPr>
          <w:spacing w:val="5"/>
          <w:position w:val="14"/>
        </w:rPr>
        <w:t>工程污水及养护用水进行回用，回用率达到</w:t>
      </w:r>
      <w:r>
        <w:rPr>
          <w:spacing w:val="-19"/>
          <w:position w:val="14"/>
        </w:rPr>
        <w:t xml:space="preserve"> </w:t>
      </w:r>
      <w:r>
        <w:rPr>
          <w:rFonts w:ascii="Times New Roman" w:eastAsia="Times New Roman" w:hAnsi="Times New Roman" w:cs="Times New Roman"/>
          <w:spacing w:val="5"/>
          <w:position w:val="14"/>
        </w:rPr>
        <w:t>80%</w:t>
      </w:r>
      <w:r>
        <w:rPr>
          <w:rFonts w:ascii="Times New Roman" w:eastAsia="Times New Roman" w:hAnsi="Times New Roman" w:cs="Times New Roman"/>
          <w:spacing w:val="-29"/>
          <w:position w:val="14"/>
        </w:rPr>
        <w:t xml:space="preserve"> </w:t>
      </w:r>
      <w:r>
        <w:rPr>
          <w:spacing w:val="5"/>
          <w:position w:val="14"/>
        </w:rPr>
        <w:t>，得</w:t>
      </w:r>
      <w:r>
        <w:rPr>
          <w:spacing w:val="-20"/>
          <w:position w:val="14"/>
        </w:rPr>
        <w:t xml:space="preserve"> </w:t>
      </w:r>
      <w:r>
        <w:rPr>
          <w:rFonts w:ascii="Times New Roman" w:eastAsia="Times New Roman" w:hAnsi="Times New Roman" w:cs="Times New Roman"/>
          <w:spacing w:val="5"/>
          <w:position w:val="14"/>
        </w:rPr>
        <w:t>1</w:t>
      </w:r>
      <w:r>
        <w:rPr>
          <w:rFonts w:ascii="Times New Roman" w:eastAsia="Times New Roman" w:hAnsi="Times New Roman" w:cs="Times New Roman"/>
          <w:spacing w:val="14"/>
          <w:w w:val="101"/>
          <w:position w:val="14"/>
        </w:rPr>
        <w:t xml:space="preserve"> </w:t>
      </w:r>
      <w:r>
        <w:rPr>
          <w:spacing w:val="5"/>
          <w:position w:val="14"/>
        </w:rPr>
        <w:t>分；回用率达到</w:t>
      </w:r>
      <w:r>
        <w:rPr>
          <w:spacing w:val="-23"/>
          <w:position w:val="14"/>
        </w:rPr>
        <w:t xml:space="preserve"> </w:t>
      </w:r>
      <w:r>
        <w:rPr>
          <w:rFonts w:ascii="Times New Roman" w:eastAsia="Times New Roman" w:hAnsi="Times New Roman" w:cs="Times New Roman"/>
          <w:spacing w:val="5"/>
          <w:position w:val="14"/>
        </w:rPr>
        <w:t>100%</w:t>
      </w:r>
      <w:r>
        <w:rPr>
          <w:rFonts w:ascii="Times New Roman" w:eastAsia="Times New Roman" w:hAnsi="Times New Roman" w:cs="Times New Roman"/>
          <w:spacing w:val="-26"/>
          <w:position w:val="14"/>
        </w:rPr>
        <w:t xml:space="preserve"> </w:t>
      </w:r>
      <w:r>
        <w:rPr>
          <w:spacing w:val="5"/>
          <w:position w:val="14"/>
        </w:rPr>
        <w:t>，得</w:t>
      </w:r>
      <w:r>
        <w:rPr>
          <w:spacing w:val="-41"/>
          <w:position w:val="14"/>
        </w:rPr>
        <w:t xml:space="preserve"> </w:t>
      </w:r>
      <w:r>
        <w:rPr>
          <w:rFonts w:ascii="Times New Roman" w:eastAsia="Times New Roman" w:hAnsi="Times New Roman" w:cs="Times New Roman"/>
          <w:spacing w:val="5"/>
          <w:position w:val="14"/>
        </w:rPr>
        <w:t>2</w:t>
      </w:r>
    </w:p>
    <w:p>
      <w:pPr>
        <w:pStyle w:val="BodyText"/>
        <w:spacing w:line="229" w:lineRule="auto"/>
        <w:ind w:left="24"/>
      </w:pPr>
      <w:r>
        <w:rPr>
          <w:spacing w:val="-1"/>
        </w:rPr>
        <w:t>分；</w:t>
      </w:r>
    </w:p>
    <w:p>
      <w:pPr>
        <w:pStyle w:val="BodyText"/>
        <w:spacing w:before="160" w:line="228" w:lineRule="auto"/>
        <w:ind w:left="437"/>
      </w:pPr>
      <w:r>
        <w:rPr>
          <w:rFonts w:ascii="Times New Roman" w:eastAsia="Times New Roman" w:hAnsi="Times New Roman" w:cs="Times New Roman"/>
          <w:b/>
          <w:bCs/>
          <w:spacing w:val="6"/>
        </w:rPr>
        <w:t xml:space="preserve">3  </w:t>
      </w:r>
      <w:r>
        <w:rPr>
          <w:spacing w:val="6"/>
        </w:rPr>
        <w:t>生活污水收集处理后达标排放，得</w:t>
      </w:r>
      <w:r>
        <w:rPr>
          <w:spacing w:val="-9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1 </w:t>
      </w:r>
      <w:r>
        <w:rPr>
          <w:spacing w:val="6"/>
        </w:rPr>
        <w:t>分。</w:t>
      </w:r>
    </w:p>
    <w:p>
      <w:pPr>
        <w:pStyle w:val="BodyText"/>
        <w:spacing w:before="161" w:line="410" w:lineRule="exact"/>
        <w:ind w:left="19"/>
      </w:pPr>
      <w:r>
        <w:rPr>
          <w:rFonts w:ascii="Times New Roman" w:eastAsia="Times New Roman" w:hAnsi="Times New Roman" w:cs="Times New Roman"/>
          <w:b/>
          <w:bCs/>
          <w:spacing w:val="7"/>
          <w:position w:val="15"/>
        </w:rPr>
        <w:t>4.2.11</w:t>
      </w:r>
      <w:r>
        <w:rPr>
          <w:rFonts w:ascii="Times New Roman" w:eastAsia="Times New Roman" w:hAnsi="Times New Roman" w:cs="Times New Roman"/>
          <w:b/>
          <w:bCs/>
          <w:spacing w:val="39"/>
          <w:w w:val="101"/>
          <w:position w:val="15"/>
        </w:rPr>
        <w:t xml:space="preserve"> </w:t>
      </w:r>
      <w:r>
        <w:rPr>
          <w:spacing w:val="7"/>
          <w:position w:val="15"/>
        </w:rPr>
        <w:t>降低施工期大气环境影响，评价总分值为</w:t>
      </w:r>
      <w:r>
        <w:rPr>
          <w:spacing w:val="-36"/>
          <w:position w:val="15"/>
        </w:rPr>
        <w:t xml:space="preserve"> </w:t>
      </w:r>
      <w:r>
        <w:rPr>
          <w:rFonts w:ascii="Times New Roman" w:eastAsia="Times New Roman" w:hAnsi="Times New Roman" w:cs="Times New Roman"/>
          <w:spacing w:val="7"/>
          <w:position w:val="15"/>
        </w:rPr>
        <w:t xml:space="preserve">6 </w:t>
      </w:r>
      <w:r>
        <w:rPr>
          <w:spacing w:val="7"/>
          <w:position w:val="15"/>
        </w:rPr>
        <w:t>分，并按下列规则分别评分并累计：</w:t>
      </w:r>
    </w:p>
    <w:p>
      <w:pPr>
        <w:pStyle w:val="BodyText"/>
        <w:spacing w:before="1" w:line="227" w:lineRule="auto"/>
        <w:ind w:left="447"/>
      </w:pPr>
      <w:r>
        <w:rPr>
          <w:rFonts w:ascii="Times New Roman" w:eastAsia="Times New Roman" w:hAnsi="Times New Roman" w:cs="Times New Roman"/>
          <w:b/>
          <w:bCs/>
          <w:spacing w:val="8"/>
        </w:rPr>
        <w:t xml:space="preserve">1  </w:t>
      </w:r>
      <w:r>
        <w:rPr>
          <w:spacing w:val="8"/>
        </w:rPr>
        <w:t>施工现场车辆及机械符合排放要求，并按</w:t>
      </w:r>
      <w:r>
        <w:rPr>
          <w:spacing w:val="7"/>
        </w:rPr>
        <w:t>要求进行维护、保养，得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1 </w:t>
      </w:r>
      <w:r>
        <w:rPr>
          <w:spacing w:val="7"/>
        </w:rPr>
        <w:t>分；</w:t>
      </w:r>
    </w:p>
    <w:p>
      <w:pPr>
        <w:pStyle w:val="BodyText"/>
        <w:spacing w:before="161" w:line="408" w:lineRule="exact"/>
        <w:ind w:right="50"/>
        <w:jc w:val="right"/>
      </w:pPr>
      <w:r>
        <w:rPr>
          <w:rFonts w:ascii="Times New Roman" w:eastAsia="Times New Roman" w:hAnsi="Times New Roman" w:cs="Times New Roman"/>
          <w:b/>
          <w:bCs/>
          <w:spacing w:val="7"/>
          <w:position w:val="15"/>
        </w:rPr>
        <w:t xml:space="preserve">2  </w:t>
      </w:r>
      <w:r>
        <w:rPr>
          <w:spacing w:val="7"/>
          <w:position w:val="15"/>
        </w:rPr>
        <w:t>采取洒水、覆盖、遮挡等扬尘控制措施，施工场界颗粒物排放符合相关标准要求，得</w:t>
      </w:r>
    </w:p>
    <w:p>
      <w:pPr>
        <w:pStyle w:val="BodyText"/>
        <w:spacing w:line="229" w:lineRule="auto"/>
        <w:ind w:left="18"/>
      </w:pPr>
      <w:r>
        <w:rPr>
          <w:rFonts w:ascii="Times New Roman" w:eastAsia="Times New Roman" w:hAnsi="Times New Roman" w:cs="Times New Roman"/>
          <w:spacing w:val="-1"/>
        </w:rPr>
        <w:t>2</w:t>
      </w:r>
      <w:r>
        <w:rPr>
          <w:rFonts w:ascii="Times New Roman" w:eastAsia="Times New Roman" w:hAnsi="Times New Roman" w:cs="Times New Roman"/>
          <w:spacing w:val="12"/>
          <w:w w:val="101"/>
        </w:rPr>
        <w:t xml:space="preserve"> </w:t>
      </w:r>
      <w:r>
        <w:rPr>
          <w:spacing w:val="-1"/>
        </w:rPr>
        <w:t>分；</w:t>
      </w:r>
    </w:p>
    <w:p>
      <w:pPr>
        <w:pStyle w:val="BodyText"/>
        <w:spacing w:before="161" w:line="228" w:lineRule="auto"/>
        <w:ind w:left="437"/>
      </w:pPr>
      <w:r>
        <w:rPr>
          <w:rFonts w:ascii="Times New Roman" w:eastAsia="Times New Roman" w:hAnsi="Times New Roman" w:cs="Times New Roman"/>
          <w:b/>
          <w:bCs/>
          <w:spacing w:val="7"/>
        </w:rPr>
        <w:t xml:space="preserve">3  </w:t>
      </w:r>
      <w:r>
        <w:rPr>
          <w:spacing w:val="7"/>
        </w:rPr>
        <w:t>渣土运输车辆密闭运输，得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2 </w:t>
      </w:r>
      <w:r>
        <w:rPr>
          <w:spacing w:val="7"/>
        </w:rPr>
        <w:t>分；</w:t>
      </w:r>
    </w:p>
    <w:p>
      <w:pPr>
        <w:pStyle w:val="BodyText"/>
        <w:spacing w:before="163" w:line="408" w:lineRule="exact"/>
        <w:ind w:right="53"/>
        <w:jc w:val="right"/>
      </w:pPr>
      <w:r>
        <w:rPr>
          <w:rFonts w:ascii="Times New Roman" w:eastAsia="Times New Roman" w:hAnsi="Times New Roman" w:cs="Times New Roman"/>
          <w:b/>
          <w:bCs/>
          <w:spacing w:val="7"/>
          <w:position w:val="15"/>
        </w:rPr>
        <w:t xml:space="preserve">4  </w:t>
      </w:r>
      <w:r>
        <w:rPr>
          <w:spacing w:val="7"/>
          <w:position w:val="15"/>
        </w:rPr>
        <w:t>按要求安装、使用和管理远程视频监控及扬尘在线监测设备，并接入政府管理</w:t>
      </w:r>
      <w:r>
        <w:rPr>
          <w:spacing w:val="6"/>
          <w:position w:val="15"/>
        </w:rPr>
        <w:t>部门的</w:t>
      </w:r>
    </w:p>
    <w:p>
      <w:pPr>
        <w:pStyle w:val="BodyText"/>
        <w:spacing w:line="228" w:lineRule="auto"/>
        <w:ind w:left="22"/>
      </w:pPr>
      <w:r>
        <w:rPr>
          <w:spacing w:val="5"/>
        </w:rPr>
        <w:t>监控平台统一管理，得</w:t>
      </w:r>
      <w:r>
        <w:rPr>
          <w:spacing w:val="-13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1 </w:t>
      </w:r>
      <w:r>
        <w:rPr>
          <w:spacing w:val="5"/>
        </w:rPr>
        <w:t>分。</w:t>
      </w:r>
    </w:p>
    <w:p>
      <w:pPr>
        <w:pStyle w:val="BodyText"/>
        <w:spacing w:before="161" w:line="408" w:lineRule="exact"/>
        <w:ind w:left="19"/>
      </w:pPr>
      <w:r>
        <w:rPr>
          <w:rFonts w:ascii="Times New Roman" w:eastAsia="Times New Roman" w:hAnsi="Times New Roman" w:cs="Times New Roman"/>
          <w:b/>
          <w:bCs/>
          <w:spacing w:val="8"/>
          <w:position w:val="15"/>
        </w:rPr>
        <w:t xml:space="preserve">4.2.12 </w:t>
      </w:r>
      <w:r>
        <w:rPr>
          <w:spacing w:val="8"/>
          <w:position w:val="15"/>
        </w:rPr>
        <w:t>提高施工现场余料、废料回收利用率，评价</w:t>
      </w:r>
      <w:r>
        <w:rPr>
          <w:spacing w:val="7"/>
          <w:position w:val="15"/>
        </w:rPr>
        <w:t>总分值为</w:t>
      </w:r>
      <w:r>
        <w:rPr>
          <w:spacing w:val="-41"/>
          <w:position w:val="15"/>
        </w:rPr>
        <w:t xml:space="preserve"> </w:t>
      </w:r>
      <w:r>
        <w:rPr>
          <w:rFonts w:ascii="Times New Roman" w:eastAsia="Times New Roman" w:hAnsi="Times New Roman" w:cs="Times New Roman"/>
          <w:spacing w:val="7"/>
          <w:position w:val="15"/>
        </w:rPr>
        <w:t xml:space="preserve">4 </w:t>
      </w:r>
      <w:r>
        <w:rPr>
          <w:spacing w:val="7"/>
          <w:position w:val="15"/>
        </w:rPr>
        <w:t>分，并按下列规则分别评分并</w:t>
      </w:r>
    </w:p>
    <w:p>
      <w:pPr>
        <w:pStyle w:val="BodyText"/>
        <w:spacing w:line="229" w:lineRule="auto"/>
        <w:ind w:left="30"/>
      </w:pPr>
      <w:r>
        <w:t>累计：</w:t>
      </w:r>
    </w:p>
    <w:p>
      <w:pPr>
        <w:pStyle w:val="BodyText"/>
        <w:spacing w:before="160" w:line="228" w:lineRule="auto"/>
        <w:ind w:left="447"/>
      </w:pPr>
      <w:r>
        <w:rPr>
          <w:rFonts w:ascii="Times New Roman" w:eastAsia="Times New Roman" w:hAnsi="Times New Roman" w:cs="Times New Roman"/>
          <w:b/>
          <w:bCs/>
          <w:spacing w:val="8"/>
        </w:rPr>
        <w:t xml:space="preserve">1  </w:t>
      </w:r>
      <w:r>
        <w:rPr>
          <w:spacing w:val="8"/>
        </w:rPr>
        <w:t>现场产生的废弃物由具有专业资质的单位统一处理，得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2 </w:t>
      </w:r>
      <w:r>
        <w:rPr>
          <w:spacing w:val="7"/>
        </w:rPr>
        <w:t>分；</w:t>
      </w:r>
    </w:p>
    <w:p>
      <w:pPr>
        <w:pStyle w:val="BodyText"/>
        <w:spacing w:before="160" w:line="228" w:lineRule="auto"/>
        <w:ind w:left="438"/>
      </w:pPr>
      <w:r>
        <w:rPr>
          <w:rFonts w:ascii="Times New Roman" w:eastAsia="Times New Roman" w:hAnsi="Times New Roman" w:cs="Times New Roman"/>
          <w:b/>
          <w:bCs/>
          <w:spacing w:val="8"/>
        </w:rPr>
        <w:t xml:space="preserve">2  </w:t>
      </w:r>
      <w:r>
        <w:rPr>
          <w:spacing w:val="8"/>
        </w:rPr>
        <w:t>碎石、破碎后的混凝土块、弃土等用作地基和路基回填材料，得</w:t>
      </w:r>
      <w:r>
        <w:rPr>
          <w:spacing w:val="-28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 xml:space="preserve">2 </w:t>
      </w:r>
      <w:r>
        <w:rPr>
          <w:spacing w:val="8"/>
        </w:rPr>
        <w:t>分；</w:t>
      </w:r>
    </w:p>
    <w:p>
      <w:pPr>
        <w:pStyle w:val="BodyText"/>
        <w:spacing w:before="163" w:line="302" w:lineRule="auto"/>
        <w:ind w:left="22" w:right="53" w:hanging="3"/>
      </w:pPr>
      <w:r>
        <w:rPr>
          <w:rFonts w:ascii="Times New Roman" w:eastAsia="Times New Roman" w:hAnsi="Times New Roman" w:cs="Times New Roman"/>
          <w:b/>
          <w:bCs/>
          <w:spacing w:val="8"/>
        </w:rPr>
        <w:t xml:space="preserve">4.2.13 </w:t>
      </w:r>
      <w:r>
        <w:rPr>
          <w:spacing w:val="8"/>
        </w:rPr>
        <w:t>采取有效的降噪措施，施工场界噪声满足现行国家标准《建筑施工场界环</w:t>
      </w:r>
      <w:r>
        <w:rPr>
          <w:spacing w:val="7"/>
        </w:rPr>
        <w:t>境噪声排放</w:t>
      </w:r>
      <w:r>
        <w:t xml:space="preserve"> </w:t>
      </w:r>
      <w:r>
        <w:rPr>
          <w:spacing w:val="4"/>
        </w:rPr>
        <w:t>标准》</w:t>
      </w:r>
      <w:r>
        <w:rPr>
          <w:rFonts w:ascii="Times New Roman" w:eastAsia="Times New Roman" w:hAnsi="Times New Roman" w:cs="Times New Roman"/>
        </w:rPr>
        <w:t>GB</w:t>
      </w:r>
      <w:r>
        <w:rPr>
          <w:rFonts w:ascii="Times New Roman" w:eastAsia="Times New Roman" w:hAnsi="Times New Roman" w:cs="Times New Roman"/>
          <w:spacing w:val="47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12523</w:t>
      </w:r>
      <w:r>
        <w:rPr>
          <w:rFonts w:ascii="Times New Roman" w:eastAsia="Times New Roman" w:hAnsi="Times New Roman" w:cs="Times New Roman"/>
          <w:spacing w:val="26"/>
          <w:w w:val="101"/>
        </w:rPr>
        <w:t xml:space="preserve"> </w:t>
      </w:r>
      <w:r>
        <w:rPr>
          <w:spacing w:val="4"/>
        </w:rPr>
        <w:t>的规定，评价分值为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 xml:space="preserve">3 </w:t>
      </w:r>
      <w:r>
        <w:rPr>
          <w:spacing w:val="4"/>
        </w:rPr>
        <w:t>分。</w:t>
      </w:r>
    </w:p>
    <w:p>
      <w:pPr>
        <w:pStyle w:val="BodyText"/>
        <w:spacing w:before="163" w:line="302" w:lineRule="auto"/>
        <w:ind w:left="447" w:hanging="428"/>
      </w:pPr>
      <w:r>
        <w:rPr>
          <w:rFonts w:ascii="Times New Roman" w:eastAsia="Times New Roman" w:hAnsi="Times New Roman" w:cs="Times New Roman"/>
          <w:b/>
          <w:bCs/>
          <w:spacing w:val="4"/>
        </w:rPr>
        <w:t xml:space="preserve">4.2.14 </w:t>
      </w:r>
      <w:r>
        <w:rPr>
          <w:spacing w:val="4"/>
        </w:rPr>
        <w:t>采取有效措施防止施工期光污染，评价总分值为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 xml:space="preserve">3 </w:t>
      </w:r>
      <w:r>
        <w:rPr>
          <w:spacing w:val="4"/>
        </w:rPr>
        <w:t>分，并按下列规则分别评分并累计：</w:t>
      </w:r>
      <w:r>
        <w:t xml:space="preserve"> </w:t>
      </w:r>
      <w:r>
        <w:rPr>
          <w:rFonts w:ascii="Times New Roman" w:eastAsia="Times New Roman" w:hAnsi="Times New Roman" w:cs="Times New Roman"/>
          <w:b/>
          <w:bCs/>
          <w:spacing w:val="7"/>
        </w:rPr>
        <w:t xml:space="preserve">1  </w:t>
      </w:r>
      <w:r>
        <w:rPr>
          <w:spacing w:val="7"/>
        </w:rPr>
        <w:t>夜间焊接作业时采取有效挡光措施，得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2 </w:t>
      </w:r>
      <w:r>
        <w:rPr>
          <w:spacing w:val="7"/>
        </w:rPr>
        <w:t>分；</w:t>
      </w:r>
    </w:p>
    <w:p>
      <w:pPr>
        <w:pStyle w:val="BodyText"/>
        <w:spacing w:before="163" w:line="228" w:lineRule="auto"/>
        <w:ind w:left="438"/>
      </w:pPr>
      <w:r>
        <w:rPr>
          <w:rFonts w:ascii="Times New Roman" w:eastAsia="Times New Roman" w:hAnsi="Times New Roman" w:cs="Times New Roman"/>
          <w:b/>
          <w:bCs/>
          <w:spacing w:val="7"/>
        </w:rPr>
        <w:t xml:space="preserve">2  </w:t>
      </w:r>
      <w:r>
        <w:rPr>
          <w:spacing w:val="7"/>
        </w:rPr>
        <w:t>设置大型照明灯具时采取防止强光线外泄措施，得</w:t>
      </w:r>
      <w:r>
        <w:rPr>
          <w:spacing w:val="-11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1 </w:t>
      </w:r>
      <w:r>
        <w:rPr>
          <w:spacing w:val="7"/>
        </w:rPr>
        <w:t>分。</w:t>
      </w:r>
    </w:p>
    <w:p>
      <w:pPr>
        <w:spacing w:line="228" w:lineRule="auto"/>
        <w:sectPr>
          <w:footerReference w:type="default" r:id="rId14"/>
          <w:pgSz w:w="11907" w:h="16840"/>
          <w:pgMar w:top="1428" w:right="1749" w:bottom="1298" w:left="1786" w:header="0" w:footer="1134" w:gutter="0"/>
          <w:pgNumType w:start="11"/>
          <w:cols w:space="708"/>
        </w:sectPr>
      </w:pPr>
    </w:p>
    <w:p>
      <w:pPr>
        <w:pStyle w:val="BodyText"/>
        <w:spacing w:before="163" w:line="226" w:lineRule="auto"/>
        <w:ind w:left="3735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31"/>
          <w:szCs w:val="31"/>
        </w:rPr>
        <w:t>5</w:t>
      </w:r>
      <w:r>
        <w:rPr>
          <w:rFonts w:ascii="Times New Roman" w:eastAsia="Times New Roman" w:hAnsi="Times New Roman" w:cs="Times New Roman"/>
          <w:b/>
          <w:bCs/>
          <w:spacing w:val="31"/>
          <w:sz w:val="31"/>
          <w:szCs w:val="31"/>
        </w:rPr>
        <w:t xml:space="preserve"> </w:t>
      </w:r>
      <w:r>
        <w:rPr>
          <w:b/>
          <w:bCs/>
          <w:spacing w:val="-1"/>
          <w:sz w:val="31"/>
          <w:szCs w:val="31"/>
        </w:rPr>
        <w:t>资源节约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78" w:line="221" w:lineRule="auto"/>
        <w:ind w:left="3874"/>
        <w:outlineLvl w:val="0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5.1 </w:t>
      </w:r>
      <w:r>
        <w:rPr>
          <w:b/>
          <w:bCs/>
          <w:spacing w:val="-2"/>
          <w:sz w:val="24"/>
          <w:szCs w:val="24"/>
        </w:rPr>
        <w:t>控制项</w:t>
      </w:r>
    </w:p>
    <w:p>
      <w:pPr>
        <w:spacing w:line="444" w:lineRule="auto"/>
        <w:rPr>
          <w:rFonts w:ascii="Arial"/>
          <w:sz w:val="21"/>
        </w:rPr>
      </w:pPr>
    </w:p>
    <w:p>
      <w:pPr>
        <w:pStyle w:val="BodyText"/>
        <w:spacing w:before="65" w:line="303" w:lineRule="auto"/>
        <w:ind w:left="27" w:right="26" w:hanging="6"/>
      </w:pPr>
      <w:r>
        <w:rPr>
          <w:rFonts w:ascii="Times New Roman" w:eastAsia="Times New Roman" w:hAnsi="Times New Roman" w:cs="Times New Roman"/>
          <w:b/>
          <w:bCs/>
          <w:spacing w:val="9"/>
        </w:rPr>
        <w:t xml:space="preserve">5.1.1  </w:t>
      </w:r>
      <w:r>
        <w:rPr>
          <w:spacing w:val="9"/>
        </w:rPr>
        <w:t>应结合当地的资源特点，对场地的能源、水资源、材料资源的</w:t>
      </w:r>
      <w:r>
        <w:rPr>
          <w:spacing w:val="8"/>
        </w:rPr>
        <w:t>分布特征进行分析，制</w:t>
      </w:r>
      <w:r>
        <w:t xml:space="preserve"> </w:t>
      </w:r>
      <w:r>
        <w:rPr>
          <w:spacing w:val="8"/>
        </w:rPr>
        <w:t>定适宜的资源综合利用方案。</w:t>
      </w:r>
    </w:p>
    <w:p>
      <w:pPr>
        <w:pStyle w:val="BodyText"/>
        <w:spacing w:before="160" w:line="228" w:lineRule="auto"/>
        <w:ind w:left="21"/>
      </w:pPr>
      <w:r>
        <w:rPr>
          <w:rFonts w:ascii="Times New Roman" w:eastAsia="Times New Roman" w:hAnsi="Times New Roman" w:cs="Times New Roman"/>
          <w:b/>
          <w:bCs/>
          <w:spacing w:val="8"/>
        </w:rPr>
        <w:t xml:space="preserve">5.1.2  </w:t>
      </w:r>
      <w:r>
        <w:rPr>
          <w:spacing w:val="8"/>
        </w:rPr>
        <w:t>场馆建筑设计应符合国家现行相关建筑节能设</w:t>
      </w:r>
      <w:r>
        <w:rPr>
          <w:spacing w:val="7"/>
        </w:rPr>
        <w:t>计标准。</w:t>
      </w:r>
    </w:p>
    <w:p>
      <w:pPr>
        <w:pStyle w:val="BodyText"/>
        <w:spacing w:before="162" w:line="228" w:lineRule="auto"/>
        <w:ind w:left="21"/>
      </w:pPr>
      <w:r>
        <w:rPr>
          <w:rFonts w:ascii="Times New Roman" w:eastAsia="Times New Roman" w:hAnsi="Times New Roman" w:cs="Times New Roman"/>
          <w:b/>
          <w:bCs/>
          <w:spacing w:val="8"/>
        </w:rPr>
        <w:t xml:space="preserve">5.1.3  </w:t>
      </w:r>
      <w:r>
        <w:rPr>
          <w:spacing w:val="8"/>
        </w:rPr>
        <w:t>场馆区域内的能耗、水耗应采取分类、分项计量措</w:t>
      </w:r>
      <w:r>
        <w:rPr>
          <w:spacing w:val="7"/>
        </w:rPr>
        <w:t>施。</w:t>
      </w:r>
    </w:p>
    <w:p>
      <w:pPr>
        <w:pStyle w:val="BodyText"/>
        <w:spacing w:before="160" w:line="303" w:lineRule="auto"/>
        <w:ind w:left="22" w:right="13" w:hanging="1"/>
      </w:pPr>
      <w:r>
        <w:rPr>
          <w:rFonts w:ascii="Times New Roman" w:eastAsia="Times New Roman" w:hAnsi="Times New Roman" w:cs="Times New Roman"/>
          <w:b/>
          <w:bCs/>
          <w:spacing w:val="5"/>
        </w:rPr>
        <w:t xml:space="preserve">5.1.4  </w:t>
      </w:r>
      <w:r>
        <w:rPr>
          <w:spacing w:val="5"/>
        </w:rPr>
        <w:t>各类房间或场所的照明功率密度值应符合现行国家标准《建筑照明设</w:t>
      </w:r>
      <w:r>
        <w:rPr>
          <w:spacing w:val="4"/>
        </w:rPr>
        <w:t>计标准》</w:t>
      </w:r>
      <w:r>
        <w:rPr>
          <w:rFonts w:ascii="Times New Roman" w:eastAsia="Times New Roman" w:hAnsi="Times New Roman" w:cs="Times New Roman"/>
        </w:rPr>
        <w:t>GB</w:t>
      </w:r>
      <w:r>
        <w:rPr>
          <w:rFonts w:ascii="Times New Roman" w:eastAsia="Times New Roman" w:hAnsi="Times New Roman" w:cs="Times New Roman"/>
          <w:spacing w:val="4"/>
        </w:rPr>
        <w:t>50034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spacing w:val="9"/>
        </w:rPr>
        <w:t>规定的现行值以及现行行业标准《体育场馆照明设计及检测标准》</w:t>
      </w:r>
      <w:r>
        <w:rPr>
          <w:rFonts w:ascii="Times New Roman" w:eastAsia="Times New Roman" w:hAnsi="Times New Roman" w:cs="Times New Roman"/>
        </w:rPr>
        <w:t>JGJ</w:t>
      </w:r>
      <w:r>
        <w:rPr>
          <w:rFonts w:ascii="Times New Roman" w:eastAsia="Times New Roman" w:hAnsi="Times New Roman" w:cs="Times New Roman"/>
          <w:spacing w:val="9"/>
        </w:rPr>
        <w:t>153</w:t>
      </w:r>
      <w:r>
        <w:rPr>
          <w:spacing w:val="9"/>
        </w:rPr>
        <w:t>规定的限值。</w:t>
      </w:r>
    </w:p>
    <w:p>
      <w:pPr>
        <w:pStyle w:val="BodyText"/>
        <w:spacing w:before="161" w:line="303" w:lineRule="auto"/>
        <w:ind w:left="42" w:right="28" w:hanging="21"/>
      </w:pPr>
      <w:r>
        <w:rPr>
          <w:rFonts w:ascii="Times New Roman" w:eastAsia="Times New Roman" w:hAnsi="Times New Roman" w:cs="Times New Roman"/>
          <w:b/>
          <w:bCs/>
          <w:spacing w:val="9"/>
        </w:rPr>
        <w:t xml:space="preserve">5.1.5  </w:t>
      </w:r>
      <w:r>
        <w:rPr>
          <w:spacing w:val="9"/>
        </w:rPr>
        <w:t>用能设备应满足国家现行有关标准的能效限定值的要求</w:t>
      </w:r>
      <w:r>
        <w:rPr>
          <w:spacing w:val="8"/>
        </w:rPr>
        <w:t>，用水器具和设备应满足现行</w:t>
      </w:r>
      <w:r>
        <w:t xml:space="preserve"> </w:t>
      </w:r>
      <w:r>
        <w:rPr>
          <w:spacing w:val="6"/>
        </w:rPr>
        <w:t>国家标准的节水产品要求。</w:t>
      </w:r>
    </w:p>
    <w:p>
      <w:pPr>
        <w:pStyle w:val="BodyText"/>
        <w:spacing w:before="161" w:line="228" w:lineRule="auto"/>
        <w:ind w:left="21"/>
      </w:pPr>
      <w:r>
        <w:rPr>
          <w:rFonts w:ascii="Times New Roman" w:eastAsia="Times New Roman" w:hAnsi="Times New Roman" w:cs="Times New Roman"/>
          <w:b/>
          <w:bCs/>
          <w:spacing w:val="7"/>
        </w:rPr>
        <w:t xml:space="preserve">5.1.6  </w:t>
      </w:r>
      <w:r>
        <w:rPr>
          <w:spacing w:val="7"/>
        </w:rPr>
        <w:t>人工造雪用水不得采用地下水。</w:t>
      </w:r>
    </w:p>
    <w:p>
      <w:pPr>
        <w:pStyle w:val="BodyText"/>
        <w:spacing w:before="244" w:line="221" w:lineRule="auto"/>
        <w:ind w:left="3634"/>
        <w:outlineLvl w:val="0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5.2 </w:t>
      </w:r>
      <w:r>
        <w:rPr>
          <w:b/>
          <w:bCs/>
          <w:spacing w:val="-2"/>
          <w:sz w:val="24"/>
          <w:szCs w:val="24"/>
        </w:rPr>
        <w:t>评分项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79" w:line="221" w:lineRule="auto"/>
        <w:ind w:left="3233"/>
        <w:rPr>
          <w:sz w:val="24"/>
          <w:szCs w:val="24"/>
        </w:rPr>
      </w:pPr>
      <w:r>
        <w:rPr>
          <w:spacing w:val="-10"/>
          <w:sz w:val="24"/>
          <w:szCs w:val="24"/>
        </w:rPr>
        <w:t>Ⅰ 节能与能源利用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65" w:line="302" w:lineRule="auto"/>
        <w:ind w:left="28" w:right="51" w:hanging="7"/>
      </w:pPr>
      <w:r>
        <w:rPr>
          <w:rFonts w:ascii="Times New Roman" w:eastAsia="Times New Roman" w:hAnsi="Times New Roman" w:cs="Times New Roman"/>
          <w:b/>
          <w:bCs/>
          <w:spacing w:val="10"/>
        </w:rPr>
        <w:t xml:space="preserve">5.2.1 </w:t>
      </w:r>
      <w:r>
        <w:rPr>
          <w:spacing w:val="10"/>
        </w:rPr>
        <w:t>优化滑雪道的位置和朝向或采取风热环境</w:t>
      </w:r>
      <w:r>
        <w:rPr>
          <w:spacing w:val="9"/>
        </w:rPr>
        <w:t>的综合优化措施，降低滑雪道因阳光直射、</w:t>
      </w:r>
      <w:r>
        <w:t xml:space="preserve"> </w:t>
      </w:r>
      <w:r>
        <w:rPr>
          <w:spacing w:val="7"/>
        </w:rPr>
        <w:t>空气对流带来的不利影响，评价分值为</w:t>
      </w:r>
      <w:r>
        <w:rPr>
          <w:spacing w:val="-24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6 </w:t>
      </w:r>
      <w:r>
        <w:rPr>
          <w:spacing w:val="7"/>
        </w:rPr>
        <w:t>分。</w:t>
      </w:r>
    </w:p>
    <w:p>
      <w:pPr>
        <w:pStyle w:val="BodyText"/>
        <w:spacing w:before="161" w:line="303" w:lineRule="auto"/>
        <w:ind w:left="26" w:right="14" w:hanging="5"/>
      </w:pPr>
      <w:r>
        <w:rPr>
          <w:rFonts w:ascii="Times New Roman" w:eastAsia="Times New Roman" w:hAnsi="Times New Roman" w:cs="Times New Roman"/>
          <w:b/>
          <w:bCs/>
          <w:spacing w:val="9"/>
        </w:rPr>
        <w:t xml:space="preserve">5.2.2  </w:t>
      </w:r>
      <w:r>
        <w:rPr>
          <w:spacing w:val="9"/>
        </w:rPr>
        <w:t>场馆设计及运行雪务管理采用节能的人工造</w:t>
      </w:r>
      <w:r>
        <w:rPr>
          <w:spacing w:val="8"/>
        </w:rPr>
        <w:t>雪方式，评价总分值为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 xml:space="preserve">6 </w:t>
      </w:r>
      <w:r>
        <w:rPr>
          <w:spacing w:val="8"/>
        </w:rPr>
        <w:t>分，并按下列规</w:t>
      </w:r>
      <w:r>
        <w:t xml:space="preserve"> </w:t>
      </w:r>
      <w:r>
        <w:rPr>
          <w:spacing w:val="7"/>
        </w:rPr>
        <w:t>则分别评分并累计：</w:t>
      </w:r>
    </w:p>
    <w:p>
      <w:pPr>
        <w:pStyle w:val="BodyText"/>
        <w:spacing w:before="160" w:line="228" w:lineRule="auto"/>
        <w:ind w:left="447"/>
      </w:pPr>
      <w:r>
        <w:rPr>
          <w:rFonts w:ascii="Times New Roman" w:eastAsia="Times New Roman" w:hAnsi="Times New Roman" w:cs="Times New Roman"/>
          <w:b/>
          <w:bCs/>
          <w:spacing w:val="7"/>
        </w:rPr>
        <w:t xml:space="preserve">1  </w:t>
      </w:r>
      <w:r>
        <w:rPr>
          <w:spacing w:val="7"/>
        </w:rPr>
        <w:t>雪务管理充分考虑降低人工造雪能耗，得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2 </w:t>
      </w:r>
      <w:r>
        <w:rPr>
          <w:spacing w:val="7"/>
        </w:rPr>
        <w:t>分；</w:t>
      </w:r>
    </w:p>
    <w:p>
      <w:pPr>
        <w:pStyle w:val="BodyText"/>
        <w:spacing w:before="164" w:line="228" w:lineRule="auto"/>
        <w:ind w:left="438"/>
      </w:pPr>
      <w:r>
        <w:rPr>
          <w:rFonts w:ascii="Times New Roman" w:eastAsia="Times New Roman" w:hAnsi="Times New Roman" w:cs="Times New Roman"/>
          <w:b/>
          <w:bCs/>
          <w:spacing w:val="8"/>
        </w:rPr>
        <w:t xml:space="preserve">2  </w:t>
      </w:r>
      <w:r>
        <w:rPr>
          <w:spacing w:val="8"/>
        </w:rPr>
        <w:t>合理使用破冰造雪、跨季节储雪等造雪措施，得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 xml:space="preserve">2 </w:t>
      </w:r>
      <w:r>
        <w:rPr>
          <w:spacing w:val="7"/>
        </w:rPr>
        <w:t>分；</w:t>
      </w:r>
    </w:p>
    <w:p>
      <w:pPr>
        <w:pStyle w:val="BodyText"/>
        <w:spacing w:before="161" w:line="228" w:lineRule="auto"/>
        <w:ind w:left="437"/>
      </w:pPr>
      <w:r>
        <w:rPr>
          <w:rFonts w:ascii="Times New Roman" w:eastAsia="Times New Roman" w:hAnsi="Times New Roman" w:cs="Times New Roman"/>
          <w:b/>
          <w:bCs/>
          <w:spacing w:val="8"/>
        </w:rPr>
        <w:t xml:space="preserve">3  </w:t>
      </w:r>
      <w:r>
        <w:rPr>
          <w:spacing w:val="8"/>
        </w:rPr>
        <w:t>运营过程中人工造雪充分利用自然环境与资源，得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 xml:space="preserve">2 </w:t>
      </w:r>
      <w:r>
        <w:rPr>
          <w:spacing w:val="8"/>
        </w:rPr>
        <w:t>分。</w:t>
      </w:r>
    </w:p>
    <w:p>
      <w:pPr>
        <w:pStyle w:val="BodyText"/>
        <w:spacing w:before="161" w:line="408" w:lineRule="exact"/>
        <w:ind w:left="21"/>
      </w:pPr>
      <w:r>
        <w:rPr>
          <w:rFonts w:ascii="Times New Roman" w:eastAsia="Times New Roman" w:hAnsi="Times New Roman" w:cs="Times New Roman"/>
          <w:b/>
          <w:bCs/>
          <w:spacing w:val="10"/>
          <w:position w:val="15"/>
        </w:rPr>
        <w:t xml:space="preserve">5.2.3 </w:t>
      </w:r>
      <w:r>
        <w:rPr>
          <w:spacing w:val="10"/>
          <w:position w:val="15"/>
        </w:rPr>
        <w:t>室内场馆在区域分隔、地面构造、造雪机布置、能量回收等方面采用节能设计措施，</w:t>
      </w:r>
    </w:p>
    <w:p>
      <w:pPr>
        <w:pStyle w:val="BodyText"/>
        <w:spacing w:before="1" w:line="226" w:lineRule="auto"/>
        <w:ind w:left="21"/>
      </w:pPr>
      <w:r>
        <w:rPr>
          <w:spacing w:val="7"/>
        </w:rPr>
        <w:t>评价总分值为</w:t>
      </w:r>
      <w:r>
        <w:rPr>
          <w:spacing w:val="-17"/>
        </w:rPr>
        <w:t xml:space="preserve"> </w:t>
      </w:r>
      <w:r>
        <w:rPr>
          <w:rFonts w:ascii="Calibri" w:eastAsia="Calibri" w:hAnsi="Calibri" w:cs="Calibri"/>
          <w:spacing w:val="7"/>
        </w:rPr>
        <w:t>12</w:t>
      </w:r>
      <w:r>
        <w:rPr>
          <w:rFonts w:ascii="Calibri" w:eastAsia="Calibri" w:hAnsi="Calibri" w:cs="Calibri"/>
          <w:spacing w:val="18"/>
        </w:rPr>
        <w:t xml:space="preserve"> </w:t>
      </w:r>
      <w:r>
        <w:rPr>
          <w:spacing w:val="7"/>
        </w:rPr>
        <w:t>分，并按下列规则分别评分并累计：</w:t>
      </w:r>
    </w:p>
    <w:p>
      <w:pPr>
        <w:pStyle w:val="BodyText"/>
        <w:spacing w:before="164" w:line="408" w:lineRule="exact"/>
        <w:ind w:right="14"/>
        <w:jc w:val="right"/>
      </w:pPr>
      <w:r>
        <w:rPr>
          <w:rFonts w:ascii="Times New Roman" w:eastAsia="Times New Roman" w:hAnsi="Times New Roman" w:cs="Times New Roman"/>
          <w:b/>
          <w:bCs/>
          <w:spacing w:val="7"/>
          <w:position w:val="15"/>
        </w:rPr>
        <w:t xml:space="preserve">1  </w:t>
      </w:r>
      <w:r>
        <w:rPr>
          <w:spacing w:val="7"/>
          <w:position w:val="15"/>
        </w:rPr>
        <w:t>在冷区和暖区之间频繁使用的连接处设置缓冲间，并采用保温门</w:t>
      </w:r>
      <w:r>
        <w:rPr>
          <w:spacing w:val="6"/>
          <w:position w:val="15"/>
        </w:rPr>
        <w:t>帘、电动门或互锁保</w:t>
      </w:r>
    </w:p>
    <w:p>
      <w:pPr>
        <w:pStyle w:val="BodyText"/>
        <w:spacing w:before="1" w:line="228" w:lineRule="auto"/>
        <w:ind w:left="23"/>
      </w:pPr>
      <w:r>
        <w:rPr>
          <w:spacing w:val="7"/>
        </w:rPr>
        <w:t>温门等减少缓冲间门开启时间，得</w:t>
      </w:r>
      <w:r>
        <w:rPr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2 </w:t>
      </w:r>
      <w:r>
        <w:rPr>
          <w:spacing w:val="7"/>
        </w:rPr>
        <w:t>分；</w:t>
      </w:r>
    </w:p>
    <w:p>
      <w:pPr>
        <w:pStyle w:val="BodyText"/>
        <w:spacing w:before="161" w:line="228" w:lineRule="auto"/>
        <w:ind w:left="438"/>
        <w:sectPr>
          <w:footerReference w:type="default" r:id="rId15"/>
          <w:pgSz w:w="11907" w:h="16840"/>
          <w:pgMar w:top="1431" w:right="1786" w:bottom="1300" w:left="1786" w:header="0" w:footer="1134" w:gutter="0"/>
          <w:pgNumType w:start="12"/>
          <w:cols w:space="708"/>
        </w:sectPr>
      </w:pPr>
      <w:r>
        <w:rPr>
          <w:rFonts w:ascii="Times New Roman" w:eastAsia="Times New Roman" w:hAnsi="Times New Roman" w:cs="Times New Roman"/>
          <w:b/>
          <w:bCs/>
          <w:spacing w:val="8"/>
        </w:rPr>
        <w:t xml:space="preserve">2  </w:t>
      </w:r>
      <w:r>
        <w:rPr>
          <w:spacing w:val="8"/>
        </w:rPr>
        <w:t>雪道地面面层内设置防融雪冷盘管及防冻胀热盘管，得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 xml:space="preserve">2 </w:t>
      </w:r>
      <w:r>
        <w:rPr>
          <w:spacing w:val="8"/>
        </w:rPr>
        <w:t>分；</w:t>
      </w:r>
    </w:p>
    <w:p>
      <w:pPr>
        <w:pStyle w:val="BodyText"/>
        <w:spacing w:before="160" w:line="411" w:lineRule="exact"/>
        <w:ind w:right="16"/>
        <w:jc w:val="right"/>
      </w:pPr>
      <w:r>
        <w:rPr>
          <w:rFonts w:ascii="Times New Roman" w:eastAsia="Times New Roman" w:hAnsi="Times New Roman" w:cs="Times New Roman"/>
          <w:b/>
          <w:bCs/>
          <w:spacing w:val="7"/>
          <w:position w:val="15"/>
        </w:rPr>
        <w:t xml:space="preserve">3  </w:t>
      </w:r>
      <w:r>
        <w:rPr>
          <w:spacing w:val="7"/>
          <w:position w:val="15"/>
        </w:rPr>
        <w:t>在防融雪冷盘管和防冻胀热盘管的区域内设温度探测点，实时监测温度并控制循环泵</w:t>
      </w:r>
    </w:p>
    <w:p>
      <w:pPr>
        <w:pStyle w:val="BodyText"/>
        <w:spacing w:line="228" w:lineRule="auto"/>
        <w:ind w:left="39"/>
      </w:pPr>
      <w:r>
        <w:rPr>
          <w:spacing w:val="2"/>
        </w:rPr>
        <w:t>的启停，得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>2</w:t>
      </w:r>
      <w:r>
        <w:rPr>
          <w:rFonts w:ascii="Times New Roman" w:eastAsia="Times New Roman" w:hAnsi="Times New Roman" w:cs="Times New Roman"/>
          <w:spacing w:val="14"/>
          <w:w w:val="101"/>
        </w:rPr>
        <w:t xml:space="preserve"> </w:t>
      </w:r>
      <w:r>
        <w:rPr>
          <w:spacing w:val="2"/>
        </w:rPr>
        <w:t>分；</w:t>
      </w:r>
    </w:p>
    <w:p>
      <w:pPr>
        <w:pStyle w:val="BodyText"/>
        <w:spacing w:before="161" w:line="408" w:lineRule="exact"/>
        <w:ind w:left="439"/>
      </w:pPr>
      <w:r>
        <w:rPr>
          <w:rFonts w:ascii="Times New Roman" w:eastAsia="Times New Roman" w:hAnsi="Times New Roman" w:cs="Times New Roman"/>
          <w:b/>
          <w:bCs/>
          <w:spacing w:val="8"/>
          <w:position w:val="15"/>
        </w:rPr>
        <w:t xml:space="preserve">4  </w:t>
      </w:r>
      <w:r>
        <w:rPr>
          <w:spacing w:val="8"/>
          <w:position w:val="15"/>
        </w:rPr>
        <w:t>造雪机布置兼顾下方魔毯、缆车、防撞墙等的位置，得</w:t>
      </w:r>
      <w:r>
        <w:rPr>
          <w:spacing w:val="-36"/>
          <w:position w:val="15"/>
        </w:rPr>
        <w:t xml:space="preserve"> </w:t>
      </w:r>
      <w:r>
        <w:rPr>
          <w:rFonts w:ascii="Times New Roman" w:eastAsia="Times New Roman" w:hAnsi="Times New Roman" w:cs="Times New Roman"/>
          <w:spacing w:val="8"/>
          <w:position w:val="15"/>
        </w:rPr>
        <w:t xml:space="preserve">2 </w:t>
      </w:r>
      <w:r>
        <w:rPr>
          <w:spacing w:val="8"/>
          <w:position w:val="15"/>
        </w:rPr>
        <w:t>分；</w:t>
      </w:r>
    </w:p>
    <w:p>
      <w:pPr>
        <w:pStyle w:val="BodyText"/>
        <w:spacing w:line="228" w:lineRule="auto"/>
        <w:ind w:left="441"/>
      </w:pPr>
      <w:r>
        <w:rPr>
          <w:rFonts w:ascii="Times New Roman" w:eastAsia="Times New Roman" w:hAnsi="Times New Roman" w:cs="Times New Roman"/>
          <w:b/>
          <w:bCs/>
          <w:spacing w:val="6"/>
        </w:rPr>
        <w:t>5</w:t>
      </w:r>
      <w:r>
        <w:rPr>
          <w:rFonts w:ascii="Times New Roman" w:eastAsia="Times New Roman" w:hAnsi="Times New Roman" w:cs="Times New Roman"/>
          <w:b/>
          <w:bCs/>
          <w:spacing w:val="20"/>
        </w:rPr>
        <w:t xml:space="preserve">  </w:t>
      </w:r>
      <w:r>
        <w:rPr>
          <w:spacing w:val="6"/>
        </w:rPr>
        <w:t>回收并利用制冷系统的冷凝热，得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2 </w:t>
      </w:r>
      <w:r>
        <w:rPr>
          <w:spacing w:val="6"/>
        </w:rPr>
        <w:t>分；</w:t>
      </w:r>
    </w:p>
    <w:p>
      <w:pPr>
        <w:spacing w:line="228" w:lineRule="auto"/>
        <w:sectPr>
          <w:footerReference w:type="default" r:id="rId16"/>
          <w:type w:val="nextPage"/>
          <w:pgSz w:w="11907" w:h="16840"/>
          <w:pgMar w:top="1431" w:right="1786" w:bottom="1300" w:left="1786" w:header="0" w:footer="1134" w:gutter="0"/>
          <w:pgNumType w:start="13"/>
          <w:cols w:space="708"/>
          <w:titlePg w:val="0"/>
        </w:sectPr>
      </w:pPr>
    </w:p>
    <w:p>
      <w:pPr>
        <w:pStyle w:val="BodyText"/>
        <w:spacing w:before="42" w:line="228" w:lineRule="auto"/>
        <w:ind w:left="540"/>
      </w:pPr>
      <w:r>
        <w:rPr>
          <w:rFonts w:ascii="Times New Roman" w:eastAsia="Times New Roman" w:hAnsi="Times New Roman" w:cs="Times New Roman"/>
          <w:b/>
          <w:bCs/>
          <w:spacing w:val="7"/>
        </w:rPr>
        <w:t xml:space="preserve">6  </w:t>
      </w:r>
      <w:r>
        <w:rPr>
          <w:spacing w:val="7"/>
        </w:rPr>
        <w:t>排风能量回收系统设计合理并运行可靠，得</w:t>
      </w:r>
      <w:r>
        <w:rPr>
          <w:spacing w:val="-23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2 </w:t>
      </w:r>
      <w:r>
        <w:rPr>
          <w:spacing w:val="7"/>
        </w:rPr>
        <w:t>分。</w:t>
      </w:r>
    </w:p>
    <w:p>
      <w:pPr>
        <w:pStyle w:val="BodyText"/>
        <w:spacing w:before="161" w:line="338" w:lineRule="auto"/>
        <w:ind w:left="121" w:right="113" w:hanging="2"/>
      </w:pPr>
      <w:r>
        <w:rPr>
          <w:rFonts w:ascii="Times New Roman" w:eastAsia="Times New Roman" w:hAnsi="Times New Roman" w:cs="Times New Roman"/>
          <w:b/>
          <w:bCs/>
          <w:spacing w:val="10"/>
        </w:rPr>
        <w:t xml:space="preserve">5.2.4 </w:t>
      </w:r>
      <w:r>
        <w:rPr>
          <w:spacing w:val="10"/>
        </w:rPr>
        <w:t>场馆配套建筑围护结构热工性能良好，评价总</w:t>
      </w:r>
      <w:r>
        <w:rPr>
          <w:spacing w:val="9"/>
        </w:rPr>
        <w:t>分值为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9"/>
        </w:rPr>
        <w:t>8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spacing w:val="9"/>
        </w:rPr>
        <w:t>分。围护结构传热系数比优于</w:t>
      </w:r>
      <w:r>
        <w:t xml:space="preserve"> </w:t>
      </w:r>
      <w:r>
        <w:rPr>
          <w:spacing w:val="9"/>
        </w:rPr>
        <w:t>现行强制性工程建设规范《建筑节能与可再生能源利用通用规</w:t>
      </w:r>
      <w:r>
        <w:rPr>
          <w:spacing w:val="8"/>
        </w:rPr>
        <w:t>范》</w:t>
      </w:r>
      <w:r>
        <w:rPr>
          <w:rFonts w:ascii="Times New Roman" w:eastAsia="Times New Roman" w:hAnsi="Times New Roman" w:cs="Times New Roman"/>
        </w:rPr>
        <w:t>GB</w:t>
      </w:r>
      <w:r>
        <w:rPr>
          <w:rFonts w:ascii="Times New Roman" w:eastAsia="Times New Roman" w:hAnsi="Times New Roman" w:cs="Times New Roman"/>
          <w:spacing w:val="8"/>
        </w:rPr>
        <w:t xml:space="preserve"> 55015</w:t>
      </w:r>
      <w:r>
        <w:rPr>
          <w:rFonts w:ascii="Times New Roman" w:eastAsia="Times New Roman" w:hAnsi="Times New Roman" w:cs="Times New Roman"/>
          <w:spacing w:val="26"/>
          <w:w w:val="101"/>
        </w:rPr>
        <w:t xml:space="preserve"> </w:t>
      </w:r>
      <w:r>
        <w:rPr>
          <w:spacing w:val="8"/>
        </w:rPr>
        <w:t>的规定值降低</w:t>
      </w:r>
      <w:r>
        <w:t xml:space="preserve"> </w:t>
      </w:r>
      <w:r>
        <w:rPr>
          <w:rFonts w:ascii="Times New Roman" w:eastAsia="Times New Roman" w:hAnsi="Times New Roman" w:cs="Times New Roman"/>
        </w:rPr>
        <w:t>5%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t>，得</w:t>
      </w:r>
      <w:r>
        <w:rPr>
          <w:spacing w:val="-42"/>
        </w:rPr>
        <w:t xml:space="preserve"> </w:t>
      </w:r>
      <w:r>
        <w:rPr>
          <w:rFonts w:ascii="Times New Roman" w:eastAsia="Times New Roman" w:hAnsi="Times New Roman" w:cs="Times New Roman"/>
        </w:rPr>
        <w:t>4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t>分；降低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</w:rPr>
        <w:t>10%</w:t>
      </w:r>
      <w:r>
        <w:rPr>
          <w:rFonts w:ascii="Times New Roman" w:eastAsia="Times New Roman" w:hAnsi="Times New Roman" w:cs="Times New Roman"/>
          <w:spacing w:val="-28"/>
        </w:rPr>
        <w:t xml:space="preserve"> </w:t>
      </w:r>
      <w:r>
        <w:t>，再加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</w:rPr>
        <w:t>8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t>分。</w:t>
      </w:r>
    </w:p>
    <w:p>
      <w:pPr>
        <w:pStyle w:val="BodyText"/>
        <w:spacing w:before="126" w:line="328" w:lineRule="auto"/>
        <w:ind w:left="121" w:right="115" w:hanging="2"/>
      </w:pPr>
      <w:r>
        <w:rPr>
          <w:rFonts w:ascii="Times New Roman" w:eastAsia="Times New Roman" w:hAnsi="Times New Roman" w:cs="Times New Roman"/>
          <w:b/>
          <w:bCs/>
          <w:spacing w:val="10"/>
        </w:rPr>
        <w:t xml:space="preserve">5.2.5 </w:t>
      </w:r>
      <w:r>
        <w:rPr>
          <w:spacing w:val="10"/>
        </w:rPr>
        <w:t>供暖空调系统的冷、热源机组能效均优于现行强制性工程建设规范《建筑节能与可再</w:t>
      </w:r>
      <w:r>
        <w:rPr>
          <w:spacing w:val="15"/>
        </w:rPr>
        <w:t xml:space="preserve"> </w:t>
      </w:r>
      <w:r>
        <w:rPr>
          <w:spacing w:val="9"/>
        </w:rPr>
        <w:t>生能源利用通用规范》</w:t>
      </w:r>
      <w:r>
        <w:rPr>
          <w:rFonts w:ascii="Times New Roman" w:eastAsia="Times New Roman" w:hAnsi="Times New Roman" w:cs="Times New Roman"/>
        </w:rPr>
        <w:t>GB</w:t>
      </w:r>
      <w:r>
        <w:rPr>
          <w:rFonts w:ascii="Times New Roman" w:eastAsia="Times New Roman" w:hAnsi="Times New Roman" w:cs="Times New Roman"/>
          <w:spacing w:val="9"/>
        </w:rPr>
        <w:t xml:space="preserve"> 55015</w:t>
      </w:r>
      <w:r>
        <w:rPr>
          <w:rFonts w:ascii="Times New Roman" w:eastAsia="Times New Roman" w:hAnsi="Times New Roman" w:cs="Times New Roman"/>
          <w:spacing w:val="46"/>
          <w:w w:val="101"/>
        </w:rPr>
        <w:t xml:space="preserve"> </w:t>
      </w:r>
      <w:r>
        <w:rPr>
          <w:spacing w:val="9"/>
        </w:rPr>
        <w:t>的规定以及现行有关国家标准能效限定值的要求，评价总</w:t>
      </w:r>
      <w:r>
        <w:t xml:space="preserve"> </w:t>
      </w:r>
      <w:r>
        <w:rPr>
          <w:spacing w:val="4"/>
        </w:rPr>
        <w:t>分值为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6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spacing w:val="4"/>
        </w:rPr>
        <w:t>分，并按表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5.2.5</w:t>
      </w:r>
      <w:r>
        <w:rPr>
          <w:rFonts w:ascii="Times New Roman" w:eastAsia="Times New Roman" w:hAnsi="Times New Roman" w:cs="Times New Roman"/>
          <w:spacing w:val="27"/>
          <w:w w:val="101"/>
        </w:rPr>
        <w:t xml:space="preserve"> </w:t>
      </w:r>
      <w:r>
        <w:rPr>
          <w:spacing w:val="4"/>
        </w:rPr>
        <w:t>的规则评分。</w:t>
      </w:r>
    </w:p>
    <w:p>
      <w:pPr>
        <w:pStyle w:val="BodyText"/>
        <w:spacing w:before="258" w:line="227" w:lineRule="auto"/>
        <w:ind w:left="2220"/>
      </w:pPr>
      <w:r>
        <w:rPr>
          <w:b/>
          <w:bCs/>
          <w:spacing w:val="6"/>
        </w:rPr>
        <w:t>表</w:t>
      </w:r>
      <w:r>
        <w:rPr>
          <w:spacing w:val="-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6"/>
        </w:rPr>
        <w:t xml:space="preserve">5.2.5 </w:t>
      </w:r>
      <w:r>
        <w:rPr>
          <w:b/>
          <w:bCs/>
          <w:spacing w:val="6"/>
        </w:rPr>
        <w:t>冷、热源机组能效提升幅度评分规则</w:t>
      </w:r>
    </w:p>
    <w:tbl>
      <w:tblPr>
        <w:tblStyle w:val="TableNormal2"/>
        <w:tblW w:w="852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8"/>
        <w:gridCol w:w="1258"/>
        <w:gridCol w:w="1956"/>
        <w:gridCol w:w="1678"/>
        <w:gridCol w:w="1385"/>
        <w:gridCol w:w="1392"/>
      </w:tblGrid>
      <w:tr>
        <w:tblPrEx>
          <w:tblW w:w="852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47"/>
        </w:trPr>
        <w:tc>
          <w:tcPr>
            <w:tcW w:w="2116" w:type="dxa"/>
            <w:gridSpan w:val="2"/>
            <w:vAlign w:val="top"/>
          </w:tcPr>
          <w:p>
            <w:pPr>
              <w:spacing w:before="116" w:line="228" w:lineRule="auto"/>
              <w:ind w:left="64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机组类型</w:t>
            </w:r>
          </w:p>
        </w:tc>
        <w:tc>
          <w:tcPr>
            <w:tcW w:w="1956" w:type="dxa"/>
            <w:vAlign w:val="top"/>
          </w:tcPr>
          <w:p>
            <w:pPr>
              <w:spacing w:before="117" w:line="229" w:lineRule="auto"/>
              <w:ind w:left="5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能效指标</w:t>
            </w:r>
          </w:p>
        </w:tc>
        <w:tc>
          <w:tcPr>
            <w:tcW w:w="1678" w:type="dxa"/>
            <w:vAlign w:val="top"/>
          </w:tcPr>
          <w:p>
            <w:pPr>
              <w:spacing w:before="117" w:line="229" w:lineRule="auto"/>
              <w:ind w:left="4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参照标准</w:t>
            </w:r>
          </w:p>
        </w:tc>
        <w:tc>
          <w:tcPr>
            <w:tcW w:w="2777" w:type="dxa"/>
            <w:gridSpan w:val="2"/>
            <w:vAlign w:val="top"/>
          </w:tcPr>
          <w:p>
            <w:pPr>
              <w:spacing w:before="117" w:line="229" w:lineRule="auto"/>
              <w:ind w:left="97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评分要求</w:t>
            </w:r>
          </w:p>
        </w:tc>
      </w:tr>
      <w:tr>
        <w:tblPrEx>
          <w:tblW w:w="8527" w:type="dxa"/>
          <w:tblInd w:w="2" w:type="dxa"/>
          <w:tblLayout w:type="fixed"/>
        </w:tblPrEx>
        <w:trPr>
          <w:trHeight w:val="950"/>
        </w:trPr>
        <w:tc>
          <w:tcPr>
            <w:tcW w:w="858" w:type="dxa"/>
            <w:vMerge w:val="restart"/>
            <w:tcBorders>
              <w:bottom w:val="nil"/>
            </w:tcBorders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5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电机驱</w:t>
            </w:r>
          </w:p>
          <w:p>
            <w:pPr>
              <w:spacing w:before="65" w:line="229" w:lineRule="auto"/>
              <w:ind w:left="1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动的蒸</w:t>
            </w:r>
          </w:p>
          <w:p>
            <w:pPr>
              <w:spacing w:before="63" w:line="228" w:lineRule="auto"/>
              <w:ind w:left="1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气压缩</w:t>
            </w:r>
          </w:p>
          <w:p>
            <w:pPr>
              <w:spacing w:before="65" w:line="228" w:lineRule="auto"/>
              <w:ind w:left="1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循环冷</w:t>
            </w:r>
          </w:p>
          <w:p>
            <w:pPr>
              <w:spacing w:before="65" w:line="228" w:lineRule="auto"/>
              <w:ind w:left="12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水（热</w:t>
            </w:r>
          </w:p>
          <w:p>
            <w:pPr>
              <w:spacing w:before="64" w:line="228" w:lineRule="auto"/>
              <w:ind w:left="1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泵）机</w:t>
            </w:r>
          </w:p>
          <w:p>
            <w:pPr>
              <w:spacing w:before="65" w:line="239" w:lineRule="auto"/>
              <w:ind w:left="33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组</w:t>
            </w:r>
          </w:p>
        </w:tc>
        <w:tc>
          <w:tcPr>
            <w:tcW w:w="1258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定频水冷</w:t>
            </w:r>
          </w:p>
        </w:tc>
        <w:tc>
          <w:tcPr>
            <w:tcW w:w="1956" w:type="dxa"/>
            <w:vAlign w:val="top"/>
          </w:tcPr>
          <w:p>
            <w:pPr>
              <w:spacing w:before="212" w:line="228" w:lineRule="auto"/>
              <w:ind w:left="35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制冷性能系数</w:t>
            </w:r>
          </w:p>
          <w:p>
            <w:pPr>
              <w:pStyle w:val="TableText"/>
              <w:spacing w:before="64" w:line="241" w:lineRule="auto"/>
              <w:ind w:left="57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（</w:t>
            </w:r>
            <w:r>
              <w:rPr>
                <w:sz w:val="20"/>
                <w:szCs w:val="20"/>
              </w:rPr>
              <w:t>COP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）</w:t>
            </w:r>
          </w:p>
        </w:tc>
        <w:tc>
          <w:tcPr>
            <w:tcW w:w="1678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before="65" w:line="273" w:lineRule="auto"/>
              <w:ind w:left="113" w:right="105" w:firstLine="103"/>
              <w:jc w:val="both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现行强制性工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 xml:space="preserve"> 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程建设规范《建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5"/>
                <w:sz w:val="20"/>
                <w:szCs w:val="20"/>
              </w:rPr>
              <w:t>筑节能与可再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 </w:t>
            </w:r>
            <w:r>
              <w:rPr>
                <w:rFonts w:ascii="SimSun" w:eastAsia="SimSun" w:hAnsi="SimSun" w:cs="SimSun"/>
                <w:spacing w:val="25"/>
                <w:sz w:val="20"/>
                <w:szCs w:val="20"/>
              </w:rPr>
              <w:t>生能源利用通</w:t>
            </w:r>
          </w:p>
          <w:p>
            <w:pPr>
              <w:pStyle w:val="TableText"/>
              <w:spacing w:before="62" w:line="262" w:lineRule="auto"/>
              <w:ind w:left="583" w:right="270" w:hanging="302"/>
              <w:rPr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0"/>
                <w:sz w:val="20"/>
                <w:szCs w:val="20"/>
              </w:rPr>
              <w:t>用规范》</w:t>
            </w:r>
            <w:r>
              <w:rPr>
                <w:sz w:val="20"/>
                <w:szCs w:val="20"/>
              </w:rPr>
              <w:t>GB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55015</w:t>
            </w:r>
          </w:p>
        </w:tc>
        <w:tc>
          <w:tcPr>
            <w:tcW w:w="1385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4" w:lineRule="exact"/>
              <w:ind w:left="323"/>
              <w:rPr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position w:val="1"/>
                <w:sz w:val="20"/>
                <w:szCs w:val="20"/>
              </w:rPr>
              <w:t>提高</w:t>
            </w:r>
            <w:r>
              <w:rPr>
                <w:rFonts w:ascii="SimSun" w:eastAsia="SimSun" w:hAnsi="SimSun" w:cs="SimSun"/>
                <w:spacing w:val="-41"/>
                <w:position w:val="1"/>
                <w:sz w:val="20"/>
                <w:szCs w:val="20"/>
              </w:rPr>
              <w:t xml:space="preserve"> </w:t>
            </w:r>
            <w:r>
              <w:rPr>
                <w:spacing w:val="4"/>
                <w:position w:val="1"/>
                <w:sz w:val="20"/>
                <w:szCs w:val="20"/>
              </w:rPr>
              <w:t>4%</w:t>
            </w:r>
          </w:p>
        </w:tc>
        <w:tc>
          <w:tcPr>
            <w:tcW w:w="1392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4" w:lineRule="exact"/>
              <w:ind w:left="325"/>
              <w:rPr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position w:val="1"/>
                <w:sz w:val="20"/>
                <w:szCs w:val="20"/>
              </w:rPr>
              <w:t>提高</w:t>
            </w:r>
            <w:r>
              <w:rPr>
                <w:rFonts w:ascii="SimSun" w:eastAsia="SimSun" w:hAnsi="SimSun" w:cs="SimSun"/>
                <w:spacing w:val="-33"/>
                <w:position w:val="1"/>
                <w:sz w:val="20"/>
                <w:szCs w:val="20"/>
              </w:rPr>
              <w:t xml:space="preserve"> </w:t>
            </w:r>
            <w:r>
              <w:rPr>
                <w:spacing w:val="2"/>
                <w:position w:val="1"/>
                <w:sz w:val="20"/>
                <w:szCs w:val="20"/>
              </w:rPr>
              <w:t>8%</w:t>
            </w:r>
          </w:p>
        </w:tc>
      </w:tr>
      <w:tr>
        <w:tblPrEx>
          <w:tblW w:w="8527" w:type="dxa"/>
          <w:tblInd w:w="2" w:type="dxa"/>
          <w:tblLayout w:type="fixed"/>
        </w:tblPrEx>
        <w:trPr>
          <w:trHeight w:val="950"/>
        </w:trPr>
        <w:tc>
          <w:tcPr>
            <w:tcW w:w="85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变频水冷</w:t>
            </w:r>
          </w:p>
        </w:tc>
        <w:tc>
          <w:tcPr>
            <w:tcW w:w="1956" w:type="dxa"/>
            <w:vAlign w:val="top"/>
          </w:tcPr>
          <w:p>
            <w:pPr>
              <w:spacing w:before="213" w:line="228" w:lineRule="auto"/>
              <w:ind w:left="35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制冷性能系数</w:t>
            </w:r>
          </w:p>
          <w:p>
            <w:pPr>
              <w:pStyle w:val="TableText"/>
              <w:spacing w:before="64" w:line="241" w:lineRule="auto"/>
              <w:ind w:left="57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（</w:t>
            </w:r>
            <w:r>
              <w:rPr>
                <w:sz w:val="20"/>
                <w:szCs w:val="20"/>
              </w:rPr>
              <w:t>COP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）</w:t>
            </w:r>
          </w:p>
        </w:tc>
        <w:tc>
          <w:tcPr>
            <w:tcW w:w="167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5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4" w:lineRule="exact"/>
              <w:ind w:left="323"/>
              <w:rPr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position w:val="1"/>
                <w:sz w:val="20"/>
                <w:szCs w:val="20"/>
              </w:rPr>
              <w:t>提高</w:t>
            </w:r>
            <w:r>
              <w:rPr>
                <w:rFonts w:ascii="SimSun" w:eastAsia="SimSun" w:hAnsi="SimSun" w:cs="SimSun"/>
                <w:spacing w:val="-37"/>
                <w:position w:val="1"/>
                <w:sz w:val="20"/>
                <w:szCs w:val="20"/>
              </w:rPr>
              <w:t xml:space="preserve"> </w:t>
            </w:r>
            <w:r>
              <w:rPr>
                <w:spacing w:val="3"/>
                <w:position w:val="1"/>
                <w:sz w:val="20"/>
                <w:szCs w:val="20"/>
              </w:rPr>
              <w:t>6%</w:t>
            </w:r>
          </w:p>
        </w:tc>
        <w:tc>
          <w:tcPr>
            <w:tcW w:w="1392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4" w:lineRule="exact"/>
              <w:ind w:left="272"/>
              <w:rPr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1"/>
                <w:sz w:val="20"/>
                <w:szCs w:val="20"/>
              </w:rPr>
              <w:t>提高</w:t>
            </w:r>
            <w:r>
              <w:rPr>
                <w:rFonts w:ascii="SimSun" w:eastAsia="SimSun" w:hAnsi="SimSun" w:cs="SimSun"/>
                <w:spacing w:val="-19"/>
                <w:position w:val="1"/>
                <w:sz w:val="20"/>
                <w:szCs w:val="20"/>
              </w:rPr>
              <w:t xml:space="preserve"> </w:t>
            </w:r>
            <w:r>
              <w:rPr>
                <w:position w:val="1"/>
                <w:sz w:val="20"/>
                <w:szCs w:val="20"/>
              </w:rPr>
              <w:t>12%</w:t>
            </w:r>
          </w:p>
        </w:tc>
      </w:tr>
      <w:tr>
        <w:tblPrEx>
          <w:tblW w:w="8527" w:type="dxa"/>
          <w:tblInd w:w="2" w:type="dxa"/>
          <w:tblLayout w:type="fixed"/>
        </w:tblPrEx>
        <w:trPr>
          <w:trHeight w:val="1252"/>
        </w:trPr>
        <w:tc>
          <w:tcPr>
            <w:tcW w:w="85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21" w:line="274" w:lineRule="exact"/>
              <w:ind w:left="1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position w:val="1"/>
                <w:sz w:val="20"/>
                <w:szCs w:val="20"/>
              </w:rPr>
              <w:t>活塞式</w:t>
            </w:r>
            <w:r>
              <w:rPr>
                <w:spacing w:val="5"/>
                <w:position w:val="1"/>
                <w:sz w:val="20"/>
                <w:szCs w:val="20"/>
              </w:rPr>
              <w:t>/</w:t>
            </w:r>
            <w:r>
              <w:rPr>
                <w:rFonts w:ascii="SimSun" w:eastAsia="SimSun" w:hAnsi="SimSun" w:cs="SimSun"/>
                <w:spacing w:val="5"/>
                <w:position w:val="1"/>
                <w:sz w:val="20"/>
                <w:szCs w:val="20"/>
              </w:rPr>
              <w:t>涡</w:t>
            </w:r>
          </w:p>
          <w:p>
            <w:pPr>
              <w:spacing w:before="68" w:line="229" w:lineRule="auto"/>
              <w:ind w:left="2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旋式风冷</w:t>
            </w:r>
          </w:p>
          <w:p>
            <w:pPr>
              <w:spacing w:before="63" w:line="229" w:lineRule="auto"/>
              <w:ind w:left="2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或蒸发冷</w:t>
            </w:r>
          </w:p>
          <w:p>
            <w:pPr>
              <w:spacing w:before="63" w:line="231" w:lineRule="auto"/>
              <w:ind w:left="5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却</w:t>
            </w:r>
          </w:p>
        </w:tc>
        <w:tc>
          <w:tcPr>
            <w:tcW w:w="1956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5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制冷性能系数</w:t>
            </w:r>
          </w:p>
          <w:p>
            <w:pPr>
              <w:pStyle w:val="TableText"/>
              <w:spacing w:before="64" w:line="241" w:lineRule="auto"/>
              <w:ind w:left="57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（</w:t>
            </w:r>
            <w:r>
              <w:rPr>
                <w:sz w:val="20"/>
                <w:szCs w:val="20"/>
              </w:rPr>
              <w:t>COP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）</w:t>
            </w:r>
          </w:p>
        </w:tc>
        <w:tc>
          <w:tcPr>
            <w:tcW w:w="167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5" w:type="dxa"/>
            <w:vAlign w:val="top"/>
          </w:tcPr>
          <w:p>
            <w:pPr>
              <w:spacing w:line="42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4" w:lineRule="exact"/>
              <w:ind w:left="323"/>
              <w:rPr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position w:val="1"/>
                <w:sz w:val="20"/>
                <w:szCs w:val="20"/>
              </w:rPr>
              <w:t>提高</w:t>
            </w:r>
            <w:r>
              <w:rPr>
                <w:rFonts w:ascii="SimSun" w:eastAsia="SimSun" w:hAnsi="SimSun" w:cs="SimSun"/>
                <w:spacing w:val="-41"/>
                <w:position w:val="1"/>
                <w:sz w:val="20"/>
                <w:szCs w:val="20"/>
              </w:rPr>
              <w:t xml:space="preserve"> </w:t>
            </w:r>
            <w:r>
              <w:rPr>
                <w:spacing w:val="4"/>
                <w:position w:val="1"/>
                <w:sz w:val="20"/>
                <w:szCs w:val="20"/>
              </w:rPr>
              <w:t>4%</w:t>
            </w:r>
          </w:p>
        </w:tc>
        <w:tc>
          <w:tcPr>
            <w:tcW w:w="1392" w:type="dxa"/>
            <w:vAlign w:val="top"/>
          </w:tcPr>
          <w:p>
            <w:pPr>
              <w:spacing w:line="42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4" w:lineRule="exact"/>
              <w:ind w:left="325"/>
              <w:rPr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position w:val="1"/>
                <w:sz w:val="20"/>
                <w:szCs w:val="20"/>
              </w:rPr>
              <w:t>提高</w:t>
            </w:r>
            <w:r>
              <w:rPr>
                <w:rFonts w:ascii="SimSun" w:eastAsia="SimSun" w:hAnsi="SimSun" w:cs="SimSun"/>
                <w:spacing w:val="-33"/>
                <w:position w:val="1"/>
                <w:sz w:val="20"/>
                <w:szCs w:val="20"/>
              </w:rPr>
              <w:t xml:space="preserve"> </w:t>
            </w:r>
            <w:r>
              <w:rPr>
                <w:spacing w:val="2"/>
                <w:position w:val="1"/>
                <w:sz w:val="20"/>
                <w:szCs w:val="20"/>
              </w:rPr>
              <w:t>8%</w:t>
            </w:r>
          </w:p>
        </w:tc>
      </w:tr>
      <w:tr>
        <w:tblPrEx>
          <w:tblW w:w="8527" w:type="dxa"/>
          <w:tblInd w:w="2" w:type="dxa"/>
          <w:tblLayout w:type="fixed"/>
        </w:tblPrEx>
        <w:trPr>
          <w:trHeight w:val="951"/>
        </w:trPr>
        <w:tc>
          <w:tcPr>
            <w:tcW w:w="85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vAlign w:val="top"/>
          </w:tcPr>
          <w:p>
            <w:pPr>
              <w:spacing w:before="57" w:line="228" w:lineRule="auto"/>
              <w:ind w:left="2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螺杆式风</w:t>
            </w:r>
          </w:p>
          <w:p>
            <w:pPr>
              <w:spacing w:before="64" w:line="229" w:lineRule="auto"/>
              <w:ind w:left="2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冷或蒸发</w:t>
            </w:r>
          </w:p>
          <w:p>
            <w:pPr>
              <w:spacing w:before="63" w:line="231" w:lineRule="auto"/>
              <w:ind w:left="4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冷却</w:t>
            </w:r>
          </w:p>
        </w:tc>
        <w:tc>
          <w:tcPr>
            <w:tcW w:w="1956" w:type="dxa"/>
            <w:vAlign w:val="top"/>
          </w:tcPr>
          <w:p>
            <w:pPr>
              <w:spacing w:before="213" w:line="228" w:lineRule="auto"/>
              <w:ind w:left="35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制冷性能系数</w:t>
            </w:r>
          </w:p>
          <w:p>
            <w:pPr>
              <w:pStyle w:val="TableText"/>
              <w:spacing w:before="64" w:line="241" w:lineRule="auto"/>
              <w:ind w:left="57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（</w:t>
            </w:r>
            <w:r>
              <w:rPr>
                <w:sz w:val="20"/>
                <w:szCs w:val="20"/>
              </w:rPr>
              <w:t>COP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）</w:t>
            </w:r>
          </w:p>
        </w:tc>
        <w:tc>
          <w:tcPr>
            <w:tcW w:w="167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5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4" w:lineRule="exact"/>
              <w:ind w:left="323"/>
              <w:rPr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position w:val="1"/>
                <w:sz w:val="20"/>
                <w:szCs w:val="20"/>
              </w:rPr>
              <w:t>提高</w:t>
            </w:r>
            <w:r>
              <w:rPr>
                <w:rFonts w:ascii="SimSun" w:eastAsia="SimSun" w:hAnsi="SimSun" w:cs="SimSun"/>
                <w:spacing w:val="-37"/>
                <w:position w:val="1"/>
                <w:sz w:val="20"/>
                <w:szCs w:val="20"/>
              </w:rPr>
              <w:t xml:space="preserve"> </w:t>
            </w:r>
            <w:r>
              <w:rPr>
                <w:spacing w:val="3"/>
                <w:position w:val="1"/>
                <w:sz w:val="20"/>
                <w:szCs w:val="20"/>
              </w:rPr>
              <w:t>6%</w:t>
            </w:r>
          </w:p>
        </w:tc>
        <w:tc>
          <w:tcPr>
            <w:tcW w:w="1392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4" w:lineRule="exact"/>
              <w:ind w:left="272"/>
              <w:rPr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1"/>
                <w:sz w:val="20"/>
                <w:szCs w:val="20"/>
              </w:rPr>
              <w:t>提高</w:t>
            </w:r>
            <w:r>
              <w:rPr>
                <w:rFonts w:ascii="SimSun" w:eastAsia="SimSun" w:hAnsi="SimSun" w:cs="SimSun"/>
                <w:spacing w:val="-19"/>
                <w:position w:val="1"/>
                <w:sz w:val="20"/>
                <w:szCs w:val="20"/>
              </w:rPr>
              <w:t xml:space="preserve"> </w:t>
            </w:r>
            <w:r>
              <w:rPr>
                <w:position w:val="1"/>
                <w:sz w:val="20"/>
                <w:szCs w:val="20"/>
              </w:rPr>
              <w:t>12%</w:t>
            </w:r>
          </w:p>
        </w:tc>
      </w:tr>
      <w:tr>
        <w:tblPrEx>
          <w:tblW w:w="8527" w:type="dxa"/>
          <w:tblInd w:w="2" w:type="dxa"/>
          <w:tblLayout w:type="fixed"/>
        </w:tblPrEx>
        <w:trPr>
          <w:trHeight w:val="629"/>
        </w:trPr>
        <w:tc>
          <w:tcPr>
            <w:tcW w:w="2116" w:type="dxa"/>
            <w:gridSpan w:val="2"/>
            <w:vAlign w:val="top"/>
          </w:tcPr>
          <w:p>
            <w:pPr>
              <w:spacing w:before="53" w:line="258" w:lineRule="auto"/>
              <w:ind w:left="331" w:right="111" w:hanging="2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直燃型溴化锂吸收式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冷（温）水机组</w:t>
            </w:r>
          </w:p>
        </w:tc>
        <w:tc>
          <w:tcPr>
            <w:tcW w:w="1956" w:type="dxa"/>
            <w:vAlign w:val="top"/>
          </w:tcPr>
          <w:p>
            <w:pPr>
              <w:pStyle w:val="TableText"/>
              <w:spacing w:before="54" w:line="258" w:lineRule="auto"/>
              <w:ind w:left="465" w:right="138" w:hanging="3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制冷、供热性能系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数（</w:t>
            </w:r>
            <w:r>
              <w:rPr>
                <w:sz w:val="20"/>
                <w:szCs w:val="20"/>
              </w:rPr>
              <w:t>COP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）</w:t>
            </w:r>
          </w:p>
        </w:tc>
        <w:tc>
          <w:tcPr>
            <w:tcW w:w="167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5" w:type="dxa"/>
            <w:vAlign w:val="top"/>
          </w:tcPr>
          <w:p>
            <w:pPr>
              <w:pStyle w:val="TableText"/>
              <w:spacing w:before="179" w:line="274" w:lineRule="exact"/>
              <w:ind w:left="323"/>
              <w:rPr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position w:val="1"/>
                <w:sz w:val="20"/>
                <w:szCs w:val="20"/>
              </w:rPr>
              <w:t>提高</w:t>
            </w:r>
            <w:r>
              <w:rPr>
                <w:rFonts w:ascii="SimSun" w:eastAsia="SimSun" w:hAnsi="SimSun" w:cs="SimSun"/>
                <w:spacing w:val="-37"/>
                <w:position w:val="1"/>
                <w:sz w:val="20"/>
                <w:szCs w:val="20"/>
              </w:rPr>
              <w:t xml:space="preserve"> </w:t>
            </w:r>
            <w:r>
              <w:rPr>
                <w:spacing w:val="3"/>
                <w:position w:val="1"/>
                <w:sz w:val="20"/>
                <w:szCs w:val="20"/>
              </w:rPr>
              <w:t>6%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spacing w:before="179" w:line="274" w:lineRule="exact"/>
              <w:ind w:left="272"/>
              <w:rPr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1"/>
                <w:sz w:val="20"/>
                <w:szCs w:val="20"/>
              </w:rPr>
              <w:t>提高</w:t>
            </w:r>
            <w:r>
              <w:rPr>
                <w:rFonts w:ascii="SimSun" w:eastAsia="SimSun" w:hAnsi="SimSun" w:cs="SimSun"/>
                <w:spacing w:val="-19"/>
                <w:position w:val="1"/>
                <w:sz w:val="20"/>
                <w:szCs w:val="20"/>
              </w:rPr>
              <w:t xml:space="preserve"> </w:t>
            </w:r>
            <w:r>
              <w:rPr>
                <w:position w:val="1"/>
                <w:sz w:val="20"/>
                <w:szCs w:val="20"/>
              </w:rPr>
              <w:t>12%</w:t>
            </w:r>
          </w:p>
        </w:tc>
      </w:tr>
      <w:tr>
        <w:tblPrEx>
          <w:tblW w:w="8527" w:type="dxa"/>
          <w:tblInd w:w="2" w:type="dxa"/>
          <w:tblLayout w:type="fixed"/>
        </w:tblPrEx>
        <w:trPr>
          <w:trHeight w:val="985"/>
        </w:trPr>
        <w:tc>
          <w:tcPr>
            <w:tcW w:w="858" w:type="dxa"/>
            <w:vMerge w:val="restart"/>
            <w:tcBorders>
              <w:bottom w:val="nil"/>
            </w:tcBorders>
            <w:vAlign w:val="top"/>
          </w:tcPr>
          <w:p>
            <w:pPr>
              <w:spacing w:before="51" w:line="280" w:lineRule="auto"/>
              <w:ind w:left="115" w:right="151" w:firstLine="104"/>
              <w:jc w:val="right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单元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8"/>
                <w:w w:val="119"/>
                <w:sz w:val="20"/>
                <w:szCs w:val="20"/>
              </w:rPr>
              <w:t>式空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8"/>
                <w:w w:val="119"/>
                <w:sz w:val="20"/>
                <w:szCs w:val="20"/>
              </w:rPr>
              <w:t>气调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节机、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0"/>
                <w:w w:val="118"/>
                <w:sz w:val="20"/>
                <w:szCs w:val="20"/>
              </w:rPr>
              <w:t>风管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6"/>
                <w:w w:val="120"/>
                <w:sz w:val="20"/>
                <w:szCs w:val="20"/>
              </w:rPr>
              <w:t>送风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式空</w:t>
            </w:r>
          </w:p>
          <w:p>
            <w:pPr>
              <w:spacing w:before="62" w:line="231" w:lineRule="auto"/>
              <w:ind w:left="11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调（热</w:t>
            </w:r>
          </w:p>
          <w:p>
            <w:pPr>
              <w:spacing w:before="61" w:line="228" w:lineRule="auto"/>
              <w:ind w:left="1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泵）机</w:t>
            </w:r>
          </w:p>
          <w:p>
            <w:pPr>
              <w:spacing w:before="65" w:line="232" w:lineRule="auto"/>
              <w:ind w:left="3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组</w:t>
            </w:r>
          </w:p>
        </w:tc>
        <w:tc>
          <w:tcPr>
            <w:tcW w:w="1258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65" w:line="229" w:lineRule="auto"/>
              <w:ind w:left="10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风冷单冷型</w:t>
            </w:r>
          </w:p>
        </w:tc>
        <w:tc>
          <w:tcPr>
            <w:tcW w:w="1956" w:type="dxa"/>
            <w:vAlign w:val="top"/>
          </w:tcPr>
          <w:p>
            <w:pPr>
              <w:spacing w:before="231" w:line="228" w:lineRule="auto"/>
              <w:ind w:left="24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制冷季节能效比</w:t>
            </w:r>
          </w:p>
          <w:p>
            <w:pPr>
              <w:pStyle w:val="TableText"/>
              <w:spacing w:before="64" w:line="241" w:lineRule="auto"/>
              <w:ind w:left="5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（</w:t>
            </w:r>
            <w:r>
              <w:rPr>
                <w:sz w:val="20"/>
                <w:szCs w:val="20"/>
              </w:rPr>
              <w:t>SEER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）</w:t>
            </w:r>
          </w:p>
        </w:tc>
        <w:tc>
          <w:tcPr>
            <w:tcW w:w="167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5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4" w:lineRule="exact"/>
              <w:ind w:left="323"/>
              <w:rPr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position w:val="1"/>
                <w:sz w:val="20"/>
                <w:szCs w:val="20"/>
              </w:rPr>
              <w:t>提高</w:t>
            </w:r>
            <w:r>
              <w:rPr>
                <w:rFonts w:ascii="SimSun" w:eastAsia="SimSun" w:hAnsi="SimSun" w:cs="SimSun"/>
                <w:spacing w:val="-33"/>
                <w:position w:val="1"/>
                <w:sz w:val="20"/>
                <w:szCs w:val="20"/>
              </w:rPr>
              <w:t xml:space="preserve"> </w:t>
            </w:r>
            <w:r>
              <w:rPr>
                <w:spacing w:val="2"/>
                <w:position w:val="1"/>
                <w:sz w:val="20"/>
                <w:szCs w:val="20"/>
              </w:rPr>
              <w:t>8%</w:t>
            </w:r>
          </w:p>
        </w:tc>
        <w:tc>
          <w:tcPr>
            <w:tcW w:w="1392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4" w:lineRule="exact"/>
              <w:ind w:left="272"/>
              <w:rPr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1"/>
                <w:sz w:val="20"/>
                <w:szCs w:val="20"/>
              </w:rPr>
              <w:t>提高</w:t>
            </w:r>
            <w:r>
              <w:rPr>
                <w:rFonts w:ascii="SimSun" w:eastAsia="SimSun" w:hAnsi="SimSun" w:cs="SimSun"/>
                <w:spacing w:val="-19"/>
                <w:position w:val="1"/>
                <w:sz w:val="20"/>
                <w:szCs w:val="20"/>
              </w:rPr>
              <w:t xml:space="preserve"> </w:t>
            </w:r>
            <w:r>
              <w:rPr>
                <w:position w:val="1"/>
                <w:sz w:val="20"/>
                <w:szCs w:val="20"/>
              </w:rPr>
              <w:t>16%</w:t>
            </w:r>
          </w:p>
        </w:tc>
      </w:tr>
      <w:tr>
        <w:tblPrEx>
          <w:tblW w:w="8527" w:type="dxa"/>
          <w:tblInd w:w="2" w:type="dxa"/>
          <w:tblLayout w:type="fixed"/>
        </w:tblPrEx>
        <w:trPr>
          <w:trHeight w:val="629"/>
        </w:trPr>
        <w:tc>
          <w:tcPr>
            <w:tcW w:w="85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vAlign w:val="top"/>
          </w:tcPr>
          <w:p>
            <w:pPr>
              <w:spacing w:before="211" w:line="228" w:lineRule="auto"/>
              <w:ind w:left="10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风冷热泵型</w:t>
            </w:r>
          </w:p>
        </w:tc>
        <w:tc>
          <w:tcPr>
            <w:tcW w:w="1956" w:type="dxa"/>
            <w:vAlign w:val="top"/>
          </w:tcPr>
          <w:p>
            <w:pPr>
              <w:spacing w:before="55" w:line="228" w:lineRule="auto"/>
              <w:ind w:left="3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全年性能系数</w:t>
            </w:r>
          </w:p>
          <w:p>
            <w:pPr>
              <w:pStyle w:val="TableText"/>
              <w:spacing w:before="64" w:line="233" w:lineRule="auto"/>
              <w:ind w:left="59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（</w:t>
            </w:r>
            <w:r>
              <w:rPr>
                <w:sz w:val="20"/>
                <w:szCs w:val="20"/>
              </w:rPr>
              <w:t>APF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）</w:t>
            </w:r>
          </w:p>
        </w:tc>
        <w:tc>
          <w:tcPr>
            <w:tcW w:w="167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27" w:type="dxa"/>
          <w:tblInd w:w="2" w:type="dxa"/>
          <w:tblLayout w:type="fixed"/>
        </w:tblPrEx>
        <w:trPr>
          <w:trHeight w:val="1499"/>
        </w:trPr>
        <w:tc>
          <w:tcPr>
            <w:tcW w:w="85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1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水冷</w:t>
            </w:r>
          </w:p>
        </w:tc>
        <w:tc>
          <w:tcPr>
            <w:tcW w:w="1956" w:type="dxa"/>
            <w:vAlign w:val="top"/>
          </w:tcPr>
          <w:p>
            <w:pPr>
              <w:spacing w:line="42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58" w:lineRule="auto"/>
              <w:ind w:left="128" w:right="138" w:firstLine="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制冷综合部分负荷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性能系数（</w:t>
            </w:r>
            <w:r>
              <w:rPr>
                <w:sz w:val="20"/>
                <w:szCs w:val="20"/>
              </w:rPr>
              <w:t>IPLV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）</w:t>
            </w:r>
          </w:p>
        </w:tc>
        <w:tc>
          <w:tcPr>
            <w:tcW w:w="167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17"/>
          <w:pgSz w:w="11907" w:h="16840"/>
          <w:pgMar w:top="1428" w:right="1687" w:bottom="1300" w:left="1687" w:header="0" w:footer="1134" w:gutter="0"/>
          <w:pgNumType w:start="14"/>
          <w:cols w:space="708"/>
        </w:sectPr>
      </w:pPr>
    </w:p>
    <w:tbl>
      <w:tblPr>
        <w:tblStyle w:val="TableNormal3"/>
        <w:tblW w:w="852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8"/>
        <w:gridCol w:w="1258"/>
        <w:gridCol w:w="1956"/>
        <w:gridCol w:w="1678"/>
        <w:gridCol w:w="1385"/>
        <w:gridCol w:w="1392"/>
      </w:tblGrid>
      <w:tr>
        <w:tblPrEx>
          <w:tblW w:w="852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53"/>
        </w:trPr>
        <w:tc>
          <w:tcPr>
            <w:tcW w:w="858" w:type="dxa"/>
            <w:vMerge w:val="restart"/>
            <w:tcBorders>
              <w:bottom w:val="nil"/>
            </w:tcBorders>
            <w:vAlign w:val="top"/>
          </w:tcPr>
          <w:p>
            <w:pPr>
              <w:spacing w:before="64" w:line="230" w:lineRule="auto"/>
              <w:ind w:left="22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多联</w:t>
            </w:r>
          </w:p>
          <w:p>
            <w:pPr>
              <w:spacing w:before="62" w:line="268" w:lineRule="auto"/>
              <w:ind w:left="116" w:right="118" w:firstLine="10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式空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调（热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泵）机</w:t>
            </w:r>
          </w:p>
          <w:p>
            <w:pPr>
              <w:spacing w:before="65" w:line="239" w:lineRule="auto"/>
              <w:ind w:left="3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组</w:t>
            </w:r>
          </w:p>
        </w:tc>
        <w:tc>
          <w:tcPr>
            <w:tcW w:w="1258" w:type="dxa"/>
            <w:vAlign w:val="top"/>
          </w:tcPr>
          <w:p>
            <w:pPr>
              <w:spacing w:before="274" w:line="228" w:lineRule="auto"/>
              <w:ind w:left="41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水冷</w:t>
            </w:r>
          </w:p>
        </w:tc>
        <w:tc>
          <w:tcPr>
            <w:tcW w:w="1956" w:type="dxa"/>
            <w:vAlign w:val="top"/>
          </w:tcPr>
          <w:p>
            <w:pPr>
              <w:pStyle w:val="TableText"/>
              <w:spacing w:before="118" w:line="258" w:lineRule="auto"/>
              <w:ind w:left="128" w:right="138" w:firstLine="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制冷综合部分负荷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性能系数（</w:t>
            </w:r>
            <w:r>
              <w:rPr>
                <w:sz w:val="20"/>
                <w:szCs w:val="20"/>
              </w:rPr>
              <w:t>IPLV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）</w:t>
            </w:r>
          </w:p>
        </w:tc>
        <w:tc>
          <w:tcPr>
            <w:tcW w:w="1678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5" w:type="dxa"/>
            <w:vMerge w:val="restart"/>
            <w:tcBorders>
              <w:bottom w:val="nil"/>
            </w:tcBorders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4" w:lineRule="exact"/>
              <w:ind w:left="323"/>
              <w:rPr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position w:val="1"/>
                <w:sz w:val="20"/>
                <w:szCs w:val="20"/>
              </w:rPr>
              <w:t>提高</w:t>
            </w:r>
            <w:r>
              <w:rPr>
                <w:rFonts w:ascii="SimSun" w:eastAsia="SimSun" w:hAnsi="SimSun" w:cs="SimSun"/>
                <w:spacing w:val="-33"/>
                <w:position w:val="1"/>
                <w:sz w:val="20"/>
                <w:szCs w:val="20"/>
              </w:rPr>
              <w:t xml:space="preserve"> </w:t>
            </w:r>
            <w:r>
              <w:rPr>
                <w:spacing w:val="2"/>
                <w:position w:val="1"/>
                <w:sz w:val="20"/>
                <w:szCs w:val="20"/>
              </w:rPr>
              <w:t>8%</w:t>
            </w:r>
          </w:p>
        </w:tc>
        <w:tc>
          <w:tcPr>
            <w:tcW w:w="1392" w:type="dxa"/>
            <w:vMerge w:val="restart"/>
            <w:tcBorders>
              <w:bottom w:val="nil"/>
            </w:tcBorders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4" w:lineRule="exact"/>
              <w:ind w:left="272"/>
              <w:rPr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1"/>
                <w:sz w:val="20"/>
                <w:szCs w:val="20"/>
              </w:rPr>
              <w:t>提高</w:t>
            </w:r>
            <w:r>
              <w:rPr>
                <w:rFonts w:ascii="SimSun" w:eastAsia="SimSun" w:hAnsi="SimSun" w:cs="SimSun"/>
                <w:spacing w:val="-19"/>
                <w:position w:val="1"/>
                <w:sz w:val="20"/>
                <w:szCs w:val="20"/>
              </w:rPr>
              <w:t xml:space="preserve"> </w:t>
            </w:r>
            <w:r>
              <w:rPr>
                <w:position w:val="1"/>
                <w:sz w:val="20"/>
                <w:szCs w:val="20"/>
              </w:rPr>
              <w:t>16%</w:t>
            </w:r>
          </w:p>
        </w:tc>
      </w:tr>
      <w:tr>
        <w:tblPrEx>
          <w:tblW w:w="8527" w:type="dxa"/>
          <w:tblInd w:w="2" w:type="dxa"/>
          <w:tblLayout w:type="fixed"/>
        </w:tblPrEx>
        <w:trPr>
          <w:trHeight w:val="829"/>
        </w:trPr>
        <w:tc>
          <w:tcPr>
            <w:tcW w:w="85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65" w:line="229" w:lineRule="auto"/>
              <w:ind w:left="41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风冷</w:t>
            </w:r>
          </w:p>
        </w:tc>
        <w:tc>
          <w:tcPr>
            <w:tcW w:w="1956" w:type="dxa"/>
            <w:vAlign w:val="top"/>
          </w:tcPr>
          <w:p>
            <w:pPr>
              <w:spacing w:before="154" w:line="228" w:lineRule="auto"/>
              <w:ind w:left="3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全年性能系数</w:t>
            </w:r>
          </w:p>
          <w:p>
            <w:pPr>
              <w:pStyle w:val="TableText"/>
              <w:spacing w:before="64" w:line="241" w:lineRule="auto"/>
              <w:ind w:left="59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（</w:t>
            </w:r>
            <w:r>
              <w:rPr>
                <w:sz w:val="20"/>
                <w:szCs w:val="20"/>
              </w:rPr>
              <w:t>APF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）</w:t>
            </w:r>
          </w:p>
        </w:tc>
        <w:tc>
          <w:tcPr>
            <w:tcW w:w="167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br/>
      </w:r>
      <w:r>
        <w:rPr>
          <w:rFonts w:ascii="Arial" w:eastAsia="Arial" w:hAnsi="Arial" w:cs="Arial"/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https://d.book118.com/888143014066006037</w:t>
        </w:r>
      </w:hyperlink>
    </w:p>
    <w:p>
      <w:pPr>
        <w:rPr>
          <w:rFonts w:ascii="Arial" w:eastAsia="Arial" w:hAnsi="Arial" w:cs="Arial"/>
          <w:sz w:val="21"/>
          <w:szCs w:val="21"/>
        </w:rPr>
      </w:pPr>
    </w:p>
    <w:sectPr>
      <w:footerReference w:type="default" r:id="rId19"/>
      <w:type w:val="nextPage"/>
      <w:pgSz w:w="11907" w:h="16840"/>
      <w:pgMar w:top="1428" w:right="1687" w:bottom="1300" w:left="1687" w:header="0" w:footer="1134" w:gutter="0"/>
      <w:pgNumType w:start="15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4138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132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132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17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3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17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4172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4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4131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5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4131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5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132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6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132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6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4131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7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129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8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129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8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228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9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228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9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0"/>
      <w:szCs w:val="20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Times New Roman" w:eastAsia="Times New Roman" w:hAnsi="Times New Roman" w:cs="Times New Roman"/>
      <w:sz w:val="18"/>
      <w:szCs w:val="1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hyperlink" Target="https://d.book118.com/888143014066006037" TargetMode="External" /><Relationship Id="rId19" Type="http://schemas.openxmlformats.org/officeDocument/2006/relationships/footer" Target="footer15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2024-02-22T18:26:49Z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2024-02-22T18:26:53Z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65d721687a7039001fd74721wl</vt:lpwstr>
  </property>
</Properties>
</file>