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40" w:line="226" w:lineRule="auto"/>
        <w:ind w:left="981"/>
        <w:outlineLvl w:val="0"/>
        <w:rPr>
          <w:sz w:val="31"/>
          <w:szCs w:val="31"/>
        </w:rPr>
      </w:pPr>
      <w:r>
        <w:rPr>
          <w:spacing w:val="9"/>
          <w:sz w:val="31"/>
          <w:szCs w:val="31"/>
        </w:rPr>
        <w:t>软土深基坑智能控制降水与高效开挖技术规程</w:t>
      </w:r>
    </w:p>
    <w:p>
      <w:pPr>
        <w:pStyle w:val="BodyText"/>
        <w:spacing w:before="199" w:line="231" w:lineRule="auto"/>
        <w:ind w:left="32"/>
      </w:pPr>
      <w:r>
        <w:rPr>
          <w:spacing w:val="-3"/>
        </w:rPr>
        <w:t>1</w:t>
      </w:r>
      <w:r>
        <w:rPr>
          <w:spacing w:val="15"/>
        </w:rPr>
        <w:t xml:space="preserve"> </w:t>
      </w:r>
      <w:r>
        <w:rPr>
          <w:spacing w:val="-3"/>
        </w:rPr>
        <w:t>范围</w:t>
      </w:r>
    </w:p>
    <w:p>
      <w:pPr>
        <w:spacing w:before="294" w:line="410" w:lineRule="exact"/>
        <w:ind w:right="2"/>
        <w:jc w:val="right"/>
        <w:rPr>
          <w:rFonts w:ascii="SimSun" w:eastAsia="SimSun" w:hAnsi="SimSun" w:cs="SimSun"/>
          <w:sz w:val="20"/>
          <w:szCs w:val="20"/>
        </w:rPr>
      </w:pPr>
      <w:r>
        <w:rPr>
          <w:rFonts w:ascii="SimSun" w:eastAsia="SimSun" w:hAnsi="SimSun" w:cs="SimSun"/>
          <w:spacing w:val="9"/>
          <w:position w:val="15"/>
          <w:sz w:val="20"/>
          <w:szCs w:val="20"/>
        </w:rPr>
        <w:t>本文件规定了软土深基坑智能控制降水与高效开挖的术语定义、缩略语、地下水控制、</w:t>
      </w:r>
    </w:p>
    <w:p>
      <w:pPr>
        <w:spacing w:line="228" w:lineRule="auto"/>
        <w:ind w:left="23"/>
        <w:rPr>
          <w:rFonts w:ascii="SimSun" w:eastAsia="SimSun" w:hAnsi="SimSun" w:cs="SimSun"/>
          <w:sz w:val="20"/>
          <w:szCs w:val="20"/>
        </w:rPr>
      </w:pPr>
      <w:r>
        <w:rPr>
          <w:rFonts w:ascii="SimSun" w:eastAsia="SimSun" w:hAnsi="SimSun" w:cs="SimSun"/>
          <w:spacing w:val="9"/>
          <w:sz w:val="20"/>
          <w:szCs w:val="20"/>
        </w:rPr>
        <w:t>支护结构设计、基坑开挖、基坑自动化监测的技术方法和标准。</w:t>
      </w:r>
    </w:p>
    <w:p>
      <w:pPr>
        <w:spacing w:before="160" w:line="408" w:lineRule="exact"/>
        <w:ind w:left="443"/>
        <w:rPr>
          <w:rFonts w:ascii="SimSun" w:eastAsia="SimSun" w:hAnsi="SimSun" w:cs="SimSun"/>
          <w:sz w:val="20"/>
          <w:szCs w:val="20"/>
        </w:rPr>
      </w:pPr>
      <w:r>
        <w:rPr>
          <w:rFonts w:ascii="SimSun" w:eastAsia="SimSun" w:hAnsi="SimSun" w:cs="SimSun"/>
          <w:spacing w:val="7"/>
          <w:position w:val="15"/>
          <w:sz w:val="20"/>
          <w:szCs w:val="20"/>
        </w:rPr>
        <w:t>本文件适用于软土深基坑地下水控制、支护开挖与自动化监测。软土深基坑智能控制降</w:t>
      </w:r>
    </w:p>
    <w:p>
      <w:pPr>
        <w:spacing w:line="196" w:lineRule="auto"/>
        <w:ind w:left="24"/>
        <w:rPr>
          <w:rFonts w:ascii="SimSun" w:eastAsia="SimSun" w:hAnsi="SimSun" w:cs="SimSun"/>
          <w:sz w:val="20"/>
          <w:szCs w:val="20"/>
        </w:rPr>
      </w:pPr>
      <w:r>
        <w:rPr>
          <w:rFonts w:ascii="SimSun" w:eastAsia="SimSun" w:hAnsi="SimSun" w:cs="SimSun"/>
          <w:spacing w:val="9"/>
          <w:sz w:val="20"/>
          <w:szCs w:val="20"/>
        </w:rPr>
        <w:t>水与高效开挖，除了符合本规范外，还应符合国家现</w:t>
      </w:r>
      <w:r>
        <w:rPr>
          <w:rFonts w:ascii="Microsoft YaHei" w:eastAsia="Microsoft YaHei" w:hAnsi="Microsoft YaHei" w:cs="Microsoft YaHei"/>
          <w:spacing w:val="9"/>
          <w:sz w:val="20"/>
          <w:szCs w:val="20"/>
        </w:rPr>
        <w:t>⾏</w:t>
      </w:r>
      <w:r>
        <w:rPr>
          <w:rFonts w:ascii="SimSun" w:eastAsia="SimSun" w:hAnsi="SimSun" w:cs="SimSun"/>
          <w:spacing w:val="9"/>
          <w:sz w:val="20"/>
          <w:szCs w:val="20"/>
        </w:rPr>
        <w:t>有关技术标准、规范的规定。</w:t>
      </w:r>
    </w:p>
    <w:p>
      <w:pPr>
        <w:pStyle w:val="BodyText"/>
        <w:spacing w:before="128" w:line="230" w:lineRule="auto"/>
        <w:ind w:left="20"/>
      </w:pPr>
      <w:r>
        <w:rPr>
          <w:spacing w:val="7"/>
        </w:rPr>
        <w:t>2</w:t>
      </w:r>
      <w:r>
        <w:rPr>
          <w:spacing w:val="7"/>
        </w:rPr>
        <w:t xml:space="preserve"> </w:t>
      </w:r>
      <w:r>
        <w:rPr>
          <w:spacing w:val="7"/>
        </w:rPr>
        <w:t>规范性引用文件</w:t>
      </w:r>
    </w:p>
    <w:p>
      <w:pPr>
        <w:spacing w:before="295" w:line="408" w:lineRule="exact"/>
        <w:ind w:right="2"/>
        <w:jc w:val="right"/>
        <w:rPr>
          <w:rFonts w:ascii="SimSun" w:eastAsia="SimSun" w:hAnsi="SimSun" w:cs="SimSun"/>
          <w:sz w:val="20"/>
          <w:szCs w:val="20"/>
        </w:rPr>
      </w:pPr>
      <w:r>
        <w:rPr>
          <w:rFonts w:ascii="SimSun" w:eastAsia="SimSun" w:hAnsi="SimSun" w:cs="SimSun"/>
          <w:spacing w:val="9"/>
          <w:position w:val="15"/>
          <w:sz w:val="20"/>
          <w:szCs w:val="20"/>
        </w:rPr>
        <w:t>下列文件中的条款，通过本标准的引用而成为本标准的条款。凡是注日期的引用文件，</w:t>
      </w:r>
    </w:p>
    <w:p>
      <w:pPr>
        <w:spacing w:before="1" w:line="227" w:lineRule="auto"/>
        <w:jc w:val="right"/>
        <w:rPr>
          <w:rFonts w:ascii="SimSun" w:eastAsia="SimSun" w:hAnsi="SimSun" w:cs="SimSun"/>
          <w:sz w:val="20"/>
          <w:szCs w:val="20"/>
        </w:rPr>
      </w:pPr>
      <w:r>
        <w:rPr>
          <w:rFonts w:ascii="SimSun" w:eastAsia="SimSun" w:hAnsi="SimSun" w:cs="SimSun"/>
          <w:spacing w:val="5"/>
          <w:sz w:val="20"/>
          <w:szCs w:val="20"/>
        </w:rPr>
        <w:t>仅注日期的版本适用于本文件。凡是不注日期</w:t>
      </w:r>
      <w:r>
        <w:rPr>
          <w:rFonts w:ascii="SimSun" w:eastAsia="SimSun" w:hAnsi="SimSun" w:cs="SimSun"/>
          <w:spacing w:val="4"/>
          <w:sz w:val="20"/>
          <w:szCs w:val="20"/>
        </w:rPr>
        <w:t>的引用文件，其最新版本（包括所有的修改单）</w:t>
      </w:r>
    </w:p>
    <w:p>
      <w:pPr>
        <w:spacing w:line="120" w:lineRule="exact"/>
      </w:pPr>
    </w:p>
    <w:p>
      <w:pPr>
        <w:spacing w:line="120" w:lineRule="exact"/>
        <w:sectPr>
          <w:footerReference w:type="default" r:id="rId4"/>
          <w:pgSz w:w="11906" w:h="16839"/>
          <w:pgMar w:top="1431" w:right="1714" w:bottom="1151" w:left="1785" w:header="0" w:footer="987" w:gutter="0"/>
          <w:cols w:num="1" w:space="708" w:equalWidth="0">
            <w:col w:w="8406" w:space="0"/>
          </w:cols>
        </w:sectPr>
      </w:pPr>
    </w:p>
    <w:p>
      <w:pPr>
        <w:spacing w:before="42" w:line="387" w:lineRule="auto"/>
        <w:ind w:left="439" w:right="50" w:hanging="417"/>
        <w:rPr>
          <w:rFonts w:ascii="SimSun" w:eastAsia="SimSun" w:hAnsi="SimSun" w:cs="SimSun"/>
          <w:sz w:val="20"/>
          <w:szCs w:val="20"/>
        </w:rPr>
      </w:pPr>
      <w:r>
        <w:rPr>
          <w:rFonts w:ascii="SimSun" w:eastAsia="SimSun" w:hAnsi="SimSun" w:cs="SimSun"/>
          <w:spacing w:val="3"/>
          <w:sz w:val="20"/>
          <w:szCs w:val="20"/>
        </w:rPr>
        <w:t>适用于本文件。</w:t>
      </w:r>
      <w:r>
        <w:rPr>
          <w:rFonts w:ascii="SimSun" w:eastAsia="SimSun" w:hAnsi="SimSun" w:cs="SimSun"/>
          <w:spacing w:val="4"/>
          <w:sz w:val="20"/>
          <w:szCs w:val="20"/>
        </w:rPr>
        <w:t xml:space="preserve"> </w:t>
      </w:r>
      <w:r>
        <w:rPr>
          <w:rFonts w:ascii="SimSun" w:eastAsia="SimSun" w:hAnsi="SimSun" w:cs="SimSun"/>
          <w:sz w:val="20"/>
          <w:szCs w:val="20"/>
        </w:rPr>
        <w:t>GB</w:t>
      </w:r>
      <w:r>
        <w:rPr>
          <w:rFonts w:ascii="SimSun" w:eastAsia="SimSun" w:hAnsi="SimSun" w:cs="SimSun"/>
          <w:spacing w:val="5"/>
          <w:sz w:val="20"/>
          <w:szCs w:val="20"/>
        </w:rPr>
        <w:t>/50007</w:t>
      </w:r>
      <w:r>
        <w:rPr>
          <w:rFonts w:ascii="SimSun" w:eastAsia="SimSun" w:hAnsi="SimSun" w:cs="SimSun"/>
          <w:spacing w:val="1"/>
          <w:sz w:val="20"/>
          <w:szCs w:val="20"/>
        </w:rPr>
        <w:t xml:space="preserve">  </w:t>
      </w:r>
      <w:r>
        <w:rPr>
          <w:rFonts w:ascii="SimSun" w:eastAsia="SimSun" w:hAnsi="SimSun" w:cs="SimSun"/>
          <w:sz w:val="20"/>
          <w:szCs w:val="20"/>
        </w:rPr>
        <w:t>GB</w:t>
      </w:r>
      <w:r>
        <w:rPr>
          <w:rFonts w:ascii="SimSun" w:eastAsia="SimSun" w:hAnsi="SimSun" w:cs="SimSun"/>
          <w:spacing w:val="5"/>
          <w:sz w:val="20"/>
          <w:szCs w:val="20"/>
        </w:rPr>
        <w:t>/50497</w:t>
      </w:r>
    </w:p>
    <w:p>
      <w:pPr>
        <w:spacing w:before="1" w:line="190" w:lineRule="auto"/>
        <w:ind w:left="441"/>
        <w:rPr>
          <w:rFonts w:ascii="SimSun" w:eastAsia="SimSun" w:hAnsi="SimSun" w:cs="SimSun"/>
          <w:sz w:val="20"/>
          <w:szCs w:val="20"/>
        </w:rPr>
      </w:pPr>
      <w:r>
        <w:rPr>
          <w:rFonts w:ascii="SimSun" w:eastAsia="SimSun" w:hAnsi="SimSun" w:cs="SimSun"/>
          <w:sz w:val="20"/>
          <w:szCs w:val="20"/>
        </w:rPr>
        <w:t>JGJ</w:t>
      </w:r>
      <w:r>
        <w:rPr>
          <w:rFonts w:ascii="SimSun" w:eastAsia="SimSun" w:hAnsi="SimSun" w:cs="SimSun"/>
          <w:spacing w:val="27"/>
          <w:sz w:val="20"/>
          <w:szCs w:val="20"/>
        </w:rPr>
        <w:t xml:space="preserve"> </w:t>
      </w:r>
      <w:r>
        <w:rPr>
          <w:rFonts w:ascii="SimSun" w:eastAsia="SimSun" w:hAnsi="SimSun" w:cs="SimSun"/>
          <w:sz w:val="20"/>
          <w:szCs w:val="20"/>
        </w:rPr>
        <w:t>120</w:t>
      </w:r>
    </w:p>
    <w:p>
      <w:pPr>
        <w:spacing w:before="202" w:line="190" w:lineRule="auto"/>
        <w:ind w:left="441"/>
        <w:rPr>
          <w:rFonts w:ascii="SimSun" w:eastAsia="SimSun" w:hAnsi="SimSun" w:cs="SimSun"/>
          <w:sz w:val="20"/>
          <w:szCs w:val="20"/>
        </w:rPr>
      </w:pPr>
      <w:r>
        <w:rPr>
          <w:rFonts w:ascii="SimSun" w:eastAsia="SimSun" w:hAnsi="SimSun" w:cs="SimSun"/>
          <w:sz w:val="20"/>
          <w:szCs w:val="20"/>
        </w:rPr>
        <w:t>JGJ</w:t>
      </w:r>
      <w:r>
        <w:rPr>
          <w:rFonts w:ascii="SimSun" w:eastAsia="SimSun" w:hAnsi="SimSun" w:cs="SimSun"/>
          <w:spacing w:val="18"/>
          <w:sz w:val="20"/>
          <w:szCs w:val="20"/>
        </w:rPr>
        <w:t xml:space="preserve"> </w:t>
      </w:r>
      <w:r>
        <w:rPr>
          <w:rFonts w:ascii="SimSun" w:eastAsia="SimSun" w:hAnsi="SimSun" w:cs="SimSun"/>
          <w:spacing w:val="3"/>
          <w:sz w:val="20"/>
          <w:szCs w:val="20"/>
        </w:rPr>
        <w:t>311</w:t>
      </w:r>
    </w:p>
    <w:p>
      <w:pPr>
        <w:pStyle w:val="BodyText"/>
        <w:spacing w:before="172" w:line="196" w:lineRule="auto"/>
        <w:ind w:left="22"/>
      </w:pPr>
      <w:r>
        <w:rPr>
          <w:spacing w:val="7"/>
        </w:rPr>
        <w:t>3</w:t>
      </w:r>
      <w:r>
        <w:rPr>
          <w:spacing w:val="7"/>
        </w:rPr>
        <w:t xml:space="preserve"> </w:t>
      </w:r>
      <w:r>
        <w:rPr>
          <w:spacing w:val="7"/>
        </w:rPr>
        <w:t>术语和定义</w:t>
      </w:r>
    </w:p>
    <w:p>
      <w:pPr>
        <w:spacing w:line="14" w:lineRule="auto"/>
        <w:rPr>
          <w:rFonts w:ascii="Arial"/>
          <w:sz w:val="2"/>
        </w:rPr>
      </w:pPr>
      <w:r>
        <w:rPr>
          <w:rFonts w:ascii="Arial" w:eastAsia="Arial" w:hAnsi="Arial" w:cs="Arial"/>
          <w:sz w:val="2"/>
          <w:szCs w:val="2"/>
        </w:rPr>
        <w:br w:type="column"/>
      </w:r>
    </w:p>
    <w:p>
      <w:pPr>
        <w:spacing w:line="381" w:lineRule="auto"/>
        <w:rPr>
          <w:rFonts w:ascii="Arial"/>
          <w:sz w:val="21"/>
        </w:rPr>
      </w:pPr>
    </w:p>
    <w:p>
      <w:pPr>
        <w:spacing w:before="65" w:line="229" w:lineRule="auto"/>
        <w:rPr>
          <w:rFonts w:ascii="SimSun" w:eastAsia="SimSun" w:hAnsi="SimSun" w:cs="SimSun"/>
          <w:sz w:val="20"/>
          <w:szCs w:val="20"/>
        </w:rPr>
      </w:pPr>
      <w:r>
        <w:rPr>
          <w:rFonts w:ascii="SimSun" w:eastAsia="SimSun" w:hAnsi="SimSun" w:cs="SimSun"/>
          <w:spacing w:val="8"/>
          <w:sz w:val="20"/>
          <w:szCs w:val="20"/>
        </w:rPr>
        <w:t>建筑地基基础设计规范</w:t>
      </w:r>
    </w:p>
    <w:p>
      <w:pPr>
        <w:spacing w:before="162" w:line="408" w:lineRule="exact"/>
        <w:rPr>
          <w:rFonts w:ascii="SimSun" w:eastAsia="SimSun" w:hAnsi="SimSun" w:cs="SimSun"/>
          <w:sz w:val="20"/>
          <w:szCs w:val="20"/>
        </w:rPr>
      </w:pPr>
      <w:r>
        <w:rPr>
          <w:rFonts w:ascii="SimSun" w:eastAsia="SimSun" w:hAnsi="SimSun" w:cs="SimSun"/>
          <w:spacing w:val="8"/>
          <w:position w:val="15"/>
          <w:sz w:val="20"/>
          <w:szCs w:val="20"/>
        </w:rPr>
        <w:t>建筑基坑工程监测技术标准</w:t>
      </w:r>
    </w:p>
    <w:p>
      <w:pPr>
        <w:spacing w:line="228" w:lineRule="auto"/>
        <w:rPr>
          <w:rFonts w:ascii="SimSun" w:eastAsia="SimSun" w:hAnsi="SimSun" w:cs="SimSun"/>
          <w:sz w:val="20"/>
          <w:szCs w:val="20"/>
        </w:rPr>
      </w:pPr>
      <w:r>
        <w:rPr>
          <w:rFonts w:ascii="SimSun" w:eastAsia="SimSun" w:hAnsi="SimSun" w:cs="SimSun"/>
          <w:spacing w:val="8"/>
          <w:sz w:val="20"/>
          <w:szCs w:val="20"/>
        </w:rPr>
        <w:t>建筑基坑支护技术规程</w:t>
      </w:r>
    </w:p>
    <w:p>
      <w:pPr>
        <w:spacing w:before="161" w:line="228" w:lineRule="auto"/>
        <w:rPr>
          <w:rFonts w:ascii="SimSun" w:eastAsia="SimSun" w:hAnsi="SimSun" w:cs="SimSun"/>
          <w:sz w:val="20"/>
          <w:szCs w:val="20"/>
        </w:rPr>
      </w:pPr>
      <w:r>
        <w:rPr>
          <w:rFonts w:ascii="SimSun" w:eastAsia="SimSun" w:hAnsi="SimSun" w:cs="SimSun"/>
          <w:spacing w:val="9"/>
          <w:sz w:val="20"/>
          <w:szCs w:val="20"/>
        </w:rPr>
        <w:t>建筑深基坑工程施工安全技术规范</w:t>
      </w:r>
    </w:p>
    <w:p>
      <w:pPr>
        <w:spacing w:line="228" w:lineRule="auto"/>
        <w:rPr>
          <w:rFonts w:ascii="SimSun" w:eastAsia="SimSun" w:hAnsi="SimSun" w:cs="SimSun"/>
          <w:sz w:val="20"/>
          <w:szCs w:val="20"/>
        </w:rPr>
        <w:sectPr>
          <w:footerReference w:type="default" r:id="rId5"/>
          <w:type w:val="continuous"/>
          <w:pgSz w:w="11906" w:h="16839"/>
          <w:pgMar w:top="1431" w:right="1714" w:bottom="1151" w:left="1785" w:header="0" w:footer="987" w:gutter="0"/>
          <w:pgNumType w:start="2"/>
          <w:cols w:num="2" w:space="708" w:equalWidth="0">
            <w:col w:w="1500" w:space="100"/>
            <w:col w:w="6807" w:space="0"/>
          </w:cols>
        </w:sectPr>
      </w:pPr>
    </w:p>
    <w:p>
      <w:pPr>
        <w:spacing w:line="294" w:lineRule="auto"/>
        <w:rPr>
          <w:rFonts w:ascii="Arial"/>
          <w:sz w:val="21"/>
        </w:rPr>
      </w:pPr>
    </w:p>
    <w:p>
      <w:pPr>
        <w:pStyle w:val="BodyText"/>
        <w:spacing w:before="65" w:line="191" w:lineRule="auto"/>
        <w:ind w:left="22"/>
      </w:pPr>
      <w:r>
        <w:rPr>
          <w:spacing w:val="2"/>
        </w:rPr>
        <w:t>3.1</w:t>
      </w:r>
    </w:p>
    <w:p>
      <w:pPr>
        <w:pStyle w:val="BodyText"/>
        <w:spacing w:before="173" w:line="226" w:lineRule="auto"/>
        <w:ind w:left="443"/>
      </w:pPr>
      <w:r>
        <w:rPr>
          <w:spacing w:val="14"/>
        </w:rPr>
        <w:t>软土深基坑（</w:t>
      </w:r>
      <w:r>
        <w:t>Deep</w:t>
      </w:r>
      <w:r>
        <w:rPr>
          <w:spacing w:val="14"/>
        </w:rPr>
        <w:t xml:space="preserve"> </w:t>
      </w:r>
      <w:r>
        <w:t>foundation</w:t>
      </w:r>
      <w:r>
        <w:rPr>
          <w:spacing w:val="14"/>
        </w:rPr>
        <w:t xml:space="preserve"> </w:t>
      </w:r>
      <w:r>
        <w:t>pit</w:t>
      </w:r>
      <w:r>
        <w:rPr>
          <w:spacing w:val="52"/>
        </w:rPr>
        <w:t xml:space="preserve"> </w:t>
      </w:r>
      <w:r>
        <w:t>in</w:t>
      </w:r>
      <w:r>
        <w:rPr>
          <w:spacing w:val="14"/>
        </w:rPr>
        <w:t xml:space="preserve"> </w:t>
      </w:r>
      <w:r>
        <w:t>soft</w:t>
      </w:r>
      <w:r>
        <w:rPr>
          <w:spacing w:val="18"/>
        </w:rPr>
        <w:t xml:space="preserve"> </w:t>
      </w:r>
      <w:r>
        <w:t>soil</w:t>
      </w:r>
      <w:r>
        <w:rPr>
          <w:spacing w:val="14"/>
        </w:rPr>
        <w:t>）</w:t>
      </w:r>
    </w:p>
    <w:p>
      <w:pPr>
        <w:spacing w:before="163" w:line="438" w:lineRule="exact"/>
        <w:ind w:left="443"/>
        <w:rPr>
          <w:rFonts w:ascii="SimSun" w:eastAsia="SimSun" w:hAnsi="SimSun" w:cs="SimSun"/>
          <w:sz w:val="20"/>
          <w:szCs w:val="20"/>
        </w:rPr>
      </w:pPr>
      <w:r>
        <w:rPr>
          <w:rFonts w:ascii="SimSun" w:eastAsia="SimSun" w:hAnsi="SimSun" w:cs="SimSun"/>
          <w:spacing w:val="9"/>
          <w:position w:val="17"/>
          <w:sz w:val="20"/>
          <w:szCs w:val="20"/>
        </w:rPr>
        <w:t>土质较软、稳定性较差、地下水位较高的深层基坑工程。</w:t>
      </w:r>
    </w:p>
    <w:p>
      <w:pPr>
        <w:pStyle w:val="BodyText"/>
        <w:spacing w:line="191" w:lineRule="auto"/>
        <w:ind w:left="22"/>
      </w:pPr>
      <w:r>
        <w:rPr>
          <w:spacing w:val="1"/>
        </w:rPr>
        <w:t>3.2</w:t>
      </w:r>
    </w:p>
    <w:p>
      <w:pPr>
        <w:pStyle w:val="BodyText"/>
        <w:spacing w:before="171" w:line="226" w:lineRule="auto"/>
        <w:ind w:left="443"/>
      </w:pPr>
      <w:r>
        <w:rPr>
          <w:spacing w:val="20"/>
        </w:rPr>
        <w:t>地下水控制（</w:t>
      </w:r>
      <w:r>
        <w:t>Groundwater</w:t>
      </w:r>
      <w:r>
        <w:rPr>
          <w:spacing w:val="20"/>
        </w:rPr>
        <w:t xml:space="preserve"> </w:t>
      </w:r>
      <w:r>
        <w:t>controlling</w:t>
      </w:r>
      <w:r>
        <w:rPr>
          <w:spacing w:val="20"/>
        </w:rPr>
        <w:t>）</w:t>
      </w:r>
    </w:p>
    <w:p>
      <w:pPr>
        <w:spacing w:before="165" w:line="408" w:lineRule="exact"/>
        <w:jc w:val="right"/>
        <w:rPr>
          <w:rFonts w:ascii="SimSun" w:eastAsia="SimSun" w:hAnsi="SimSun" w:cs="SimSun"/>
          <w:sz w:val="20"/>
          <w:szCs w:val="20"/>
        </w:rPr>
      </w:pPr>
      <w:r>
        <w:rPr>
          <w:rFonts w:ascii="SimSun" w:eastAsia="SimSun" w:hAnsi="SimSun" w:cs="SimSun"/>
          <w:spacing w:val="4"/>
          <w:position w:val="15"/>
          <w:sz w:val="20"/>
          <w:szCs w:val="20"/>
        </w:rPr>
        <w:t>为保证支护结构施工、基坑挖土、地下室施工及基坑周边环</w:t>
      </w:r>
      <w:r>
        <w:rPr>
          <w:rFonts w:ascii="SimSun" w:eastAsia="SimSun" w:hAnsi="SimSun" w:cs="SimSun"/>
          <w:spacing w:val="3"/>
          <w:position w:val="15"/>
          <w:sz w:val="20"/>
          <w:szCs w:val="20"/>
        </w:rPr>
        <w:t>境安全而采取的排水、降水、</w:t>
      </w:r>
    </w:p>
    <w:p>
      <w:pPr>
        <w:spacing w:before="1" w:line="228" w:lineRule="auto"/>
        <w:ind w:left="21"/>
        <w:rPr>
          <w:rFonts w:ascii="SimSun" w:eastAsia="SimSun" w:hAnsi="SimSun" w:cs="SimSun"/>
          <w:sz w:val="20"/>
          <w:szCs w:val="20"/>
        </w:rPr>
      </w:pPr>
      <w:r>
        <w:rPr>
          <w:rFonts w:ascii="SimSun" w:eastAsia="SimSun" w:hAnsi="SimSun" w:cs="SimSun"/>
          <w:spacing w:val="7"/>
          <w:sz w:val="20"/>
          <w:szCs w:val="20"/>
        </w:rPr>
        <w:t>截水或回灌措施。</w:t>
      </w:r>
    </w:p>
    <w:p>
      <w:pPr>
        <w:pStyle w:val="BodyText"/>
        <w:spacing w:before="191" w:line="191" w:lineRule="auto"/>
        <w:ind w:left="22"/>
      </w:pPr>
      <w:r>
        <w:rPr>
          <w:spacing w:val="1"/>
        </w:rPr>
        <w:t>3.3</w:t>
      </w:r>
    </w:p>
    <w:p>
      <w:pPr>
        <w:pStyle w:val="BodyText"/>
        <w:spacing w:before="171" w:line="226" w:lineRule="auto"/>
        <w:ind w:left="450"/>
      </w:pPr>
      <w:r>
        <w:rPr>
          <w:spacing w:val="15"/>
        </w:rPr>
        <w:t>降水（</w:t>
      </w:r>
      <w:r>
        <w:t>Dewatering</w:t>
      </w:r>
      <w:r>
        <w:rPr>
          <w:spacing w:val="15"/>
        </w:rPr>
        <w:t>）</w:t>
      </w:r>
    </w:p>
    <w:p>
      <w:pPr>
        <w:spacing w:before="163" w:line="408" w:lineRule="exact"/>
        <w:ind w:left="444"/>
        <w:rPr>
          <w:rFonts w:ascii="SimSun" w:eastAsia="SimSun" w:hAnsi="SimSun" w:cs="SimSun"/>
          <w:sz w:val="20"/>
          <w:szCs w:val="20"/>
        </w:rPr>
      </w:pPr>
      <w:r>
        <w:rPr>
          <w:rFonts w:ascii="SimSun" w:eastAsia="SimSun" w:hAnsi="SimSun" w:cs="SimSun"/>
          <w:spacing w:val="7"/>
          <w:position w:val="15"/>
          <w:sz w:val="20"/>
          <w:szCs w:val="20"/>
        </w:rPr>
        <w:t>为防止地下水通过基坑侧壁与基底流入基坑，用抽水井或渗水井降低基坑内外地下水位</w:t>
      </w:r>
    </w:p>
    <w:p>
      <w:pPr>
        <w:spacing w:before="1" w:line="229" w:lineRule="auto"/>
        <w:ind w:left="39"/>
        <w:rPr>
          <w:rFonts w:ascii="SimSun" w:eastAsia="SimSun" w:hAnsi="SimSun" w:cs="SimSun"/>
          <w:sz w:val="20"/>
          <w:szCs w:val="20"/>
        </w:rPr>
      </w:pPr>
      <w:r>
        <w:rPr>
          <w:rFonts w:ascii="SimSun" w:eastAsia="SimSun" w:hAnsi="SimSun" w:cs="SimSun"/>
          <w:sz w:val="20"/>
          <w:szCs w:val="20"/>
        </w:rPr>
        <w:t>的方法。</w:t>
      </w:r>
    </w:p>
    <w:p>
      <w:pPr>
        <w:pStyle w:val="BodyText"/>
        <w:spacing w:before="192" w:line="191" w:lineRule="auto"/>
        <w:ind w:left="22"/>
      </w:pPr>
      <w:r>
        <w:rPr>
          <w:spacing w:val="1"/>
        </w:rPr>
        <w:t>3.4</w:t>
      </w:r>
    </w:p>
    <w:p>
      <w:pPr>
        <w:pStyle w:val="BodyText"/>
        <w:spacing w:before="170" w:line="226" w:lineRule="auto"/>
        <w:ind w:left="443"/>
        <w:sectPr>
          <w:footerReference w:type="default" r:id="rId6"/>
          <w:type w:val="continuous"/>
          <w:pgSz w:w="11906" w:h="16839"/>
          <w:pgMar w:top="1431" w:right="1714" w:bottom="1151" w:left="1785" w:header="0" w:footer="987" w:gutter="0"/>
          <w:pgNumType w:start="3"/>
          <w:cols w:num="1" w:space="708" w:equalWidth="0">
            <w:col w:w="8406" w:space="0"/>
          </w:cols>
        </w:sectPr>
      </w:pPr>
      <w:r>
        <w:rPr>
          <w:spacing w:val="19"/>
        </w:rPr>
        <w:t>基坑支护（</w:t>
      </w:r>
      <w:r>
        <w:t>Foundation</w:t>
      </w:r>
      <w:r>
        <w:rPr>
          <w:spacing w:val="19"/>
        </w:rPr>
        <w:t xml:space="preserve"> </w:t>
      </w:r>
      <w:r>
        <w:t>pit</w:t>
      </w:r>
      <w:r>
        <w:rPr>
          <w:spacing w:val="19"/>
        </w:rPr>
        <w:t xml:space="preserve"> </w:t>
      </w:r>
      <w:r>
        <w:t>support</w:t>
      </w:r>
      <w:r>
        <w:rPr>
          <w:spacing w:val="19"/>
        </w:rPr>
        <w:t>）</w:t>
      </w:r>
    </w:p>
    <w:p>
      <w:pPr>
        <w:spacing w:before="163" w:line="439" w:lineRule="exact"/>
        <w:ind w:left="442"/>
        <w:rPr>
          <w:rFonts w:ascii="SimSun" w:eastAsia="SimSun" w:hAnsi="SimSun" w:cs="SimSun"/>
          <w:sz w:val="20"/>
          <w:szCs w:val="20"/>
        </w:rPr>
      </w:pPr>
      <w:r>
        <w:rPr>
          <w:rFonts w:ascii="SimSun" w:eastAsia="SimSun" w:hAnsi="SimSun" w:cs="SimSun"/>
          <w:spacing w:val="9"/>
          <w:position w:val="17"/>
          <w:sz w:val="20"/>
          <w:szCs w:val="20"/>
        </w:rPr>
        <w:t>基坑工程中采用的围护墙、支撑、腰梁、止水帷幕等结构体系的总称。</w:t>
      </w:r>
    </w:p>
    <w:p>
      <w:pPr>
        <w:pStyle w:val="BodyText"/>
        <w:spacing w:line="191" w:lineRule="auto"/>
        <w:ind w:left="22"/>
      </w:pPr>
      <w:r>
        <w:rPr>
          <w:spacing w:val="1"/>
        </w:rPr>
        <w:t>3.5</w:t>
      </w:r>
    </w:p>
    <w:p>
      <w:pPr>
        <w:pStyle w:val="BodyText"/>
        <w:spacing w:before="173" w:line="226" w:lineRule="auto"/>
        <w:ind w:left="443"/>
      </w:pPr>
      <w:r>
        <w:rPr>
          <w:spacing w:val="19"/>
        </w:rPr>
        <w:t>基坑自动化监测系统（</w:t>
      </w:r>
      <w:r>
        <w:t>Automated</w:t>
      </w:r>
      <w:r>
        <w:rPr>
          <w:spacing w:val="19"/>
        </w:rPr>
        <w:t xml:space="preserve"> </w:t>
      </w:r>
      <w:r>
        <w:t>monitoring</w:t>
      </w:r>
      <w:r>
        <w:rPr>
          <w:spacing w:val="19"/>
        </w:rPr>
        <w:t xml:space="preserve"> </w:t>
      </w:r>
      <w:r>
        <w:t>system</w:t>
      </w:r>
      <w:r>
        <w:rPr>
          <w:spacing w:val="19"/>
        </w:rPr>
        <w:t xml:space="preserve"> </w:t>
      </w:r>
      <w:r>
        <w:t>of</w:t>
      </w:r>
      <w:r>
        <w:rPr>
          <w:spacing w:val="19"/>
        </w:rPr>
        <w:t xml:space="preserve"> </w:t>
      </w:r>
      <w:r>
        <w:t>excavation</w:t>
      </w:r>
      <w:r>
        <w:rPr>
          <w:spacing w:val="19"/>
        </w:rPr>
        <w:t>）</w:t>
      </w:r>
    </w:p>
    <w:p>
      <w:pPr>
        <w:spacing w:before="162" w:line="194" w:lineRule="auto"/>
        <w:ind w:left="443"/>
        <w:rPr>
          <w:rFonts w:ascii="SimSun" w:eastAsia="SimSun" w:hAnsi="SimSun" w:cs="SimSun"/>
          <w:sz w:val="20"/>
          <w:szCs w:val="20"/>
        </w:rPr>
      </w:pPr>
      <w:r>
        <w:rPr>
          <w:rFonts w:ascii="SimSun" w:eastAsia="SimSun" w:hAnsi="SimSun" w:cs="SimSun"/>
          <w:spacing w:val="7"/>
          <w:sz w:val="20"/>
          <w:szCs w:val="20"/>
        </w:rPr>
        <w:t>整合计算机技术、通信技术及传感器技术等构建的监测系统，实现基坑监测数据的自动</w:t>
      </w:r>
    </w:p>
    <w:p>
      <w:pPr>
        <w:spacing w:line="194" w:lineRule="auto"/>
        <w:rPr>
          <w:rFonts w:ascii="SimSun" w:eastAsia="SimSun" w:hAnsi="SimSun" w:cs="SimSun"/>
          <w:sz w:val="20"/>
          <w:szCs w:val="20"/>
        </w:rPr>
        <w:sectPr>
          <w:footerReference w:type="default" r:id="rId7"/>
          <w:type w:val="nextPage"/>
          <w:pgSz w:w="11906" w:h="16839"/>
          <w:pgMar w:top="1431" w:right="1714" w:bottom="1151" w:left="1785" w:header="0" w:footer="987" w:gutter="0"/>
          <w:pgNumType w:start="4"/>
          <w:cols w:num="1" w:space="708" w:equalWidth="0">
            <w:col w:w="8406" w:space="0"/>
          </w:cols>
          <w:titlePg w:val="0"/>
        </w:sectPr>
      </w:pPr>
    </w:p>
    <w:p>
      <w:pPr>
        <w:spacing w:before="41" w:line="408" w:lineRule="exact"/>
        <w:ind w:left="121"/>
        <w:rPr>
          <w:rFonts w:ascii="SimSun" w:eastAsia="SimSun" w:hAnsi="SimSun" w:cs="SimSun"/>
          <w:sz w:val="20"/>
          <w:szCs w:val="20"/>
        </w:rPr>
      </w:pPr>
      <w:r>
        <w:rPr>
          <w:rFonts w:ascii="SimSun" w:eastAsia="SimSun" w:hAnsi="SimSun" w:cs="SimSun"/>
          <w:spacing w:val="8"/>
          <w:position w:val="15"/>
          <w:sz w:val="20"/>
          <w:szCs w:val="20"/>
        </w:rPr>
        <w:t>化采集、传输、处理和预警。</w:t>
      </w:r>
    </w:p>
    <w:p>
      <w:pPr>
        <w:pStyle w:val="BodyText"/>
        <w:spacing w:before="1" w:line="229" w:lineRule="auto"/>
        <w:ind w:left="115"/>
      </w:pPr>
      <w:r>
        <w:rPr>
          <w:spacing w:val="8"/>
        </w:rPr>
        <w:t>4</w:t>
      </w:r>
      <w:r>
        <w:rPr>
          <w:spacing w:val="8"/>
        </w:rPr>
        <w:t xml:space="preserve"> </w:t>
      </w:r>
      <w:r>
        <w:rPr>
          <w:spacing w:val="8"/>
        </w:rPr>
        <w:t>软土深基坑地下水控制</w:t>
      </w:r>
    </w:p>
    <w:p>
      <w:pPr>
        <w:pStyle w:val="BodyText"/>
        <w:spacing w:before="298" w:line="231" w:lineRule="auto"/>
        <w:ind w:left="115"/>
      </w:pPr>
      <w:r>
        <w:rPr>
          <w:spacing w:val="5"/>
        </w:rPr>
        <w:t>4.1</w:t>
      </w:r>
      <w:r>
        <w:rPr>
          <w:spacing w:val="19"/>
        </w:rPr>
        <w:t xml:space="preserve"> </w:t>
      </w:r>
      <w:r>
        <w:rPr>
          <w:spacing w:val="5"/>
        </w:rPr>
        <w:t>基本规定</w:t>
      </w:r>
    </w:p>
    <w:p>
      <w:pPr>
        <w:pStyle w:val="BodyText"/>
        <w:spacing w:before="157" w:line="302" w:lineRule="auto"/>
        <w:ind w:left="123" w:right="54" w:hanging="8"/>
        <w:rPr>
          <w:rFonts w:ascii="SimSun" w:eastAsia="SimSun" w:hAnsi="SimSun" w:cs="SimSun"/>
        </w:rPr>
      </w:pPr>
      <w:r>
        <w:rPr>
          <w:spacing w:val="8"/>
        </w:rPr>
        <w:t>4.1.1</w:t>
      </w:r>
      <w:r>
        <w:rPr>
          <w:spacing w:val="8"/>
        </w:rPr>
        <w:t xml:space="preserve"> </w:t>
      </w:r>
      <w:r>
        <w:rPr>
          <w:rFonts w:ascii="SimSun" w:eastAsia="SimSun" w:hAnsi="SimSun" w:cs="SimSun"/>
          <w:spacing w:val="8"/>
        </w:rPr>
        <w:t>基坑工程施工前，应掌握工程地质、水文详勘资料及围护结构设计资料并认真研究，</w:t>
      </w:r>
      <w:r>
        <w:rPr>
          <w:rFonts w:ascii="SimSun" w:eastAsia="SimSun" w:hAnsi="SimSun" w:cs="SimSun"/>
          <w:spacing w:val="16"/>
        </w:rPr>
        <w:t xml:space="preserve"> </w:t>
      </w:r>
      <w:r>
        <w:rPr>
          <w:rFonts w:ascii="SimSun" w:eastAsia="SimSun" w:hAnsi="SimSun" w:cs="SimSun"/>
          <w:spacing w:val="9"/>
        </w:rPr>
        <w:t>必要时采用现场抽水试验，水文地质补充勘查等手段，全面辨识地下水</w:t>
      </w:r>
      <w:r>
        <w:rPr>
          <w:rFonts w:ascii="SimSun" w:eastAsia="SimSun" w:hAnsi="SimSun" w:cs="SimSun"/>
          <w:spacing w:val="8"/>
        </w:rPr>
        <w:t>对基坑工程的危害。</w:t>
      </w:r>
    </w:p>
    <w:p>
      <w:pPr>
        <w:pStyle w:val="BodyText"/>
        <w:spacing w:before="160" w:line="303" w:lineRule="auto"/>
        <w:ind w:left="122" w:right="114" w:hanging="7"/>
        <w:rPr>
          <w:rFonts w:ascii="SimSun" w:eastAsia="SimSun" w:hAnsi="SimSun" w:cs="SimSun"/>
        </w:rPr>
      </w:pPr>
      <w:r>
        <w:rPr>
          <w:spacing w:val="7"/>
        </w:rPr>
        <w:t>4.1.2</w:t>
      </w:r>
      <w:r>
        <w:rPr>
          <w:spacing w:val="7"/>
        </w:rPr>
        <w:t xml:space="preserve"> </w:t>
      </w:r>
      <w:r>
        <w:rPr>
          <w:rFonts w:ascii="SimSun" w:eastAsia="SimSun" w:hAnsi="SimSun" w:cs="SimSun"/>
          <w:spacing w:val="7"/>
        </w:rPr>
        <w:t>地下水控制方法分为集水明排、降水、截水和回灌等类型，可单独或组合使用，并宜</w:t>
      </w:r>
      <w:r>
        <w:rPr>
          <w:rFonts w:ascii="SimSun" w:eastAsia="SimSun" w:hAnsi="SimSun" w:cs="SimSun"/>
        </w:rPr>
        <w:t xml:space="preserve"> </w:t>
      </w:r>
      <w:r>
        <w:rPr>
          <w:rFonts w:ascii="SimSun" w:eastAsia="SimSun" w:hAnsi="SimSun" w:cs="SimSun"/>
          <w:spacing w:val="5"/>
        </w:rPr>
        <w:t>按表 4.1.2</w:t>
      </w:r>
      <w:r>
        <w:rPr>
          <w:rFonts w:ascii="SimSun" w:eastAsia="SimSun" w:hAnsi="SimSun" w:cs="SimSun"/>
          <w:spacing w:val="11"/>
        </w:rPr>
        <w:t xml:space="preserve"> </w:t>
      </w:r>
      <w:r>
        <w:rPr>
          <w:rFonts w:ascii="SimSun" w:eastAsia="SimSun" w:hAnsi="SimSun" w:cs="SimSun"/>
          <w:spacing w:val="5"/>
        </w:rPr>
        <w:t>选用</w:t>
      </w:r>
    </w:p>
    <w:p>
      <w:pPr>
        <w:pStyle w:val="BodyText"/>
        <w:spacing w:before="259" w:line="229" w:lineRule="auto"/>
        <w:ind w:left="2807"/>
      </w:pPr>
      <w:r>
        <w:rPr>
          <w:spacing w:val="5"/>
        </w:rPr>
        <w:t>表</w:t>
      </w:r>
      <w:r>
        <w:rPr>
          <w:spacing w:val="5"/>
        </w:rPr>
        <w:t xml:space="preserve"> </w:t>
      </w:r>
      <w:r>
        <w:rPr>
          <w:rFonts w:ascii="Times New Roman" w:eastAsia="Times New Roman" w:hAnsi="Times New Roman" w:cs="Times New Roman"/>
          <w:spacing w:val="5"/>
        </w:rPr>
        <w:t>4.</w:t>
      </w:r>
      <w:r>
        <w:rPr>
          <w:rFonts w:ascii="Times New Roman" w:eastAsia="Times New Roman" w:hAnsi="Times New Roman" w:cs="Times New Roman"/>
          <w:spacing w:val="-10"/>
        </w:rPr>
        <w:t xml:space="preserve"> </w:t>
      </w:r>
      <w:r>
        <w:rPr>
          <w:rFonts w:ascii="Times New Roman" w:eastAsia="Times New Roman" w:hAnsi="Times New Roman" w:cs="Times New Roman"/>
          <w:spacing w:val="5"/>
        </w:rPr>
        <w:t xml:space="preserve">1.2  </w:t>
      </w:r>
      <w:r>
        <w:rPr>
          <w:spacing w:val="5"/>
        </w:rPr>
        <w:t>地下水控制方法及适用条件</w:t>
      </w:r>
    </w:p>
    <w:p>
      <w:pPr>
        <w:spacing w:line="92" w:lineRule="exact"/>
      </w:pPr>
    </w:p>
    <w:tbl>
      <w:tblPr>
        <w:tblStyle w:val="TableNormal0"/>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62"/>
        <w:gridCol w:w="1671"/>
        <w:gridCol w:w="2780"/>
        <w:gridCol w:w="1704"/>
        <w:gridCol w:w="1709"/>
      </w:tblGrid>
      <w:tr>
        <w:tblPrEx>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2333" w:type="dxa"/>
            <w:gridSpan w:val="2"/>
            <w:vAlign w:val="top"/>
          </w:tcPr>
          <w:p>
            <w:pPr>
              <w:spacing w:before="56" w:line="231" w:lineRule="auto"/>
              <w:ind w:left="1167"/>
              <w:rPr>
                <w:rFonts w:ascii="SimHei" w:eastAsia="SimHei" w:hAnsi="SimHei" w:cs="SimHei"/>
                <w:sz w:val="20"/>
                <w:szCs w:val="20"/>
              </w:rPr>
            </w:pPr>
            <w:r>
              <w:drawing>
                <wp:anchor distT="0" distB="0" distL="0" distR="0" simplePos="0" relativeHeight="251658240" behindDoc="1" locked="0" layoutInCell="1" allowOverlap="1">
                  <wp:simplePos x="0" y="0"/>
                  <wp:positionH relativeFrom="column">
                    <wp:posOffset>-571</wp:posOffset>
                  </wp:positionH>
                  <wp:positionV relativeFrom="paragraph">
                    <wp:posOffset>13448</wp:posOffset>
                  </wp:positionV>
                  <wp:extent cx="1489329" cy="354076"/>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
                          <a:stretch>
                            <a:fillRect/>
                          </a:stretch>
                        </pic:blipFill>
                        <pic:spPr>
                          <a:xfrm>
                            <a:off x="0" y="0"/>
                            <a:ext cx="1489329" cy="354076"/>
                          </a:xfrm>
                          <a:prstGeom prst="rect">
                            <a:avLst/>
                          </a:prstGeom>
                        </pic:spPr>
                      </pic:pic>
                    </a:graphicData>
                  </a:graphic>
                </wp:anchor>
              </w:drawing>
            </w:r>
            <w:r>
              <w:rPr>
                <w:rFonts w:ascii="SimHei" w:eastAsia="SimHei" w:hAnsi="SimHei" w:cs="SimHei"/>
                <w:spacing w:val="7"/>
                <w:sz w:val="20"/>
                <w:szCs w:val="20"/>
              </w:rPr>
              <w:t>适用条件</w:t>
            </w:r>
          </w:p>
          <w:p>
            <w:pPr>
              <w:spacing w:before="61" w:line="229" w:lineRule="auto"/>
              <w:ind w:left="540"/>
              <w:rPr>
                <w:rFonts w:ascii="SimHei" w:eastAsia="SimHei" w:hAnsi="SimHei" w:cs="SimHei"/>
                <w:sz w:val="20"/>
                <w:szCs w:val="20"/>
              </w:rPr>
            </w:pPr>
            <w:r>
              <w:rPr>
                <w:rFonts w:ascii="SimHei" w:eastAsia="SimHei" w:hAnsi="SimHei" w:cs="SimHei"/>
                <w:spacing w:val="2"/>
                <w:sz w:val="20"/>
                <w:szCs w:val="20"/>
              </w:rPr>
              <w:t>方法</w:t>
            </w:r>
          </w:p>
        </w:tc>
        <w:tc>
          <w:tcPr>
            <w:tcW w:w="2780" w:type="dxa"/>
            <w:vAlign w:val="top"/>
          </w:tcPr>
          <w:p>
            <w:pPr>
              <w:spacing w:before="211" w:line="229" w:lineRule="auto"/>
              <w:ind w:left="974"/>
              <w:rPr>
                <w:rFonts w:ascii="SimHei" w:eastAsia="SimHei" w:hAnsi="SimHei" w:cs="SimHei"/>
                <w:sz w:val="20"/>
                <w:szCs w:val="20"/>
              </w:rPr>
            </w:pPr>
            <w:r>
              <w:rPr>
                <w:rFonts w:ascii="SimHei" w:eastAsia="SimHei" w:hAnsi="SimHei" w:cs="SimHei"/>
                <w:b/>
                <w:bCs/>
                <w:spacing w:val="6"/>
                <w:sz w:val="20"/>
                <w:szCs w:val="20"/>
              </w:rPr>
              <w:t>土质类别</w:t>
            </w:r>
          </w:p>
        </w:tc>
        <w:tc>
          <w:tcPr>
            <w:tcW w:w="1704" w:type="dxa"/>
            <w:vAlign w:val="top"/>
          </w:tcPr>
          <w:p>
            <w:pPr>
              <w:spacing w:before="55" w:line="281" w:lineRule="exact"/>
              <w:ind w:left="438"/>
              <w:rPr>
                <w:rFonts w:ascii="SimHei" w:eastAsia="SimHei" w:hAnsi="SimHei" w:cs="SimHei"/>
                <w:sz w:val="20"/>
                <w:szCs w:val="20"/>
              </w:rPr>
            </w:pPr>
            <w:r>
              <w:rPr>
                <w:rFonts w:ascii="SimHei" w:eastAsia="SimHei" w:hAnsi="SimHei" w:cs="SimHei"/>
                <w:b/>
                <w:bCs/>
                <w:spacing w:val="6"/>
                <w:position w:val="5"/>
                <w:sz w:val="20"/>
                <w:szCs w:val="20"/>
              </w:rPr>
              <w:t>渗透系数</w:t>
            </w:r>
          </w:p>
          <w:p>
            <w:pPr>
              <w:spacing w:line="274" w:lineRule="exact"/>
              <w:ind w:left="502"/>
              <w:rPr>
                <w:rFonts w:ascii="SimHei" w:eastAsia="SimHei" w:hAnsi="SimHei" w:cs="SimHei"/>
                <w:sz w:val="20"/>
                <w:szCs w:val="20"/>
              </w:rPr>
            </w:pPr>
            <w:r>
              <w:rPr>
                <w:rFonts w:ascii="SimHei" w:eastAsia="SimHei" w:hAnsi="SimHei" w:cs="SimHei"/>
                <w:b/>
                <w:bCs/>
                <w:spacing w:val="-1"/>
                <w:position w:val="1"/>
                <w:sz w:val="20"/>
                <w:szCs w:val="20"/>
              </w:rPr>
              <w:t>（</w:t>
            </w:r>
            <w:r>
              <w:rPr>
                <w:rFonts w:ascii="Times New Roman" w:eastAsia="Times New Roman" w:hAnsi="Times New Roman" w:cs="Times New Roman"/>
                <w:spacing w:val="-1"/>
                <w:position w:val="1"/>
                <w:sz w:val="20"/>
                <w:szCs w:val="20"/>
              </w:rPr>
              <w:t>m/d</w:t>
            </w:r>
            <w:r>
              <w:rPr>
                <w:rFonts w:ascii="SimHei" w:eastAsia="SimHei" w:hAnsi="SimHei" w:cs="SimHei"/>
                <w:b/>
                <w:bCs/>
                <w:spacing w:val="-1"/>
                <w:position w:val="1"/>
                <w:sz w:val="20"/>
                <w:szCs w:val="20"/>
              </w:rPr>
              <w:t>）</w:t>
            </w:r>
          </w:p>
        </w:tc>
        <w:tc>
          <w:tcPr>
            <w:tcW w:w="1709" w:type="dxa"/>
            <w:vAlign w:val="top"/>
          </w:tcPr>
          <w:p>
            <w:pPr>
              <w:spacing w:before="55" w:line="230" w:lineRule="auto"/>
              <w:ind w:left="447"/>
              <w:rPr>
                <w:rFonts w:ascii="SimHei" w:eastAsia="SimHei" w:hAnsi="SimHei" w:cs="SimHei"/>
                <w:sz w:val="20"/>
                <w:szCs w:val="20"/>
              </w:rPr>
            </w:pPr>
            <w:r>
              <w:rPr>
                <w:rFonts w:ascii="SimHei" w:eastAsia="SimHei" w:hAnsi="SimHei" w:cs="SimHei"/>
                <w:b/>
                <w:bCs/>
                <w:spacing w:val="4"/>
                <w:sz w:val="20"/>
                <w:szCs w:val="20"/>
              </w:rPr>
              <w:t>降水深度</w:t>
            </w:r>
          </w:p>
          <w:p>
            <w:pPr>
              <w:spacing w:before="62" w:line="236" w:lineRule="auto"/>
              <w:ind w:left="586"/>
              <w:rPr>
                <w:rFonts w:ascii="SimHei" w:eastAsia="SimHei" w:hAnsi="SimHei" w:cs="SimHei"/>
                <w:sz w:val="20"/>
                <w:szCs w:val="20"/>
              </w:rPr>
            </w:pPr>
            <w:r>
              <w:rPr>
                <w:rFonts w:ascii="SimHei" w:eastAsia="SimHei" w:hAnsi="SimHei" w:cs="SimHei"/>
                <w:b/>
                <w:bCs/>
                <w:spacing w:val="-6"/>
                <w:sz w:val="20"/>
                <w:szCs w:val="20"/>
              </w:rPr>
              <w:t>（</w:t>
            </w:r>
            <w:r>
              <w:rPr>
                <w:rFonts w:ascii="Times New Roman" w:eastAsia="Times New Roman" w:hAnsi="Times New Roman" w:cs="Times New Roman"/>
                <w:spacing w:val="-6"/>
                <w:sz w:val="20"/>
                <w:szCs w:val="20"/>
              </w:rPr>
              <w:t>m</w:t>
            </w:r>
            <w:r>
              <w:rPr>
                <w:rFonts w:ascii="SimHei" w:eastAsia="SimHei" w:hAnsi="SimHei" w:cs="SimHei"/>
                <w:b/>
                <w:bCs/>
                <w:spacing w:val="-6"/>
                <w:sz w:val="20"/>
                <w:szCs w:val="20"/>
              </w:rPr>
              <w:t>）</w:t>
            </w:r>
          </w:p>
        </w:tc>
      </w:tr>
      <w:tr>
        <w:tblPrEx>
          <w:tblW w:w="8526" w:type="dxa"/>
          <w:tblInd w:w="2" w:type="dxa"/>
          <w:tblLayout w:type="fixed"/>
        </w:tblPrEx>
        <w:trPr>
          <w:trHeight w:val="628"/>
        </w:trPr>
        <w:tc>
          <w:tcPr>
            <w:tcW w:w="2333" w:type="dxa"/>
            <w:gridSpan w:val="2"/>
            <w:vAlign w:val="top"/>
          </w:tcPr>
          <w:p>
            <w:pPr>
              <w:pStyle w:val="TableText"/>
              <w:spacing w:before="207" w:line="228" w:lineRule="auto"/>
              <w:ind w:left="909"/>
            </w:pPr>
            <w:r>
              <w:t>截</w:t>
            </w:r>
            <w:r>
              <w:rPr>
                <w:spacing w:val="16"/>
              </w:rPr>
              <w:t xml:space="preserve"> </w:t>
            </w:r>
            <w:r>
              <w:t>水</w:t>
            </w:r>
          </w:p>
        </w:tc>
        <w:tc>
          <w:tcPr>
            <w:tcW w:w="2780" w:type="dxa"/>
            <w:vAlign w:val="top"/>
          </w:tcPr>
          <w:p>
            <w:pPr>
              <w:pStyle w:val="TableText"/>
              <w:spacing w:before="51" w:line="228" w:lineRule="auto"/>
              <w:ind w:left="115"/>
            </w:pPr>
            <w:r>
              <w:rPr>
                <w:spacing w:val="4"/>
              </w:rPr>
              <w:t>黏性土、粉土、砂土、 碎石</w:t>
            </w:r>
          </w:p>
          <w:p>
            <w:pPr>
              <w:pStyle w:val="TableText"/>
              <w:spacing w:before="64" w:line="229" w:lineRule="auto"/>
              <w:ind w:left="114"/>
            </w:pPr>
            <w:r>
              <w:rPr>
                <w:spacing w:val="7"/>
              </w:rPr>
              <w:t>土、岩石</w:t>
            </w:r>
          </w:p>
        </w:tc>
        <w:tc>
          <w:tcPr>
            <w:tcW w:w="1704" w:type="dxa"/>
            <w:vAlign w:val="top"/>
          </w:tcPr>
          <w:p>
            <w:pPr>
              <w:pStyle w:val="TableText"/>
              <w:spacing w:before="207" w:line="229" w:lineRule="auto"/>
              <w:ind w:left="651"/>
            </w:pPr>
            <w:r>
              <w:rPr>
                <w:spacing w:val="3"/>
              </w:rPr>
              <w:t>不限</w:t>
            </w:r>
          </w:p>
        </w:tc>
        <w:tc>
          <w:tcPr>
            <w:tcW w:w="1709" w:type="dxa"/>
            <w:vAlign w:val="top"/>
          </w:tcPr>
          <w:p>
            <w:pPr>
              <w:rPr>
                <w:rFonts w:ascii="Arial"/>
                <w:sz w:val="21"/>
              </w:rPr>
            </w:pPr>
          </w:p>
        </w:tc>
      </w:tr>
      <w:tr>
        <w:tblPrEx>
          <w:tblW w:w="8526" w:type="dxa"/>
          <w:tblInd w:w="2" w:type="dxa"/>
          <w:tblLayout w:type="fixed"/>
        </w:tblPrEx>
        <w:trPr>
          <w:trHeight w:val="629"/>
        </w:trPr>
        <w:tc>
          <w:tcPr>
            <w:tcW w:w="662" w:type="dxa"/>
            <w:vMerge w:val="restart"/>
            <w:tcBorders>
              <w:bottom w:val="nil"/>
            </w:tcBorders>
            <w:textDirection w:val="tbRlV"/>
            <w:vAlign w:val="top"/>
          </w:tcPr>
          <w:p>
            <w:pPr>
              <w:pStyle w:val="TableText"/>
              <w:spacing w:before="225" w:line="213" w:lineRule="auto"/>
              <w:ind w:left="1465"/>
            </w:pPr>
            <w:r>
              <w:rPr>
                <w:spacing w:val="9"/>
              </w:rPr>
              <w:t>降</w:t>
            </w:r>
            <w:r>
              <w:rPr>
                <w:spacing w:val="98"/>
              </w:rPr>
              <w:t xml:space="preserve"> </w:t>
            </w:r>
            <w:r>
              <w:rPr>
                <w:spacing w:val="9"/>
              </w:rPr>
              <w:t>水</w:t>
            </w:r>
          </w:p>
        </w:tc>
        <w:tc>
          <w:tcPr>
            <w:tcW w:w="1671" w:type="dxa"/>
            <w:vAlign w:val="top"/>
          </w:tcPr>
          <w:p>
            <w:pPr>
              <w:pStyle w:val="TableText"/>
              <w:spacing w:before="208" w:line="228" w:lineRule="auto"/>
              <w:ind w:left="421"/>
            </w:pPr>
            <w:r>
              <w:rPr>
                <w:spacing w:val="6"/>
              </w:rPr>
              <w:t>真空井点</w:t>
            </w:r>
          </w:p>
        </w:tc>
        <w:tc>
          <w:tcPr>
            <w:tcW w:w="2780" w:type="dxa"/>
            <w:vAlign w:val="top"/>
          </w:tcPr>
          <w:p>
            <w:pPr>
              <w:pStyle w:val="TableText"/>
              <w:spacing w:before="51" w:line="260" w:lineRule="auto"/>
              <w:ind w:left="113" w:right="152" w:hanging="1"/>
            </w:pPr>
            <w:r>
              <w:rPr>
                <w:spacing w:val="9"/>
              </w:rPr>
              <w:t>粉质黏土、粉土、细砂、中</w:t>
            </w:r>
            <w:r>
              <w:rPr>
                <w:spacing w:val="1"/>
              </w:rPr>
              <w:t xml:space="preserve"> </w:t>
            </w:r>
            <w:r>
              <w:rPr>
                <w:spacing w:val="4"/>
              </w:rPr>
              <w:t>细砂</w:t>
            </w:r>
          </w:p>
        </w:tc>
        <w:tc>
          <w:tcPr>
            <w:tcW w:w="1704" w:type="dxa"/>
            <w:vAlign w:val="top"/>
          </w:tcPr>
          <w:p>
            <w:pPr>
              <w:pStyle w:val="TableText"/>
              <w:spacing w:before="207" w:line="265" w:lineRule="exact"/>
              <w:ind w:left="438"/>
              <w:rPr>
                <w:rFonts w:ascii="Times New Roman" w:eastAsia="Times New Roman" w:hAnsi="Times New Roman" w:cs="Times New Roman"/>
              </w:rPr>
            </w:pPr>
            <w:r>
              <w:rPr>
                <w:rFonts w:ascii="Times New Roman" w:eastAsia="Times New Roman" w:hAnsi="Times New Roman" w:cs="Times New Roman"/>
                <w:spacing w:val="1"/>
                <w:position w:val="1"/>
              </w:rPr>
              <w:t>0.</w:t>
            </w:r>
            <w:r>
              <w:rPr>
                <w:rFonts w:ascii="Times New Roman" w:eastAsia="Times New Roman" w:hAnsi="Times New Roman" w:cs="Times New Roman"/>
                <w:spacing w:val="-25"/>
                <w:position w:val="1"/>
              </w:rPr>
              <w:t xml:space="preserve"> </w:t>
            </w:r>
            <w:r>
              <w:rPr>
                <w:rFonts w:ascii="Times New Roman" w:eastAsia="Times New Roman" w:hAnsi="Times New Roman" w:cs="Times New Roman"/>
                <w:spacing w:val="1"/>
                <w:position w:val="1"/>
              </w:rPr>
              <w:t>1</w:t>
            </w:r>
            <w:r>
              <w:rPr>
                <w:spacing w:val="1"/>
                <w:position w:val="1"/>
              </w:rPr>
              <w:t>～</w:t>
            </w:r>
            <w:r>
              <w:rPr>
                <w:rFonts w:ascii="Times New Roman" w:eastAsia="Times New Roman" w:hAnsi="Times New Roman" w:cs="Times New Roman"/>
                <w:spacing w:val="1"/>
                <w:position w:val="1"/>
              </w:rPr>
              <w:t>20.0</w:t>
            </w:r>
          </w:p>
        </w:tc>
        <w:tc>
          <w:tcPr>
            <w:tcW w:w="1709" w:type="dxa"/>
            <w:vAlign w:val="top"/>
          </w:tcPr>
          <w:p>
            <w:pPr>
              <w:pStyle w:val="TableText"/>
              <w:spacing w:before="51" w:line="312" w:lineRule="exact"/>
              <w:ind w:left="493"/>
              <w:rPr>
                <w:rFonts w:ascii="Times New Roman" w:eastAsia="Times New Roman" w:hAnsi="Times New Roman" w:cs="Times New Roman"/>
              </w:rPr>
            </w:pPr>
            <w:r>
              <w:rPr>
                <w:spacing w:val="6"/>
                <w:position w:val="7"/>
              </w:rPr>
              <w:t>单级＜</w:t>
            </w:r>
            <w:r>
              <w:rPr>
                <w:rFonts w:ascii="Times New Roman" w:eastAsia="Times New Roman" w:hAnsi="Times New Roman" w:cs="Times New Roman"/>
                <w:spacing w:val="6"/>
                <w:position w:val="7"/>
              </w:rPr>
              <w:t>6</w:t>
            </w:r>
          </w:p>
          <w:p>
            <w:pPr>
              <w:pStyle w:val="TableText"/>
              <w:spacing w:line="229" w:lineRule="auto"/>
              <w:ind w:left="448"/>
              <w:rPr>
                <w:rFonts w:ascii="Times New Roman" w:eastAsia="Times New Roman" w:hAnsi="Times New Roman" w:cs="Times New Roman"/>
              </w:rPr>
            </w:pPr>
            <w:r>
              <w:rPr>
                <w:spacing w:val="4"/>
              </w:rPr>
              <w:t>多级＜</w:t>
            </w:r>
            <w:r>
              <w:rPr>
                <w:rFonts w:ascii="Times New Roman" w:eastAsia="Times New Roman" w:hAnsi="Times New Roman" w:cs="Times New Roman"/>
                <w:spacing w:val="4"/>
              </w:rPr>
              <w:t>12</w:t>
            </w:r>
          </w:p>
        </w:tc>
      </w:tr>
      <w:tr>
        <w:tblPrEx>
          <w:tblW w:w="8526" w:type="dxa"/>
          <w:tblInd w:w="2" w:type="dxa"/>
          <w:tblLayout w:type="fixed"/>
        </w:tblPrEx>
        <w:trPr>
          <w:trHeight w:val="535"/>
        </w:trPr>
        <w:tc>
          <w:tcPr>
            <w:tcW w:w="662" w:type="dxa"/>
            <w:vMerge/>
            <w:tcBorders>
              <w:top w:val="nil"/>
              <w:bottom w:val="nil"/>
            </w:tcBorders>
            <w:textDirection w:val="tbRlV"/>
            <w:vAlign w:val="top"/>
          </w:tcPr>
          <w:p>
            <w:pPr>
              <w:rPr>
                <w:rFonts w:ascii="Arial"/>
                <w:sz w:val="21"/>
              </w:rPr>
            </w:pPr>
          </w:p>
        </w:tc>
        <w:tc>
          <w:tcPr>
            <w:tcW w:w="1671" w:type="dxa"/>
            <w:vAlign w:val="top"/>
          </w:tcPr>
          <w:p>
            <w:pPr>
              <w:pStyle w:val="TableText"/>
              <w:spacing w:before="162" w:line="229" w:lineRule="auto"/>
              <w:ind w:left="426"/>
            </w:pPr>
            <w:r>
              <w:rPr>
                <w:spacing w:val="5"/>
              </w:rPr>
              <w:t>喷射井点</w:t>
            </w:r>
          </w:p>
        </w:tc>
        <w:tc>
          <w:tcPr>
            <w:tcW w:w="2780" w:type="dxa"/>
            <w:vAlign w:val="top"/>
          </w:tcPr>
          <w:p>
            <w:pPr>
              <w:pStyle w:val="TableText"/>
              <w:spacing w:before="162" w:line="228" w:lineRule="auto"/>
              <w:ind w:left="112"/>
            </w:pPr>
            <w:r>
              <w:rPr>
                <w:spacing w:val="8"/>
              </w:rPr>
              <w:t>粉土、砂土</w:t>
            </w:r>
          </w:p>
        </w:tc>
        <w:tc>
          <w:tcPr>
            <w:tcW w:w="1704" w:type="dxa"/>
            <w:vAlign w:val="top"/>
          </w:tcPr>
          <w:p>
            <w:pPr>
              <w:pStyle w:val="TableText"/>
              <w:spacing w:before="161" w:line="265" w:lineRule="exact"/>
              <w:ind w:left="438"/>
              <w:rPr>
                <w:rFonts w:ascii="Times New Roman" w:eastAsia="Times New Roman" w:hAnsi="Times New Roman" w:cs="Times New Roman"/>
              </w:rPr>
            </w:pPr>
            <w:r>
              <w:rPr>
                <w:rFonts w:ascii="Times New Roman" w:eastAsia="Times New Roman" w:hAnsi="Times New Roman" w:cs="Times New Roman"/>
                <w:spacing w:val="1"/>
                <w:position w:val="1"/>
              </w:rPr>
              <w:t>0.</w:t>
            </w:r>
            <w:r>
              <w:rPr>
                <w:rFonts w:ascii="Times New Roman" w:eastAsia="Times New Roman" w:hAnsi="Times New Roman" w:cs="Times New Roman"/>
                <w:spacing w:val="-25"/>
                <w:position w:val="1"/>
              </w:rPr>
              <w:t xml:space="preserve"> </w:t>
            </w:r>
            <w:r>
              <w:rPr>
                <w:rFonts w:ascii="Times New Roman" w:eastAsia="Times New Roman" w:hAnsi="Times New Roman" w:cs="Times New Roman"/>
                <w:spacing w:val="1"/>
                <w:position w:val="1"/>
              </w:rPr>
              <w:t>1</w:t>
            </w:r>
            <w:r>
              <w:rPr>
                <w:spacing w:val="1"/>
                <w:position w:val="1"/>
              </w:rPr>
              <w:t>～</w:t>
            </w:r>
            <w:r>
              <w:rPr>
                <w:rFonts w:ascii="Times New Roman" w:eastAsia="Times New Roman" w:hAnsi="Times New Roman" w:cs="Times New Roman"/>
                <w:spacing w:val="1"/>
                <w:position w:val="1"/>
              </w:rPr>
              <w:t>20.0</w:t>
            </w:r>
          </w:p>
        </w:tc>
        <w:tc>
          <w:tcPr>
            <w:tcW w:w="1709" w:type="dxa"/>
            <w:vAlign w:val="top"/>
          </w:tcPr>
          <w:p>
            <w:pPr>
              <w:pStyle w:val="TableText"/>
              <w:spacing w:before="161" w:line="266" w:lineRule="exact"/>
              <w:ind w:left="665"/>
              <w:rPr>
                <w:rFonts w:ascii="Times New Roman" w:eastAsia="Times New Roman" w:hAnsi="Times New Roman" w:cs="Times New Roman"/>
              </w:rPr>
            </w:pPr>
            <w:r>
              <w:rPr>
                <w:spacing w:val="-2"/>
                <w:position w:val="1"/>
              </w:rPr>
              <w:t>＜</w:t>
            </w:r>
            <w:r>
              <w:rPr>
                <w:rFonts w:ascii="Times New Roman" w:eastAsia="Times New Roman" w:hAnsi="Times New Roman" w:cs="Times New Roman"/>
                <w:spacing w:val="-2"/>
                <w:position w:val="1"/>
              </w:rPr>
              <w:t>20</w:t>
            </w:r>
          </w:p>
        </w:tc>
      </w:tr>
      <w:tr>
        <w:tblPrEx>
          <w:tblW w:w="8526" w:type="dxa"/>
          <w:tblInd w:w="2" w:type="dxa"/>
          <w:tblLayout w:type="fixed"/>
        </w:tblPrEx>
        <w:trPr>
          <w:trHeight w:val="628"/>
        </w:trPr>
        <w:tc>
          <w:tcPr>
            <w:tcW w:w="662" w:type="dxa"/>
            <w:vMerge/>
            <w:tcBorders>
              <w:top w:val="nil"/>
              <w:bottom w:val="nil"/>
            </w:tcBorders>
            <w:textDirection w:val="tbRlV"/>
            <w:vAlign w:val="top"/>
          </w:tcPr>
          <w:p>
            <w:pPr>
              <w:rPr>
                <w:rFonts w:ascii="Arial"/>
                <w:sz w:val="21"/>
              </w:rPr>
            </w:pPr>
          </w:p>
        </w:tc>
        <w:tc>
          <w:tcPr>
            <w:tcW w:w="1671" w:type="dxa"/>
            <w:vAlign w:val="top"/>
          </w:tcPr>
          <w:p>
            <w:pPr>
              <w:pStyle w:val="TableText"/>
              <w:spacing w:before="207" w:line="228" w:lineRule="auto"/>
              <w:ind w:left="475"/>
            </w:pPr>
            <w:r>
              <w:rPr>
                <w:spacing w:val="-2"/>
              </w:rPr>
              <w:t>管</w:t>
            </w:r>
            <w:r>
              <w:rPr>
                <w:spacing w:val="8"/>
              </w:rPr>
              <w:t xml:space="preserve">   </w:t>
            </w:r>
            <w:r>
              <w:rPr>
                <w:spacing w:val="-2"/>
              </w:rPr>
              <w:t>井</w:t>
            </w:r>
          </w:p>
        </w:tc>
        <w:tc>
          <w:tcPr>
            <w:tcW w:w="2780" w:type="dxa"/>
            <w:vAlign w:val="top"/>
          </w:tcPr>
          <w:p>
            <w:pPr>
              <w:pStyle w:val="TableText"/>
              <w:spacing w:before="50" w:line="259" w:lineRule="auto"/>
              <w:ind w:left="113" w:right="152" w:hanging="1"/>
            </w:pPr>
            <w:r>
              <w:rPr>
                <w:spacing w:val="9"/>
              </w:rPr>
              <w:t>粉质黏土、粉土、砂土、碎</w:t>
            </w:r>
            <w:r>
              <w:rPr>
                <w:spacing w:val="1"/>
              </w:rPr>
              <w:t xml:space="preserve"> </w:t>
            </w:r>
            <w:r>
              <w:rPr>
                <w:spacing w:val="7"/>
              </w:rPr>
              <w:t>石土、岩石</w:t>
            </w:r>
          </w:p>
        </w:tc>
        <w:tc>
          <w:tcPr>
            <w:tcW w:w="1704" w:type="dxa"/>
            <w:vAlign w:val="top"/>
          </w:tcPr>
          <w:p>
            <w:pPr>
              <w:pStyle w:val="TableText"/>
              <w:spacing w:before="207" w:line="268" w:lineRule="exact"/>
              <w:ind w:left="721"/>
              <w:rPr>
                <w:rFonts w:ascii="Times New Roman" w:eastAsia="Times New Roman" w:hAnsi="Times New Roman" w:cs="Times New Roman"/>
              </w:rPr>
            </w:pPr>
            <w:r>
              <w:rPr>
                <w:spacing w:val="36"/>
                <w:w w:val="107"/>
                <w:position w:val="1"/>
              </w:rPr>
              <w:t>&gt;</w:t>
            </w:r>
            <w:r>
              <w:rPr>
                <w:rFonts w:ascii="Times New Roman" w:eastAsia="Times New Roman" w:hAnsi="Times New Roman" w:cs="Times New Roman"/>
                <w:spacing w:val="36"/>
                <w:w w:val="107"/>
                <w:position w:val="1"/>
              </w:rPr>
              <w:t>1</w:t>
            </w:r>
          </w:p>
        </w:tc>
        <w:tc>
          <w:tcPr>
            <w:tcW w:w="1709" w:type="dxa"/>
            <w:vAlign w:val="top"/>
          </w:tcPr>
          <w:p>
            <w:pPr>
              <w:pStyle w:val="TableText"/>
              <w:spacing w:before="207" w:line="229" w:lineRule="auto"/>
              <w:ind w:left="653"/>
            </w:pPr>
            <w:r>
              <w:rPr>
                <w:spacing w:val="3"/>
              </w:rPr>
              <w:t>不限</w:t>
            </w:r>
          </w:p>
        </w:tc>
      </w:tr>
      <w:tr>
        <w:tblPrEx>
          <w:tblW w:w="8526" w:type="dxa"/>
          <w:tblInd w:w="2" w:type="dxa"/>
          <w:tblLayout w:type="fixed"/>
        </w:tblPrEx>
        <w:trPr>
          <w:trHeight w:val="612"/>
        </w:trPr>
        <w:tc>
          <w:tcPr>
            <w:tcW w:w="662" w:type="dxa"/>
            <w:vMerge/>
            <w:tcBorders>
              <w:top w:val="nil"/>
              <w:bottom w:val="nil"/>
            </w:tcBorders>
            <w:textDirection w:val="tbRlV"/>
            <w:vAlign w:val="top"/>
          </w:tcPr>
          <w:p>
            <w:pPr>
              <w:rPr>
                <w:rFonts w:ascii="Arial"/>
                <w:sz w:val="21"/>
              </w:rPr>
            </w:pPr>
          </w:p>
        </w:tc>
        <w:tc>
          <w:tcPr>
            <w:tcW w:w="1671" w:type="dxa"/>
            <w:vAlign w:val="top"/>
          </w:tcPr>
          <w:p>
            <w:pPr>
              <w:pStyle w:val="TableText"/>
              <w:spacing w:before="201" w:line="228" w:lineRule="auto"/>
              <w:ind w:left="421"/>
            </w:pPr>
            <w:r>
              <w:rPr>
                <w:spacing w:val="6"/>
              </w:rPr>
              <w:t>真空管井</w:t>
            </w:r>
          </w:p>
        </w:tc>
        <w:tc>
          <w:tcPr>
            <w:tcW w:w="2780" w:type="dxa"/>
            <w:vAlign w:val="top"/>
          </w:tcPr>
          <w:p>
            <w:pPr>
              <w:pStyle w:val="TableText"/>
              <w:spacing w:before="201" w:line="228" w:lineRule="auto"/>
              <w:ind w:left="112"/>
            </w:pPr>
            <w:r>
              <w:rPr>
                <w:spacing w:val="9"/>
              </w:rPr>
              <w:t>粉质黏土、粉土、粉细砂</w:t>
            </w:r>
          </w:p>
        </w:tc>
        <w:tc>
          <w:tcPr>
            <w:tcW w:w="1704" w:type="dxa"/>
            <w:vAlign w:val="top"/>
          </w:tcPr>
          <w:p>
            <w:pPr>
              <w:pStyle w:val="TableText"/>
              <w:spacing w:before="131" w:line="265" w:lineRule="exact"/>
              <w:ind w:left="438"/>
              <w:rPr>
                <w:rFonts w:ascii="Times New Roman" w:eastAsia="Times New Roman" w:hAnsi="Times New Roman" w:cs="Times New Roman"/>
              </w:rPr>
            </w:pPr>
            <w:r>
              <w:rPr>
                <w:rFonts w:ascii="Times New Roman" w:eastAsia="Times New Roman" w:hAnsi="Times New Roman" w:cs="Times New Roman"/>
                <w:spacing w:val="1"/>
                <w:position w:val="1"/>
              </w:rPr>
              <w:t>0.</w:t>
            </w:r>
            <w:r>
              <w:rPr>
                <w:rFonts w:ascii="Times New Roman" w:eastAsia="Times New Roman" w:hAnsi="Times New Roman" w:cs="Times New Roman"/>
                <w:spacing w:val="-25"/>
                <w:position w:val="1"/>
              </w:rPr>
              <w:t xml:space="preserve"> </w:t>
            </w:r>
            <w:r>
              <w:rPr>
                <w:rFonts w:ascii="Times New Roman" w:eastAsia="Times New Roman" w:hAnsi="Times New Roman" w:cs="Times New Roman"/>
                <w:spacing w:val="1"/>
                <w:position w:val="1"/>
              </w:rPr>
              <w:t>1</w:t>
            </w:r>
            <w:r>
              <w:rPr>
                <w:spacing w:val="1"/>
                <w:position w:val="1"/>
              </w:rPr>
              <w:t>～</w:t>
            </w:r>
            <w:r>
              <w:rPr>
                <w:rFonts w:ascii="Times New Roman" w:eastAsia="Times New Roman" w:hAnsi="Times New Roman" w:cs="Times New Roman"/>
                <w:spacing w:val="1"/>
                <w:position w:val="1"/>
              </w:rPr>
              <w:t>20.0</w:t>
            </w:r>
          </w:p>
        </w:tc>
        <w:tc>
          <w:tcPr>
            <w:tcW w:w="1709" w:type="dxa"/>
            <w:vAlign w:val="top"/>
          </w:tcPr>
          <w:p>
            <w:pPr>
              <w:pStyle w:val="TableText"/>
              <w:spacing w:before="131" w:line="229" w:lineRule="auto"/>
              <w:ind w:left="653"/>
            </w:pPr>
            <w:r>
              <w:rPr>
                <w:spacing w:val="3"/>
              </w:rPr>
              <w:t>不限</w:t>
            </w:r>
          </w:p>
        </w:tc>
      </w:tr>
      <w:tr>
        <w:tblPrEx>
          <w:tblW w:w="8526" w:type="dxa"/>
          <w:tblInd w:w="2" w:type="dxa"/>
          <w:tblLayout w:type="fixed"/>
        </w:tblPrEx>
        <w:trPr>
          <w:trHeight w:val="628"/>
        </w:trPr>
        <w:tc>
          <w:tcPr>
            <w:tcW w:w="662" w:type="dxa"/>
            <w:vMerge/>
            <w:tcBorders>
              <w:top w:val="nil"/>
              <w:bottom w:val="nil"/>
            </w:tcBorders>
            <w:textDirection w:val="tbRlV"/>
            <w:vAlign w:val="top"/>
          </w:tcPr>
          <w:p>
            <w:pPr>
              <w:rPr>
                <w:rFonts w:ascii="Arial"/>
                <w:sz w:val="21"/>
              </w:rPr>
            </w:pPr>
          </w:p>
        </w:tc>
        <w:tc>
          <w:tcPr>
            <w:tcW w:w="1671" w:type="dxa"/>
            <w:vAlign w:val="top"/>
          </w:tcPr>
          <w:p>
            <w:pPr>
              <w:pStyle w:val="TableText"/>
              <w:spacing w:before="210" w:line="229" w:lineRule="auto"/>
              <w:ind w:left="472"/>
            </w:pPr>
            <w:r>
              <w:t>渗</w:t>
            </w:r>
            <w:r>
              <w:rPr>
                <w:spacing w:val="8"/>
              </w:rPr>
              <w:t xml:space="preserve">   </w:t>
            </w:r>
            <w:r>
              <w:t>井</w:t>
            </w:r>
          </w:p>
        </w:tc>
        <w:tc>
          <w:tcPr>
            <w:tcW w:w="2780" w:type="dxa"/>
            <w:vAlign w:val="top"/>
          </w:tcPr>
          <w:p>
            <w:pPr>
              <w:pStyle w:val="TableText"/>
              <w:spacing w:before="54" w:line="258" w:lineRule="auto"/>
              <w:ind w:left="112" w:right="186"/>
            </w:pPr>
            <w:r>
              <w:rPr>
                <w:spacing w:val="6"/>
              </w:rPr>
              <w:t>粉质黏土、粉土、粉细砂、</w:t>
            </w:r>
            <w:r>
              <w:rPr>
                <w:spacing w:val="2"/>
              </w:rPr>
              <w:t xml:space="preserve"> </w:t>
            </w:r>
            <w:r>
              <w:rPr>
                <w:spacing w:val="7"/>
              </w:rPr>
              <w:t>碎石土</w:t>
            </w:r>
          </w:p>
        </w:tc>
        <w:tc>
          <w:tcPr>
            <w:tcW w:w="1704" w:type="dxa"/>
            <w:vAlign w:val="top"/>
          </w:tcPr>
          <w:p>
            <w:pPr>
              <w:pStyle w:val="TableText"/>
              <w:spacing w:before="210" w:line="265" w:lineRule="exact"/>
              <w:ind w:left="642"/>
              <w:rPr>
                <w:rFonts w:ascii="Times New Roman" w:eastAsia="Times New Roman" w:hAnsi="Times New Roman" w:cs="Times New Roman"/>
              </w:rPr>
            </w:pPr>
            <w:r>
              <w:rPr>
                <w:spacing w:val="22"/>
                <w:position w:val="1"/>
              </w:rPr>
              <w:t>&gt;</w:t>
            </w:r>
            <w:r>
              <w:rPr>
                <w:rFonts w:ascii="Times New Roman" w:eastAsia="Times New Roman" w:hAnsi="Times New Roman" w:cs="Times New Roman"/>
                <w:spacing w:val="22"/>
                <w:position w:val="1"/>
              </w:rPr>
              <w:t>0.</w:t>
            </w:r>
            <w:r>
              <w:rPr>
                <w:rFonts w:ascii="Times New Roman" w:eastAsia="Times New Roman" w:hAnsi="Times New Roman" w:cs="Times New Roman"/>
                <w:spacing w:val="-25"/>
                <w:position w:val="1"/>
              </w:rPr>
              <w:t xml:space="preserve"> </w:t>
            </w:r>
            <w:r>
              <w:rPr>
                <w:rFonts w:ascii="Times New Roman" w:eastAsia="Times New Roman" w:hAnsi="Times New Roman" w:cs="Times New Roman"/>
                <w:spacing w:val="22"/>
                <w:position w:val="1"/>
              </w:rPr>
              <w:t>1</w:t>
            </w:r>
          </w:p>
        </w:tc>
        <w:tc>
          <w:tcPr>
            <w:tcW w:w="1709" w:type="dxa"/>
            <w:vAlign w:val="top"/>
          </w:tcPr>
          <w:p>
            <w:pPr>
              <w:pStyle w:val="TableText"/>
              <w:spacing w:before="140" w:line="229" w:lineRule="auto"/>
              <w:ind w:left="653"/>
            </w:pPr>
            <w:r>
              <w:rPr>
                <w:spacing w:val="3"/>
              </w:rPr>
              <w:t>不限</w:t>
            </w:r>
          </w:p>
        </w:tc>
      </w:tr>
      <w:tr>
        <w:tblPrEx>
          <w:tblW w:w="8526" w:type="dxa"/>
          <w:tblInd w:w="2" w:type="dxa"/>
          <w:tblLayout w:type="fixed"/>
        </w:tblPrEx>
        <w:trPr>
          <w:trHeight w:val="628"/>
        </w:trPr>
        <w:tc>
          <w:tcPr>
            <w:tcW w:w="662" w:type="dxa"/>
            <w:vMerge/>
            <w:tcBorders>
              <w:top w:val="nil"/>
            </w:tcBorders>
            <w:textDirection w:val="tbRlV"/>
            <w:vAlign w:val="top"/>
          </w:tcPr>
          <w:p>
            <w:pPr>
              <w:rPr>
                <w:rFonts w:ascii="Arial"/>
                <w:sz w:val="21"/>
              </w:rPr>
            </w:pPr>
          </w:p>
        </w:tc>
        <w:tc>
          <w:tcPr>
            <w:tcW w:w="1671" w:type="dxa"/>
            <w:vAlign w:val="top"/>
          </w:tcPr>
          <w:p>
            <w:pPr>
              <w:pStyle w:val="TableText"/>
              <w:spacing w:before="211" w:line="228" w:lineRule="auto"/>
              <w:ind w:left="417"/>
            </w:pPr>
            <w:r>
              <w:rPr>
                <w:spacing w:val="1"/>
              </w:rPr>
              <w:t>辐</w:t>
            </w:r>
            <w:r>
              <w:rPr>
                <w:spacing w:val="16"/>
              </w:rPr>
              <w:t xml:space="preserve"> </w:t>
            </w:r>
            <w:r>
              <w:rPr>
                <w:spacing w:val="1"/>
              </w:rPr>
              <w:t>射</w:t>
            </w:r>
            <w:r>
              <w:rPr>
                <w:spacing w:val="13"/>
              </w:rPr>
              <w:t xml:space="preserve"> </w:t>
            </w:r>
            <w:r>
              <w:rPr>
                <w:spacing w:val="1"/>
              </w:rPr>
              <w:t>井</w:t>
            </w:r>
          </w:p>
        </w:tc>
        <w:tc>
          <w:tcPr>
            <w:tcW w:w="2780" w:type="dxa"/>
            <w:vAlign w:val="top"/>
          </w:tcPr>
          <w:p>
            <w:pPr>
              <w:pStyle w:val="TableText"/>
              <w:spacing w:before="53" w:line="259" w:lineRule="auto"/>
              <w:ind w:left="118" w:right="186" w:hanging="6"/>
            </w:pPr>
            <w:r>
              <w:rPr>
                <w:spacing w:val="6"/>
              </w:rPr>
              <w:t>粉砂、细砂、中砂、粗砂、</w:t>
            </w:r>
            <w:r>
              <w:rPr>
                <w:spacing w:val="2"/>
              </w:rPr>
              <w:t xml:space="preserve"> </w:t>
            </w:r>
            <w:r>
              <w:rPr>
                <w:spacing w:val="7"/>
              </w:rPr>
              <w:t>卵石和黏性土</w:t>
            </w:r>
          </w:p>
        </w:tc>
        <w:tc>
          <w:tcPr>
            <w:tcW w:w="1704" w:type="dxa"/>
            <w:vAlign w:val="top"/>
          </w:tcPr>
          <w:p>
            <w:pPr>
              <w:pStyle w:val="TableText"/>
              <w:spacing w:before="210" w:line="265" w:lineRule="exact"/>
              <w:ind w:left="642"/>
              <w:rPr>
                <w:rFonts w:ascii="Times New Roman" w:eastAsia="Times New Roman" w:hAnsi="Times New Roman" w:cs="Times New Roman"/>
              </w:rPr>
            </w:pPr>
            <w:r>
              <w:rPr>
                <w:spacing w:val="22"/>
                <w:position w:val="1"/>
              </w:rPr>
              <w:t>&gt;</w:t>
            </w:r>
            <w:r>
              <w:rPr>
                <w:rFonts w:ascii="Times New Roman" w:eastAsia="Times New Roman" w:hAnsi="Times New Roman" w:cs="Times New Roman"/>
                <w:spacing w:val="22"/>
                <w:position w:val="1"/>
              </w:rPr>
              <w:t>0.</w:t>
            </w:r>
            <w:r>
              <w:rPr>
                <w:rFonts w:ascii="Times New Roman" w:eastAsia="Times New Roman" w:hAnsi="Times New Roman" w:cs="Times New Roman"/>
                <w:spacing w:val="-25"/>
                <w:position w:val="1"/>
              </w:rPr>
              <w:t xml:space="preserve"> </w:t>
            </w:r>
            <w:r>
              <w:rPr>
                <w:rFonts w:ascii="Times New Roman" w:eastAsia="Times New Roman" w:hAnsi="Times New Roman" w:cs="Times New Roman"/>
                <w:spacing w:val="22"/>
                <w:position w:val="1"/>
              </w:rPr>
              <w:t>1</w:t>
            </w:r>
          </w:p>
        </w:tc>
        <w:tc>
          <w:tcPr>
            <w:tcW w:w="1709" w:type="dxa"/>
            <w:vAlign w:val="top"/>
          </w:tcPr>
          <w:p>
            <w:pPr>
              <w:pStyle w:val="TableText"/>
              <w:spacing w:before="141" w:line="229" w:lineRule="auto"/>
              <w:ind w:left="653"/>
            </w:pPr>
            <w:r>
              <w:rPr>
                <w:spacing w:val="3"/>
              </w:rPr>
              <w:t>不限</w:t>
            </w:r>
          </w:p>
        </w:tc>
      </w:tr>
      <w:tr>
        <w:tblPrEx>
          <w:tblW w:w="8526" w:type="dxa"/>
          <w:tblInd w:w="2" w:type="dxa"/>
          <w:tblLayout w:type="fixed"/>
        </w:tblPrEx>
        <w:trPr>
          <w:trHeight w:val="580"/>
        </w:trPr>
        <w:tc>
          <w:tcPr>
            <w:tcW w:w="2333" w:type="dxa"/>
            <w:gridSpan w:val="2"/>
            <w:vAlign w:val="top"/>
          </w:tcPr>
          <w:p>
            <w:pPr>
              <w:pStyle w:val="TableText"/>
              <w:spacing w:before="187" w:line="228" w:lineRule="auto"/>
              <w:ind w:left="751"/>
            </w:pPr>
            <w:r>
              <w:rPr>
                <w:spacing w:val="7"/>
              </w:rPr>
              <w:t>集水明排</w:t>
            </w:r>
          </w:p>
        </w:tc>
        <w:tc>
          <w:tcPr>
            <w:tcW w:w="2780" w:type="dxa"/>
            <w:vAlign w:val="top"/>
          </w:tcPr>
          <w:p>
            <w:pPr>
              <w:pStyle w:val="TableText"/>
              <w:spacing w:before="187" w:line="228" w:lineRule="auto"/>
              <w:ind w:left="115"/>
            </w:pPr>
            <w:r>
              <w:rPr>
                <w:spacing w:val="8"/>
              </w:rPr>
              <w:t>填土、黏性土、粉土、砂土</w:t>
            </w:r>
          </w:p>
        </w:tc>
        <w:tc>
          <w:tcPr>
            <w:tcW w:w="1704" w:type="dxa"/>
            <w:vAlign w:val="top"/>
          </w:tcPr>
          <w:p>
            <w:pPr>
              <w:pStyle w:val="TableText"/>
              <w:spacing w:before="187" w:line="265" w:lineRule="exact"/>
              <w:ind w:left="586"/>
              <w:rPr>
                <w:rFonts w:ascii="Times New Roman" w:eastAsia="Times New Roman" w:hAnsi="Times New Roman" w:cs="Times New Roman"/>
              </w:rPr>
            </w:pPr>
            <w:r>
              <w:rPr>
                <w:position w:val="1"/>
              </w:rPr>
              <w:t>＜</w:t>
            </w:r>
            <w:r>
              <w:rPr>
                <w:rFonts w:ascii="Times New Roman" w:eastAsia="Times New Roman" w:hAnsi="Times New Roman" w:cs="Times New Roman"/>
                <w:position w:val="1"/>
              </w:rPr>
              <w:t>20.0</w:t>
            </w:r>
          </w:p>
        </w:tc>
        <w:tc>
          <w:tcPr>
            <w:tcW w:w="1709" w:type="dxa"/>
            <w:vAlign w:val="top"/>
          </w:tcPr>
          <w:p>
            <w:pPr>
              <w:pStyle w:val="TableText"/>
              <w:spacing w:before="187" w:line="265" w:lineRule="exact"/>
              <w:ind w:left="718"/>
              <w:rPr>
                <w:rFonts w:ascii="Times New Roman" w:eastAsia="Times New Roman" w:hAnsi="Times New Roman" w:cs="Times New Roman"/>
              </w:rPr>
            </w:pPr>
            <w:r>
              <w:rPr>
                <w:spacing w:val="-6"/>
                <w:position w:val="1"/>
              </w:rPr>
              <w:t>＜</w:t>
            </w:r>
            <w:r>
              <w:rPr>
                <w:rFonts w:ascii="Times New Roman" w:eastAsia="Times New Roman" w:hAnsi="Times New Roman" w:cs="Times New Roman"/>
                <w:spacing w:val="-6"/>
                <w:position w:val="1"/>
              </w:rPr>
              <w:t>5</w:t>
            </w:r>
          </w:p>
        </w:tc>
      </w:tr>
      <w:tr>
        <w:tblPrEx>
          <w:tblW w:w="8526" w:type="dxa"/>
          <w:tblInd w:w="2" w:type="dxa"/>
          <w:tblLayout w:type="fixed"/>
        </w:tblPrEx>
        <w:trPr>
          <w:trHeight w:val="494"/>
        </w:trPr>
        <w:tc>
          <w:tcPr>
            <w:tcW w:w="2333" w:type="dxa"/>
            <w:gridSpan w:val="2"/>
            <w:vAlign w:val="top"/>
          </w:tcPr>
          <w:p>
            <w:pPr>
              <w:pStyle w:val="TableText"/>
              <w:spacing w:before="142" w:line="228" w:lineRule="auto"/>
              <w:ind w:left="930"/>
            </w:pPr>
            <w:r>
              <w:rPr>
                <w:spacing w:val="-10"/>
              </w:rPr>
              <w:t>回</w:t>
            </w:r>
            <w:r>
              <w:rPr>
                <w:spacing w:val="16"/>
              </w:rPr>
              <w:t xml:space="preserve"> </w:t>
            </w:r>
            <w:r>
              <w:rPr>
                <w:spacing w:val="-10"/>
              </w:rPr>
              <w:t>灌</w:t>
            </w:r>
          </w:p>
        </w:tc>
        <w:tc>
          <w:tcPr>
            <w:tcW w:w="2780" w:type="dxa"/>
            <w:vAlign w:val="top"/>
          </w:tcPr>
          <w:p>
            <w:pPr>
              <w:pStyle w:val="TableText"/>
              <w:spacing w:before="142" w:line="228" w:lineRule="auto"/>
              <w:ind w:left="115"/>
            </w:pPr>
            <w:r>
              <w:rPr>
                <w:spacing w:val="8"/>
              </w:rPr>
              <w:t>填土、粉土、砂土、碎石土</w:t>
            </w:r>
          </w:p>
        </w:tc>
        <w:tc>
          <w:tcPr>
            <w:tcW w:w="1704" w:type="dxa"/>
            <w:vAlign w:val="top"/>
          </w:tcPr>
          <w:p>
            <w:pPr>
              <w:pStyle w:val="TableText"/>
              <w:spacing w:before="142" w:line="268" w:lineRule="exact"/>
              <w:ind w:left="721"/>
              <w:rPr>
                <w:rFonts w:ascii="Times New Roman" w:eastAsia="Times New Roman" w:hAnsi="Times New Roman" w:cs="Times New Roman"/>
              </w:rPr>
            </w:pPr>
            <w:r>
              <w:rPr>
                <w:spacing w:val="36"/>
                <w:w w:val="107"/>
                <w:position w:val="1"/>
              </w:rPr>
              <w:t>&gt;</w:t>
            </w:r>
            <w:r>
              <w:rPr>
                <w:rFonts w:ascii="Times New Roman" w:eastAsia="Times New Roman" w:hAnsi="Times New Roman" w:cs="Times New Roman"/>
                <w:spacing w:val="36"/>
                <w:w w:val="107"/>
                <w:position w:val="1"/>
              </w:rPr>
              <w:t>1</w:t>
            </w:r>
          </w:p>
        </w:tc>
        <w:tc>
          <w:tcPr>
            <w:tcW w:w="1709" w:type="dxa"/>
            <w:vAlign w:val="top"/>
          </w:tcPr>
          <w:p>
            <w:pPr>
              <w:rPr>
                <w:rFonts w:ascii="Arial"/>
                <w:sz w:val="21"/>
              </w:rPr>
            </w:pPr>
          </w:p>
        </w:tc>
      </w:tr>
    </w:tbl>
    <w:p>
      <w:pPr>
        <w:spacing w:line="372" w:lineRule="auto"/>
        <w:rPr>
          <w:rFonts w:ascii="Arial"/>
          <w:sz w:val="21"/>
        </w:rPr>
      </w:pPr>
    </w:p>
    <w:p>
      <w:pPr>
        <w:pStyle w:val="BodyText"/>
        <w:spacing w:before="66" w:line="302" w:lineRule="auto"/>
        <w:ind w:left="123" w:right="114" w:hanging="8"/>
        <w:rPr>
          <w:rFonts w:ascii="SimSun" w:eastAsia="SimSun" w:hAnsi="SimSun" w:cs="SimSun"/>
        </w:rPr>
      </w:pPr>
      <w:r>
        <w:rPr>
          <w:spacing w:val="7"/>
        </w:rPr>
        <w:t>4.1.3</w:t>
      </w:r>
      <w:r>
        <w:rPr>
          <w:spacing w:val="7"/>
        </w:rPr>
        <w:t xml:space="preserve"> </w:t>
      </w:r>
      <w:r>
        <w:rPr>
          <w:rFonts w:ascii="SimSun" w:eastAsia="SimSun" w:hAnsi="SimSun" w:cs="SimSun"/>
          <w:spacing w:val="7"/>
        </w:rPr>
        <w:t>当基坑降水会对周边建（构）筑物、地下管线、道路等造成危害或对工程环境造成长</w:t>
      </w:r>
      <w:r>
        <w:rPr>
          <w:rFonts w:ascii="SimSun" w:eastAsia="SimSun" w:hAnsi="SimSun" w:cs="SimSun"/>
        </w:rPr>
        <w:t xml:space="preserve"> </w:t>
      </w:r>
      <w:r>
        <w:rPr>
          <w:rFonts w:ascii="SimSun" w:eastAsia="SimSun" w:hAnsi="SimSun" w:cs="SimSun"/>
          <w:spacing w:val="9"/>
        </w:rPr>
        <w:t>期不利影响时，可采用截水帷幕方法控制地下水。</w:t>
      </w:r>
    </w:p>
    <w:p>
      <w:pPr>
        <w:pStyle w:val="BodyText"/>
        <w:spacing w:before="162" w:line="328" w:lineRule="auto"/>
        <w:ind w:left="120" w:right="114" w:hanging="5"/>
        <w:rPr>
          <w:rFonts w:ascii="SimSun" w:eastAsia="SimSun" w:hAnsi="SimSun" w:cs="SimSun"/>
        </w:rPr>
        <w:sectPr>
          <w:footerReference w:type="default" r:id="rId9"/>
          <w:pgSz w:w="11906" w:h="16839"/>
          <w:pgMar w:top="1428" w:right="1687" w:bottom="1152" w:left="1687" w:header="0" w:footer="987" w:gutter="0"/>
          <w:pgNumType w:start="5"/>
          <w:cols w:space="708"/>
        </w:sectPr>
      </w:pPr>
      <w:r>
        <w:rPr>
          <w:spacing w:val="7"/>
        </w:rPr>
        <w:t>4.1.4</w:t>
      </w:r>
      <w:r>
        <w:rPr>
          <w:spacing w:val="7"/>
        </w:rPr>
        <w:t xml:space="preserve"> </w:t>
      </w:r>
      <w:r>
        <w:rPr>
          <w:rFonts w:ascii="SimSun" w:eastAsia="SimSun" w:hAnsi="SimSun" w:cs="SimSun"/>
          <w:spacing w:val="7"/>
        </w:rPr>
        <w:t>建址周围建（构）筑物密集或存在重要保护对象的基坑工程，如需降承压水，应先收</w:t>
      </w:r>
      <w:r>
        <w:rPr>
          <w:rFonts w:ascii="SimSun" w:eastAsia="SimSun" w:hAnsi="SimSun" w:cs="SimSun"/>
        </w:rPr>
        <w:t xml:space="preserve"> </w:t>
      </w:r>
      <w:r>
        <w:rPr>
          <w:rFonts w:ascii="SimSun" w:eastAsia="SimSun" w:hAnsi="SimSun" w:cs="SimSun"/>
          <w:spacing w:val="7"/>
        </w:rPr>
        <w:t>集、掌握周边环境资料，进行降水诱发周围地层沉降的分析和预测，并采取适当的沉降控制</w:t>
      </w:r>
      <w:r>
        <w:rPr>
          <w:rFonts w:ascii="SimSun" w:eastAsia="SimSun" w:hAnsi="SimSun" w:cs="SimSun"/>
          <w:spacing w:val="14"/>
        </w:rPr>
        <w:t xml:space="preserve"> </w:t>
      </w:r>
      <w:r>
        <w:rPr>
          <w:rFonts w:ascii="SimSun" w:eastAsia="SimSun" w:hAnsi="SimSun" w:cs="SimSun"/>
          <w:spacing w:val="3"/>
        </w:rPr>
        <w:t>措施。</w:t>
      </w:r>
    </w:p>
    <w:p>
      <w:pPr>
        <w:pStyle w:val="BodyText"/>
        <w:spacing w:before="158" w:line="303" w:lineRule="auto"/>
        <w:ind w:left="136" w:right="164" w:hanging="21"/>
        <w:rPr>
          <w:rFonts w:ascii="SimSun" w:eastAsia="SimSun" w:hAnsi="SimSun" w:cs="SimSun"/>
        </w:rPr>
      </w:pPr>
      <w:r>
        <w:rPr>
          <w:spacing w:val="8"/>
        </w:rPr>
        <w:t>4.1.5</w:t>
      </w:r>
      <w:r>
        <w:rPr>
          <w:spacing w:val="8"/>
        </w:rPr>
        <w:t xml:space="preserve"> </w:t>
      </w:r>
      <w:r>
        <w:rPr>
          <w:rFonts w:ascii="SimSun" w:eastAsia="SimSun" w:hAnsi="SimSun" w:cs="SimSun"/>
          <w:spacing w:val="8"/>
        </w:rPr>
        <w:t>基坑降水施工前应按设计要求编制专项降水施工方案。开挖深度超过</w:t>
      </w:r>
      <w:r>
        <w:rPr>
          <w:rFonts w:ascii="SimSun" w:eastAsia="SimSun" w:hAnsi="SimSun" w:cs="SimSun"/>
          <w:spacing w:val="-21"/>
        </w:rPr>
        <w:t xml:space="preserve"> </w:t>
      </w:r>
      <w:r>
        <w:rPr>
          <w:rFonts w:ascii="SimSun" w:eastAsia="SimSun" w:hAnsi="SimSun" w:cs="SimSun"/>
          <w:spacing w:val="8"/>
        </w:rPr>
        <w:t>14m</w:t>
      </w:r>
      <w:r>
        <w:rPr>
          <w:rFonts w:ascii="SimSun" w:eastAsia="SimSun" w:hAnsi="SimSun" w:cs="SimSun"/>
          <w:spacing w:val="32"/>
        </w:rPr>
        <w:t xml:space="preserve"> </w:t>
      </w:r>
      <w:r>
        <w:rPr>
          <w:rFonts w:ascii="SimSun" w:eastAsia="SimSun" w:hAnsi="SimSun" w:cs="SimSun"/>
          <w:spacing w:val="7"/>
        </w:rPr>
        <w:t>的基坑，</w:t>
      </w:r>
      <w:r>
        <w:rPr>
          <w:rFonts w:ascii="SimSun" w:eastAsia="SimSun" w:hAnsi="SimSun" w:cs="SimSun"/>
        </w:rPr>
        <w:t xml:space="preserve"> </w:t>
      </w:r>
      <w:r>
        <w:rPr>
          <w:rFonts w:ascii="SimSun" w:eastAsia="SimSun" w:hAnsi="SimSun" w:cs="SimSun"/>
          <w:spacing w:val="9"/>
        </w:rPr>
        <w:t>降水设计方案和专项降水施工方案应通过技术论证，并经审批后</w:t>
      </w:r>
      <w:r>
        <w:rPr>
          <w:rFonts w:ascii="SimSun" w:eastAsia="SimSun" w:hAnsi="SimSun" w:cs="SimSun"/>
          <w:spacing w:val="8"/>
        </w:rPr>
        <w:t>方可实施。</w:t>
      </w:r>
    </w:p>
    <w:p>
      <w:pPr>
        <w:pStyle w:val="BodyText"/>
        <w:spacing w:before="160" w:line="328" w:lineRule="auto"/>
        <w:ind w:left="119" w:right="54" w:hanging="4"/>
        <w:rPr>
          <w:rFonts w:ascii="SimSun" w:eastAsia="SimSun" w:hAnsi="SimSun" w:cs="SimSun"/>
        </w:rPr>
      </w:pPr>
      <w:r>
        <w:rPr>
          <w:spacing w:val="8"/>
        </w:rPr>
        <w:t>4.1.6</w:t>
      </w:r>
      <w:r>
        <w:rPr>
          <w:spacing w:val="8"/>
        </w:rPr>
        <w:t xml:space="preserve"> </w:t>
      </w:r>
      <w:r>
        <w:rPr>
          <w:rFonts w:ascii="SimSun" w:eastAsia="SimSun" w:hAnsi="SimSun" w:cs="SimSun"/>
          <w:spacing w:val="8"/>
        </w:rPr>
        <w:t>当深基坑周边存在对地下水位变化敏感的相邻设施时，应采用可靠的封闭截水措施。</w:t>
      </w:r>
      <w:r>
        <w:rPr>
          <w:rFonts w:ascii="SimSun" w:eastAsia="SimSun" w:hAnsi="SimSun" w:cs="SimSun"/>
          <w:spacing w:val="16"/>
        </w:rPr>
        <w:t xml:space="preserve"> </w:t>
      </w:r>
      <w:r>
        <w:rPr>
          <w:rFonts w:ascii="SimSun" w:eastAsia="SimSun" w:hAnsi="SimSun" w:cs="SimSun"/>
          <w:spacing w:val="9"/>
        </w:rPr>
        <w:t>在进行截水设计前，应进行地下水渗流分析，评估坑内地下水位的下降对周边环</w:t>
      </w:r>
      <w:r>
        <w:rPr>
          <w:rFonts w:ascii="SimSun" w:eastAsia="SimSun" w:hAnsi="SimSun" w:cs="SimSun"/>
          <w:spacing w:val="8"/>
        </w:rPr>
        <w:t>境的影响。</w:t>
      </w:r>
      <w:r>
        <w:rPr>
          <w:rFonts w:ascii="SimSun" w:eastAsia="SimSun" w:hAnsi="SimSun" w:cs="SimSun"/>
        </w:rPr>
        <w:t xml:space="preserve"> </w:t>
      </w:r>
      <w:r>
        <w:rPr>
          <w:rFonts w:ascii="SimSun" w:eastAsia="SimSun" w:hAnsi="SimSun" w:cs="SimSun"/>
          <w:spacing w:val="9"/>
        </w:rPr>
        <w:t>当深基坑临近地铁或天然地基基础建筑物时，应采用混凝土连续墙或者咬合桩等</w:t>
      </w:r>
      <w:r>
        <w:rPr>
          <w:rFonts w:ascii="SimSun" w:eastAsia="SimSun" w:hAnsi="SimSun" w:cs="SimSun"/>
          <w:spacing w:val="8"/>
        </w:rPr>
        <w:t>截水措施。</w:t>
      </w:r>
    </w:p>
    <w:p>
      <w:pPr>
        <w:spacing w:line="328" w:lineRule="auto"/>
        <w:rPr>
          <w:rFonts w:ascii="SimSun" w:eastAsia="SimSun" w:hAnsi="SimSun" w:cs="SimSun"/>
        </w:rPr>
        <w:sectPr>
          <w:footerReference w:type="default" r:id="rId10"/>
          <w:type w:val="nextPage"/>
          <w:pgSz w:w="11906" w:h="16839"/>
          <w:pgMar w:top="1428" w:right="1687" w:bottom="1152" w:left="1687" w:header="0" w:footer="987" w:gutter="0"/>
          <w:pgNumType w:start="6"/>
          <w:cols w:space="708"/>
          <w:titlePg w:val="0"/>
        </w:sectPr>
      </w:pPr>
    </w:p>
    <w:p>
      <w:pPr>
        <w:pStyle w:val="BodyText"/>
        <w:spacing w:before="42" w:line="328" w:lineRule="auto"/>
        <w:ind w:left="22" w:right="70" w:hanging="6"/>
        <w:rPr>
          <w:rFonts w:ascii="SimSun" w:eastAsia="SimSun" w:hAnsi="SimSun" w:cs="SimSun"/>
        </w:rPr>
      </w:pPr>
      <w:r>
        <w:rPr>
          <w:spacing w:val="7"/>
        </w:rPr>
        <w:t>4.1.7</w:t>
      </w:r>
      <w:r>
        <w:rPr>
          <w:spacing w:val="7"/>
        </w:rPr>
        <w:t xml:space="preserve"> </w:t>
      </w:r>
      <w:r>
        <w:rPr>
          <w:rFonts w:ascii="SimSun" w:eastAsia="SimSun" w:hAnsi="SimSun" w:cs="SimSun"/>
          <w:spacing w:val="7"/>
        </w:rPr>
        <w:t>基坑降水应遵循分层降水，按需降水、动态调整的原则进行，并结合施工工况</w:t>
      </w:r>
      <w:r>
        <w:rPr>
          <w:rFonts w:ascii="SimSun" w:eastAsia="SimSun" w:hAnsi="SimSun" w:cs="SimSun"/>
          <w:spacing w:val="6"/>
        </w:rPr>
        <w:t>分阶段</w:t>
      </w:r>
      <w:r>
        <w:rPr>
          <w:rFonts w:ascii="SimSun" w:eastAsia="SimSun" w:hAnsi="SimSun" w:cs="SimSun"/>
        </w:rPr>
        <w:t xml:space="preserve"> </w:t>
      </w:r>
      <w:r>
        <w:rPr>
          <w:rFonts w:ascii="SimSun" w:eastAsia="SimSun" w:hAnsi="SimSun" w:cs="SimSun"/>
          <w:spacing w:val="7"/>
        </w:rPr>
        <w:t>提交降水分析报告。承压水降水应进行开挖前抽水试验，根据试验结果调整减压降水运行方</w:t>
      </w:r>
      <w:r>
        <w:rPr>
          <w:rFonts w:ascii="SimSun" w:eastAsia="SimSun" w:hAnsi="SimSun" w:cs="SimSun"/>
          <w:spacing w:val="14"/>
        </w:rPr>
        <w:t xml:space="preserve"> </w:t>
      </w:r>
      <w:r>
        <w:rPr>
          <w:rFonts w:ascii="SimSun" w:eastAsia="SimSun" w:hAnsi="SimSun" w:cs="SimSun"/>
        </w:rPr>
        <w:t>案。</w:t>
      </w:r>
    </w:p>
    <w:p>
      <w:pPr>
        <w:pStyle w:val="BodyText"/>
        <w:spacing w:before="158" w:line="303" w:lineRule="auto"/>
        <w:ind w:left="21" w:right="70" w:hanging="5"/>
        <w:rPr>
          <w:rFonts w:ascii="SimSun" w:eastAsia="SimSun" w:hAnsi="SimSun" w:cs="SimSun"/>
        </w:rPr>
      </w:pPr>
      <w:r>
        <w:rPr>
          <w:spacing w:val="7"/>
        </w:rPr>
        <w:t>4.1.8</w:t>
      </w:r>
      <w:r>
        <w:rPr>
          <w:spacing w:val="7"/>
        </w:rPr>
        <w:t xml:space="preserve"> </w:t>
      </w:r>
      <w:r>
        <w:rPr>
          <w:rFonts w:ascii="SimSun" w:eastAsia="SimSun" w:hAnsi="SimSun" w:cs="SimSun"/>
          <w:spacing w:val="7"/>
        </w:rPr>
        <w:t>基坑降水必须与土方开挖相协调，降水运行应根据工程开挖范围、开挖深度确定降水</w:t>
      </w:r>
      <w:r>
        <w:rPr>
          <w:rFonts w:ascii="SimSun" w:eastAsia="SimSun" w:hAnsi="SimSun" w:cs="SimSun"/>
        </w:rPr>
        <w:t xml:space="preserve"> </w:t>
      </w:r>
      <w:r>
        <w:rPr>
          <w:rFonts w:ascii="SimSun" w:eastAsia="SimSun" w:hAnsi="SimSun" w:cs="SimSun"/>
          <w:spacing w:val="9"/>
        </w:rPr>
        <w:t>井的启动数量及水位标高，并根据监测结果适时调整。</w:t>
      </w:r>
    </w:p>
    <w:p>
      <w:pPr>
        <w:pStyle w:val="BodyText"/>
        <w:spacing w:before="161" w:line="329" w:lineRule="auto"/>
        <w:ind w:left="22" w:right="70" w:hanging="6"/>
        <w:rPr>
          <w:rFonts w:ascii="SimSun" w:eastAsia="SimSun" w:hAnsi="SimSun" w:cs="SimSun"/>
        </w:rPr>
      </w:pPr>
      <w:r>
        <w:rPr>
          <w:spacing w:val="7"/>
        </w:rPr>
        <w:t>4.1.9</w:t>
      </w:r>
      <w:r>
        <w:rPr>
          <w:spacing w:val="7"/>
        </w:rPr>
        <w:t xml:space="preserve"> </w:t>
      </w:r>
      <w:r>
        <w:rPr>
          <w:rFonts w:ascii="SimSun" w:eastAsia="SimSun" w:hAnsi="SimSun" w:cs="SimSun"/>
          <w:spacing w:val="7"/>
        </w:rPr>
        <w:t>基坑截水帷幕应形成封闭，第一道支撑体系达到设计强度要求后方可进行降水。土方</w:t>
      </w:r>
      <w:r>
        <w:rPr>
          <w:rFonts w:ascii="SimSun" w:eastAsia="SimSun" w:hAnsi="SimSun" w:cs="SimSun"/>
        </w:rPr>
        <w:t xml:space="preserve"> </w:t>
      </w:r>
      <w:r>
        <w:rPr>
          <w:rFonts w:ascii="SimSun" w:eastAsia="SimSun" w:hAnsi="SimSun" w:cs="SimSun"/>
          <w:spacing w:val="7"/>
        </w:rPr>
        <w:t>开挖前应进行试抽水，以确定围护结构封闭效果，并确保降水不对基坑周边环境产生有害影</w:t>
      </w:r>
      <w:r>
        <w:rPr>
          <w:rFonts w:ascii="SimSun" w:eastAsia="SimSun" w:hAnsi="SimSun" w:cs="SimSun"/>
          <w:spacing w:val="14"/>
        </w:rPr>
        <w:t xml:space="preserve"> </w:t>
      </w:r>
      <w:r>
        <w:rPr>
          <w:rFonts w:ascii="SimSun" w:eastAsia="SimSun" w:hAnsi="SimSun" w:cs="SimSun"/>
        </w:rPr>
        <w:t>响。</w:t>
      </w:r>
    </w:p>
    <w:p>
      <w:pPr>
        <w:pStyle w:val="BodyText"/>
        <w:spacing w:before="157" w:line="340" w:lineRule="auto"/>
        <w:ind w:left="22" w:hanging="6"/>
        <w:rPr>
          <w:rFonts w:ascii="SimSun" w:eastAsia="SimSun" w:hAnsi="SimSun" w:cs="SimSun"/>
        </w:rPr>
      </w:pPr>
      <w:r>
        <w:rPr>
          <w:spacing w:val="6"/>
        </w:rPr>
        <w:t>4.1.10</w:t>
      </w:r>
      <w:r>
        <w:rPr>
          <w:spacing w:val="6"/>
        </w:rPr>
        <w:t xml:space="preserve"> </w:t>
      </w:r>
      <w:r>
        <w:rPr>
          <w:rFonts w:ascii="SimSun" w:eastAsia="SimSun" w:hAnsi="SimSun" w:cs="SimSun"/>
          <w:spacing w:val="6"/>
        </w:rPr>
        <w:t>周围建（构）筑物密集，环</w:t>
      </w:r>
      <w:r>
        <w:rPr>
          <w:rFonts w:ascii="SimSun" w:eastAsia="SimSun" w:hAnsi="SimSun" w:cs="SimSun"/>
          <w:spacing w:val="5"/>
        </w:rPr>
        <w:t>境保护要求严格的基坑工程应贯彻“</w:t>
      </w:r>
      <w:r>
        <w:rPr>
          <w:rFonts w:ascii="SimSun" w:eastAsia="SimSun" w:hAnsi="SimSun" w:cs="SimSun"/>
          <w:spacing w:val="-68"/>
        </w:rPr>
        <w:t xml:space="preserve"> </w:t>
      </w:r>
      <w:r>
        <w:rPr>
          <w:rFonts w:ascii="SimSun" w:eastAsia="SimSun" w:hAnsi="SimSun" w:cs="SimSun"/>
          <w:spacing w:val="5"/>
        </w:rPr>
        <w:t>以水位控制为前提、</w:t>
      </w:r>
      <w:r>
        <w:rPr>
          <w:rFonts w:ascii="SimSun" w:eastAsia="SimSun" w:hAnsi="SimSun" w:cs="SimSun"/>
        </w:rPr>
        <w:t xml:space="preserve"> </w:t>
      </w:r>
      <w:r>
        <w:rPr>
          <w:rFonts w:ascii="SimSun" w:eastAsia="SimSun" w:hAnsi="SimSun" w:cs="SimSun"/>
          <w:spacing w:val="9"/>
        </w:rPr>
        <w:t>以沉降控制为核心</w:t>
      </w:r>
      <w:r>
        <w:rPr>
          <w:rFonts w:ascii="SimSun" w:eastAsia="SimSun" w:hAnsi="SimSun" w:cs="SimSun"/>
          <w:spacing w:val="-69"/>
        </w:rPr>
        <w:t xml:space="preserve"> </w:t>
      </w:r>
      <w:r>
        <w:rPr>
          <w:rFonts w:ascii="SimSun" w:eastAsia="SimSun" w:hAnsi="SimSun" w:cs="SimSun"/>
          <w:spacing w:val="9"/>
        </w:rPr>
        <w:t>”的理念；积极与业主协调，与勘查、设</w:t>
      </w:r>
      <w:r>
        <w:rPr>
          <w:rFonts w:ascii="SimSun" w:eastAsia="SimSun" w:hAnsi="SimSun" w:cs="SimSun"/>
          <w:spacing w:val="8"/>
        </w:rPr>
        <w:t xml:space="preserve">计单位密切配合，推广围护-降 </w:t>
      </w:r>
      <w:r>
        <w:rPr>
          <w:rFonts w:ascii="SimSun" w:eastAsia="SimSun" w:hAnsi="SimSun" w:cs="SimSun"/>
          <w:spacing w:val="7"/>
        </w:rPr>
        <w:t>水一体化设计；综合运用阻隔、降水、回灌等手段实现对承压水危害的综合治理，减少降</w:t>
      </w:r>
      <w:r>
        <w:rPr>
          <w:rFonts w:ascii="SimSun" w:eastAsia="SimSun" w:hAnsi="SimSun" w:cs="SimSun"/>
          <w:spacing w:val="6"/>
        </w:rPr>
        <w:t xml:space="preserve">水 </w:t>
      </w:r>
      <w:r>
        <w:rPr>
          <w:rFonts w:ascii="SimSun" w:eastAsia="SimSun" w:hAnsi="SimSun" w:cs="SimSun"/>
          <w:spacing w:val="9"/>
        </w:rPr>
        <w:t>诱发的地层沉降，节约地下水资源。回灌不得恶化地下水水质。</w:t>
      </w:r>
    </w:p>
    <w:p>
      <w:pPr>
        <w:pStyle w:val="BodyText"/>
        <w:spacing w:before="161" w:line="327" w:lineRule="auto"/>
        <w:ind w:left="21" w:right="70" w:hanging="5"/>
        <w:rPr>
          <w:rFonts w:ascii="SimSun" w:eastAsia="SimSun" w:hAnsi="SimSun" w:cs="SimSun"/>
        </w:rPr>
      </w:pPr>
      <w:r>
        <w:rPr>
          <w:spacing w:val="9"/>
        </w:rPr>
        <w:t>4.1.11</w:t>
      </w:r>
      <w:r>
        <w:rPr>
          <w:spacing w:val="9"/>
        </w:rPr>
        <w:t xml:space="preserve"> </w:t>
      </w:r>
      <w:r>
        <w:rPr>
          <w:rFonts w:ascii="SimSun" w:eastAsia="SimSun" w:hAnsi="SimSun" w:cs="SimSun"/>
          <w:spacing w:val="9"/>
        </w:rPr>
        <w:t>当微承压含水层、承压含水层顶板埋深大于基坑开挖深度时，应进行抗承压水稳定</w:t>
      </w:r>
      <w:r>
        <w:rPr>
          <w:rFonts w:ascii="SimSun" w:eastAsia="SimSun" w:hAnsi="SimSun" w:cs="SimSun"/>
          <w:spacing w:val="13"/>
        </w:rPr>
        <w:t xml:space="preserve"> </w:t>
      </w:r>
      <w:r>
        <w:rPr>
          <w:rFonts w:ascii="SimSun" w:eastAsia="SimSun" w:hAnsi="SimSun" w:cs="SimSun"/>
          <w:spacing w:val="7"/>
        </w:rPr>
        <w:t>性验算，当验算结果不满足要求时，应通过有效的减压降水措施，将微承压水、承压水水位</w:t>
      </w:r>
      <w:r>
        <w:rPr>
          <w:rFonts w:ascii="SimSun" w:eastAsia="SimSun" w:hAnsi="SimSun" w:cs="SimSun"/>
          <w:spacing w:val="14"/>
        </w:rPr>
        <w:t xml:space="preserve"> </w:t>
      </w:r>
      <w:r>
        <w:rPr>
          <w:rFonts w:ascii="SimSun" w:eastAsia="SimSun" w:hAnsi="SimSun" w:cs="SimSun"/>
          <w:spacing w:val="8"/>
        </w:rPr>
        <w:t>降低至安全水位埋深以下。</w:t>
      </w:r>
    </w:p>
    <w:p>
      <w:pPr>
        <w:pStyle w:val="BodyText"/>
        <w:spacing w:before="160" w:line="304" w:lineRule="auto"/>
        <w:ind w:left="26" w:right="71" w:hanging="10"/>
        <w:rPr>
          <w:rFonts w:ascii="SimSun" w:eastAsia="SimSun" w:hAnsi="SimSun" w:cs="SimSun"/>
        </w:rPr>
      </w:pPr>
      <w:r>
        <w:rPr>
          <w:spacing w:val="9"/>
        </w:rPr>
        <w:t>4.1.12</w:t>
      </w:r>
      <w:r>
        <w:rPr>
          <w:spacing w:val="9"/>
        </w:rPr>
        <w:t xml:space="preserve"> </w:t>
      </w:r>
      <w:r>
        <w:rPr>
          <w:rFonts w:ascii="SimSun" w:eastAsia="SimSun" w:hAnsi="SimSun" w:cs="SimSun"/>
          <w:spacing w:val="9"/>
        </w:rPr>
        <w:t>基坑降水期间应注意坑内坑外水位变化并对基坑和周边环境进行监控，保证基坑稳</w:t>
      </w:r>
      <w:r>
        <w:rPr>
          <w:rFonts w:ascii="SimSun" w:eastAsia="SimSun" w:hAnsi="SimSun" w:cs="SimSun"/>
          <w:spacing w:val="13"/>
        </w:rPr>
        <w:t xml:space="preserve"> </w:t>
      </w:r>
      <w:r>
        <w:rPr>
          <w:rFonts w:ascii="SimSun" w:eastAsia="SimSun" w:hAnsi="SimSun" w:cs="SimSun"/>
          <w:spacing w:val="7"/>
        </w:rPr>
        <w:t>定和周围环境安全。</w:t>
      </w:r>
    </w:p>
    <w:p>
      <w:pPr>
        <w:pStyle w:val="BodyText"/>
        <w:spacing w:before="158" w:line="303" w:lineRule="auto"/>
        <w:ind w:left="39" w:right="71" w:hanging="23"/>
        <w:rPr>
          <w:rFonts w:ascii="SimSun" w:eastAsia="SimSun" w:hAnsi="SimSun" w:cs="SimSun"/>
        </w:rPr>
      </w:pPr>
      <w:r>
        <w:rPr>
          <w:spacing w:val="9"/>
        </w:rPr>
        <w:t>4.1.13</w:t>
      </w:r>
      <w:r>
        <w:rPr>
          <w:spacing w:val="9"/>
        </w:rPr>
        <w:t xml:space="preserve"> </w:t>
      </w:r>
      <w:r>
        <w:rPr>
          <w:rFonts w:ascii="SimSun" w:eastAsia="SimSun" w:hAnsi="SimSun" w:cs="SimSun"/>
          <w:spacing w:val="9"/>
        </w:rPr>
        <w:t>当坑底有较厚粉砂土层时，坑底不宜采用满堂加固，如必须采用时，应考虑满堂加</w:t>
      </w:r>
      <w:r>
        <w:rPr>
          <w:rFonts w:ascii="SimSun" w:eastAsia="SimSun" w:hAnsi="SimSun" w:cs="SimSun"/>
          <w:spacing w:val="13"/>
        </w:rPr>
        <w:t xml:space="preserve"> </w:t>
      </w:r>
      <w:r>
        <w:rPr>
          <w:rFonts w:ascii="SimSun" w:eastAsia="SimSun" w:hAnsi="SimSun" w:cs="SimSun"/>
          <w:spacing w:val="9"/>
        </w:rPr>
        <w:t>固后土层形成人造隔水层，使下方含水层成为承压水层，此时应进行承压降水专项处理。</w:t>
      </w:r>
    </w:p>
    <w:p>
      <w:pPr>
        <w:pStyle w:val="BodyText"/>
        <w:spacing w:before="162" w:line="303" w:lineRule="auto"/>
        <w:ind w:left="25" w:right="71" w:hanging="9"/>
        <w:rPr>
          <w:rFonts w:ascii="SimSun" w:eastAsia="SimSun" w:hAnsi="SimSun" w:cs="SimSun"/>
        </w:rPr>
      </w:pPr>
      <w:r>
        <w:rPr>
          <w:spacing w:val="9"/>
        </w:rPr>
        <w:t>4.1.14</w:t>
      </w:r>
      <w:r>
        <w:rPr>
          <w:spacing w:val="9"/>
        </w:rPr>
        <w:t xml:space="preserve"> </w:t>
      </w:r>
      <w:r>
        <w:rPr>
          <w:rFonts w:ascii="SimSun" w:eastAsia="SimSun" w:hAnsi="SimSun" w:cs="SimSun"/>
          <w:spacing w:val="9"/>
        </w:rPr>
        <w:t>对于出水量较大的工程，场地布置时应根据降水试验或预估出水量，对场区的排水</w:t>
      </w:r>
      <w:r>
        <w:rPr>
          <w:rFonts w:ascii="SimSun" w:eastAsia="SimSun" w:hAnsi="SimSun" w:cs="SimSun"/>
          <w:spacing w:val="13"/>
        </w:rPr>
        <w:t xml:space="preserve"> </w:t>
      </w:r>
      <w:r>
        <w:rPr>
          <w:rFonts w:ascii="SimSun" w:eastAsia="SimSun" w:hAnsi="SimSun" w:cs="SimSun"/>
          <w:spacing w:val="9"/>
        </w:rPr>
        <w:t>系统进行专项设计，同时应考虑市政管网的排水能力。</w:t>
      </w:r>
    </w:p>
    <w:p>
      <w:pPr>
        <w:pStyle w:val="BodyText"/>
        <w:spacing w:before="161" w:line="302" w:lineRule="auto"/>
        <w:ind w:left="21" w:right="71" w:hanging="5"/>
        <w:rPr>
          <w:rFonts w:ascii="SimSun" w:eastAsia="SimSun" w:hAnsi="SimSun" w:cs="SimSun"/>
        </w:rPr>
      </w:pPr>
      <w:r>
        <w:rPr>
          <w:spacing w:val="9"/>
        </w:rPr>
        <w:t>4.1.15</w:t>
      </w:r>
      <w:r>
        <w:rPr>
          <w:spacing w:val="9"/>
        </w:rPr>
        <w:t xml:space="preserve"> </w:t>
      </w:r>
      <w:r>
        <w:rPr>
          <w:rFonts w:ascii="SimSun" w:eastAsia="SimSun" w:hAnsi="SimSun" w:cs="SimSun"/>
          <w:spacing w:val="9"/>
        </w:rPr>
        <w:t>设置在坑外的降压井、回灌井、观测井、应急抢险备用井等井点，井位应避开后期</w:t>
      </w:r>
      <w:r>
        <w:rPr>
          <w:rFonts w:ascii="SimSun" w:eastAsia="SimSun" w:hAnsi="SimSun" w:cs="SimSun"/>
          <w:spacing w:val="13"/>
        </w:rPr>
        <w:t xml:space="preserve"> </w:t>
      </w:r>
      <w:r>
        <w:rPr>
          <w:rFonts w:ascii="SimSun" w:eastAsia="SimSun" w:hAnsi="SimSun" w:cs="SimSun"/>
          <w:spacing w:val="9"/>
        </w:rPr>
        <w:t>盾构进出洞范围，如有后续基坑施工时，应考虑对后续基坑的影响。</w:t>
      </w:r>
    </w:p>
    <w:p>
      <w:pPr>
        <w:pStyle w:val="BodyText"/>
        <w:spacing w:before="162" w:line="227" w:lineRule="auto"/>
        <w:ind w:left="16"/>
        <w:rPr>
          <w:rFonts w:ascii="SimSun" w:eastAsia="SimSun" w:hAnsi="SimSun" w:cs="SimSun"/>
        </w:rPr>
      </w:pPr>
      <w:r>
        <w:rPr>
          <w:spacing w:val="7"/>
        </w:rPr>
        <w:t>4.1.16</w:t>
      </w:r>
      <w:r>
        <w:rPr>
          <w:spacing w:val="7"/>
        </w:rPr>
        <w:t xml:space="preserve"> </w:t>
      </w:r>
      <w:r>
        <w:rPr>
          <w:rFonts w:ascii="SimSun" w:eastAsia="SimSun" w:hAnsi="SimSun" w:cs="SimSun"/>
          <w:spacing w:val="7"/>
        </w:rPr>
        <w:t>承压水降水风险评估、设计、施工和运行等应按照图</w:t>
      </w:r>
      <w:r>
        <w:rPr>
          <w:rFonts w:ascii="SimSun" w:eastAsia="SimSun" w:hAnsi="SimSun" w:cs="SimSun"/>
          <w:spacing w:val="-22"/>
        </w:rPr>
        <w:t xml:space="preserve"> </w:t>
      </w:r>
      <w:r>
        <w:rPr>
          <w:rFonts w:ascii="SimSun" w:eastAsia="SimSun" w:hAnsi="SimSun" w:cs="SimSun"/>
          <w:spacing w:val="7"/>
        </w:rPr>
        <w:t>4.1.16</w:t>
      </w:r>
      <w:r>
        <w:rPr>
          <w:rFonts w:ascii="SimSun" w:eastAsia="SimSun" w:hAnsi="SimSun" w:cs="SimSun"/>
          <w:spacing w:val="-21"/>
        </w:rPr>
        <w:t xml:space="preserve"> </w:t>
      </w:r>
      <w:r>
        <w:rPr>
          <w:rFonts w:ascii="SimSun" w:eastAsia="SimSun" w:hAnsi="SimSun" w:cs="SimSun"/>
          <w:spacing w:val="7"/>
        </w:rPr>
        <w:t>的总体流程进行。</w:t>
      </w:r>
    </w:p>
    <w:p>
      <w:pPr>
        <w:pStyle w:val="BodyText"/>
        <w:spacing w:before="162" w:line="230" w:lineRule="auto"/>
        <w:ind w:left="16"/>
      </w:pPr>
      <w:r>
        <w:rPr>
          <w:spacing w:val="8"/>
        </w:rPr>
        <w:t>4.2</w:t>
      </w:r>
      <w:r>
        <w:rPr>
          <w:spacing w:val="8"/>
        </w:rPr>
        <w:t xml:space="preserve"> </w:t>
      </w:r>
      <w:r>
        <w:rPr>
          <w:spacing w:val="8"/>
        </w:rPr>
        <w:t>基坑降水的运行与终止</w:t>
      </w:r>
    </w:p>
    <w:p>
      <w:pPr>
        <w:pStyle w:val="BodyText"/>
        <w:spacing w:before="158" w:line="304" w:lineRule="auto"/>
        <w:ind w:left="20" w:right="71" w:hanging="4"/>
        <w:rPr>
          <w:rFonts w:ascii="SimSun" w:eastAsia="SimSun" w:hAnsi="SimSun" w:cs="SimSun"/>
        </w:rPr>
      </w:pPr>
      <w:r>
        <w:rPr>
          <w:spacing w:val="11"/>
        </w:rPr>
        <w:t>4.2.1</w:t>
      </w:r>
      <w:r>
        <w:rPr>
          <w:spacing w:val="49"/>
        </w:rPr>
        <w:t xml:space="preserve"> </w:t>
      </w:r>
      <w:r>
        <w:rPr>
          <w:rFonts w:ascii="SimSun" w:eastAsia="SimSun" w:hAnsi="SimSun" w:cs="SimSun"/>
          <w:spacing w:val="11"/>
        </w:rPr>
        <w:t>降水正式运行前总包项经部应会同降水专业分包相关人员重新测定各井井口标高及</w:t>
      </w:r>
      <w:r>
        <w:rPr>
          <w:rFonts w:ascii="SimSun" w:eastAsia="SimSun" w:hAnsi="SimSun" w:cs="SimSun"/>
        </w:rPr>
        <w:t xml:space="preserve"> </w:t>
      </w:r>
      <w:r>
        <w:rPr>
          <w:rFonts w:ascii="SimSun" w:eastAsia="SimSun" w:hAnsi="SimSun" w:cs="SimSun"/>
          <w:spacing w:val="6"/>
        </w:rPr>
        <w:t>初始水位。</w:t>
      </w:r>
    </w:p>
    <w:p>
      <w:pPr>
        <w:pStyle w:val="BodyText"/>
        <w:spacing w:before="161" w:line="327" w:lineRule="auto"/>
        <w:ind w:left="21" w:right="26" w:hanging="5"/>
        <w:rPr>
          <w:rFonts w:ascii="SimSun" w:eastAsia="SimSun" w:hAnsi="SimSun" w:cs="SimSun"/>
        </w:rPr>
      </w:pPr>
      <w:r>
        <w:rPr>
          <w:spacing w:val="7"/>
        </w:rPr>
        <w:t>4.2.2</w:t>
      </w:r>
      <w:r>
        <w:rPr>
          <w:spacing w:val="7"/>
        </w:rPr>
        <w:t xml:space="preserve"> </w:t>
      </w:r>
      <w:r>
        <w:rPr>
          <w:rFonts w:ascii="SimSun" w:eastAsia="SimSun" w:hAnsi="SimSun" w:cs="SimSun"/>
          <w:spacing w:val="7"/>
        </w:rPr>
        <w:t>井点施工完成后应做好井管的保护，尤其在基坑挖土期间，总包项经部应协调土方单</w:t>
      </w:r>
      <w:r>
        <w:rPr>
          <w:rFonts w:ascii="SimSun" w:eastAsia="SimSun" w:hAnsi="SimSun" w:cs="SimSun"/>
        </w:rPr>
        <w:t xml:space="preserve"> </w:t>
      </w:r>
      <w:r>
        <w:rPr>
          <w:rFonts w:ascii="SimSun" w:eastAsia="SimSun" w:hAnsi="SimSun" w:cs="SimSun"/>
          <w:spacing w:val="9"/>
        </w:rPr>
        <w:t>位和降水单位，避免挖机破坏井管。对于坑</w:t>
      </w:r>
      <w:r>
        <w:rPr>
          <w:rFonts w:ascii="SimSun" w:eastAsia="SimSun" w:hAnsi="SimSun" w:cs="SimSun"/>
          <w:spacing w:val="8"/>
        </w:rPr>
        <w:t>外的井点，应采取妥善的防压措施和封闭措施，</w:t>
      </w:r>
      <w:r>
        <w:rPr>
          <w:rFonts w:ascii="SimSun" w:eastAsia="SimSun" w:hAnsi="SimSun" w:cs="SimSun"/>
        </w:rPr>
        <w:t xml:space="preserve"> </w:t>
      </w:r>
      <w:r>
        <w:rPr>
          <w:rFonts w:ascii="SimSun" w:eastAsia="SimSun" w:hAnsi="SimSun" w:cs="SimSun"/>
          <w:spacing w:val="8"/>
        </w:rPr>
        <w:t>防止井点被压坏或污水流入。</w:t>
      </w:r>
    </w:p>
    <w:p>
      <w:pPr>
        <w:pStyle w:val="BodyText"/>
        <w:spacing w:before="163" w:line="302" w:lineRule="auto"/>
        <w:ind w:left="24" w:right="70" w:hanging="8"/>
        <w:rPr>
          <w:rFonts w:ascii="SimSun" w:eastAsia="SimSun" w:hAnsi="SimSun" w:cs="SimSun"/>
        </w:rPr>
      </w:pPr>
      <w:r>
        <w:rPr>
          <w:spacing w:val="8"/>
        </w:rPr>
        <w:t>4.2.3</w:t>
      </w:r>
      <w:r>
        <w:rPr>
          <w:spacing w:val="8"/>
        </w:rPr>
        <w:t xml:space="preserve"> </w:t>
      </w:r>
      <w:r>
        <w:rPr>
          <w:rFonts w:ascii="SimSun" w:eastAsia="SimSun" w:hAnsi="SimSun" w:cs="SimSun"/>
          <w:spacing w:val="8"/>
        </w:rPr>
        <w:t>基坑开挖时严禁割除暴露的降压井井管，I</w:t>
      </w:r>
      <w:r>
        <w:rPr>
          <w:rFonts w:ascii="SimSun" w:eastAsia="SimSun" w:hAnsi="SimSun" w:cs="SimSun"/>
          <w:spacing w:val="-40"/>
        </w:rPr>
        <w:t xml:space="preserve"> </w:t>
      </w:r>
      <w:r>
        <w:rPr>
          <w:rFonts w:ascii="SimSun" w:eastAsia="SimSun" w:hAnsi="SimSun" w:cs="SimSun"/>
          <w:spacing w:val="8"/>
        </w:rPr>
        <w:t>类疏干井、联合井及复合式联合</w:t>
      </w:r>
      <w:r>
        <w:rPr>
          <w:rFonts w:ascii="SimSun" w:eastAsia="SimSun" w:hAnsi="SimSun" w:cs="SimSun"/>
          <w:spacing w:val="7"/>
        </w:rPr>
        <w:t>井井管也</w:t>
      </w:r>
      <w:r>
        <w:rPr>
          <w:rFonts w:ascii="SimSun" w:eastAsia="SimSun" w:hAnsi="SimSun" w:cs="SimSun"/>
        </w:rPr>
        <w:t xml:space="preserve"> </w:t>
      </w:r>
      <w:r>
        <w:rPr>
          <w:rFonts w:ascii="SimSun" w:eastAsia="SimSun" w:hAnsi="SimSun" w:cs="SimSun"/>
          <w:spacing w:val="8"/>
        </w:rPr>
        <w:t>不宜割除。</w:t>
      </w:r>
      <w:r>
        <w:rPr>
          <w:rFonts w:ascii="SimSun" w:eastAsia="SimSun" w:hAnsi="SimSun" w:cs="SimSun"/>
          <w:spacing w:val="-51"/>
        </w:rPr>
        <w:t xml:space="preserve"> </w:t>
      </w:r>
      <w:r>
        <w:rPr>
          <w:rFonts w:ascii="SimSun" w:eastAsia="SimSun" w:hAnsi="SimSun" w:cs="SimSun"/>
          <w:spacing w:val="8"/>
        </w:rPr>
        <w:t>Ⅱ类疏干井可根据工程现场实际条件，逐步割去井管，但应及时恢复抽水。</w:t>
      </w:r>
    </w:p>
    <w:p>
      <w:pPr>
        <w:spacing w:line="302" w:lineRule="auto"/>
        <w:rPr>
          <w:rFonts w:ascii="SimSun" w:eastAsia="SimSun" w:hAnsi="SimSun" w:cs="SimSun"/>
        </w:rPr>
        <w:sectPr>
          <w:footerReference w:type="default" r:id="rId11"/>
          <w:pgSz w:w="11906" w:h="16839"/>
          <w:pgMar w:top="1428" w:right="1731" w:bottom="1152" w:left="1785" w:header="0" w:footer="987" w:gutter="0"/>
          <w:pgNumType w:start="7"/>
          <w:cols w:space="708"/>
        </w:sectPr>
      </w:pPr>
    </w:p>
    <w:p>
      <w:pPr>
        <w:spacing w:line="324" w:lineRule="auto"/>
        <w:rPr>
          <w:rFonts w:ascii="Arial"/>
          <w:sz w:val="21"/>
        </w:rPr>
      </w:pPr>
      <w:r>
        <w:pict>
          <v:shapetype id="_x0000_t202" coordsize="21600,21600" o:spt="202" path="m,l,21600r21600,l21600,xe">
            <v:stroke joinstyle="miter"/>
            <v:path gradientshapeok="t" o:connecttype="rect"/>
          </v:shapetype>
          <v:shape id="_x0000_s1025" type="#_x0000_t202" style="width:14.65pt;height:47.95pt;margin-top:116pt;margin-left:452.85pt;mso-position-horizontal-relative:page;mso-position-vertical-relative:page;position:absolute;z-index:251671552" o:allowincell="f" filled="f" stroked="f">
            <o:lock v:ext="edit" aspectratio="f"/>
            <v:textbox style="layout-flow:vertical-ideographic" inset="0,0,0,0">
              <w:txbxContent>
                <w:p>
                  <w:pPr>
                    <w:pStyle w:val="BodyText"/>
                    <w:spacing w:before="20" w:line="215" w:lineRule="auto"/>
                    <w:ind w:left="20"/>
                    <w:rPr>
                      <w:sz w:val="21"/>
                      <w:szCs w:val="21"/>
                    </w:rPr>
                  </w:pPr>
                  <w:r>
                    <w:rPr>
                      <w:spacing w:val="19"/>
                      <w:sz w:val="21"/>
                      <w:szCs w:val="21"/>
                    </w:rPr>
                    <w:t>风险评估</w:t>
                  </w:r>
                </w:p>
              </w:txbxContent>
            </v:textbox>
          </v:shape>
        </w:pict>
      </w:r>
      <w:r>
        <w:pict>
          <v:shape id="_x0000_s1026" type="#_x0000_t202" style="width:14.65pt;height:48.8pt;margin-top:286.58pt;margin-left:456.85pt;mso-position-horizontal-relative:page;mso-position-vertical-relative:page;position:absolute;z-index:251669504" o:allowincell="f" filled="f" stroked="f">
            <o:lock v:ext="edit" aspectratio="f"/>
            <v:textbox style="layout-flow:vertical-ideographic" inset="0,0,0,0">
              <w:txbxContent>
                <w:p>
                  <w:pPr>
                    <w:pStyle w:val="BodyText"/>
                    <w:spacing w:before="20" w:line="215" w:lineRule="auto"/>
                    <w:ind w:left="20"/>
                    <w:rPr>
                      <w:sz w:val="21"/>
                      <w:szCs w:val="21"/>
                    </w:rPr>
                  </w:pPr>
                  <w:r>
                    <w:rPr>
                      <w:spacing w:val="23"/>
                      <w:sz w:val="21"/>
                      <w:szCs w:val="21"/>
                    </w:rPr>
                    <w:t>降水设计</w:t>
                  </w:r>
                </w:p>
              </w:txbxContent>
            </v:textbox>
          </v:shape>
        </w:pict>
      </w:r>
      <w:r>
        <w:pict>
          <v:shape id="_x0000_s1027" type="#_x0000_t202" style="width:14.65pt;height:58.9pt;margin-top:472.08pt;margin-left:457.1pt;mso-position-horizontal-relative:page;mso-position-vertical-relative:page;position:absolute;z-index:251667456" o:allowincell="f" filled="f" stroked="f">
            <o:lock v:ext="edit" aspectratio="f"/>
            <v:textbox style="layout-flow:vertical-ideographic" inset="0,0,0,0">
              <w:txbxContent>
                <w:p>
                  <w:pPr>
                    <w:pStyle w:val="BodyText"/>
                    <w:spacing w:before="20" w:line="215" w:lineRule="auto"/>
                    <w:ind w:left="20"/>
                    <w:rPr>
                      <w:sz w:val="21"/>
                      <w:szCs w:val="21"/>
                    </w:rPr>
                  </w:pPr>
                  <w:r>
                    <w:rPr>
                      <w:spacing w:val="17"/>
                      <w:sz w:val="21"/>
                      <w:szCs w:val="21"/>
                    </w:rPr>
                    <w:t>降水井施工</w:t>
                  </w:r>
                </w:p>
              </w:txbxContent>
            </v:textbox>
          </v:shape>
        </w:pict>
      </w:r>
      <w:r>
        <w:pict>
          <v:shape id="_x0000_s1028" type="#_x0000_t202" style="width:14.65pt;height:48.1pt;margin-top:630.58pt;margin-left:459.6pt;mso-position-horizontal-relative:page;mso-position-vertical-relative:page;position:absolute;z-index:251670528" o:allowincell="f" filled="f" stroked="f">
            <o:lock v:ext="edit" aspectratio="f"/>
            <v:textbox style="layout-flow:vertical-ideographic" inset="0,0,0,0">
              <w:txbxContent>
                <w:p>
                  <w:pPr>
                    <w:pStyle w:val="BodyText"/>
                    <w:spacing w:before="20" w:line="215" w:lineRule="auto"/>
                    <w:ind w:left="20"/>
                    <w:rPr>
                      <w:sz w:val="21"/>
                      <w:szCs w:val="21"/>
                    </w:rPr>
                  </w:pPr>
                  <w:r>
                    <w:rPr>
                      <w:spacing w:val="20"/>
                      <w:sz w:val="21"/>
                      <w:szCs w:val="21"/>
                    </w:rPr>
                    <w:t>降水运行</w:t>
                  </w:r>
                </w:p>
              </w:txbxContent>
            </v:textbox>
          </v:shape>
        </w:pict>
      </w:r>
    </w:p>
    <w:p>
      <w:pPr>
        <w:spacing w:before="48" w:line="219" w:lineRule="auto"/>
        <w:ind w:left="4923"/>
        <w:rPr>
          <w:rFonts w:ascii="SimSun" w:eastAsia="SimSun" w:hAnsi="SimSun" w:cs="SimSun"/>
          <w:sz w:val="15"/>
          <w:szCs w:val="15"/>
        </w:rPr>
      </w:pPr>
      <w:r>
        <w:pict>
          <v:shape id="_x0000_s1029" type="#_x0000_t202" style="width:48.8pt;height:29.15pt;margin-top:-3.25pt;margin-left:152.68pt;position:absolute;z-index:251661312" filled="f" stroked="f">
            <o:lock v:ext="edit" aspectratio="f"/>
            <v:textbox inset="0,0,0,0">
              <w:txbxContent>
                <w:p>
                  <w:pPr>
                    <w:spacing w:before="20" w:line="162" w:lineRule="auto"/>
                    <w:ind w:left="400"/>
                    <w:rPr>
                      <w:rFonts w:ascii="LiSu" w:eastAsia="LiSu" w:hAnsi="LiSu" w:cs="LiSu"/>
                      <w:sz w:val="32"/>
                      <w:szCs w:val="32"/>
                    </w:rPr>
                  </w:pPr>
                  <w:r>
                    <w:rPr>
                      <w:rFonts w:ascii="LiSu" w:eastAsia="LiSu" w:hAnsi="LiSu" w:cs="LiSu"/>
                      <w:sz w:val="32"/>
                      <w:szCs w:val="32"/>
                    </w:rPr>
                    <w:t>工</w:t>
                  </w:r>
                </w:p>
                <w:p>
                  <w:pPr>
                    <w:spacing w:before="83" w:line="219" w:lineRule="auto"/>
                    <w:ind w:left="20"/>
                    <w:rPr>
                      <w:rFonts w:ascii="SimSun" w:eastAsia="SimSun" w:hAnsi="SimSun" w:cs="SimSun"/>
                      <w:sz w:val="15"/>
                      <w:szCs w:val="15"/>
                    </w:rPr>
                  </w:pPr>
                  <w:r>
                    <w:rPr>
                      <w:rFonts w:ascii="SimSun" w:eastAsia="SimSun" w:hAnsi="SimSun" w:cs="SimSun"/>
                      <w:spacing w:val="5"/>
                      <w:sz w:val="15"/>
                      <w:szCs w:val="15"/>
                    </w:rPr>
                    <w:t>水文地质资料</w:t>
                  </w:r>
                </w:p>
              </w:txbxContent>
            </v:textbox>
          </v:shape>
        </w:pict>
      </w:r>
      <w:r>
        <w:drawing>
          <wp:anchor distT="0" distB="0" distL="0" distR="0" simplePos="0" relativeHeight="251659264" behindDoc="1" locked="0" layoutInCell="1" allowOverlap="1">
            <wp:simplePos x="0" y="0"/>
            <wp:positionH relativeFrom="column">
              <wp:posOffset>281640</wp:posOffset>
            </wp:positionH>
            <wp:positionV relativeFrom="paragraph">
              <wp:posOffset>-137863</wp:posOffset>
            </wp:positionV>
            <wp:extent cx="4737066" cy="822964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2"/>
                    <a:stretch>
                      <a:fillRect/>
                    </a:stretch>
                  </pic:blipFill>
                  <pic:spPr>
                    <a:xfrm>
                      <a:off x="0" y="0"/>
                      <a:ext cx="4737066" cy="8229640"/>
                    </a:xfrm>
                    <a:prstGeom prst="rect">
                      <a:avLst/>
                    </a:prstGeom>
                  </pic:spPr>
                </pic:pic>
              </a:graphicData>
            </a:graphic>
          </wp:anchor>
        </w:drawing>
      </w:r>
      <w:r>
        <w:rPr>
          <w:rFonts w:ascii="SimSun" w:eastAsia="SimSun" w:hAnsi="SimSun" w:cs="SimSun"/>
          <w:spacing w:val="-2"/>
          <w:sz w:val="15"/>
          <w:szCs w:val="15"/>
        </w:rPr>
        <w:t>完善</w:t>
      </w:r>
    </w:p>
    <w:p>
      <w:pPr>
        <w:spacing w:before="72" w:line="220" w:lineRule="auto"/>
        <w:ind w:left="1623"/>
        <w:rPr>
          <w:rFonts w:ascii="SimSun" w:eastAsia="SimSun" w:hAnsi="SimSun" w:cs="SimSun"/>
          <w:sz w:val="15"/>
          <w:szCs w:val="15"/>
        </w:rPr>
      </w:pPr>
      <w:r>
        <w:pict>
          <v:shape id="_x0000_s1030" type="#_x0000_t202" style="width:32.85pt;height:10.95pt;margin-top:7.59pt;margin-left:313.67pt;position:absolute;z-index:251674624" filled="f" stroked="f">
            <o:lock v:ext="edit" aspectratio="f"/>
            <v:textbox inset="0,0,0,0">
              <w:txbxContent>
                <w:p>
                  <w:pPr>
                    <w:spacing w:before="20" w:line="219" w:lineRule="auto"/>
                    <w:ind w:left="20"/>
                    <w:rPr>
                      <w:rFonts w:ascii="SimSun" w:eastAsia="SimSun" w:hAnsi="SimSun" w:cs="SimSun"/>
                      <w:sz w:val="15"/>
                      <w:szCs w:val="15"/>
                    </w:rPr>
                  </w:pPr>
                  <w:r>
                    <w:rPr>
                      <w:rFonts w:ascii="SimSun" w:eastAsia="SimSun" w:hAnsi="SimSun" w:cs="SimSun"/>
                      <w:spacing w:val="4"/>
                      <w:sz w:val="15"/>
                      <w:szCs w:val="15"/>
                    </w:rPr>
                    <w:t>降水试验</w:t>
                  </w:r>
                </w:p>
              </w:txbxContent>
            </v:textbox>
          </v:shape>
        </w:pict>
      </w:r>
      <w:r>
        <w:rPr>
          <w:rFonts w:ascii="SimSun" w:eastAsia="SimSun" w:hAnsi="SimSun" w:cs="SimSun"/>
          <w:spacing w:val="7"/>
          <w:sz w:val="15"/>
          <w:szCs w:val="15"/>
        </w:rPr>
        <w:t>周边建构筑物</w:t>
      </w:r>
    </w:p>
    <w:p>
      <w:pPr>
        <w:spacing w:before="90" w:line="219" w:lineRule="auto"/>
        <w:ind w:left="4393"/>
        <w:rPr>
          <w:rFonts w:ascii="SimSun" w:eastAsia="SimSun" w:hAnsi="SimSun" w:cs="SimSun"/>
          <w:sz w:val="15"/>
          <w:szCs w:val="15"/>
        </w:rPr>
      </w:pPr>
      <w:r>
        <w:pict>
          <v:shape id="_x0000_s1031" type="#_x0000_t202" style="width:6.85pt;height:9.05pt;margin-top:-0.21pt;margin-left:276.68pt;position:absolute;z-index:251676672" filled="f" stroked="f">
            <o:lock v:ext="edit" aspectratio="f"/>
            <v:textbox inset="0,0,0,0">
              <w:txbxContent>
                <w:p>
                  <w:pPr>
                    <w:spacing w:before="19" w:line="196" w:lineRule="auto"/>
                    <w:ind w:left="20"/>
                    <w:rPr>
                      <w:rFonts w:ascii="Arial" w:eastAsia="Arial" w:hAnsi="Arial" w:cs="Arial"/>
                      <w:sz w:val="15"/>
                      <w:szCs w:val="15"/>
                    </w:rPr>
                  </w:pPr>
                  <w:r>
                    <w:rPr>
                      <w:rFonts w:ascii="Arial" w:eastAsia="Arial" w:hAnsi="Arial" w:cs="Arial"/>
                      <w:sz w:val="15"/>
                      <w:szCs w:val="15"/>
                    </w:rPr>
                    <w:t>N</w:t>
                  </w:r>
                </w:p>
              </w:txbxContent>
            </v:textbox>
          </v:shape>
        </w:pict>
      </w:r>
      <w:r>
        <w:pict>
          <v:shape id="_x0000_s1032" type="#_x0000_t202" style="width:49pt;height:31.15pt;margin-top:5.32pt;margin-left:80.67pt;position:absolute;z-index:251660288" filled="f" stroked="f">
            <o:lock v:ext="edit" aspectratio="f"/>
            <v:textbox inset="0,0,0,0">
              <w:txbxContent>
                <w:p>
                  <w:pPr>
                    <w:spacing w:before="20" w:line="235" w:lineRule="auto"/>
                    <w:ind w:left="440"/>
                    <w:rPr>
                      <w:rFonts w:ascii="SimSun" w:eastAsia="SimSun" w:hAnsi="SimSun" w:cs="SimSun"/>
                      <w:sz w:val="25"/>
                      <w:szCs w:val="25"/>
                    </w:rPr>
                  </w:pPr>
                  <w:r>
                    <w:rPr>
                      <w:rFonts w:ascii="SimSun" w:eastAsia="SimSun" w:hAnsi="SimSun" w:cs="SimSun"/>
                      <w:sz w:val="25"/>
                      <w:szCs w:val="25"/>
                    </w:rPr>
                    <w:t>工</w:t>
                  </w:r>
                </w:p>
                <w:p>
                  <w:pPr>
                    <w:spacing w:before="86" w:line="219" w:lineRule="auto"/>
                    <w:ind w:left="20"/>
                    <w:rPr>
                      <w:rFonts w:ascii="SimSun" w:eastAsia="SimSun" w:hAnsi="SimSun" w:cs="SimSun"/>
                      <w:sz w:val="15"/>
                      <w:szCs w:val="15"/>
                    </w:rPr>
                  </w:pPr>
                  <w:r>
                    <w:rPr>
                      <w:rFonts w:ascii="SimSun" w:eastAsia="SimSun" w:hAnsi="SimSun" w:cs="SimSun"/>
                      <w:spacing w:val="6"/>
                      <w:sz w:val="15"/>
                      <w:szCs w:val="15"/>
                    </w:rPr>
                    <w:t>环境保护等级</w:t>
                  </w:r>
                </w:p>
              </w:txbxContent>
            </v:textbox>
          </v:shape>
        </w:pict>
      </w:r>
      <w:r>
        <w:rPr>
          <w:rFonts w:ascii="SimSun" w:eastAsia="SimSun" w:hAnsi="SimSun" w:cs="SimSun"/>
          <w:spacing w:val="9"/>
          <w:sz w:val="15"/>
          <w:szCs w:val="15"/>
        </w:rPr>
        <w:t>参考资料是</w:t>
      </w:r>
    </w:p>
    <w:p>
      <w:pPr>
        <w:spacing w:before="33" w:line="302" w:lineRule="exact"/>
        <w:ind w:left="4393"/>
        <w:rPr>
          <w:rFonts w:ascii="SimSun" w:eastAsia="SimSun" w:hAnsi="SimSun" w:cs="SimSun"/>
          <w:sz w:val="20"/>
          <w:szCs w:val="20"/>
        </w:rPr>
      </w:pPr>
      <w:r>
        <w:pict>
          <v:shape id="_x0000_s1033" type="#_x0000_t202" style="width:48.8pt;height:10.95pt;margin-top:11.13pt;margin-left:152.68pt;position:absolute;z-index:251672576" filled="f" stroked="f">
            <o:lock v:ext="edit" aspectratio="f"/>
            <v:textbox inset="0,0,0,0">
              <w:txbxContent>
                <w:p>
                  <w:pPr>
                    <w:spacing w:before="20" w:line="220" w:lineRule="auto"/>
                    <w:ind w:left="20"/>
                    <w:rPr>
                      <w:rFonts w:ascii="SimSun" w:eastAsia="SimSun" w:hAnsi="SimSun" w:cs="SimSun"/>
                      <w:sz w:val="15"/>
                      <w:szCs w:val="15"/>
                    </w:rPr>
                  </w:pPr>
                  <w:r>
                    <w:rPr>
                      <w:rFonts w:ascii="SimSun" w:eastAsia="SimSun" w:hAnsi="SimSun" w:cs="SimSun"/>
                      <w:spacing w:val="5"/>
                      <w:sz w:val="15"/>
                      <w:szCs w:val="15"/>
                    </w:rPr>
                    <w:t>基坑工程资料</w:t>
                  </w:r>
                </w:p>
              </w:txbxContent>
            </v:textbox>
          </v:shape>
        </w:pict>
      </w:r>
      <w:r>
        <w:pict>
          <v:shape id="_x0000_s1034" type="#_x0000_t202" style="width:40.5pt;height:10.95pt;margin-top:12.09pt;margin-left:309.67pt;position:absolute;z-index:251673600" filled="f" stroked="f">
            <o:lock v:ext="edit" aspectratio="f"/>
            <v:textbox inset="0,0,0,0">
              <w:txbxContent>
                <w:p>
                  <w:pPr>
                    <w:spacing w:before="20" w:line="219" w:lineRule="auto"/>
                    <w:ind w:left="20"/>
                    <w:rPr>
                      <w:rFonts w:ascii="SimSun" w:eastAsia="SimSun" w:hAnsi="SimSun" w:cs="SimSun"/>
                      <w:sz w:val="15"/>
                      <w:szCs w:val="15"/>
                    </w:rPr>
                  </w:pPr>
                  <w:r>
                    <w:rPr>
                      <w:rFonts w:ascii="SimSun" w:eastAsia="SimSun" w:hAnsi="SimSun" w:cs="SimSun"/>
                      <w:spacing w:val="3"/>
                      <w:sz w:val="15"/>
                      <w:szCs w:val="15"/>
                    </w:rPr>
                    <w:t>针对性补勘</w:t>
                  </w:r>
                </w:p>
              </w:txbxContent>
            </v:textbox>
          </v:shape>
        </w:pict>
      </w:r>
      <w:r>
        <w:rPr>
          <w:rFonts w:ascii="SimSun" w:eastAsia="SimSun" w:hAnsi="SimSun" w:cs="SimSun"/>
          <w:spacing w:val="-10"/>
          <w:position w:val="7"/>
          <w:sz w:val="20"/>
          <w:szCs w:val="20"/>
        </w:rPr>
        <w:t>否详实完备</w:t>
      </w:r>
    </w:p>
    <w:p>
      <w:pPr>
        <w:spacing w:line="185" w:lineRule="auto"/>
        <w:ind w:left="4393"/>
        <w:rPr>
          <w:rFonts w:ascii="Times New Roman" w:eastAsia="Times New Roman" w:hAnsi="Times New Roman" w:cs="Times New Roman"/>
          <w:sz w:val="15"/>
          <w:szCs w:val="15"/>
        </w:rPr>
      </w:pPr>
      <w:r>
        <w:rPr>
          <w:rFonts w:ascii="Times New Roman" w:eastAsia="Times New Roman" w:hAnsi="Times New Roman" w:cs="Times New Roman"/>
          <w:sz w:val="15"/>
          <w:szCs w:val="15"/>
        </w:rPr>
        <w:t>Y</w:t>
      </w:r>
    </w:p>
    <w:p>
      <w:pPr>
        <w:spacing w:before="242" w:line="218" w:lineRule="auto"/>
        <w:ind w:left="4393"/>
        <w:rPr>
          <w:rFonts w:ascii="SimSun" w:eastAsia="SimSun" w:hAnsi="SimSun" w:cs="SimSun"/>
          <w:sz w:val="15"/>
          <w:szCs w:val="15"/>
        </w:rPr>
      </w:pPr>
      <w:r>
        <w:rPr>
          <w:rFonts w:ascii="SimSun" w:eastAsia="SimSun" w:hAnsi="SimSun" w:cs="SimSun"/>
          <w:spacing w:val="4"/>
          <w:sz w:val="15"/>
          <w:szCs w:val="15"/>
        </w:rPr>
        <w:t>危害评估</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BodyText"/>
        <w:spacing w:before="66" w:line="241" w:lineRule="auto"/>
        <w:ind w:left="3303"/>
      </w:pPr>
      <w:r>
        <w:pict>
          <v:shape id="_x0000_s1035" type="#_x0000_t202" style="width:48.2pt;height:21.45pt;margin-top:2.19pt;margin-left:287.68pt;position:absolute;z-index:251665408" filled="f" stroked="f">
            <o:lock v:ext="edit" aspectratio="f"/>
            <v:textbox inset="0,0,0,0">
              <w:txbxContent>
                <w:p>
                  <w:pPr>
                    <w:spacing w:before="19" w:line="239" w:lineRule="auto"/>
                    <w:ind w:left="20" w:right="20"/>
                    <w:rPr>
                      <w:rFonts w:ascii="SimSun" w:eastAsia="SimSun" w:hAnsi="SimSun" w:cs="SimSun"/>
                      <w:sz w:val="15"/>
                      <w:szCs w:val="15"/>
                    </w:rPr>
                  </w:pPr>
                  <w:r>
                    <w:rPr>
                      <w:rFonts w:ascii="SimSun" w:eastAsia="SimSun" w:hAnsi="SimSun" w:cs="SimSun"/>
                      <w:spacing w:val="3"/>
                      <w:sz w:val="15"/>
                      <w:szCs w:val="15"/>
                    </w:rPr>
                    <w:t>确定坑内不同</w:t>
                  </w:r>
                  <w:r>
                    <w:rPr>
                      <w:rFonts w:ascii="SimSun" w:eastAsia="SimSun" w:hAnsi="SimSun" w:cs="SimSun"/>
                      <w:spacing w:val="4"/>
                      <w:sz w:val="15"/>
                      <w:szCs w:val="15"/>
                    </w:rPr>
                    <w:t xml:space="preserve"> </w:t>
                  </w:r>
                  <w:r>
                    <w:rPr>
                      <w:rFonts w:ascii="SimSun" w:eastAsia="SimSun" w:hAnsi="SimSun" w:cs="SimSun"/>
                      <w:spacing w:val="2"/>
                      <w:sz w:val="15"/>
                      <w:szCs w:val="15"/>
                    </w:rPr>
                    <w:t>位置控制水位</w:t>
                  </w:r>
                </w:p>
              </w:txbxContent>
            </v:textbox>
          </v:shape>
        </w:pict>
      </w:r>
      <w:r>
        <w:pict>
          <v:shape id="_x0000_s1036" type="#_x0000_t202" style="width:5.6pt;height:8.7pt;margin-top:16.86pt;margin-left:218.67pt;position:absolute;z-index:251677696" filled="f" stroked="f">
            <o:lock v:ext="edit" aspectratio="f"/>
            <v:textbox inset="0,0,0,0">
              <w:txbxContent>
                <w:p>
                  <w:pPr>
                    <w:spacing w:before="20" w:line="185" w:lineRule="auto"/>
                    <w:jc w:val="right"/>
                    <w:rPr>
                      <w:rFonts w:ascii="Times New Roman" w:eastAsia="Times New Roman" w:hAnsi="Times New Roman" w:cs="Times New Roman"/>
                      <w:sz w:val="15"/>
                      <w:szCs w:val="15"/>
                    </w:rPr>
                  </w:pPr>
                  <w:r>
                    <w:rPr>
                      <w:rFonts w:ascii="Times New Roman" w:eastAsia="Times New Roman" w:hAnsi="Times New Roman" w:cs="Times New Roman"/>
                      <w:spacing w:val="-1"/>
                      <w:w w:val="66"/>
                      <w:sz w:val="15"/>
                      <w:szCs w:val="15"/>
                    </w:rPr>
                    <w:t>Y</w:t>
                  </w:r>
                </w:p>
              </w:txbxContent>
            </v:textbox>
          </v:shape>
        </w:pict>
      </w:r>
      <w:r>
        <w:rPr>
          <w:spacing w:val="6"/>
        </w:rPr>
        <w:t>雨足沉降</w:t>
      </w:r>
    </w:p>
    <w:p>
      <w:pPr>
        <w:spacing w:line="220" w:lineRule="auto"/>
        <w:ind w:left="3303"/>
        <w:rPr>
          <w:rFonts w:ascii="SimSun" w:eastAsia="SimSun" w:hAnsi="SimSun" w:cs="SimSun"/>
          <w:sz w:val="20"/>
          <w:szCs w:val="20"/>
        </w:rPr>
      </w:pPr>
      <w:r>
        <w:rPr>
          <w:rFonts w:ascii="SimSun" w:eastAsia="SimSun" w:hAnsi="SimSun" w:cs="SimSun"/>
          <w:spacing w:val="6"/>
          <w:sz w:val="20"/>
          <w:szCs w:val="20"/>
        </w:rPr>
        <w:t>控制目标</w:t>
      </w:r>
    </w:p>
    <w:p>
      <w:pPr>
        <w:spacing w:before="61" w:line="185" w:lineRule="auto"/>
        <w:ind w:left="3863"/>
        <w:rPr>
          <w:rFonts w:ascii="Times New Roman" w:eastAsia="Times New Roman" w:hAnsi="Times New Roman" w:cs="Times New Roman"/>
          <w:sz w:val="15"/>
          <w:szCs w:val="15"/>
        </w:rPr>
      </w:pPr>
      <w:r>
        <w:rPr>
          <w:rFonts w:ascii="Times New Roman" w:eastAsia="Times New Roman" w:hAnsi="Times New Roman" w:cs="Times New Roman"/>
          <w:sz w:val="15"/>
          <w:szCs w:val="15"/>
        </w:rPr>
        <w:t>N</w:t>
      </w:r>
    </w:p>
    <w:p>
      <w:pPr>
        <w:spacing w:before="155" w:line="200" w:lineRule="exact"/>
        <w:ind w:left="3303"/>
        <w:rPr>
          <w:rFonts w:ascii="SimSun" w:eastAsia="SimSun" w:hAnsi="SimSun" w:cs="SimSun"/>
          <w:sz w:val="15"/>
          <w:szCs w:val="15"/>
        </w:rPr>
      </w:pPr>
      <w:r>
        <w:pict>
          <v:shape id="_x0000_s1037" type="#_x0000_t202" style="width:55.85pt;height:20.9pt;margin-top:5.76pt;margin-left:284.17pt;position:absolute;z-index:251663360" filled="f" stroked="f">
            <o:lock v:ext="edit" aspectratio="f"/>
            <v:textbox inset="0,0,0,0">
              <w:txbxContent>
                <w:p>
                  <w:pPr>
                    <w:spacing w:before="20" w:line="232" w:lineRule="auto"/>
                    <w:ind w:left="90" w:right="20" w:hanging="70"/>
                    <w:rPr>
                      <w:rFonts w:ascii="SimSun" w:eastAsia="SimSun" w:hAnsi="SimSun" w:cs="SimSun"/>
                      <w:sz w:val="15"/>
                      <w:szCs w:val="15"/>
                    </w:rPr>
                  </w:pPr>
                  <w:r>
                    <w:rPr>
                      <w:rFonts w:ascii="SimSun" w:eastAsia="SimSun" w:hAnsi="SimSun" w:cs="SimSun"/>
                      <w:spacing w:val="3"/>
                      <w:sz w:val="15"/>
                      <w:szCs w:val="15"/>
                    </w:rPr>
                    <w:t>降压井结构设计</w:t>
                  </w:r>
                  <w:r>
                    <w:rPr>
                      <w:rFonts w:ascii="SimSun" w:eastAsia="SimSun" w:hAnsi="SimSun" w:cs="SimSun"/>
                      <w:spacing w:val="4"/>
                      <w:sz w:val="15"/>
                      <w:szCs w:val="15"/>
                    </w:rPr>
                    <w:t xml:space="preserve"> </w:t>
                  </w:r>
                  <w:r>
                    <w:rPr>
                      <w:rFonts w:ascii="SimSun" w:eastAsia="SimSun" w:hAnsi="SimSun" w:cs="SimSun"/>
                      <w:spacing w:val="2"/>
                      <w:sz w:val="15"/>
                      <w:szCs w:val="15"/>
                    </w:rPr>
                    <w:t>降压井群布置</w:t>
                  </w:r>
                </w:p>
              </w:txbxContent>
            </v:textbox>
          </v:shape>
        </w:pict>
      </w:r>
      <w:r>
        <w:rPr>
          <w:rFonts w:ascii="SimSun" w:eastAsia="SimSun" w:hAnsi="SimSun" w:cs="SimSun"/>
          <w:spacing w:val="-2"/>
          <w:position w:val="3"/>
          <w:sz w:val="15"/>
          <w:szCs w:val="15"/>
        </w:rPr>
        <w:t>设定坑内/外</w:t>
      </w:r>
    </w:p>
    <w:p>
      <w:pPr>
        <w:spacing w:line="219" w:lineRule="auto"/>
        <w:ind w:left="3073"/>
        <w:rPr>
          <w:rFonts w:ascii="SimSun" w:eastAsia="SimSun" w:hAnsi="SimSun" w:cs="SimSun"/>
          <w:sz w:val="15"/>
          <w:szCs w:val="15"/>
        </w:rPr>
      </w:pPr>
      <w:r>
        <w:rPr>
          <w:rFonts w:ascii="SimSun" w:eastAsia="SimSun" w:hAnsi="SimSun" w:cs="SimSun"/>
          <w:spacing w:val="5"/>
          <w:sz w:val="15"/>
          <w:szCs w:val="15"/>
        </w:rPr>
        <w:t>降深控制目标</w:t>
      </w:r>
    </w:p>
    <w:p>
      <w:pPr>
        <w:spacing w:before="237" w:line="196" w:lineRule="auto"/>
        <w:ind w:left="6823"/>
        <w:rPr>
          <w:rFonts w:ascii="Arial" w:eastAsia="Arial" w:hAnsi="Arial" w:cs="Arial"/>
          <w:sz w:val="15"/>
          <w:szCs w:val="15"/>
        </w:rPr>
      </w:pPr>
      <w:r>
        <w:rPr>
          <w:rFonts w:ascii="Arial" w:eastAsia="Arial" w:hAnsi="Arial" w:cs="Arial"/>
          <w:sz w:val="15"/>
          <w:szCs w:val="15"/>
        </w:rPr>
        <w:t>N</w:t>
      </w:r>
    </w:p>
    <w:p>
      <w:pPr>
        <w:spacing w:before="35" w:line="233" w:lineRule="auto"/>
        <w:ind w:left="3073"/>
        <w:rPr>
          <w:rFonts w:ascii="SimSun" w:eastAsia="SimSun" w:hAnsi="SimSun" w:cs="SimSun"/>
          <w:sz w:val="15"/>
          <w:szCs w:val="15"/>
        </w:rPr>
      </w:pPr>
      <w:r>
        <w:pict>
          <v:shape id="_x0000_s1038" type="#_x0000_t202" style="width:36.45pt;height:36.35pt;margin-top:3.72pt;margin-left:294.18pt;position:absolute;z-index:251662336" filled="f" stroked="f">
            <o:lock v:ext="edit" aspectratio="f"/>
            <v:textbox inset="0,0,0,0">
              <w:txbxContent>
                <w:p>
                  <w:pPr>
                    <w:spacing w:before="20" w:line="219" w:lineRule="auto"/>
                    <w:ind w:left="20"/>
                    <w:rPr>
                      <w:rFonts w:ascii="SimSun" w:eastAsia="SimSun" w:hAnsi="SimSun" w:cs="SimSun"/>
                      <w:sz w:val="15"/>
                      <w:szCs w:val="15"/>
                    </w:rPr>
                  </w:pPr>
                  <w:r>
                    <w:rPr>
                      <w:rFonts w:ascii="SimSun" w:eastAsia="SimSun" w:hAnsi="SimSun" w:cs="SimSun"/>
                      <w:spacing w:val="22"/>
                      <w:sz w:val="15"/>
                      <w:szCs w:val="15"/>
                    </w:rPr>
                    <w:t>抗内降深</w:t>
                  </w:r>
                </w:p>
                <w:p>
                  <w:pPr>
                    <w:spacing w:before="54" w:line="219" w:lineRule="auto"/>
                    <w:ind w:left="109"/>
                    <w:rPr>
                      <w:rFonts w:ascii="SimSun" w:eastAsia="SimSun" w:hAnsi="SimSun" w:cs="SimSun"/>
                      <w:sz w:val="20"/>
                      <w:szCs w:val="20"/>
                    </w:rPr>
                  </w:pPr>
                  <w:r>
                    <w:rPr>
                      <w:rFonts w:ascii="SimSun" w:eastAsia="SimSun" w:hAnsi="SimSun" w:cs="SimSun"/>
                      <w:spacing w:val="-8"/>
                      <w:sz w:val="20"/>
                      <w:szCs w:val="20"/>
                    </w:rPr>
                    <w:t>均满足</w:t>
                  </w:r>
                </w:p>
                <w:p>
                  <w:pPr>
                    <w:spacing w:before="83" w:line="185" w:lineRule="auto"/>
                    <w:ind w:left="209"/>
                    <w:rPr>
                      <w:rFonts w:ascii="Times New Roman" w:eastAsia="Times New Roman" w:hAnsi="Times New Roman" w:cs="Times New Roman"/>
                      <w:sz w:val="15"/>
                      <w:szCs w:val="15"/>
                    </w:rPr>
                  </w:pPr>
                  <w:r>
                    <w:rPr>
                      <w:rFonts w:ascii="Times New Roman" w:eastAsia="Times New Roman" w:hAnsi="Times New Roman" w:cs="Times New Roman"/>
                      <w:sz w:val="15"/>
                      <w:szCs w:val="15"/>
                    </w:rPr>
                    <w:t>Y</w:t>
                  </w:r>
                </w:p>
              </w:txbxContent>
            </v:textbox>
          </v:shape>
        </w:pict>
      </w:r>
      <w:r>
        <w:rPr>
          <w:rFonts w:ascii="SimSun" w:eastAsia="SimSun" w:hAnsi="SimSun" w:cs="SimSun"/>
          <w:sz w:val="15"/>
          <w:szCs w:val="15"/>
        </w:rPr>
        <w:t>降压井结构设计</w:t>
      </w:r>
    </w:p>
    <w:p>
      <w:pPr>
        <w:spacing w:line="218" w:lineRule="auto"/>
        <w:ind w:left="3073"/>
        <w:rPr>
          <w:rFonts w:ascii="SimSun" w:eastAsia="SimSun" w:hAnsi="SimSun" w:cs="SimSun"/>
          <w:sz w:val="15"/>
          <w:szCs w:val="15"/>
        </w:rPr>
      </w:pPr>
      <w:r>
        <w:rPr>
          <w:rFonts w:ascii="SimSun" w:eastAsia="SimSun" w:hAnsi="SimSun" w:cs="SimSun"/>
          <w:spacing w:val="5"/>
          <w:sz w:val="15"/>
          <w:szCs w:val="15"/>
        </w:rPr>
        <w:t>降压井群布置</w:t>
      </w:r>
    </w:p>
    <w:p>
      <w:pPr>
        <w:spacing w:before="273" w:line="219" w:lineRule="auto"/>
        <w:ind w:left="1823"/>
        <w:rPr>
          <w:rFonts w:ascii="SimSun" w:eastAsia="SimSun" w:hAnsi="SimSun" w:cs="SimSun"/>
          <w:sz w:val="15"/>
          <w:szCs w:val="15"/>
        </w:rPr>
      </w:pPr>
      <w:r>
        <w:pict>
          <v:shape id="_x0000_s1039" type="#_x0000_t202" style="width:56.35pt;height:20.4pt;margin-top:14.16pt;margin-left:208.18pt;position:absolute;z-index:251664384" filled="f" stroked="f">
            <o:lock v:ext="edit" aspectratio="f"/>
            <v:textbox inset="0,0,0,0">
              <w:txbxContent>
                <w:p>
                  <w:pPr>
                    <w:spacing w:before="19" w:line="226" w:lineRule="auto"/>
                    <w:ind w:left="120" w:right="20" w:hanging="100"/>
                    <w:rPr>
                      <w:rFonts w:ascii="SimSun" w:eastAsia="SimSun" w:hAnsi="SimSun" w:cs="SimSun"/>
                      <w:sz w:val="15"/>
                      <w:szCs w:val="15"/>
                    </w:rPr>
                  </w:pPr>
                  <w:r>
                    <w:rPr>
                      <w:rFonts w:ascii="SimSun" w:eastAsia="SimSun" w:hAnsi="SimSun" w:cs="SimSun"/>
                      <w:spacing w:val="5"/>
                      <w:sz w:val="15"/>
                      <w:szCs w:val="15"/>
                    </w:rPr>
                    <w:t>回灌井结构设计</w:t>
                  </w:r>
                  <w:r>
                    <w:rPr>
                      <w:rFonts w:ascii="SimSun" w:eastAsia="SimSun" w:hAnsi="SimSun" w:cs="SimSun"/>
                      <w:sz w:val="15"/>
                      <w:szCs w:val="15"/>
                    </w:rPr>
                    <w:t xml:space="preserve"> </w:t>
                  </w:r>
                  <w:r>
                    <w:rPr>
                      <w:rFonts w:ascii="SimSun" w:eastAsia="SimSun" w:hAnsi="SimSun" w:cs="SimSun"/>
                      <w:sz w:val="15"/>
                      <w:szCs w:val="15"/>
                    </w:rPr>
                    <w:t>回灌井群布置</w:t>
                  </w:r>
                </w:p>
              </w:txbxContent>
            </v:textbox>
          </v:shape>
        </w:pict>
      </w:r>
      <w:r>
        <w:rPr>
          <w:rFonts w:ascii="SimSun" w:eastAsia="SimSun" w:hAnsi="SimSun" w:cs="SimSun"/>
          <w:spacing w:val="4"/>
          <w:sz w:val="15"/>
          <w:szCs w:val="15"/>
        </w:rPr>
        <w:t>围护结构深度优化</w:t>
      </w:r>
    </w:p>
    <w:p>
      <w:pPr>
        <w:spacing w:before="42" w:line="219" w:lineRule="auto"/>
        <w:ind w:left="1903"/>
        <w:rPr>
          <w:rFonts w:ascii="SimSun" w:eastAsia="SimSun" w:hAnsi="SimSun" w:cs="SimSun"/>
          <w:sz w:val="15"/>
          <w:szCs w:val="15"/>
        </w:rPr>
      </w:pPr>
      <w:r>
        <w:rPr>
          <w:rFonts w:ascii="SimSun" w:eastAsia="SimSun" w:hAnsi="SimSun" w:cs="SimSun"/>
          <w:spacing w:val="3"/>
          <w:sz w:val="15"/>
          <w:szCs w:val="15"/>
        </w:rPr>
        <w:t>降压井结构优化</w:t>
      </w:r>
    </w:p>
    <w:p>
      <w:pPr>
        <w:spacing w:before="234" w:line="200" w:lineRule="auto"/>
        <w:ind w:left="3070"/>
        <w:rPr>
          <w:rFonts w:ascii="SimSun" w:eastAsia="SimSun" w:hAnsi="SimSun" w:cs="SimSun"/>
          <w:sz w:val="21"/>
          <w:szCs w:val="21"/>
        </w:rPr>
      </w:pPr>
      <w:r>
        <w:rPr>
          <w:rFonts w:ascii="SimSun" w:eastAsia="SimSun" w:hAnsi="SimSun" w:cs="SimSun"/>
          <w:i/>
          <w:iCs/>
          <w:spacing w:val="-16"/>
          <w:sz w:val="21"/>
          <w:szCs w:val="21"/>
        </w:rPr>
        <w:t>坑内/外降深</w:t>
      </w:r>
    </w:p>
    <w:p>
      <w:pPr>
        <w:spacing w:before="1" w:line="219" w:lineRule="auto"/>
        <w:ind w:left="2683"/>
        <w:rPr>
          <w:rFonts w:ascii="SimSun" w:eastAsia="SimSun" w:hAnsi="SimSun" w:cs="SimSun"/>
          <w:sz w:val="15"/>
          <w:szCs w:val="15"/>
        </w:rPr>
      </w:pPr>
      <w:r>
        <w:pict>
          <v:shape id="_x0000_s1040" type="#_x0000_t202" style="width:35.5pt;height:18.95pt;margin-top:0.51pt;margin-left:218.67pt;position:absolute;z-index:251668480" filled="f" stroked="f">
            <o:lock v:ext="edit" aspectratio="f"/>
            <v:textbox inset="0,0,0,0">
              <w:txbxContent>
                <w:p>
                  <w:pPr>
                    <w:spacing w:before="20" w:line="208" w:lineRule="auto"/>
                    <w:ind w:left="20" w:right="20"/>
                    <w:rPr>
                      <w:rFonts w:ascii="SimSun" w:eastAsia="SimSun" w:hAnsi="SimSun" w:cs="SimSun"/>
                      <w:sz w:val="15"/>
                      <w:szCs w:val="15"/>
                    </w:rPr>
                  </w:pPr>
                  <w:r>
                    <w:rPr>
                      <w:rFonts w:ascii="SimSun" w:eastAsia="SimSun" w:hAnsi="SimSun" w:cs="SimSun"/>
                      <w:spacing w:val="-2"/>
                      <w:sz w:val="15"/>
                      <w:szCs w:val="15"/>
                    </w:rPr>
                    <w:t>墙-井优化</w:t>
                  </w:r>
                  <w:r>
                    <w:rPr>
                      <w:rFonts w:ascii="SimSun" w:eastAsia="SimSun" w:hAnsi="SimSun" w:cs="SimSun"/>
                      <w:spacing w:val="3"/>
                      <w:sz w:val="15"/>
                      <w:szCs w:val="15"/>
                    </w:rPr>
                    <w:t xml:space="preserve"> </w:t>
                  </w:r>
                  <w:r>
                    <w:rPr>
                      <w:rFonts w:ascii="SimSun" w:eastAsia="SimSun" w:hAnsi="SimSun" w:cs="SimSun"/>
                      <w:spacing w:val="4"/>
                      <w:sz w:val="15"/>
                      <w:szCs w:val="15"/>
                    </w:rPr>
                    <w:t>无法满足</w:t>
                  </w:r>
                </w:p>
              </w:txbxContent>
            </v:textbox>
          </v:shape>
        </w:pict>
      </w:r>
      <w:r>
        <w:rPr>
          <w:rFonts w:ascii="Arial" w:eastAsia="Arial" w:hAnsi="Arial" w:cs="Arial"/>
          <w:position w:val="-1"/>
          <w:sz w:val="15"/>
          <w:szCs w:val="15"/>
        </w:rPr>
        <w:t xml:space="preserve">N                </w:t>
      </w:r>
      <w:r>
        <w:rPr>
          <w:rFonts w:ascii="SimSun" w:eastAsia="SimSun" w:hAnsi="SimSun" w:cs="SimSun"/>
          <w:sz w:val="15"/>
          <w:szCs w:val="15"/>
        </w:rPr>
        <w:t>均满足</w:t>
      </w:r>
    </w:p>
    <w:p>
      <w:pPr>
        <w:spacing w:before="105" w:line="185" w:lineRule="auto"/>
        <w:ind w:left="3453"/>
        <w:rPr>
          <w:rFonts w:ascii="Times New Roman" w:eastAsia="Times New Roman" w:hAnsi="Times New Roman" w:cs="Times New Roman"/>
          <w:sz w:val="15"/>
          <w:szCs w:val="15"/>
        </w:rPr>
      </w:pPr>
      <w:r>
        <w:rPr>
          <w:rFonts w:ascii="Times New Roman" w:eastAsia="Times New Roman" w:hAnsi="Times New Roman" w:cs="Times New Roman"/>
          <w:sz w:val="15"/>
          <w:szCs w:val="15"/>
        </w:rPr>
        <w:t>Y</w:t>
      </w:r>
    </w:p>
    <w:p>
      <w:pPr>
        <w:spacing w:line="263" w:lineRule="auto"/>
        <w:rPr>
          <w:rFonts w:ascii="Arial"/>
          <w:sz w:val="21"/>
        </w:rPr>
      </w:pPr>
    </w:p>
    <w:p>
      <w:pPr>
        <w:spacing w:before="49" w:line="219" w:lineRule="auto"/>
        <w:ind w:left="3073"/>
        <w:rPr>
          <w:rFonts w:ascii="SimSun" w:eastAsia="SimSun" w:hAnsi="SimSun" w:cs="SimSun"/>
          <w:sz w:val="15"/>
          <w:szCs w:val="15"/>
        </w:rPr>
      </w:pPr>
      <w:r>
        <w:rPr>
          <w:rFonts w:ascii="SimSun" w:eastAsia="SimSun" w:hAnsi="SimSun" w:cs="SimSun"/>
          <w:spacing w:val="6"/>
          <w:sz w:val="15"/>
          <w:szCs w:val="15"/>
        </w:rPr>
        <w:t>确定降水方案</w:t>
      </w:r>
    </w:p>
    <w:p>
      <w:pPr>
        <w:spacing w:line="460" w:lineRule="auto"/>
        <w:rPr>
          <w:rFonts w:ascii="Arial"/>
          <w:sz w:val="21"/>
        </w:rPr>
      </w:pPr>
    </w:p>
    <w:p>
      <w:pPr>
        <w:spacing w:before="50" w:line="220" w:lineRule="exact"/>
        <w:ind w:left="3303"/>
        <w:rPr>
          <w:rFonts w:ascii="SimSun" w:eastAsia="SimSun" w:hAnsi="SimSun" w:cs="SimSun"/>
          <w:sz w:val="15"/>
          <w:szCs w:val="15"/>
        </w:rPr>
      </w:pPr>
      <w:r>
        <w:rPr>
          <w:rFonts w:ascii="SimSun" w:eastAsia="SimSun" w:hAnsi="SimSun" w:cs="SimSun"/>
          <w:spacing w:val="4"/>
          <w:position w:val="5"/>
          <w:sz w:val="15"/>
          <w:szCs w:val="15"/>
        </w:rPr>
        <w:t>井点施工</w:t>
      </w:r>
    </w:p>
    <w:p>
      <w:pPr>
        <w:spacing w:line="220" w:lineRule="auto"/>
        <w:ind w:left="3303"/>
        <w:rPr>
          <w:rFonts w:ascii="SimSun" w:eastAsia="SimSun" w:hAnsi="SimSun" w:cs="SimSun"/>
          <w:sz w:val="15"/>
          <w:szCs w:val="15"/>
        </w:rPr>
      </w:pPr>
      <w:r>
        <w:rPr>
          <w:rFonts w:ascii="SimSun" w:eastAsia="SimSun" w:hAnsi="SimSun" w:cs="SimSun"/>
          <w:spacing w:val="5"/>
          <w:sz w:val="15"/>
          <w:szCs w:val="15"/>
        </w:rPr>
        <w:t>质量控制</w:t>
      </w:r>
    </w:p>
    <w:p>
      <w:pPr>
        <w:spacing w:before="261" w:line="219" w:lineRule="auto"/>
        <w:ind w:left="2843"/>
        <w:rPr>
          <w:rFonts w:ascii="SimSun" w:eastAsia="SimSun" w:hAnsi="SimSun" w:cs="SimSun"/>
          <w:sz w:val="15"/>
          <w:szCs w:val="15"/>
        </w:rPr>
      </w:pPr>
      <w:r>
        <w:pict>
          <v:shape id="_x0000_s1041" type="#_x0000_t202" style="width:41pt;height:20.95pt;margin-top:14.55pt;margin-left:89.68pt;position:absolute;z-index:251666432" filled="f" stroked="f">
            <o:lock v:ext="edit" aspectratio="f"/>
            <v:textbox inset="0,0,0,0">
              <w:txbxContent>
                <w:p>
                  <w:pPr>
                    <w:spacing w:before="19" w:line="233" w:lineRule="auto"/>
                    <w:ind w:left="228" w:right="20" w:hanging="209"/>
                    <w:rPr>
                      <w:rFonts w:ascii="SimSun" w:eastAsia="SimSun" w:hAnsi="SimSun" w:cs="SimSun"/>
                      <w:sz w:val="15"/>
                      <w:szCs w:val="15"/>
                    </w:rPr>
                  </w:pPr>
                  <w:r>
                    <w:rPr>
                      <w:rFonts w:ascii="SimSun" w:eastAsia="SimSun" w:hAnsi="SimSun" w:cs="SimSun"/>
                      <w:spacing w:val="5"/>
                      <w:sz w:val="15"/>
                      <w:szCs w:val="15"/>
                    </w:rPr>
                    <w:t>降压井结构</w:t>
                  </w:r>
                  <w:r>
                    <w:rPr>
                      <w:rFonts w:ascii="SimSun" w:eastAsia="SimSun" w:hAnsi="SimSun" w:cs="SimSun"/>
                      <w:spacing w:val="3"/>
                      <w:sz w:val="15"/>
                      <w:szCs w:val="15"/>
                    </w:rPr>
                    <w:t xml:space="preserve"> </w:t>
                  </w:r>
                  <w:r>
                    <w:rPr>
                      <w:rFonts w:ascii="SimSun" w:eastAsia="SimSun" w:hAnsi="SimSun" w:cs="SimSun"/>
                      <w:spacing w:val="13"/>
                      <w:sz w:val="15"/>
                      <w:szCs w:val="15"/>
                    </w:rPr>
                    <w:t>优化</w:t>
                  </w:r>
                </w:p>
              </w:txbxContent>
            </v:textbox>
          </v:shape>
        </w:pict>
      </w:r>
      <w:r>
        <w:rPr>
          <w:rFonts w:ascii="SimSun" w:eastAsia="SimSun" w:hAnsi="SimSun" w:cs="SimSun"/>
          <w:spacing w:val="-2"/>
          <w:sz w:val="15"/>
          <w:szCs w:val="15"/>
        </w:rPr>
        <w:t>不符合</w:t>
      </w:r>
    </w:p>
    <w:p>
      <w:pPr>
        <w:spacing w:before="4" w:line="220" w:lineRule="auto"/>
        <w:ind w:left="3303"/>
        <w:rPr>
          <w:rFonts w:ascii="SimSun" w:eastAsia="SimSun" w:hAnsi="SimSun" w:cs="SimSun"/>
          <w:sz w:val="20"/>
          <w:szCs w:val="20"/>
        </w:rPr>
      </w:pPr>
      <w:r>
        <w:rPr>
          <w:rFonts w:ascii="SimSun" w:eastAsia="SimSun" w:hAnsi="SimSun" w:cs="SimSun"/>
          <w:color w:val="857E62"/>
          <w:spacing w:val="-14"/>
          <w:w w:val="98"/>
          <w:sz w:val="20"/>
          <w:szCs w:val="20"/>
        </w:rPr>
        <w:t>单井验证</w:t>
      </w:r>
    </w:p>
    <w:p>
      <w:pPr>
        <w:pStyle w:val="BodyText"/>
        <w:spacing w:before="111" w:line="185" w:lineRule="auto"/>
        <w:ind w:left="3303"/>
      </w:pPr>
      <w:r>
        <w:rPr>
          <w:spacing w:val="-2"/>
        </w:rPr>
        <w:t>符敛</w:t>
      </w:r>
    </w:p>
    <w:p>
      <w:pPr>
        <w:spacing w:line="171" w:lineRule="auto"/>
        <w:ind w:left="4393"/>
        <w:rPr>
          <w:rFonts w:ascii="SimSun" w:eastAsia="SimSun" w:hAnsi="SimSun" w:cs="SimSun"/>
          <w:sz w:val="15"/>
          <w:szCs w:val="15"/>
        </w:rPr>
      </w:pPr>
      <w:r>
        <w:rPr>
          <w:rFonts w:ascii="SimSun" w:eastAsia="SimSun" w:hAnsi="SimSun" w:cs="SimSun"/>
          <w:spacing w:val="-2"/>
          <w:sz w:val="15"/>
          <w:szCs w:val="15"/>
        </w:rPr>
        <w:t>不符合</w:t>
      </w:r>
    </w:p>
    <w:p>
      <w:pPr>
        <w:spacing w:line="212" w:lineRule="auto"/>
        <w:ind w:left="3073"/>
        <w:rPr>
          <w:rFonts w:ascii="SimSun" w:eastAsia="SimSun" w:hAnsi="SimSun" w:cs="SimSun"/>
          <w:sz w:val="20"/>
          <w:szCs w:val="20"/>
        </w:rPr>
      </w:pPr>
      <w:r>
        <w:rPr>
          <w:rFonts w:ascii="SimSun" w:eastAsia="SimSun" w:hAnsi="SimSun" w:cs="SimSun"/>
          <w:spacing w:val="-13"/>
          <w:sz w:val="20"/>
          <w:szCs w:val="20"/>
        </w:rPr>
        <w:t>&lt;中期验证</w:t>
      </w:r>
    </w:p>
    <w:p>
      <w:pPr>
        <w:pStyle w:val="BodyText"/>
        <w:spacing w:before="62" w:line="222" w:lineRule="auto"/>
        <w:ind w:left="3303"/>
        <w:rPr>
          <w:sz w:val="25"/>
          <w:szCs w:val="25"/>
        </w:rPr>
      </w:pPr>
      <w:r>
        <w:pict>
          <v:shape id="_x0000_s1042" type="#_x0000_t202" style="width:24.1pt;height:10.95pt;margin-top:12.41pt;margin-left:218.67pt;position:absolute;z-index:251675648" filled="f" stroked="f">
            <o:lock v:ext="edit" aspectratio="f"/>
            <v:textbox inset="0,0,0,0">
              <w:txbxContent>
                <w:p>
                  <w:pPr>
                    <w:spacing w:before="20" w:line="219" w:lineRule="auto"/>
                    <w:ind w:left="20"/>
                    <w:rPr>
                      <w:rFonts w:ascii="SimSun" w:eastAsia="SimSun" w:hAnsi="SimSun" w:cs="SimSun"/>
                      <w:sz w:val="15"/>
                      <w:szCs w:val="15"/>
                    </w:rPr>
                  </w:pPr>
                  <w:r>
                    <w:rPr>
                      <w:rFonts w:ascii="SimSun" w:eastAsia="SimSun" w:hAnsi="SimSun" w:cs="SimSun"/>
                      <w:spacing w:val="-2"/>
                      <w:sz w:val="15"/>
                      <w:szCs w:val="15"/>
                    </w:rPr>
                    <w:t>不符合</w:t>
                  </w:r>
                </w:p>
              </w:txbxContent>
            </v:textbox>
          </v:shape>
        </w:pict>
      </w:r>
      <w:r>
        <w:rPr>
          <w:spacing w:val="-10"/>
          <w:sz w:val="25"/>
          <w:szCs w:val="25"/>
        </w:rPr>
        <w:t>符合</w:t>
      </w:r>
    </w:p>
    <w:p>
      <w:pPr>
        <w:spacing w:before="109" w:line="279" w:lineRule="exact"/>
        <w:ind w:left="3303"/>
        <w:rPr>
          <w:rFonts w:ascii="SimSun" w:eastAsia="SimSun" w:hAnsi="SimSun" w:cs="SimSun"/>
          <w:sz w:val="20"/>
          <w:szCs w:val="20"/>
        </w:rPr>
      </w:pPr>
      <w:r>
        <w:rPr>
          <w:rFonts w:ascii="SimSun" w:eastAsia="SimSun" w:hAnsi="SimSun" w:cs="SimSun"/>
          <w:spacing w:val="-14"/>
          <w:w w:val="98"/>
          <w:position w:val="5"/>
          <w:sz w:val="20"/>
          <w:szCs w:val="20"/>
        </w:rPr>
        <w:t>报终验证</w:t>
      </w:r>
    </w:p>
    <w:p>
      <w:pPr>
        <w:pStyle w:val="BodyText"/>
        <w:spacing w:before="1" w:line="221" w:lineRule="auto"/>
        <w:ind w:left="3303"/>
        <w:sectPr>
          <w:footerReference w:type="default" r:id="rId13"/>
          <w:pgSz w:w="11910" w:h="16840"/>
          <w:pgMar w:top="1431" w:right="1786" w:bottom="1155" w:left="1786" w:header="0" w:footer="1006" w:gutter="0"/>
          <w:pgNumType w:start="8"/>
          <w:cols w:space="708"/>
        </w:sectPr>
      </w:pPr>
      <w:r>
        <w:rPr>
          <w:spacing w:val="-2"/>
        </w:rPr>
        <w:t>符合</w:t>
      </w:r>
    </w:p>
    <w:p>
      <w:pPr>
        <w:spacing w:before="228" w:line="219" w:lineRule="auto"/>
        <w:ind w:left="3073"/>
        <w:rPr>
          <w:rFonts w:ascii="SimSun" w:eastAsia="SimSun" w:hAnsi="SimSun" w:cs="SimSun"/>
          <w:sz w:val="15"/>
          <w:szCs w:val="15"/>
        </w:rPr>
      </w:pPr>
      <w:r>
        <w:pict>
          <v:shape id="_x0000_s1043" type="#_x0000_t202" style="width:33.4pt;height:10.95pt;margin-top:15.46pt;margin-left:83.67pt;position:absolute;z-index:251679744" filled="f" stroked="f">
            <o:lock v:ext="edit" aspectratio="f"/>
            <v:textbox inset="0,0,0,0">
              <w:txbxContent>
                <w:p>
                  <w:pPr>
                    <w:spacing w:before="20" w:line="220" w:lineRule="auto"/>
                    <w:ind w:left="20"/>
                    <w:rPr>
                      <w:rFonts w:ascii="SimSun" w:eastAsia="SimSun" w:hAnsi="SimSun" w:cs="SimSun"/>
                      <w:sz w:val="15"/>
                      <w:szCs w:val="15"/>
                    </w:rPr>
                  </w:pPr>
                  <w:r>
                    <w:rPr>
                      <w:rFonts w:ascii="SimSun" w:eastAsia="SimSun" w:hAnsi="SimSun" w:cs="SimSun"/>
                      <w:spacing w:val="6"/>
                      <w:sz w:val="15"/>
                      <w:szCs w:val="15"/>
                    </w:rPr>
                    <w:t>应急措施</w:t>
                  </w:r>
                </w:p>
              </w:txbxContent>
            </v:textbox>
          </v:shape>
        </w:pict>
      </w:r>
      <w:r>
        <w:rPr>
          <w:rFonts w:ascii="SimSun" w:eastAsia="SimSun" w:hAnsi="SimSun" w:cs="SimSun"/>
          <w:spacing w:val="3"/>
          <w:sz w:val="15"/>
          <w:szCs w:val="15"/>
        </w:rPr>
        <w:t>最小化降水运行</w:t>
      </w:r>
    </w:p>
    <w:p>
      <w:pPr>
        <w:spacing w:before="33" w:line="219" w:lineRule="auto"/>
        <w:ind w:left="3073"/>
        <w:rPr>
          <w:rFonts w:ascii="SimSun" w:eastAsia="SimSun" w:hAnsi="SimSun" w:cs="SimSun"/>
          <w:sz w:val="15"/>
          <w:szCs w:val="15"/>
        </w:rPr>
      </w:pPr>
      <w:r>
        <w:pict>
          <v:shape id="_x0000_s1044" type="#_x0000_t202" style="width:49.15pt;height:10.95pt;margin-top:-4.37pt;margin-left:246.67pt;position:absolute;z-index:251678720" filled="f" stroked="f">
            <o:lock v:ext="edit" aspectratio="f"/>
            <v:textbox inset="0,0,0,0">
              <w:txbxContent>
                <w:p>
                  <w:pPr>
                    <w:spacing w:before="20" w:line="220" w:lineRule="auto"/>
                    <w:ind w:left="20"/>
                    <w:rPr>
                      <w:rFonts w:ascii="SimSun" w:eastAsia="SimSun" w:hAnsi="SimSun" w:cs="SimSun"/>
                      <w:sz w:val="15"/>
                      <w:szCs w:val="15"/>
                    </w:rPr>
                  </w:pPr>
                  <w:r>
                    <w:rPr>
                      <w:rFonts w:ascii="SimSun" w:eastAsia="SimSun" w:hAnsi="SimSun" w:cs="SimSun"/>
                      <w:spacing w:val="7"/>
                      <w:sz w:val="15"/>
                      <w:szCs w:val="15"/>
                    </w:rPr>
                    <w:t>周边环境监测</w:t>
                  </w:r>
                </w:p>
              </w:txbxContent>
            </v:textbox>
          </v:shape>
        </w:pict>
      </w:r>
      <w:r>
        <w:rPr>
          <w:rFonts w:ascii="SimSun" w:eastAsia="SimSun" w:hAnsi="SimSun" w:cs="SimSun"/>
          <w:spacing w:val="-1"/>
          <w:sz w:val="15"/>
          <w:szCs w:val="15"/>
        </w:rPr>
        <w:t>坑内/外双水位控制</w:t>
      </w:r>
    </w:p>
    <w:p>
      <w:pPr>
        <w:spacing w:before="68" w:line="162" w:lineRule="auto"/>
        <w:ind w:left="3693"/>
        <w:rPr>
          <w:rFonts w:ascii="LiSu" w:eastAsia="LiSu" w:hAnsi="LiSu" w:cs="LiSu"/>
          <w:sz w:val="32"/>
          <w:szCs w:val="32"/>
        </w:rPr>
      </w:pPr>
      <w:r>
        <w:rPr>
          <w:rFonts w:ascii="LiSu" w:eastAsia="LiSu" w:hAnsi="LiSu" w:cs="LiSu"/>
          <w:color w:val="FFFFFF"/>
          <w:sz w:val="32"/>
          <w:szCs w:val="32"/>
        </w:rPr>
        <w:t>工</w:t>
      </w:r>
    </w:p>
    <w:p>
      <w:pPr>
        <w:spacing w:before="93" w:line="219" w:lineRule="auto"/>
        <w:ind w:left="3303"/>
        <w:rPr>
          <w:rFonts w:ascii="SimSun" w:eastAsia="SimSun" w:hAnsi="SimSun" w:cs="SimSun"/>
          <w:sz w:val="15"/>
          <w:szCs w:val="15"/>
        </w:rPr>
      </w:pPr>
      <w:r>
        <w:rPr>
          <w:rFonts w:ascii="SimSun" w:eastAsia="SimSun" w:hAnsi="SimSun" w:cs="SimSun"/>
          <w:spacing w:val="4"/>
          <w:sz w:val="15"/>
          <w:szCs w:val="15"/>
        </w:rPr>
        <w:t>降水终止</w:t>
      </w:r>
    </w:p>
    <w:p>
      <w:pPr>
        <w:spacing w:before="137" w:line="235" w:lineRule="auto"/>
        <w:ind w:left="3693"/>
        <w:rPr>
          <w:rFonts w:ascii="SimSun" w:eastAsia="SimSun" w:hAnsi="SimSun" w:cs="SimSun"/>
          <w:sz w:val="25"/>
          <w:szCs w:val="25"/>
        </w:rPr>
      </w:pPr>
      <w:r>
        <w:rPr>
          <w:rFonts w:ascii="SimSun" w:eastAsia="SimSun" w:hAnsi="SimSun" w:cs="SimSun"/>
          <w:sz w:val="25"/>
          <w:szCs w:val="25"/>
        </w:rPr>
        <w:t>工</w:t>
      </w:r>
    </w:p>
    <w:p>
      <w:pPr>
        <w:spacing w:before="87" w:line="219" w:lineRule="auto"/>
        <w:ind w:left="3303"/>
        <w:rPr>
          <w:rFonts w:ascii="SimSun" w:eastAsia="SimSun" w:hAnsi="SimSun" w:cs="SimSun"/>
          <w:sz w:val="15"/>
          <w:szCs w:val="15"/>
        </w:rPr>
      </w:pPr>
      <w:r>
        <w:rPr>
          <w:rFonts w:ascii="SimSun" w:eastAsia="SimSun" w:hAnsi="SimSun" w:cs="SimSun"/>
          <w:spacing w:val="2"/>
          <w:sz w:val="15"/>
          <w:szCs w:val="15"/>
        </w:rPr>
        <w:t>降水井封闭</w:t>
      </w:r>
    </w:p>
    <w:p>
      <w:pPr>
        <w:spacing w:before="137" w:line="225" w:lineRule="auto"/>
        <w:ind w:left="3693"/>
        <w:rPr>
          <w:rFonts w:ascii="SimSun" w:eastAsia="SimSun" w:hAnsi="SimSun" w:cs="SimSun"/>
          <w:sz w:val="25"/>
          <w:szCs w:val="25"/>
        </w:rPr>
      </w:pPr>
      <w:r>
        <w:rPr>
          <w:rFonts w:ascii="SimSun" w:eastAsia="SimSun" w:hAnsi="SimSun" w:cs="SimSun"/>
          <w:sz w:val="25"/>
          <w:szCs w:val="25"/>
        </w:rPr>
        <w:t>工</w:t>
      </w:r>
    </w:p>
    <w:p>
      <w:pPr>
        <w:spacing w:line="219" w:lineRule="auto"/>
        <w:ind w:left="3303"/>
        <w:rPr>
          <w:rFonts w:ascii="SimSun" w:eastAsia="SimSun" w:hAnsi="SimSun" w:cs="SimSun"/>
          <w:sz w:val="15"/>
          <w:szCs w:val="15"/>
        </w:rPr>
      </w:pPr>
      <w:r>
        <w:rPr>
          <w:rFonts w:ascii="SimSun" w:eastAsia="SimSun" w:hAnsi="SimSun" w:cs="SimSun"/>
          <w:spacing w:val="-1"/>
          <w:sz w:val="15"/>
          <w:szCs w:val="15"/>
        </w:rPr>
        <w:t>封井竣工图</w:t>
      </w:r>
    </w:p>
    <w:p>
      <w:pPr>
        <w:spacing w:before="12" w:line="219" w:lineRule="auto"/>
        <w:ind w:left="3573"/>
        <w:rPr>
          <w:rFonts w:ascii="SimSun" w:eastAsia="SimSun" w:hAnsi="SimSun" w:cs="SimSun"/>
          <w:sz w:val="15"/>
          <w:szCs w:val="15"/>
        </w:rPr>
      </w:pPr>
      <w:r>
        <w:rPr>
          <w:rFonts w:ascii="SimSun" w:eastAsia="SimSun" w:hAnsi="SimSun" w:cs="SimSun"/>
          <w:spacing w:val="10"/>
          <w:sz w:val="15"/>
          <w:szCs w:val="15"/>
        </w:rPr>
        <w:t>归档</w:t>
      </w:r>
    </w:p>
    <w:p>
      <w:pPr>
        <w:spacing w:line="382" w:lineRule="auto"/>
        <w:rPr>
          <w:rFonts w:ascii="Arial"/>
          <w:sz w:val="21"/>
        </w:rPr>
      </w:pPr>
    </w:p>
    <w:p>
      <w:pPr>
        <w:pStyle w:val="BodyText"/>
        <w:spacing w:before="65" w:line="221" w:lineRule="auto"/>
        <w:ind w:left="2446"/>
      </w:pPr>
      <w:r>
        <w:rPr>
          <w:b/>
          <w:bCs/>
          <w:spacing w:val="3"/>
        </w:rPr>
        <w:t>表4.1.16</w:t>
      </w:r>
      <w:r>
        <w:rPr>
          <w:spacing w:val="35"/>
        </w:rPr>
        <w:t xml:space="preserve"> </w:t>
      </w:r>
      <w:r>
        <w:rPr>
          <w:b/>
          <w:bCs/>
          <w:spacing w:val="3"/>
        </w:rPr>
        <w:t>承压水降水治理总体流程图</w:t>
      </w:r>
    </w:p>
    <w:p>
      <w:pPr>
        <w:spacing w:line="221" w:lineRule="auto"/>
        <w:sectPr>
          <w:footerReference w:type="default" r:id="rId14"/>
          <w:type w:val="nextPage"/>
          <w:pgSz w:w="11910" w:h="16840"/>
          <w:pgMar w:top="1431" w:right="1786" w:bottom="1155" w:left="1786" w:header="0" w:footer="1006" w:gutter="0"/>
          <w:pgNumType w:start="9"/>
          <w:cols w:space="708"/>
          <w:titlePg w:val="0"/>
        </w:sectPr>
      </w:pPr>
    </w:p>
    <w:p>
      <w:pPr>
        <w:pStyle w:val="BodyText"/>
        <w:spacing w:before="40" w:line="303" w:lineRule="auto"/>
        <w:ind w:left="22" w:right="71" w:hanging="6"/>
        <w:rPr>
          <w:rFonts w:ascii="SimSun" w:eastAsia="SimSun" w:hAnsi="SimSun" w:cs="SimSun"/>
        </w:rPr>
      </w:pPr>
      <w:r>
        <w:rPr>
          <w:spacing w:val="7"/>
        </w:rPr>
        <w:t>4.2.4</w:t>
      </w:r>
      <w:r>
        <w:rPr>
          <w:spacing w:val="7"/>
        </w:rPr>
        <w:t xml:space="preserve"> </w:t>
      </w:r>
      <w:r>
        <w:rPr>
          <w:rFonts w:ascii="SimSun" w:eastAsia="SimSun" w:hAnsi="SimSun" w:cs="SimSun"/>
          <w:spacing w:val="7"/>
        </w:rPr>
        <w:t>疏干井预降水和降压井现场抽水试验、降水验证和正式降水期间，总包项经部应监督</w:t>
      </w:r>
      <w:r>
        <w:rPr>
          <w:rFonts w:ascii="SimSun" w:eastAsia="SimSun" w:hAnsi="SimSun" w:cs="SimSun"/>
        </w:rPr>
        <w:t xml:space="preserve"> </w:t>
      </w:r>
      <w:r>
        <w:rPr>
          <w:rFonts w:ascii="SimSun" w:eastAsia="SimSun" w:hAnsi="SimSun" w:cs="SimSun"/>
          <w:spacing w:val="9"/>
        </w:rPr>
        <w:t>监测单位加强周围建（构）筑物和地表沉降监测，并及时分析、总结监测报表。</w:t>
      </w:r>
    </w:p>
    <w:p>
      <w:pPr>
        <w:pStyle w:val="BodyText"/>
        <w:spacing w:before="163" w:line="302" w:lineRule="auto"/>
        <w:ind w:left="37" w:right="71" w:hanging="21"/>
        <w:rPr>
          <w:rFonts w:ascii="SimSun" w:eastAsia="SimSun" w:hAnsi="SimSun" w:cs="SimSun"/>
        </w:rPr>
      </w:pPr>
      <w:r>
        <w:rPr>
          <w:spacing w:val="7"/>
        </w:rPr>
        <w:t>4.2.5</w:t>
      </w:r>
      <w:r>
        <w:rPr>
          <w:spacing w:val="7"/>
        </w:rPr>
        <w:t xml:space="preserve"> </w:t>
      </w:r>
      <w:r>
        <w:rPr>
          <w:rFonts w:ascii="SimSun" w:eastAsia="SimSun" w:hAnsi="SimSun" w:cs="SimSun"/>
          <w:spacing w:val="7"/>
        </w:rPr>
        <w:t>疏干井抽水时，潜水泵的抽水时间间隔应根据井内水量确定，遵循“有水即抽，无水</w:t>
      </w:r>
      <w:r>
        <w:rPr>
          <w:rFonts w:ascii="SimSun" w:eastAsia="SimSun" w:hAnsi="SimSun" w:cs="SimSun"/>
        </w:rPr>
        <w:t xml:space="preserve"> </w:t>
      </w:r>
      <w:r>
        <w:rPr>
          <w:rFonts w:ascii="SimSun" w:eastAsia="SimSun" w:hAnsi="SimSun" w:cs="SimSun"/>
          <w:spacing w:val="7"/>
        </w:rPr>
        <w:t>即停</w:t>
      </w:r>
      <w:r>
        <w:rPr>
          <w:rFonts w:ascii="SimSun" w:eastAsia="SimSun" w:hAnsi="SimSun" w:cs="SimSun"/>
          <w:spacing w:val="-55"/>
        </w:rPr>
        <w:t xml:space="preserve"> </w:t>
      </w:r>
      <w:r>
        <w:rPr>
          <w:rFonts w:ascii="SimSun" w:eastAsia="SimSun" w:hAnsi="SimSun" w:cs="SimSun"/>
          <w:spacing w:val="7"/>
        </w:rPr>
        <w:t>”的原则。抽水井内水抽干后应立即停泵，防止电机烧坏。</w:t>
      </w:r>
    </w:p>
    <w:p>
      <w:pPr>
        <w:pStyle w:val="BodyText"/>
        <w:spacing w:before="161" w:line="302" w:lineRule="auto"/>
        <w:ind w:left="31" w:right="71" w:hanging="15"/>
        <w:rPr>
          <w:rFonts w:ascii="SimSun" w:eastAsia="SimSun" w:hAnsi="SimSun" w:cs="SimSun"/>
        </w:rPr>
      </w:pPr>
      <w:r>
        <w:rPr>
          <w:spacing w:val="13"/>
        </w:rPr>
        <w:t>4.2.6</w:t>
      </w:r>
      <w:r>
        <w:rPr>
          <w:spacing w:val="13"/>
        </w:rPr>
        <w:t xml:space="preserve"> </w:t>
      </w:r>
      <w:r>
        <w:rPr>
          <w:rFonts w:ascii="SimSun" w:eastAsia="SimSun" w:hAnsi="SimSun" w:cs="SimSun"/>
          <w:spacing w:val="13"/>
        </w:rPr>
        <w:t>I</w:t>
      </w:r>
      <w:r>
        <w:rPr>
          <w:rFonts w:ascii="SimSun" w:eastAsia="SimSun" w:hAnsi="SimSun" w:cs="SimSun"/>
          <w:spacing w:val="-33"/>
        </w:rPr>
        <w:t xml:space="preserve"> </w:t>
      </w:r>
      <w:r>
        <w:rPr>
          <w:rFonts w:ascii="SimSun" w:eastAsia="SimSun" w:hAnsi="SimSun" w:cs="SimSun"/>
          <w:spacing w:val="13"/>
        </w:rPr>
        <w:t>类疏干井观测水位应确保随土方开挖深度加深而逐</w:t>
      </w:r>
      <w:r>
        <w:rPr>
          <w:rFonts w:ascii="SimSun" w:eastAsia="SimSun" w:hAnsi="SimSun" w:cs="SimSun"/>
          <w:spacing w:val="12"/>
        </w:rPr>
        <w:t>步下降，并保持在开挖面以下</w:t>
      </w:r>
      <w:r>
        <w:rPr>
          <w:rFonts w:ascii="SimSun" w:eastAsia="SimSun" w:hAnsi="SimSun" w:cs="SimSun"/>
        </w:rPr>
        <w:t xml:space="preserve"> </w:t>
      </w:r>
      <w:r>
        <w:rPr>
          <w:rFonts w:ascii="SimSun" w:eastAsia="SimSun" w:hAnsi="SimSun" w:cs="SimSun"/>
          <w:spacing w:val="4"/>
        </w:rPr>
        <w:t>（1～2）m。</w:t>
      </w:r>
      <w:r>
        <w:rPr>
          <w:rFonts w:ascii="SimSun" w:eastAsia="SimSun" w:hAnsi="SimSun" w:cs="SimSun"/>
          <w:spacing w:val="-35"/>
        </w:rPr>
        <w:t xml:space="preserve"> </w:t>
      </w:r>
      <w:r>
        <w:rPr>
          <w:rFonts w:ascii="SimSun" w:eastAsia="SimSun" w:hAnsi="SimSun" w:cs="SimSun"/>
          <w:spacing w:val="4"/>
        </w:rPr>
        <w:t>Ⅱ类疏干井宜保证 20d</w:t>
      </w:r>
      <w:r>
        <w:rPr>
          <w:rFonts w:ascii="SimSun" w:eastAsia="SimSun" w:hAnsi="SimSun" w:cs="SimSun"/>
          <w:spacing w:val="36"/>
        </w:rPr>
        <w:t xml:space="preserve"> </w:t>
      </w:r>
      <w:r>
        <w:rPr>
          <w:rFonts w:ascii="SimSun" w:eastAsia="SimSun" w:hAnsi="SimSun" w:cs="SimSun"/>
          <w:spacing w:val="4"/>
        </w:rPr>
        <w:t>以上预降水时间。</w:t>
      </w:r>
    </w:p>
    <w:p>
      <w:pPr>
        <w:pStyle w:val="BodyText"/>
        <w:spacing w:before="161" w:line="340" w:lineRule="auto"/>
        <w:ind w:left="21" w:right="69" w:hanging="5"/>
        <w:rPr>
          <w:rFonts w:ascii="SimSun" w:eastAsia="SimSun" w:hAnsi="SimSun" w:cs="SimSun"/>
        </w:rPr>
      </w:pPr>
      <w:r>
        <w:rPr>
          <w:spacing w:val="7"/>
        </w:rPr>
        <w:t>4.2.7</w:t>
      </w:r>
      <w:r>
        <w:rPr>
          <w:spacing w:val="7"/>
        </w:rPr>
        <w:t xml:space="preserve"> </w:t>
      </w:r>
      <w:r>
        <w:rPr>
          <w:rFonts w:ascii="SimSun" w:eastAsia="SimSun" w:hAnsi="SimSun" w:cs="SimSun"/>
          <w:spacing w:val="7"/>
        </w:rPr>
        <w:t>降压井运行前，总包项目部应审核降水专业分包制定的降水工况表，严格控制开挖各</w:t>
      </w:r>
      <w:r>
        <w:rPr>
          <w:rFonts w:ascii="SimSun" w:eastAsia="SimSun" w:hAnsi="SimSun" w:cs="SimSun"/>
        </w:rPr>
        <w:t xml:space="preserve"> </w:t>
      </w:r>
      <w:r>
        <w:rPr>
          <w:rFonts w:ascii="SimSun" w:eastAsia="SimSun" w:hAnsi="SimSun" w:cs="SimSun"/>
          <w:spacing w:val="7"/>
        </w:rPr>
        <w:t>土层的承压水降深及开启的井点，做到“按需降水</w:t>
      </w:r>
      <w:r>
        <w:rPr>
          <w:rFonts w:ascii="SimSun" w:eastAsia="SimSun" w:hAnsi="SimSun" w:cs="SimSun"/>
          <w:spacing w:val="-70"/>
        </w:rPr>
        <w:t xml:space="preserve"> </w:t>
      </w:r>
      <w:r>
        <w:rPr>
          <w:rFonts w:ascii="SimSun" w:eastAsia="SimSun" w:hAnsi="SimSun" w:cs="SimSun"/>
          <w:spacing w:val="7"/>
        </w:rPr>
        <w:t>”。根</w:t>
      </w:r>
      <w:r>
        <w:rPr>
          <w:rFonts w:ascii="SimSun" w:eastAsia="SimSun" w:hAnsi="SimSun" w:cs="SimSun"/>
          <w:spacing w:val="6"/>
        </w:rPr>
        <w:t>据现场抽水试验和施工经验，缩短</w:t>
      </w:r>
      <w:r>
        <w:rPr>
          <w:rFonts w:ascii="SimSun" w:eastAsia="SimSun" w:hAnsi="SimSun" w:cs="SimSun"/>
        </w:rPr>
        <w:t xml:space="preserve"> </w:t>
      </w:r>
      <w:r>
        <w:rPr>
          <w:rFonts w:ascii="SimSun" w:eastAsia="SimSun" w:hAnsi="SimSun" w:cs="SimSun"/>
          <w:spacing w:val="11"/>
        </w:rPr>
        <w:t>每一阶段提前降水时间，控制水位不低于计算水位</w:t>
      </w:r>
      <w:r>
        <w:rPr>
          <w:rFonts w:ascii="SimSun" w:eastAsia="SimSun" w:hAnsi="SimSun" w:cs="SimSun"/>
          <w:spacing w:val="10"/>
        </w:rPr>
        <w:t>以下</w:t>
      </w:r>
      <w:r>
        <w:rPr>
          <w:rFonts w:ascii="SimSun" w:eastAsia="SimSun" w:hAnsi="SimSun" w:cs="SimSun"/>
          <w:spacing w:val="-35"/>
        </w:rPr>
        <w:t xml:space="preserve"> </w:t>
      </w:r>
      <w:r>
        <w:rPr>
          <w:rFonts w:ascii="SimSun" w:eastAsia="SimSun" w:hAnsi="SimSun" w:cs="SimSun"/>
          <w:spacing w:val="10"/>
        </w:rPr>
        <w:t>0.5m。降水专业分包应每日提交降</w:t>
      </w:r>
      <w:r>
        <w:rPr>
          <w:rFonts w:ascii="SimSun" w:eastAsia="SimSun" w:hAnsi="SimSun" w:cs="SimSun"/>
        </w:rPr>
        <w:t xml:space="preserve"> </w:t>
      </w:r>
      <w:r>
        <w:rPr>
          <w:rFonts w:ascii="SimSun" w:eastAsia="SimSun" w:hAnsi="SimSun" w:cs="SimSun"/>
          <w:spacing w:val="8"/>
        </w:rPr>
        <w:t>水工程日报表，由总包进行审核确认。</w:t>
      </w:r>
    </w:p>
    <w:p>
      <w:pPr>
        <w:pStyle w:val="BodyText"/>
        <w:spacing w:before="164" w:line="327" w:lineRule="auto"/>
        <w:ind w:left="21" w:right="71" w:hanging="5"/>
        <w:rPr>
          <w:rFonts w:ascii="SimSun" w:eastAsia="SimSun" w:hAnsi="SimSun" w:cs="SimSun"/>
        </w:rPr>
      </w:pPr>
      <w:r>
        <w:rPr>
          <w:spacing w:val="6"/>
        </w:rPr>
        <w:t>4.2.8</w:t>
      </w:r>
      <w:r>
        <w:rPr>
          <w:spacing w:val="6"/>
        </w:rPr>
        <w:t xml:space="preserve"> </w:t>
      </w:r>
      <w:r>
        <w:rPr>
          <w:rFonts w:ascii="SimSun" w:eastAsia="SimSun" w:hAnsi="SimSun" w:cs="SimSun"/>
          <w:spacing w:val="6"/>
        </w:rPr>
        <w:t>降压井水位观测宜采用自动化水位观测系统和水位自动报警系统。对于采用抽水—</w:t>
      </w:r>
      <w:r>
        <w:rPr>
          <w:rFonts w:ascii="SimSun" w:eastAsia="SimSun" w:hAnsi="SimSun" w:cs="SimSun"/>
          <w:spacing w:val="-58"/>
        </w:rPr>
        <w:t xml:space="preserve"> </w:t>
      </w:r>
      <w:r>
        <w:rPr>
          <w:rFonts w:ascii="SimSun" w:eastAsia="SimSun" w:hAnsi="SimSun" w:cs="SimSun"/>
          <w:spacing w:val="6"/>
        </w:rPr>
        <w:t>回</w:t>
      </w:r>
      <w:r>
        <w:rPr>
          <w:rFonts w:ascii="SimSun" w:eastAsia="SimSun" w:hAnsi="SimSun" w:cs="SimSun"/>
        </w:rPr>
        <w:t xml:space="preserve"> </w:t>
      </w:r>
      <w:r>
        <w:rPr>
          <w:rFonts w:ascii="SimSun" w:eastAsia="SimSun" w:hAnsi="SimSun" w:cs="SimSun"/>
          <w:spacing w:val="7"/>
        </w:rPr>
        <w:t>灌一体化的工程，应采用自动化水位观测系统和自动报警系统跟踪调节每口回灌井的回灌流</w:t>
      </w:r>
      <w:r>
        <w:rPr>
          <w:rFonts w:ascii="SimSun" w:eastAsia="SimSun" w:hAnsi="SimSun" w:cs="SimSun"/>
          <w:spacing w:val="14"/>
        </w:rPr>
        <w:t xml:space="preserve"> </w:t>
      </w:r>
      <w:r>
        <w:rPr>
          <w:rFonts w:ascii="SimSun" w:eastAsia="SimSun" w:hAnsi="SimSun" w:cs="SimSun"/>
          <w:spacing w:val="9"/>
        </w:rPr>
        <w:t>量，确保回灌区域观测井水位在控制范围内。</w:t>
      </w:r>
    </w:p>
    <w:p>
      <w:pPr>
        <w:pStyle w:val="BodyText"/>
        <w:spacing w:before="161" w:line="302" w:lineRule="auto"/>
        <w:ind w:left="21" w:right="71" w:hanging="5"/>
        <w:rPr>
          <w:rFonts w:ascii="SimSun" w:eastAsia="SimSun" w:hAnsi="SimSun" w:cs="SimSun"/>
        </w:rPr>
      </w:pPr>
      <w:r>
        <w:rPr>
          <w:spacing w:val="7"/>
        </w:rPr>
        <w:t>4.2.9</w:t>
      </w:r>
      <w:r>
        <w:rPr>
          <w:spacing w:val="7"/>
        </w:rPr>
        <w:t xml:space="preserve"> </w:t>
      </w:r>
      <w:r>
        <w:rPr>
          <w:rFonts w:ascii="SimSun" w:eastAsia="SimSun" w:hAnsi="SimSun" w:cs="SimSun"/>
          <w:spacing w:val="7"/>
        </w:rPr>
        <w:t>总包项经部应根据停止降压的工况标准，征求设计、监理书面意见后，向降水专业分</w:t>
      </w:r>
      <w:r>
        <w:rPr>
          <w:rFonts w:ascii="SimSun" w:eastAsia="SimSun" w:hAnsi="SimSun" w:cs="SimSun"/>
        </w:rPr>
        <w:t xml:space="preserve"> </w:t>
      </w:r>
      <w:r>
        <w:rPr>
          <w:rFonts w:ascii="SimSun" w:eastAsia="SimSun" w:hAnsi="SimSun" w:cs="SimSun"/>
          <w:spacing w:val="8"/>
        </w:rPr>
        <w:t>包发出停止降压运行指令。</w:t>
      </w:r>
    </w:p>
    <w:p>
      <w:pPr>
        <w:pStyle w:val="BodyText"/>
        <w:spacing w:before="162" w:line="303" w:lineRule="auto"/>
        <w:ind w:left="22" w:right="71" w:hanging="6"/>
        <w:rPr>
          <w:rFonts w:ascii="SimSun" w:eastAsia="SimSun" w:hAnsi="SimSun" w:cs="SimSun"/>
        </w:rPr>
      </w:pPr>
      <w:r>
        <w:rPr>
          <w:spacing w:val="9"/>
        </w:rPr>
        <w:t>4.2.10</w:t>
      </w:r>
      <w:r>
        <w:rPr>
          <w:spacing w:val="9"/>
        </w:rPr>
        <w:t xml:space="preserve"> </w:t>
      </w:r>
      <w:r>
        <w:rPr>
          <w:rFonts w:ascii="SimSun" w:eastAsia="SimSun" w:hAnsi="SimSun" w:cs="SimSun"/>
          <w:spacing w:val="9"/>
        </w:rPr>
        <w:t>当基坑设置有封堵墙时，应在</w:t>
      </w:r>
      <w:r>
        <w:rPr>
          <w:rFonts w:ascii="SimSun" w:eastAsia="SimSun" w:hAnsi="SimSun" w:cs="SimSun"/>
          <w:spacing w:val="8"/>
        </w:rPr>
        <w:t>先期施工的基坑靠近后浇带/施工缝处预留</w:t>
      </w:r>
      <w:r>
        <w:rPr>
          <w:rFonts w:ascii="SimSun" w:eastAsia="SimSun" w:hAnsi="SimSun" w:cs="SimSun"/>
          <w:spacing w:val="-18"/>
        </w:rPr>
        <w:t xml:space="preserve"> </w:t>
      </w:r>
      <w:r>
        <w:rPr>
          <w:rFonts w:ascii="SimSun" w:eastAsia="SimSun" w:hAnsi="SimSun" w:cs="SimSun"/>
          <w:spacing w:val="8"/>
        </w:rPr>
        <w:t>1~2</w:t>
      </w:r>
      <w:r>
        <w:rPr>
          <w:rFonts w:ascii="SimSun" w:eastAsia="SimSun" w:hAnsi="SimSun" w:cs="SimSun"/>
          <w:spacing w:val="46"/>
        </w:rPr>
        <w:t xml:space="preserve"> </w:t>
      </w:r>
      <w:r>
        <w:rPr>
          <w:rFonts w:ascii="SimSun" w:eastAsia="SimSun" w:hAnsi="SimSun" w:cs="SimSun"/>
          <w:spacing w:val="8"/>
        </w:rPr>
        <w:t>口降</w:t>
      </w:r>
      <w:r>
        <w:rPr>
          <w:rFonts w:ascii="SimSun" w:eastAsia="SimSun" w:hAnsi="SimSun" w:cs="SimSun"/>
        </w:rPr>
        <w:t xml:space="preserve"> </w:t>
      </w:r>
      <w:r>
        <w:rPr>
          <w:rFonts w:ascii="SimSun" w:eastAsia="SimSun" w:hAnsi="SimSun" w:cs="SimSun"/>
          <w:spacing w:val="9"/>
        </w:rPr>
        <w:t>压井，在封堵墙拆除、底板连通后再按要求封井。</w:t>
      </w:r>
    </w:p>
    <w:p>
      <w:pPr>
        <w:pStyle w:val="BodyText"/>
        <w:spacing w:before="161" w:line="228" w:lineRule="auto"/>
        <w:ind w:left="16"/>
        <w:rPr>
          <w:rFonts w:ascii="SimSun" w:eastAsia="SimSun" w:hAnsi="SimSun" w:cs="SimSun"/>
        </w:rPr>
      </w:pPr>
      <w:r>
        <w:rPr>
          <w:spacing w:val="9"/>
        </w:rPr>
        <w:t>4.2.11</w:t>
      </w:r>
      <w:r>
        <w:rPr>
          <w:spacing w:val="9"/>
        </w:rPr>
        <w:t xml:space="preserve"> </w:t>
      </w:r>
      <w:r>
        <w:rPr>
          <w:rFonts w:ascii="SimSun" w:eastAsia="SimSun" w:hAnsi="SimSun" w:cs="SimSun"/>
          <w:spacing w:val="9"/>
        </w:rPr>
        <w:t>对于共墙的相邻基坑群工程，宜在共墙处所有基坑均满足</w:t>
      </w:r>
      <w:r>
        <w:rPr>
          <w:rFonts w:ascii="SimSun" w:eastAsia="SimSun" w:hAnsi="SimSun" w:cs="SimSun"/>
          <w:spacing w:val="8"/>
        </w:rPr>
        <w:t>停井要求后进行封井。</w:t>
      </w:r>
    </w:p>
    <w:p>
      <w:pPr>
        <w:pStyle w:val="BodyText"/>
        <w:spacing w:before="162" w:line="303" w:lineRule="auto"/>
        <w:ind w:left="16"/>
      </w:pPr>
      <w:r>
        <w:rPr>
          <w:spacing w:val="6"/>
        </w:rPr>
        <w:t>4.2.12</w:t>
      </w:r>
      <w:r>
        <w:rPr>
          <w:spacing w:val="6"/>
        </w:rPr>
        <w:t xml:space="preserve"> </w:t>
      </w:r>
      <w:r>
        <w:rPr>
          <w:rFonts w:ascii="SimSun" w:eastAsia="SimSun" w:hAnsi="SimSun" w:cs="SimSun"/>
          <w:spacing w:val="6"/>
        </w:rPr>
        <w:t>降压井封井应采用注浆法，其中封口钢板应满焊。不得采用直接浇筑混凝土的方法。</w:t>
      </w:r>
      <w:r>
        <w:rPr>
          <w:rFonts w:ascii="SimSun" w:eastAsia="SimSun" w:hAnsi="SimSun" w:cs="SimSun"/>
          <w:spacing w:val="8"/>
        </w:rPr>
        <w:t xml:space="preserve"> </w:t>
      </w:r>
      <w:r>
        <w:rPr>
          <w:spacing w:val="8"/>
        </w:rPr>
        <w:t>5</w:t>
      </w:r>
      <w:r>
        <w:rPr>
          <w:spacing w:val="8"/>
        </w:rPr>
        <w:t xml:space="preserve"> </w:t>
      </w:r>
      <w:r>
        <w:rPr>
          <w:spacing w:val="8"/>
        </w:rPr>
        <w:t>软土深基坑支护结构设计</w:t>
      </w:r>
    </w:p>
    <w:p>
      <w:pPr>
        <w:pStyle w:val="BodyText"/>
        <w:spacing w:before="295" w:line="230" w:lineRule="auto"/>
        <w:ind w:left="17"/>
      </w:pPr>
      <w:r>
        <w:rPr>
          <w:spacing w:val="5"/>
        </w:rPr>
        <w:t>5.1</w:t>
      </w:r>
      <w:r>
        <w:rPr>
          <w:spacing w:val="18"/>
        </w:rPr>
        <w:t xml:space="preserve"> </w:t>
      </w:r>
      <w:r>
        <w:rPr>
          <w:spacing w:val="5"/>
        </w:rPr>
        <w:t>设计原则</w:t>
      </w:r>
    </w:p>
    <w:p>
      <w:pPr>
        <w:pStyle w:val="BodyText"/>
        <w:spacing w:before="160" w:line="303" w:lineRule="auto"/>
        <w:ind w:left="22" w:right="71" w:hanging="5"/>
        <w:rPr>
          <w:rFonts w:ascii="SimSun" w:eastAsia="SimSun" w:hAnsi="SimSun" w:cs="SimSun"/>
        </w:rPr>
      </w:pPr>
      <w:r>
        <w:rPr>
          <w:spacing w:val="10"/>
        </w:rPr>
        <w:t>5.1.1</w:t>
      </w:r>
      <w:r>
        <w:rPr>
          <w:spacing w:val="10"/>
        </w:rPr>
        <w:t xml:space="preserve"> </w:t>
      </w:r>
      <w:r>
        <w:rPr>
          <w:rFonts w:ascii="SimSun" w:eastAsia="SimSun" w:hAnsi="SimSun" w:cs="SimSun"/>
          <w:spacing w:val="10"/>
        </w:rPr>
        <w:t>基坑支护安全等级的划分及使用年限应执行《建筑基坑支护技术规程》</w:t>
      </w:r>
      <w:r>
        <w:rPr>
          <w:rFonts w:ascii="SimSun" w:eastAsia="SimSun" w:hAnsi="SimSun" w:cs="SimSun"/>
        </w:rPr>
        <w:t>JGJ</w:t>
      </w:r>
      <w:r>
        <w:rPr>
          <w:rFonts w:ascii="SimSun" w:eastAsia="SimSun" w:hAnsi="SimSun" w:cs="SimSun"/>
          <w:spacing w:val="10"/>
        </w:rPr>
        <w:t>120</w:t>
      </w:r>
      <w:r>
        <w:rPr>
          <w:rFonts w:ascii="SimSun" w:eastAsia="SimSun" w:hAnsi="SimSun" w:cs="SimSun"/>
          <w:spacing w:val="-21"/>
        </w:rPr>
        <w:t xml:space="preserve"> </w:t>
      </w:r>
      <w:r>
        <w:rPr>
          <w:rFonts w:ascii="SimSun" w:eastAsia="SimSun" w:hAnsi="SimSun" w:cs="SimSun"/>
          <w:spacing w:val="10"/>
        </w:rPr>
        <w:t>相关</w:t>
      </w:r>
      <w:r>
        <w:rPr>
          <w:rFonts w:ascii="SimSun" w:eastAsia="SimSun" w:hAnsi="SimSun" w:cs="SimSun"/>
        </w:rPr>
        <w:t xml:space="preserve"> </w:t>
      </w:r>
      <w:r>
        <w:rPr>
          <w:rFonts w:ascii="SimSun" w:eastAsia="SimSun" w:hAnsi="SimSun" w:cs="SimSun"/>
          <w:spacing w:val="9"/>
        </w:rPr>
        <w:t>标准的要求。构件的设计使用年限不应小于基坑设计使用年限。</w:t>
      </w:r>
    </w:p>
    <w:p>
      <w:pPr>
        <w:pStyle w:val="BodyText"/>
        <w:spacing w:before="160" w:line="328" w:lineRule="auto"/>
        <w:ind w:left="21" w:right="71" w:hanging="4"/>
        <w:rPr>
          <w:rFonts w:ascii="SimSun" w:eastAsia="SimSun" w:hAnsi="SimSun" w:cs="SimSun"/>
        </w:rPr>
      </w:pPr>
      <w:r>
        <w:rPr>
          <w:spacing w:val="7"/>
        </w:rPr>
        <w:t>5.1.2</w:t>
      </w:r>
      <w:r>
        <w:rPr>
          <w:spacing w:val="7"/>
        </w:rPr>
        <w:t xml:space="preserve"> </w:t>
      </w:r>
      <w:r>
        <w:rPr>
          <w:rFonts w:ascii="SimSun" w:eastAsia="SimSun" w:hAnsi="SimSun" w:cs="SimSun"/>
          <w:spacing w:val="7"/>
        </w:rPr>
        <w:t>基坑支护设计时，应根据基坑的开挖深度、邻近建（构）筑物及管线与坑边的相</w:t>
      </w:r>
      <w:r>
        <w:rPr>
          <w:rFonts w:ascii="SimSun" w:eastAsia="SimSun" w:hAnsi="SimSun" w:cs="SimSun"/>
          <w:spacing w:val="6"/>
        </w:rPr>
        <w:t>对距</w:t>
      </w:r>
      <w:r>
        <w:rPr>
          <w:rFonts w:ascii="SimSun" w:eastAsia="SimSun" w:hAnsi="SimSun" w:cs="SimSun"/>
        </w:rPr>
        <w:t xml:space="preserve"> </w:t>
      </w:r>
      <w:r>
        <w:rPr>
          <w:rFonts w:ascii="SimSun" w:eastAsia="SimSun" w:hAnsi="SimSun" w:cs="SimSun"/>
          <w:spacing w:val="7"/>
        </w:rPr>
        <w:t>离比和工程地质、水文地质条件，按破坏后果的严重程度划分基坑侧壁的安全等级。对同一</w:t>
      </w:r>
      <w:r>
        <w:rPr>
          <w:rFonts w:ascii="SimSun" w:eastAsia="SimSun" w:hAnsi="SimSun" w:cs="SimSun"/>
          <w:spacing w:val="15"/>
        </w:rPr>
        <w:t xml:space="preserve"> </w:t>
      </w:r>
      <w:r>
        <w:rPr>
          <w:rFonts w:ascii="SimSun" w:eastAsia="SimSun" w:hAnsi="SimSun" w:cs="SimSun"/>
          <w:spacing w:val="9"/>
        </w:rPr>
        <w:t>基坑的不同部位，可采用不同的基坑侧壁安全等级。</w:t>
      </w:r>
    </w:p>
    <w:p>
      <w:pPr>
        <w:pStyle w:val="BodyText"/>
        <w:spacing w:before="161" w:line="299" w:lineRule="auto"/>
        <w:ind w:left="24" w:right="71" w:hanging="7"/>
        <w:rPr>
          <w:rFonts w:ascii="SimSun" w:eastAsia="SimSun" w:hAnsi="SimSun" w:cs="SimSun"/>
        </w:rPr>
      </w:pPr>
      <w:r>
        <w:rPr>
          <w:spacing w:val="9"/>
        </w:rPr>
        <w:t>5.1.3</w:t>
      </w:r>
      <w:r>
        <w:rPr>
          <w:spacing w:val="9"/>
        </w:rPr>
        <w:t xml:space="preserve"> </w:t>
      </w:r>
      <w:r>
        <w:rPr>
          <w:rFonts w:ascii="SimSun" w:eastAsia="SimSun" w:hAnsi="SimSun" w:cs="SimSun"/>
          <w:spacing w:val="9"/>
        </w:rPr>
        <w:t>支护结构设计应根据基坑侧壁安全等级确定结构重要性系数γ0，安全等级为一级时</w:t>
      </w:r>
      <w:r>
        <w:rPr>
          <w:rFonts w:ascii="SimSun" w:eastAsia="SimSun" w:hAnsi="SimSun" w:cs="SimSun"/>
          <w:spacing w:val="12"/>
        </w:rPr>
        <w:t xml:space="preserve"> </w:t>
      </w:r>
      <w:r>
        <w:rPr>
          <w:rFonts w:ascii="SimSun" w:eastAsia="SimSun" w:hAnsi="SimSun" w:cs="SimSun"/>
          <w:spacing w:val="8"/>
        </w:rPr>
        <w:t>取γ0＝1.1；安全等级为二级时取γ0＝1.0；安全等级为三级时取γ0＝0.</w:t>
      </w:r>
      <w:r>
        <w:rPr>
          <w:rFonts w:ascii="SimSun" w:eastAsia="SimSun" w:hAnsi="SimSun" w:cs="SimSun"/>
          <w:spacing w:val="7"/>
        </w:rPr>
        <w:t>9。</w:t>
      </w:r>
    </w:p>
    <w:p>
      <w:pPr>
        <w:pStyle w:val="BodyText"/>
        <w:spacing w:before="169" w:line="228" w:lineRule="auto"/>
        <w:ind w:left="17"/>
        <w:rPr>
          <w:rFonts w:ascii="SimSun" w:eastAsia="SimSun" w:hAnsi="SimSun" w:cs="SimSun"/>
        </w:rPr>
      </w:pPr>
      <w:r>
        <w:rPr>
          <w:spacing w:val="7"/>
        </w:rPr>
        <w:t>5.1.4</w:t>
      </w:r>
      <w:r>
        <w:rPr>
          <w:spacing w:val="7"/>
        </w:rPr>
        <w:t xml:space="preserve"> </w:t>
      </w:r>
      <w:r>
        <w:rPr>
          <w:rFonts w:ascii="SimSun" w:eastAsia="SimSun" w:hAnsi="SimSun" w:cs="SimSun"/>
          <w:spacing w:val="7"/>
        </w:rPr>
        <w:t>支护结构设计应符合下列规定：</w:t>
      </w:r>
    </w:p>
    <w:p>
      <w:pPr>
        <w:spacing w:before="161" w:line="408" w:lineRule="exact"/>
        <w:ind w:left="457"/>
        <w:rPr>
          <w:rFonts w:ascii="SimSun" w:eastAsia="SimSun" w:hAnsi="SimSun" w:cs="SimSun"/>
          <w:sz w:val="20"/>
          <w:szCs w:val="20"/>
        </w:rPr>
      </w:pPr>
      <w:r>
        <w:rPr>
          <w:rFonts w:ascii="SimSun" w:eastAsia="SimSun" w:hAnsi="SimSun" w:cs="SimSun"/>
          <w:spacing w:val="7"/>
          <w:position w:val="15"/>
          <w:sz w:val="20"/>
          <w:szCs w:val="20"/>
        </w:rPr>
        <w:t>1 应根据周边环境的重要性、对变形的适应能力及</w:t>
      </w:r>
      <w:r>
        <w:rPr>
          <w:rFonts w:ascii="SimSun" w:eastAsia="SimSun" w:hAnsi="SimSun" w:cs="SimSun"/>
          <w:spacing w:val="6"/>
          <w:position w:val="15"/>
          <w:sz w:val="20"/>
          <w:szCs w:val="20"/>
        </w:rPr>
        <w:t>土（岩）的性质等因素确定支护结构</w:t>
      </w:r>
    </w:p>
    <w:p>
      <w:pPr>
        <w:spacing w:line="228" w:lineRule="auto"/>
        <w:ind w:left="39"/>
        <w:rPr>
          <w:rFonts w:ascii="SimSun" w:eastAsia="SimSun" w:hAnsi="SimSun" w:cs="SimSun"/>
          <w:sz w:val="20"/>
          <w:szCs w:val="20"/>
        </w:rPr>
      </w:pPr>
      <w:r>
        <w:rPr>
          <w:rFonts w:ascii="SimSun" w:eastAsia="SimSun" w:hAnsi="SimSun" w:cs="SimSun"/>
          <w:spacing w:val="8"/>
          <w:sz w:val="20"/>
          <w:szCs w:val="20"/>
        </w:rPr>
        <w:t>的水平变形限值，最大水平变形值应满足正常使用要求；</w:t>
      </w:r>
    </w:p>
    <w:p>
      <w:pPr>
        <w:spacing w:before="163" w:line="228" w:lineRule="auto"/>
        <w:ind w:left="444"/>
        <w:rPr>
          <w:rFonts w:ascii="SimSun" w:eastAsia="SimSun" w:hAnsi="SimSun" w:cs="SimSun"/>
          <w:sz w:val="20"/>
          <w:szCs w:val="20"/>
        </w:rPr>
      </w:pPr>
      <w:r>
        <w:rPr>
          <w:rFonts w:ascii="SimSun" w:eastAsia="SimSun" w:hAnsi="SimSun" w:cs="SimSun"/>
          <w:spacing w:val="9"/>
          <w:sz w:val="20"/>
          <w:szCs w:val="20"/>
        </w:rPr>
        <w:t>2 周边地面竖向变形应根据邻近建筑结构形式及使用现状</w:t>
      </w:r>
      <w:r>
        <w:rPr>
          <w:rFonts w:ascii="SimSun" w:eastAsia="SimSun" w:hAnsi="SimSun" w:cs="SimSun"/>
          <w:spacing w:val="8"/>
          <w:sz w:val="20"/>
          <w:szCs w:val="20"/>
        </w:rPr>
        <w:t>进行控制；</w:t>
      </w:r>
    </w:p>
    <w:p>
      <w:pPr>
        <w:spacing w:before="161" w:line="408" w:lineRule="exact"/>
        <w:ind w:left="446"/>
        <w:rPr>
          <w:rFonts w:ascii="SimSun" w:eastAsia="SimSun" w:hAnsi="SimSun" w:cs="SimSun"/>
          <w:sz w:val="20"/>
          <w:szCs w:val="20"/>
        </w:rPr>
        <w:sectPr>
          <w:footerReference w:type="default" r:id="rId15"/>
          <w:pgSz w:w="11906" w:h="16839"/>
          <w:pgMar w:top="1428" w:right="1730" w:bottom="1150" w:left="1785" w:header="0" w:footer="987" w:gutter="0"/>
          <w:pgNumType w:start="10"/>
          <w:cols w:space="708"/>
        </w:sectPr>
      </w:pPr>
      <w:r>
        <w:rPr>
          <w:rFonts w:ascii="SimSun" w:eastAsia="SimSun" w:hAnsi="SimSun" w:cs="SimSun"/>
          <w:spacing w:val="7"/>
          <w:position w:val="15"/>
          <w:sz w:val="20"/>
          <w:szCs w:val="20"/>
        </w:rPr>
        <w:t>3 当邻近有重要管线或支护结构作为永久性结构时，其水平变形和竖向变形应按</w:t>
      </w:r>
      <w:r>
        <w:rPr>
          <w:rFonts w:ascii="SimSun" w:eastAsia="SimSun" w:hAnsi="SimSun" w:cs="SimSun"/>
          <w:spacing w:val="6"/>
          <w:position w:val="15"/>
          <w:sz w:val="20"/>
          <w:szCs w:val="20"/>
        </w:rPr>
        <w:t>满足其</w:t>
      </w:r>
    </w:p>
    <w:p>
      <w:pPr>
        <w:spacing w:line="229" w:lineRule="auto"/>
        <w:ind w:left="26"/>
        <w:rPr>
          <w:rFonts w:ascii="SimSun" w:eastAsia="SimSun" w:hAnsi="SimSun" w:cs="SimSun"/>
          <w:sz w:val="20"/>
          <w:szCs w:val="20"/>
        </w:rPr>
      </w:pPr>
      <w:r>
        <w:rPr>
          <w:rFonts w:ascii="SimSun" w:eastAsia="SimSun" w:hAnsi="SimSun" w:cs="SimSun"/>
          <w:spacing w:val="7"/>
          <w:sz w:val="20"/>
          <w:szCs w:val="20"/>
        </w:rPr>
        <w:t>正常工作的要求控制；</w:t>
      </w:r>
    </w:p>
    <w:p>
      <w:pPr>
        <w:spacing w:line="229" w:lineRule="auto"/>
        <w:rPr>
          <w:rFonts w:ascii="SimSun" w:eastAsia="SimSun" w:hAnsi="SimSun" w:cs="SimSun"/>
          <w:sz w:val="20"/>
          <w:szCs w:val="20"/>
        </w:rPr>
        <w:sectPr>
          <w:footerReference w:type="default" r:id="rId16"/>
          <w:type w:val="nextPage"/>
          <w:pgSz w:w="11906" w:h="16839"/>
          <w:pgMar w:top="1428" w:right="1730" w:bottom="1150" w:left="1785" w:header="0" w:footer="987" w:gutter="0"/>
          <w:pgNumType w:start="11"/>
          <w:cols w:space="708"/>
          <w:titlePg w:val="0"/>
        </w:sectPr>
      </w:pPr>
    </w:p>
    <w:p>
      <w:pPr>
        <w:spacing w:before="41" w:line="408" w:lineRule="exact"/>
        <w:ind w:right="59"/>
        <w:jc w:val="right"/>
        <w:rPr>
          <w:rFonts w:ascii="SimSun" w:eastAsia="SimSun" w:hAnsi="SimSun" w:cs="SimSun"/>
          <w:sz w:val="20"/>
          <w:szCs w:val="20"/>
        </w:rPr>
      </w:pPr>
      <w:r>
        <w:rPr>
          <w:rFonts w:ascii="SimSun" w:eastAsia="SimSun" w:hAnsi="SimSun" w:cs="SimSun"/>
          <w:spacing w:val="8"/>
          <w:position w:val="15"/>
          <w:sz w:val="20"/>
          <w:szCs w:val="20"/>
        </w:rPr>
        <w:t>4 当无明确要求时，最大水平变形限值：一级基坑为</w:t>
      </w:r>
      <w:r>
        <w:rPr>
          <w:rFonts w:ascii="SimSun" w:eastAsia="SimSun" w:hAnsi="SimSun" w:cs="SimSun"/>
          <w:spacing w:val="-37"/>
          <w:position w:val="15"/>
          <w:sz w:val="20"/>
          <w:szCs w:val="20"/>
        </w:rPr>
        <w:t xml:space="preserve"> </w:t>
      </w:r>
      <w:r>
        <w:rPr>
          <w:rFonts w:ascii="SimSun" w:eastAsia="SimSun" w:hAnsi="SimSun" w:cs="SimSun"/>
          <w:spacing w:val="8"/>
          <w:position w:val="15"/>
          <w:sz w:val="20"/>
          <w:szCs w:val="20"/>
        </w:rPr>
        <w:t>0.002h，二级基坑为</w:t>
      </w:r>
      <w:r>
        <w:rPr>
          <w:rFonts w:ascii="SimSun" w:eastAsia="SimSun" w:hAnsi="SimSun" w:cs="SimSun"/>
          <w:spacing w:val="-36"/>
          <w:position w:val="15"/>
          <w:sz w:val="20"/>
          <w:szCs w:val="20"/>
        </w:rPr>
        <w:t xml:space="preserve"> </w:t>
      </w:r>
      <w:r>
        <w:rPr>
          <w:rFonts w:ascii="SimSun" w:eastAsia="SimSun" w:hAnsi="SimSun" w:cs="SimSun"/>
          <w:spacing w:val="8"/>
          <w:position w:val="15"/>
          <w:sz w:val="20"/>
          <w:szCs w:val="20"/>
        </w:rPr>
        <w:t>0.00</w:t>
      </w:r>
      <w:r>
        <w:rPr>
          <w:rFonts w:ascii="SimSun" w:eastAsia="SimSun" w:hAnsi="SimSun" w:cs="SimSun"/>
          <w:spacing w:val="7"/>
          <w:position w:val="15"/>
          <w:sz w:val="20"/>
          <w:szCs w:val="20"/>
        </w:rPr>
        <w:t>4h，三</w:t>
      </w:r>
    </w:p>
    <w:p>
      <w:pPr>
        <w:spacing w:line="229" w:lineRule="auto"/>
        <w:ind w:left="25"/>
        <w:rPr>
          <w:rFonts w:ascii="SimSun" w:eastAsia="SimSun" w:hAnsi="SimSun" w:cs="SimSun"/>
          <w:sz w:val="20"/>
          <w:szCs w:val="20"/>
        </w:rPr>
      </w:pPr>
      <w:r>
        <w:rPr>
          <w:rFonts w:ascii="SimSun" w:eastAsia="SimSun" w:hAnsi="SimSun" w:cs="SimSun"/>
          <w:spacing w:val="5"/>
          <w:sz w:val="20"/>
          <w:szCs w:val="20"/>
        </w:rPr>
        <w:t>级基坑为</w:t>
      </w:r>
      <w:r>
        <w:rPr>
          <w:rFonts w:ascii="SimSun" w:eastAsia="SimSun" w:hAnsi="SimSun" w:cs="SimSun"/>
          <w:spacing w:val="-25"/>
          <w:sz w:val="20"/>
          <w:szCs w:val="20"/>
        </w:rPr>
        <w:t xml:space="preserve"> </w:t>
      </w:r>
      <w:r>
        <w:rPr>
          <w:rFonts w:ascii="SimSun" w:eastAsia="SimSun" w:hAnsi="SimSun" w:cs="SimSun"/>
          <w:spacing w:val="5"/>
          <w:sz w:val="20"/>
          <w:szCs w:val="20"/>
        </w:rPr>
        <w:t>0.006h，其中</w:t>
      </w:r>
      <w:r>
        <w:rPr>
          <w:rFonts w:ascii="SimSun" w:eastAsia="SimSun" w:hAnsi="SimSun" w:cs="SimSun"/>
          <w:spacing w:val="-40"/>
          <w:sz w:val="20"/>
          <w:szCs w:val="20"/>
        </w:rPr>
        <w:t xml:space="preserve"> </w:t>
      </w:r>
      <w:r>
        <w:rPr>
          <w:rFonts w:ascii="SimSun" w:eastAsia="SimSun" w:hAnsi="SimSun" w:cs="SimSun"/>
          <w:spacing w:val="5"/>
          <w:sz w:val="20"/>
          <w:szCs w:val="20"/>
        </w:rPr>
        <w:t>h</w:t>
      </w:r>
      <w:r>
        <w:rPr>
          <w:rFonts w:ascii="SimSun" w:eastAsia="SimSun" w:hAnsi="SimSun" w:cs="SimSun"/>
          <w:spacing w:val="-37"/>
          <w:sz w:val="20"/>
          <w:szCs w:val="20"/>
        </w:rPr>
        <w:t xml:space="preserve"> </w:t>
      </w:r>
      <w:r>
        <w:rPr>
          <w:rFonts w:ascii="SimSun" w:eastAsia="SimSun" w:hAnsi="SimSun" w:cs="SimSun"/>
          <w:spacing w:val="5"/>
          <w:sz w:val="20"/>
          <w:szCs w:val="20"/>
        </w:rPr>
        <w:t>为基坑深度。</w:t>
      </w:r>
    </w:p>
    <w:p>
      <w:pPr>
        <w:pStyle w:val="BodyText"/>
        <w:spacing w:before="162" w:line="228" w:lineRule="auto"/>
        <w:ind w:left="17"/>
        <w:rPr>
          <w:rFonts w:ascii="SimSun" w:eastAsia="SimSun" w:hAnsi="SimSun" w:cs="SimSun"/>
        </w:rPr>
      </w:pPr>
      <w:r>
        <w:rPr>
          <w:spacing w:val="7"/>
        </w:rPr>
        <w:t>5.1.5</w:t>
      </w:r>
      <w:r>
        <w:rPr>
          <w:spacing w:val="7"/>
        </w:rPr>
        <w:t xml:space="preserve"> </w:t>
      </w:r>
      <w:r>
        <w:rPr>
          <w:rFonts w:ascii="SimSun" w:eastAsia="SimSun" w:hAnsi="SimSun" w:cs="SimSun"/>
          <w:spacing w:val="7"/>
        </w:rPr>
        <w:t>基坑工程设计应包括下列内容：</w:t>
      </w:r>
    </w:p>
    <w:p>
      <w:pPr>
        <w:spacing w:before="160" w:line="408" w:lineRule="exact"/>
        <w:ind w:left="457"/>
        <w:rPr>
          <w:rFonts w:ascii="SimSun" w:eastAsia="SimSun" w:hAnsi="SimSun" w:cs="SimSun"/>
          <w:sz w:val="20"/>
          <w:szCs w:val="20"/>
        </w:rPr>
      </w:pPr>
      <w:r>
        <w:rPr>
          <w:rFonts w:ascii="SimSun" w:eastAsia="SimSun" w:hAnsi="SimSun" w:cs="SimSun"/>
          <w:spacing w:val="7"/>
          <w:position w:val="15"/>
          <w:sz w:val="20"/>
          <w:szCs w:val="20"/>
        </w:rPr>
        <w:t>1 支护结构体系的方案和技术经济比较；</w:t>
      </w:r>
    </w:p>
    <w:p>
      <w:pPr>
        <w:spacing w:line="228" w:lineRule="auto"/>
        <w:ind w:left="444"/>
        <w:rPr>
          <w:rFonts w:ascii="SimSun" w:eastAsia="SimSun" w:hAnsi="SimSun" w:cs="SimSun"/>
          <w:sz w:val="20"/>
          <w:szCs w:val="20"/>
        </w:rPr>
      </w:pPr>
      <w:r>
        <w:rPr>
          <w:rFonts w:ascii="SimSun" w:eastAsia="SimSun" w:hAnsi="SimSun" w:cs="SimSun"/>
          <w:spacing w:val="7"/>
          <w:sz w:val="20"/>
          <w:szCs w:val="20"/>
        </w:rPr>
        <w:t>2 基坑支护体系的稳定性验算；</w:t>
      </w:r>
    </w:p>
    <w:p>
      <w:pPr>
        <w:spacing w:before="161" w:line="410" w:lineRule="exact"/>
        <w:ind w:left="446"/>
        <w:rPr>
          <w:rFonts w:ascii="SimSun" w:eastAsia="SimSun" w:hAnsi="SimSun" w:cs="SimSun"/>
          <w:sz w:val="20"/>
          <w:szCs w:val="20"/>
        </w:rPr>
      </w:pPr>
      <w:r>
        <w:rPr>
          <w:rFonts w:ascii="SimSun" w:eastAsia="SimSun" w:hAnsi="SimSun" w:cs="SimSun"/>
          <w:spacing w:val="8"/>
          <w:position w:val="15"/>
          <w:sz w:val="20"/>
          <w:szCs w:val="20"/>
        </w:rPr>
        <w:t>3 支护结构的强度、稳定和变形计算；</w:t>
      </w:r>
    </w:p>
    <w:p>
      <w:pPr>
        <w:spacing w:before="1" w:line="228" w:lineRule="auto"/>
        <w:ind w:left="441"/>
        <w:rPr>
          <w:rFonts w:ascii="SimSun" w:eastAsia="SimSun" w:hAnsi="SimSun" w:cs="SimSun"/>
          <w:sz w:val="20"/>
          <w:szCs w:val="20"/>
        </w:rPr>
      </w:pPr>
      <w:r>
        <w:rPr>
          <w:rFonts w:ascii="SimSun" w:eastAsia="SimSun" w:hAnsi="SimSun" w:cs="SimSun"/>
          <w:spacing w:val="7"/>
          <w:sz w:val="20"/>
          <w:szCs w:val="20"/>
        </w:rPr>
        <w:t>4 地下水控制设计；</w:t>
      </w:r>
    </w:p>
    <w:p>
      <w:pPr>
        <w:spacing w:before="160" w:line="408" w:lineRule="exact"/>
        <w:ind w:left="446"/>
        <w:rPr>
          <w:rFonts w:ascii="SimSun" w:eastAsia="SimSun" w:hAnsi="SimSun" w:cs="SimSun"/>
          <w:sz w:val="20"/>
          <w:szCs w:val="20"/>
        </w:rPr>
      </w:pPr>
      <w:r>
        <w:rPr>
          <w:rFonts w:ascii="SimSun" w:eastAsia="SimSun" w:hAnsi="SimSun" w:cs="SimSun"/>
          <w:spacing w:val="7"/>
          <w:position w:val="15"/>
          <w:sz w:val="20"/>
          <w:szCs w:val="20"/>
        </w:rPr>
        <w:t>5 对周边环境影响的控制设计；</w:t>
      </w:r>
    </w:p>
    <w:p>
      <w:pPr>
        <w:spacing w:line="229" w:lineRule="auto"/>
        <w:ind w:left="443"/>
        <w:rPr>
          <w:rFonts w:ascii="SimSun" w:eastAsia="SimSun" w:hAnsi="SimSun" w:cs="SimSun"/>
          <w:sz w:val="20"/>
          <w:szCs w:val="20"/>
        </w:rPr>
      </w:pPr>
      <w:r>
        <w:rPr>
          <w:rFonts w:ascii="SimSun" w:eastAsia="SimSun" w:hAnsi="SimSun" w:cs="SimSun"/>
          <w:spacing w:val="6"/>
          <w:sz w:val="20"/>
          <w:szCs w:val="20"/>
        </w:rPr>
        <w:t>6 基坑土方开挖方案；</w:t>
      </w:r>
    </w:p>
    <w:p>
      <w:pPr>
        <w:spacing w:before="160" w:line="229" w:lineRule="auto"/>
        <w:ind w:left="447"/>
        <w:rPr>
          <w:rFonts w:ascii="SimSun" w:eastAsia="SimSun" w:hAnsi="SimSun" w:cs="SimSun"/>
          <w:sz w:val="20"/>
          <w:szCs w:val="20"/>
        </w:rPr>
      </w:pPr>
      <w:r>
        <w:rPr>
          <w:rFonts w:ascii="SimSun" w:eastAsia="SimSun" w:hAnsi="SimSun" w:cs="SimSun"/>
          <w:spacing w:val="7"/>
          <w:sz w:val="20"/>
          <w:szCs w:val="20"/>
        </w:rPr>
        <w:t>7 基坑工程的监测要求。</w:t>
      </w:r>
    </w:p>
    <w:p>
      <w:pPr>
        <w:pStyle w:val="BodyText"/>
        <w:spacing w:before="162" w:line="230" w:lineRule="auto"/>
        <w:ind w:left="17"/>
      </w:pPr>
      <w:r>
        <w:rPr>
          <w:spacing w:val="5"/>
        </w:rPr>
        <w:t>5.2</w:t>
      </w:r>
      <w:r>
        <w:rPr>
          <w:spacing w:val="28"/>
        </w:rPr>
        <w:t xml:space="preserve"> </w:t>
      </w:r>
      <w:r>
        <w:rPr>
          <w:spacing w:val="5"/>
        </w:rPr>
        <w:t>支护结构选型</w:t>
      </w:r>
    </w:p>
    <w:p>
      <w:pPr>
        <w:pStyle w:val="BodyText"/>
        <w:spacing w:before="158" w:line="327" w:lineRule="auto"/>
        <w:ind w:left="20" w:hanging="3"/>
        <w:rPr>
          <w:rFonts w:ascii="SimSun" w:eastAsia="SimSun" w:hAnsi="SimSun" w:cs="SimSun"/>
        </w:rPr>
      </w:pPr>
      <w:r>
        <w:rPr>
          <w:spacing w:val="8"/>
        </w:rPr>
        <w:t>5.2.1</w:t>
      </w:r>
      <w:r>
        <w:rPr>
          <w:spacing w:val="8"/>
        </w:rPr>
        <w:t xml:space="preserve"> </w:t>
      </w:r>
      <w:r>
        <w:rPr>
          <w:rFonts w:ascii="SimSun" w:eastAsia="SimSun" w:hAnsi="SimSun" w:cs="SimSun"/>
          <w:spacing w:val="8"/>
        </w:rPr>
        <w:t>支护结构应综合考虑基坑周边环境限制条件、开挖深度、工程地质与水文地质条件、</w:t>
      </w:r>
      <w:r>
        <w:rPr>
          <w:rFonts w:ascii="SimSun" w:eastAsia="SimSun" w:hAnsi="SimSun" w:cs="SimSun"/>
          <w:spacing w:val="14"/>
        </w:rPr>
        <w:t xml:space="preserve"> </w:t>
      </w:r>
      <w:r>
        <w:rPr>
          <w:rFonts w:ascii="SimSun" w:eastAsia="SimSun" w:hAnsi="SimSun" w:cs="SimSun"/>
          <w:spacing w:val="2"/>
        </w:rPr>
        <w:t>施工工艺及设备条件、周边相近条件基坑的工程经验、施工工期及施工季节等因素，并按《建</w:t>
      </w:r>
      <w:r>
        <w:rPr>
          <w:rFonts w:ascii="SimSun" w:eastAsia="SimSun" w:hAnsi="SimSun" w:cs="SimSun"/>
          <w:spacing w:val="13"/>
        </w:rPr>
        <w:t xml:space="preserve"> </w:t>
      </w:r>
      <w:r>
        <w:rPr>
          <w:rFonts w:ascii="SimSun" w:eastAsia="SimSun" w:hAnsi="SimSun" w:cs="SimSun"/>
          <w:spacing w:val="7"/>
        </w:rPr>
        <w:t>筑基坑支护技术规程》</w:t>
      </w:r>
      <w:r>
        <w:rPr>
          <w:rFonts w:ascii="SimSun" w:eastAsia="SimSun" w:hAnsi="SimSun" w:cs="SimSun"/>
        </w:rPr>
        <w:t>JGJ</w:t>
      </w:r>
      <w:r>
        <w:rPr>
          <w:rFonts w:ascii="SimSun" w:eastAsia="SimSun" w:hAnsi="SimSun" w:cs="SimSun"/>
          <w:spacing w:val="7"/>
        </w:rPr>
        <w:t xml:space="preserve"> 120-2012</w:t>
      </w:r>
      <w:r>
        <w:rPr>
          <w:rFonts w:ascii="SimSun" w:eastAsia="SimSun" w:hAnsi="SimSun" w:cs="SimSun"/>
          <w:spacing w:val="-21"/>
        </w:rPr>
        <w:t xml:space="preserve"> </w:t>
      </w:r>
      <w:r>
        <w:rPr>
          <w:rFonts w:ascii="SimSun" w:eastAsia="SimSun" w:hAnsi="SimSun" w:cs="SimSun"/>
          <w:spacing w:val="7"/>
        </w:rPr>
        <w:t>中表</w:t>
      </w:r>
      <w:r>
        <w:rPr>
          <w:rFonts w:ascii="SimSun" w:eastAsia="SimSun" w:hAnsi="SimSun" w:cs="SimSun"/>
          <w:spacing w:val="-32"/>
        </w:rPr>
        <w:t xml:space="preserve"> </w:t>
      </w:r>
      <w:r>
        <w:rPr>
          <w:rFonts w:ascii="SimSun" w:eastAsia="SimSun" w:hAnsi="SimSun" w:cs="SimSun"/>
          <w:spacing w:val="7"/>
        </w:rPr>
        <w:t>3.3.2</w:t>
      </w:r>
      <w:r>
        <w:rPr>
          <w:rFonts w:ascii="SimSun" w:eastAsia="SimSun" w:hAnsi="SimSun" w:cs="SimSun"/>
          <w:spacing w:val="-42"/>
        </w:rPr>
        <w:t xml:space="preserve"> </w:t>
      </w:r>
      <w:r>
        <w:rPr>
          <w:rFonts w:ascii="SimSun" w:eastAsia="SimSun" w:hAnsi="SimSun" w:cs="SimSun"/>
          <w:spacing w:val="7"/>
        </w:rPr>
        <w:t>进行选型。尚需考虑如下</w:t>
      </w:r>
      <w:r>
        <w:rPr>
          <w:rFonts w:ascii="SimSun" w:eastAsia="SimSun" w:hAnsi="SimSun" w:cs="SimSun"/>
          <w:spacing w:val="6"/>
        </w:rPr>
        <w:t>因素：</w:t>
      </w:r>
    </w:p>
    <w:p>
      <w:pPr>
        <w:spacing w:before="162" w:line="408" w:lineRule="exact"/>
        <w:ind w:left="457"/>
        <w:rPr>
          <w:rFonts w:ascii="SimSun" w:eastAsia="SimSun" w:hAnsi="SimSun" w:cs="SimSun"/>
          <w:sz w:val="20"/>
          <w:szCs w:val="20"/>
        </w:rPr>
      </w:pPr>
      <w:r>
        <w:rPr>
          <w:rFonts w:ascii="SimSun" w:eastAsia="SimSun" w:hAnsi="SimSun" w:cs="SimSun"/>
          <w:spacing w:val="8"/>
          <w:position w:val="15"/>
          <w:sz w:val="20"/>
          <w:szCs w:val="20"/>
        </w:rPr>
        <w:t>1 周边环境对基坑变形的承受能力及支护结构失效的后果；</w:t>
      </w:r>
    </w:p>
    <w:p>
      <w:pPr>
        <w:spacing w:before="1" w:line="228" w:lineRule="auto"/>
        <w:ind w:left="444"/>
        <w:rPr>
          <w:rFonts w:ascii="SimSun" w:eastAsia="SimSun" w:hAnsi="SimSun" w:cs="SimSun"/>
          <w:sz w:val="20"/>
          <w:szCs w:val="20"/>
        </w:rPr>
      </w:pPr>
      <w:r>
        <w:rPr>
          <w:rFonts w:ascii="SimSun" w:eastAsia="SimSun" w:hAnsi="SimSun" w:cs="SimSun"/>
          <w:spacing w:val="7"/>
          <w:sz w:val="20"/>
          <w:szCs w:val="20"/>
        </w:rPr>
        <w:t>2 可回收的工艺和空间条件；</w:t>
      </w:r>
    </w:p>
    <w:p>
      <w:pPr>
        <w:spacing w:before="163" w:line="408" w:lineRule="exact"/>
        <w:ind w:left="446"/>
        <w:rPr>
          <w:rFonts w:ascii="SimSun" w:eastAsia="SimSun" w:hAnsi="SimSun" w:cs="SimSun"/>
          <w:sz w:val="20"/>
          <w:szCs w:val="20"/>
        </w:rPr>
      </w:pPr>
      <w:r>
        <w:rPr>
          <w:rFonts w:ascii="SimSun" w:eastAsia="SimSun" w:hAnsi="SimSun" w:cs="SimSun"/>
          <w:spacing w:val="8"/>
          <w:position w:val="15"/>
          <w:sz w:val="20"/>
          <w:szCs w:val="20"/>
        </w:rPr>
        <w:t>3 节能减排和周转构件的损耗和供应条件；</w:t>
      </w:r>
    </w:p>
    <w:p>
      <w:pPr>
        <w:spacing w:line="229" w:lineRule="auto"/>
        <w:ind w:left="441"/>
        <w:rPr>
          <w:rFonts w:ascii="SimSun" w:eastAsia="SimSun" w:hAnsi="SimSun" w:cs="SimSun"/>
          <w:sz w:val="20"/>
          <w:szCs w:val="20"/>
        </w:rPr>
      </w:pPr>
      <w:r>
        <w:rPr>
          <w:rFonts w:ascii="SimSun" w:eastAsia="SimSun" w:hAnsi="SimSun" w:cs="SimSun"/>
          <w:spacing w:val="7"/>
          <w:sz w:val="20"/>
          <w:szCs w:val="20"/>
        </w:rPr>
        <w:t>4 支护施工工艺的可行性；</w:t>
      </w:r>
    </w:p>
    <w:p>
      <w:pPr>
        <w:spacing w:before="160" w:line="228" w:lineRule="auto"/>
        <w:ind w:left="446"/>
        <w:rPr>
          <w:rFonts w:ascii="SimSun" w:eastAsia="SimSun" w:hAnsi="SimSun" w:cs="SimSun"/>
          <w:sz w:val="20"/>
          <w:szCs w:val="20"/>
        </w:rPr>
      </w:pPr>
      <w:r>
        <w:rPr>
          <w:rFonts w:ascii="SimSun" w:eastAsia="SimSun" w:hAnsi="SimSun" w:cs="SimSun"/>
          <w:spacing w:val="7"/>
          <w:sz w:val="20"/>
          <w:szCs w:val="20"/>
        </w:rPr>
        <w:t>5 施工场地条件及施工季节；</w:t>
      </w:r>
    </w:p>
    <w:p>
      <w:pPr>
        <w:spacing w:before="161" w:line="229" w:lineRule="auto"/>
        <w:ind w:left="443"/>
        <w:rPr>
          <w:rFonts w:ascii="SimSun" w:eastAsia="SimSun" w:hAnsi="SimSun" w:cs="SimSun"/>
          <w:sz w:val="20"/>
          <w:szCs w:val="20"/>
        </w:rPr>
      </w:pPr>
      <w:r>
        <w:rPr>
          <w:rFonts w:ascii="SimSun" w:eastAsia="SimSun" w:hAnsi="SimSun" w:cs="SimSun"/>
          <w:spacing w:val="8"/>
          <w:sz w:val="20"/>
          <w:szCs w:val="20"/>
        </w:rPr>
        <w:t>6 经济指标、环保性能和施工工期。</w:t>
      </w:r>
    </w:p>
    <w:p>
      <w:pPr>
        <w:pStyle w:val="BodyText"/>
        <w:spacing w:before="163" w:line="303" w:lineRule="auto"/>
        <w:ind w:left="24" w:right="59" w:hanging="7"/>
        <w:rPr>
          <w:rFonts w:ascii="SimSun" w:eastAsia="SimSun" w:hAnsi="SimSun" w:cs="SimSun"/>
        </w:rPr>
      </w:pPr>
      <w:r>
        <w:rPr>
          <w:spacing w:val="7"/>
        </w:rPr>
        <w:t>5.2.2</w:t>
      </w:r>
      <w:r>
        <w:rPr>
          <w:spacing w:val="7"/>
        </w:rPr>
        <w:t xml:space="preserve"> </w:t>
      </w:r>
      <w:r>
        <w:rPr>
          <w:rFonts w:ascii="SimSun" w:eastAsia="SimSun" w:hAnsi="SimSun" w:cs="SimSun"/>
          <w:spacing w:val="7"/>
        </w:rPr>
        <w:t>支护结构选型应考虑结构的空间效应和受力特点，采用有利支护结构材料受力特</w:t>
      </w:r>
      <w:r>
        <w:rPr>
          <w:rFonts w:ascii="SimSun" w:eastAsia="SimSun" w:hAnsi="SimSun" w:cs="SimSun"/>
          <w:spacing w:val="6"/>
        </w:rPr>
        <w:t>性的</w:t>
      </w:r>
      <w:r>
        <w:rPr>
          <w:rFonts w:ascii="SimSun" w:eastAsia="SimSun" w:hAnsi="SimSun" w:cs="SimSun"/>
        </w:rPr>
        <w:t xml:space="preserve"> </w:t>
      </w:r>
      <w:r>
        <w:rPr>
          <w:rFonts w:ascii="SimSun" w:eastAsia="SimSun" w:hAnsi="SimSun" w:cs="SimSun"/>
          <w:spacing w:val="2"/>
        </w:rPr>
        <w:t>形式。</w:t>
      </w:r>
    </w:p>
    <w:p>
      <w:pPr>
        <w:pStyle w:val="BodyText"/>
        <w:spacing w:before="159" w:line="327" w:lineRule="auto"/>
        <w:ind w:left="25" w:right="59" w:hanging="8"/>
        <w:rPr>
          <w:rFonts w:ascii="SimSun" w:eastAsia="SimSun" w:hAnsi="SimSun" w:cs="SimSun"/>
        </w:rPr>
      </w:pPr>
      <w:r>
        <w:rPr>
          <w:spacing w:val="7"/>
        </w:rPr>
        <w:t>5.2.3</w:t>
      </w:r>
      <w:r>
        <w:rPr>
          <w:spacing w:val="7"/>
        </w:rPr>
        <w:t xml:space="preserve"> </w:t>
      </w:r>
      <w:r>
        <w:rPr>
          <w:rFonts w:ascii="SimSun" w:eastAsia="SimSun" w:hAnsi="SimSun" w:cs="SimSun"/>
          <w:spacing w:val="7"/>
        </w:rPr>
        <w:t>对于基坑上部采用放坡或土钉墙，下部采用支挡式的情况，放坡或土钉墙支护的</w:t>
      </w:r>
      <w:r>
        <w:rPr>
          <w:rFonts w:ascii="SimSun" w:eastAsia="SimSun" w:hAnsi="SimSun" w:cs="SimSun"/>
          <w:spacing w:val="6"/>
        </w:rPr>
        <w:t>高度</w:t>
      </w:r>
      <w:r>
        <w:rPr>
          <w:rFonts w:ascii="SimSun" w:eastAsia="SimSun" w:hAnsi="SimSun" w:cs="SimSun"/>
        </w:rPr>
        <w:t xml:space="preserve"> </w:t>
      </w:r>
      <w:r>
        <w:rPr>
          <w:rFonts w:ascii="SimSun" w:eastAsia="SimSun" w:hAnsi="SimSun" w:cs="SimSun"/>
          <w:spacing w:val="6"/>
        </w:rPr>
        <w:t>（h）大于基坑总深度的</w:t>
      </w:r>
      <w:r>
        <w:rPr>
          <w:rFonts w:ascii="SimSun" w:eastAsia="SimSun" w:hAnsi="SimSun" w:cs="SimSun"/>
          <w:spacing w:val="39"/>
        </w:rPr>
        <w:t xml:space="preserve"> </w:t>
      </w:r>
      <w:r>
        <w:rPr>
          <w:rFonts w:ascii="SimSun" w:eastAsia="SimSun" w:hAnsi="SimSun" w:cs="SimSun"/>
          <w:spacing w:val="6"/>
        </w:rPr>
        <w:t>1/2 时，应考虑桩（墙）顶部以上土体与桩（墙）支护结构间的相</w:t>
      </w:r>
      <w:r>
        <w:rPr>
          <w:rFonts w:ascii="SimSun" w:eastAsia="SimSun" w:hAnsi="SimSun" w:cs="SimSun"/>
        </w:rPr>
        <w:t xml:space="preserve"> </w:t>
      </w:r>
      <w:r>
        <w:rPr>
          <w:rFonts w:ascii="SimSun" w:eastAsia="SimSun" w:hAnsi="SimSun" w:cs="SimSun"/>
          <w:spacing w:val="9"/>
        </w:rPr>
        <w:t>互影响，并应严格控制桩（墙）顶部的水平位</w:t>
      </w:r>
      <w:r>
        <w:rPr>
          <w:rFonts w:ascii="SimSun" w:eastAsia="SimSun" w:hAnsi="SimSun" w:cs="SimSun"/>
          <w:spacing w:val="8"/>
        </w:rPr>
        <w:t>移。</w:t>
      </w:r>
    </w:p>
    <w:p>
      <w:pPr>
        <w:pStyle w:val="BodyText"/>
        <w:spacing w:before="161" w:line="328" w:lineRule="auto"/>
        <w:ind w:left="22" w:hanging="5"/>
        <w:rPr>
          <w:rFonts w:ascii="SimSun" w:eastAsia="SimSun" w:hAnsi="SimSun" w:cs="SimSun"/>
        </w:rPr>
      </w:pPr>
      <w:r>
        <w:rPr>
          <w:spacing w:val="8"/>
        </w:rPr>
        <w:t>5.2.4</w:t>
      </w:r>
      <w:r>
        <w:rPr>
          <w:spacing w:val="8"/>
        </w:rPr>
        <w:t xml:space="preserve"> </w:t>
      </w:r>
      <w:r>
        <w:rPr>
          <w:rFonts w:ascii="SimSun" w:eastAsia="SimSun" w:hAnsi="SimSun" w:cs="SimSun"/>
          <w:spacing w:val="8"/>
        </w:rPr>
        <w:t>基坑工程施工及使用期间，应对支护结构和邻近建(构)筑物、地下管线等进行监测。</w:t>
      </w:r>
      <w:r>
        <w:rPr>
          <w:rFonts w:ascii="SimSun" w:eastAsia="SimSun" w:hAnsi="SimSun" w:cs="SimSun"/>
          <w:spacing w:val="7"/>
        </w:rPr>
        <w:t xml:space="preserve"> </w:t>
      </w:r>
      <w:r>
        <w:rPr>
          <w:rFonts w:ascii="SimSun" w:eastAsia="SimSun" w:hAnsi="SimSun" w:cs="SimSun"/>
          <w:spacing w:val="7"/>
        </w:rPr>
        <w:t>支护结构拆除期间，应加密监测，监测要求应符合现行国家标准《建筑基坑工程监测技术标</w:t>
      </w:r>
      <w:r>
        <w:rPr>
          <w:rFonts w:ascii="SimSun" w:eastAsia="SimSun" w:hAnsi="SimSun" w:cs="SimSun"/>
          <w:spacing w:val="14"/>
        </w:rPr>
        <w:t xml:space="preserve"> </w:t>
      </w:r>
      <w:r>
        <w:rPr>
          <w:rFonts w:ascii="SimSun" w:eastAsia="SimSun" w:hAnsi="SimSun" w:cs="SimSun"/>
          <w:spacing w:val="5"/>
        </w:rPr>
        <w:t>准》</w:t>
      </w:r>
      <w:r>
        <w:rPr>
          <w:rFonts w:ascii="SimSun" w:eastAsia="SimSun" w:hAnsi="SimSun" w:cs="SimSun"/>
        </w:rPr>
        <w:t>GB</w:t>
      </w:r>
      <w:r>
        <w:rPr>
          <w:rFonts w:ascii="SimSun" w:eastAsia="SimSun" w:hAnsi="SimSun" w:cs="SimSun"/>
          <w:spacing w:val="5"/>
        </w:rPr>
        <w:t xml:space="preserve"> 50497</w:t>
      </w:r>
      <w:r>
        <w:rPr>
          <w:rFonts w:ascii="SimSun" w:eastAsia="SimSun" w:hAnsi="SimSun" w:cs="SimSun"/>
          <w:spacing w:val="-19"/>
        </w:rPr>
        <w:t xml:space="preserve"> </w:t>
      </w:r>
      <w:r>
        <w:rPr>
          <w:rFonts w:ascii="SimSun" w:eastAsia="SimSun" w:hAnsi="SimSun" w:cs="SimSun"/>
          <w:spacing w:val="5"/>
        </w:rPr>
        <w:t>的有关规定。</w:t>
      </w:r>
    </w:p>
    <w:p>
      <w:pPr>
        <w:pStyle w:val="BodyText"/>
        <w:spacing w:before="160" w:line="231" w:lineRule="auto"/>
        <w:ind w:left="21"/>
      </w:pPr>
      <w:r>
        <w:rPr>
          <w:spacing w:val="8"/>
        </w:rPr>
        <w:t>6</w:t>
      </w:r>
      <w:r>
        <w:rPr>
          <w:spacing w:val="8"/>
        </w:rPr>
        <w:t xml:space="preserve"> </w:t>
      </w:r>
      <w:r>
        <w:rPr>
          <w:spacing w:val="8"/>
        </w:rPr>
        <w:t>软土深基坑开挖与回填</w:t>
      </w:r>
    </w:p>
    <w:p>
      <w:pPr>
        <w:pStyle w:val="BodyText"/>
        <w:spacing w:before="295" w:line="229" w:lineRule="auto"/>
        <w:ind w:left="21"/>
      </w:pPr>
      <w:r>
        <w:rPr>
          <w:spacing w:val="4"/>
        </w:rPr>
        <w:t>6.1</w:t>
      </w:r>
      <w:r>
        <w:rPr>
          <w:spacing w:val="21"/>
        </w:rPr>
        <w:t xml:space="preserve"> </w:t>
      </w:r>
      <w:r>
        <w:rPr>
          <w:spacing w:val="4"/>
        </w:rPr>
        <w:t>一般规定</w:t>
      </w:r>
    </w:p>
    <w:p>
      <w:pPr>
        <w:pStyle w:val="BodyText"/>
        <w:spacing w:before="160" w:line="228" w:lineRule="auto"/>
        <w:ind w:left="21"/>
        <w:rPr>
          <w:rFonts w:ascii="SimSun" w:eastAsia="SimSun" w:hAnsi="SimSun" w:cs="SimSun"/>
        </w:rPr>
        <w:sectPr>
          <w:footerReference w:type="default" r:id="rId17"/>
          <w:pgSz w:w="11906" w:h="16839"/>
          <w:pgMar w:top="1428" w:right="1742" w:bottom="1152" w:left="1785" w:header="0" w:footer="987" w:gutter="0"/>
          <w:pgNumType w:start="12"/>
          <w:cols w:space="708"/>
        </w:sectPr>
      </w:pPr>
      <w:r>
        <w:rPr>
          <w:spacing w:val="9"/>
        </w:rPr>
        <w:t>6.1.1</w:t>
      </w:r>
      <w:r>
        <w:rPr>
          <w:spacing w:val="9"/>
        </w:rPr>
        <w:t xml:space="preserve"> </w:t>
      </w:r>
      <w:r>
        <w:rPr>
          <w:rFonts w:ascii="SimSun" w:eastAsia="SimSun" w:hAnsi="SimSun" w:cs="SimSun"/>
          <w:spacing w:val="9"/>
        </w:rPr>
        <w:t>应根据支护结构设计要求、地下水控制方法及周边环境条件，</w:t>
      </w:r>
      <w:r>
        <w:rPr>
          <w:rFonts w:ascii="SimSun" w:eastAsia="SimSun" w:hAnsi="SimSun" w:cs="SimSun"/>
          <w:spacing w:val="8"/>
        </w:rPr>
        <w:t>确定基坑开挖方案。</w:t>
      </w:r>
    </w:p>
    <w:p>
      <w:pPr>
        <w:pStyle w:val="BodyText"/>
        <w:spacing w:before="165" w:line="327" w:lineRule="auto"/>
        <w:ind w:left="22" w:hanging="1"/>
        <w:rPr>
          <w:rFonts w:ascii="SimSun" w:eastAsia="SimSun" w:hAnsi="SimSun" w:cs="SimSun"/>
        </w:rPr>
      </w:pPr>
      <w:r>
        <w:rPr>
          <w:spacing w:val="8"/>
        </w:rPr>
        <w:t>6.1.2</w:t>
      </w:r>
      <w:r>
        <w:rPr>
          <w:spacing w:val="8"/>
        </w:rPr>
        <w:t xml:space="preserve"> </w:t>
      </w:r>
      <w:r>
        <w:rPr>
          <w:rFonts w:ascii="SimSun" w:eastAsia="SimSun" w:hAnsi="SimSun" w:cs="SimSun"/>
          <w:spacing w:val="8"/>
        </w:rPr>
        <w:t>基坑土方开挖应严格按设计要求进行，不得超挖。基坑周边堆载不得超过设计规定。</w:t>
      </w:r>
      <w:r>
        <w:rPr>
          <w:rFonts w:ascii="SimSun" w:eastAsia="SimSun" w:hAnsi="SimSun" w:cs="SimSun"/>
          <w:spacing w:val="11"/>
        </w:rPr>
        <w:t xml:space="preserve"> </w:t>
      </w:r>
      <w:r>
        <w:rPr>
          <w:rFonts w:ascii="SimSun" w:eastAsia="SimSun" w:hAnsi="SimSun" w:cs="SimSun"/>
          <w:spacing w:val="7"/>
        </w:rPr>
        <w:t>土方开挖完成后应立即施工垫层，对基坑进行封闭，防止水浸和暴露，并应及时进行地下结</w:t>
      </w:r>
      <w:r>
        <w:rPr>
          <w:rFonts w:ascii="SimSun" w:eastAsia="SimSun" w:hAnsi="SimSun" w:cs="SimSun"/>
          <w:spacing w:val="14"/>
        </w:rPr>
        <w:t xml:space="preserve"> </w:t>
      </w:r>
      <w:r>
        <w:rPr>
          <w:rFonts w:ascii="SimSun" w:eastAsia="SimSun" w:hAnsi="SimSun" w:cs="SimSun"/>
          <w:spacing w:val="4"/>
        </w:rPr>
        <w:t>构施工。</w:t>
      </w:r>
    </w:p>
    <w:p>
      <w:pPr>
        <w:spacing w:line="327" w:lineRule="auto"/>
        <w:rPr>
          <w:rFonts w:ascii="SimSun" w:eastAsia="SimSun" w:hAnsi="SimSun" w:cs="SimSun"/>
        </w:rPr>
      </w:pPr>
      <w:r>
        <w:rPr>
          <w:rFonts w:ascii="SimSun" w:eastAsia="SimSun" w:hAnsi="SimSun" w:cs="SimSun"/>
        </w:rPr>
        <w:br/>
      </w:r>
      <w:r>
        <w:rPr>
          <w:rFonts w:ascii="SimSun" w:eastAsia="SimSun" w:hAnsi="SimSun" w:cs="SimSun"/>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8" w:history="1">
        <w:r>
          <w:rPr>
            <w:rFonts w:ascii="SimSun" w:eastAsia="SimSun" w:hAnsi="SimSun" w:cs="SimSun"/>
            <w:b/>
            <w:bCs/>
            <w:noProof w:val="0"/>
            <w:snapToGrid/>
            <w:color w:val="0000EE"/>
            <w:kern w:val="0"/>
            <w:sz w:val="30"/>
            <w:szCs w:val="30"/>
            <w:u w:val="single" w:color="0000EE"/>
          </w:rPr>
          <w:t>https://d.book118.com/895130130213011043</w:t>
        </w:r>
      </w:hyperlink>
    </w:p>
    <w:p>
      <w:pPr>
        <w:spacing w:line="327" w:lineRule="auto"/>
        <w:rPr>
          <w:rFonts w:ascii="SimSun" w:eastAsia="SimSun" w:hAnsi="SimSun" w:cs="SimSun"/>
        </w:rPr>
      </w:pPr>
    </w:p>
    <w:sectPr>
      <w:footerReference w:type="default" r:id="rId19"/>
      <w:type w:val="nextPage"/>
      <w:pgSz w:w="11906" w:h="16839"/>
      <w:pgMar w:top="1428" w:right="1742" w:bottom="1152" w:left="1785" w:header="0" w:footer="987" w:gutter="0"/>
      <w:pgNumType w:start="1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135"/>
      <w:rPr>
        <w:rFonts w:ascii="Calibri" w:eastAsia="Calibri" w:hAnsi="Calibri" w:cs="Calibri"/>
        <w:sz w:val="18"/>
        <w:szCs w:val="18"/>
      </w:rPr>
    </w:pPr>
    <w:r>
      <w:rPr>
        <w:rFonts w:ascii="Calibri" w:eastAsia="Calibri" w:hAnsi="Calibri" w:cs="Calibri"/>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135"/>
      <w:rPr>
        <w:rFonts w:ascii="Calibri" w:eastAsia="Calibri" w:hAnsi="Calibri" w:cs="Calibri"/>
        <w:sz w:val="18"/>
        <w:szCs w:val="18"/>
      </w:rPr>
    </w:pPr>
    <w:r>
      <w:rPr>
        <w:rFonts w:ascii="Calibri" w:eastAsia="Calibri" w:hAnsi="Calibri" w:cs="Calibri"/>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135"/>
      <w:rPr>
        <w:rFonts w:ascii="Calibri" w:eastAsia="Calibri" w:hAnsi="Calibri" w:cs="Calibri"/>
        <w:sz w:val="18"/>
        <w:szCs w:val="18"/>
      </w:rPr>
    </w:pPr>
    <w:r>
      <w:rPr>
        <w:rFonts w:ascii="Calibri" w:eastAsia="Calibri" w:hAnsi="Calibri" w:cs="Calibri"/>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135"/>
      <w:rPr>
        <w:rFonts w:ascii="Calibri" w:eastAsia="Calibri" w:hAnsi="Calibri" w:cs="Calibri"/>
        <w:sz w:val="18"/>
        <w:szCs w:val="18"/>
      </w:rPr>
    </w:pPr>
    <w:r>
      <w:rPr>
        <w:rFonts w:ascii="Calibri" w:eastAsia="Calibri" w:hAnsi="Calibri" w:cs="Calibri"/>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229"/>
      <w:rPr>
        <w:rFonts w:ascii="Calibri" w:eastAsia="Calibri" w:hAnsi="Calibri" w:cs="Calibri"/>
        <w:sz w:val="18"/>
        <w:szCs w:val="18"/>
      </w:rPr>
    </w:pPr>
    <w:r>
      <w:rPr>
        <w:rFonts w:ascii="Calibri" w:eastAsia="Calibri" w:hAnsi="Calibri" w:cs="Calibri"/>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229"/>
      <w:rPr>
        <w:rFonts w:ascii="Calibri" w:eastAsia="Calibri" w:hAnsi="Calibri" w:cs="Calibri"/>
        <w:sz w:val="18"/>
        <w:szCs w:val="18"/>
      </w:rPr>
    </w:pPr>
    <w:r>
      <w:rPr>
        <w:rFonts w:ascii="Calibri" w:eastAsia="Calibri" w:hAnsi="Calibri" w:cs="Calibri"/>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29"/>
      <w:rPr>
        <w:rFonts w:ascii="Calibri" w:eastAsia="Calibri" w:hAnsi="Calibri" w:cs="Calibri"/>
        <w:sz w:val="18"/>
        <w:szCs w:val="18"/>
      </w:rPr>
    </w:pPr>
    <w:r>
      <w:rPr>
        <w:rFonts w:ascii="Calibri" w:eastAsia="Calibri" w:hAnsi="Calibri" w:cs="Calibri"/>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93"/>
      <w:rPr>
        <w:rFonts w:ascii="SimSun" w:eastAsia="SimSun" w:hAnsi="SimSun" w:cs="SimSun"/>
        <w:sz w:val="15"/>
        <w:szCs w:val="15"/>
      </w:rPr>
    </w:pPr>
    <w:r>
      <w:rPr>
        <w:rFonts w:ascii="SimSun" w:eastAsia="SimSun" w:hAnsi="SimSun" w:cs="SimSun"/>
        <w:color w:val="07105F"/>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93"/>
      <w:rPr>
        <w:rFonts w:ascii="SimSun" w:eastAsia="SimSun" w:hAnsi="SimSun" w:cs="SimSun"/>
        <w:sz w:val="15"/>
        <w:szCs w:val="15"/>
      </w:rPr>
    </w:pPr>
    <w:r>
      <w:rPr>
        <w:rFonts w:ascii="SimSun" w:eastAsia="SimSun" w:hAnsi="SimSun" w:cs="SimSun"/>
        <w:color w:val="07105F"/>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129"/>
      <w:rPr>
        <w:rFonts w:ascii="Calibri" w:eastAsia="Calibri" w:hAnsi="Calibri" w:cs="Calibri"/>
        <w:sz w:val="18"/>
        <w:szCs w:val="18"/>
      </w:rPr>
    </w:pPr>
    <w:r>
      <w:rPr>
        <w:rFonts w:ascii="Calibri" w:eastAsia="Calibri" w:hAnsi="Calibri" w:cs="Calibri"/>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129"/>
      <w:rPr>
        <w:rFonts w:ascii="Calibri" w:eastAsia="Calibri" w:hAnsi="Calibri" w:cs="Calibri"/>
        <w:sz w:val="18"/>
        <w:szCs w:val="18"/>
      </w:rPr>
    </w:pPr>
    <w:r>
      <w:rPr>
        <w:rFonts w:ascii="Calibri" w:eastAsia="Calibri" w:hAnsi="Calibri" w:cs="Calibri"/>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29"/>
      <w:rPr>
        <w:rFonts w:ascii="Calibri" w:eastAsia="Calibri" w:hAnsi="Calibri" w:cs="Calibri"/>
        <w:sz w:val="18"/>
        <w:szCs w:val="18"/>
      </w:rPr>
    </w:pPr>
    <w:r>
      <w:rPr>
        <w:rFonts w:ascii="Calibri" w:eastAsia="Calibri" w:hAnsi="Calibri" w:cs="Calibri"/>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29"/>
      <w:rPr>
        <w:rFonts w:ascii="Calibri" w:eastAsia="Calibri" w:hAnsi="Calibri" w:cs="Calibri"/>
        <w:sz w:val="18"/>
        <w:szCs w:val="18"/>
      </w:rPr>
    </w:pPr>
    <w:r>
      <w:rPr>
        <w:rFonts w:ascii="Calibri" w:eastAsia="Calibri" w:hAnsi="Calibri" w:cs="Calibri"/>
        <w:sz w:val="18"/>
        <w:szCs w:val="18"/>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0"/>
      <w:szCs w:val="20"/>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image" Target="media/image2.jpeg"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hyperlink" Target="https://d.book118.com/895130130213011043" TargetMode="Externa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image" Target="media/image1.png"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2024-01-19T20:29:24Z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2024-01-19T20:29:28Z</vt:filetime>
  </property>
  <property fmtid="{D5CDD505-2E9C-101B-9397-08002B2CF9AE}" pid="3" name="CRO">
    <vt:lpwstr>wqlLaW5nc29mdCBQREYgdG8gV1BTIDkw</vt:lpwstr>
  </property>
  <property fmtid="{D5CDD505-2E9C-101B-9397-08002B2CF9AE}" pid="4" name="UsrData">
    <vt:lpwstr>65aa6b226b8a5b001fadf935wl</vt:lpwstr>
  </property>
</Properties>
</file>