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0" w:lineRule="exact"/>
        <w:ind w:left="1511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25" style="width:418.2pt;height:0.75pt;mso-position-horizontal-relative:char;mso-position-vertical-relative:line" coordorigin="0,0" coordsize="8364,15">
            <v:line id="_x0000_s1026" style="position:absolute" from="0,8" to="8364,8" stroked="t" strokecolor="black" strokeweight="0.75pt">
              <v:stroke dashstyle="solid"/>
            </v:lin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3"/>
        </w:rPr>
      </w:pPr>
    </w:p>
    <w:p>
      <w:pPr>
        <w:spacing w:before="0" w:line="802" w:lineRule="exact"/>
        <w:ind w:left="0" w:right="220" w:firstLine="0"/>
        <w:jc w:val="center"/>
        <w:rPr>
          <w:rFonts w:ascii="Microsoft JhengHei" w:eastAsia="Microsoft JhengHei"/>
          <w:b/>
          <w:sz w:val="52"/>
        </w:rPr>
      </w:pPr>
      <w:r>
        <w:rPr>
          <w:rFonts w:ascii="Microsoft JhengHei" w:eastAsia="Microsoft JhengHei"/>
          <w:b/>
          <w:spacing w:val="-1"/>
          <w:sz w:val="52"/>
        </w:rPr>
        <w:t>加油站专项防渗改造工程</w:t>
      </w:r>
    </w:p>
    <w:p>
      <w:pPr>
        <w:spacing w:before="0" w:line="946" w:lineRule="exact"/>
        <w:ind w:left="0" w:right="220" w:firstLine="0"/>
        <w:jc w:val="center"/>
        <w:rPr>
          <w:rFonts w:ascii="Microsoft JhengHei" w:eastAsia="Microsoft JhengHei"/>
          <w:b/>
          <w:sz w:val="52"/>
        </w:rPr>
      </w:pPr>
      <w:r>
        <w:rPr>
          <w:rFonts w:ascii="Microsoft JhengHei" w:eastAsia="Microsoft JhengHei"/>
          <w:b/>
          <w:spacing w:val="-2"/>
          <w:sz w:val="52"/>
        </w:rPr>
        <w:t>双层罐改造工程</w:t>
      </w:r>
    </w:p>
    <w:p>
      <w:pPr>
        <w:pStyle w:val="BodyText"/>
        <w:rPr>
          <w:rFonts w:ascii="Microsoft JhengHei"/>
          <w:b/>
          <w:sz w:val="52"/>
        </w:rPr>
      </w:pPr>
    </w:p>
    <w:p>
      <w:pPr>
        <w:pStyle w:val="BodyText"/>
        <w:rPr>
          <w:rFonts w:ascii="Microsoft JhengHei"/>
          <w:b/>
          <w:sz w:val="52"/>
        </w:rPr>
      </w:pPr>
    </w:p>
    <w:p>
      <w:pPr>
        <w:pStyle w:val="BodyText"/>
        <w:spacing w:before="10"/>
        <w:rPr>
          <w:rFonts w:ascii="Microsoft JhengHei"/>
          <w:b/>
          <w:sz w:val="64"/>
        </w:rPr>
      </w:pPr>
    </w:p>
    <w:p>
      <w:pPr>
        <w:spacing w:before="0"/>
        <w:ind w:left="0" w:right="220" w:firstLine="0"/>
        <w:jc w:val="center"/>
        <w:rPr>
          <w:rFonts w:ascii="Microsoft JhengHei" w:eastAsia="Microsoft JhengHei"/>
          <w:b/>
          <w:sz w:val="52"/>
        </w:rPr>
      </w:pPr>
      <w:r>
        <w:rPr>
          <w:rFonts w:ascii="Microsoft JhengHei" w:eastAsia="Microsoft JhengHei"/>
          <w:b/>
          <w:spacing w:val="-1"/>
          <w:sz w:val="52"/>
        </w:rPr>
        <w:t>安全监理规划实施细则</w:t>
      </w:r>
    </w:p>
    <w:p>
      <w:pPr>
        <w:pStyle w:val="BodyText"/>
        <w:rPr>
          <w:rFonts w:ascii="Microsoft JhengHei"/>
          <w:b/>
          <w:sz w:val="52"/>
        </w:rPr>
      </w:pPr>
    </w:p>
    <w:p>
      <w:pPr>
        <w:pStyle w:val="BodyText"/>
        <w:rPr>
          <w:rFonts w:ascii="Microsoft JhengHei"/>
          <w:b/>
          <w:sz w:val="52"/>
        </w:rPr>
      </w:pPr>
    </w:p>
    <w:p>
      <w:pPr>
        <w:pStyle w:val="BodyText"/>
        <w:spacing w:before="12"/>
        <w:rPr>
          <w:rFonts w:ascii="Microsoft JhengHei"/>
          <w:b/>
          <w:sz w:val="68"/>
        </w:rPr>
      </w:pPr>
    </w:p>
    <w:p>
      <w:pPr>
        <w:tabs>
          <w:tab w:val="left" w:pos="8042"/>
        </w:tabs>
        <w:spacing w:before="0"/>
        <w:ind w:left="2917" w:right="0" w:firstLine="0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z w:val="28"/>
        </w:rPr>
        <w:t>项</w:t>
      </w:r>
      <w:r>
        <w:rPr>
          <w:rFonts w:ascii="Microsoft JhengHei" w:eastAsia="Microsoft JhengHei"/>
          <w:b/>
          <w:sz w:val="28"/>
        </w:rPr>
        <w:t>目</w:t>
      </w:r>
      <w:r>
        <w:rPr>
          <w:rFonts w:ascii="Microsoft JhengHei" w:eastAsia="Microsoft JhengHei"/>
          <w:b/>
          <w:sz w:val="28"/>
        </w:rPr>
        <w:t>监</w:t>
      </w:r>
      <w:r>
        <w:rPr>
          <w:rFonts w:ascii="Microsoft JhengHei" w:eastAsia="Microsoft JhengHei"/>
          <w:b/>
          <w:sz w:val="28"/>
        </w:rPr>
        <w:t>理</w:t>
      </w:r>
      <w:r>
        <w:rPr>
          <w:rFonts w:ascii="Microsoft JhengHei" w:eastAsia="Microsoft JhengHei"/>
          <w:b/>
          <w:sz w:val="28"/>
        </w:rPr>
        <w:t>机</w:t>
      </w:r>
      <w:r>
        <w:rPr>
          <w:rFonts w:ascii="Microsoft JhengHei" w:eastAsia="Microsoft JhengHei"/>
          <w:b/>
          <w:sz w:val="28"/>
        </w:rPr>
        <w:t>构</w:t>
      </w:r>
      <w:r>
        <w:rPr>
          <w:rFonts w:ascii="Microsoft JhengHei" w:eastAsia="Microsoft JhengHei"/>
          <w:b/>
          <w:sz w:val="28"/>
        </w:rPr>
        <w:t>（</w:t>
      </w:r>
      <w:r>
        <w:rPr>
          <w:rFonts w:ascii="Microsoft JhengHei" w:eastAsia="Microsoft JhengHei"/>
          <w:b/>
          <w:sz w:val="28"/>
        </w:rPr>
        <w:t>章</w:t>
      </w:r>
      <w:r>
        <w:rPr>
          <w:rFonts w:ascii="Microsoft JhengHei" w:eastAsia="Microsoft JhengHei"/>
          <w:b/>
          <w:spacing w:val="-5"/>
          <w:sz w:val="28"/>
        </w:rPr>
        <w:t>）：</w:t>
      </w:r>
      <w:r>
        <w:rPr>
          <w:rFonts w:ascii="Times New Roman" w:eastAsia="Times New Roman"/>
          <w:b/>
          <w:sz w:val="28"/>
          <w:u w:val="thick"/>
        </w:rPr>
        <w:tab/>
      </w:r>
    </w:p>
    <w:p>
      <w:pPr>
        <w:pStyle w:val="BodyText"/>
        <w:spacing w:before="6"/>
        <w:rPr>
          <w:rFonts w:ascii="Times New Roman"/>
          <w:b/>
          <w:sz w:val="11"/>
        </w:rPr>
      </w:pPr>
    </w:p>
    <w:p>
      <w:pPr>
        <w:tabs>
          <w:tab w:val="left" w:pos="7903"/>
        </w:tabs>
        <w:spacing w:before="0" w:line="492" w:lineRule="exact"/>
        <w:ind w:left="2917" w:right="0" w:firstLine="0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z w:val="28"/>
        </w:rPr>
        <w:t>总</w:t>
      </w:r>
      <w:r>
        <w:rPr>
          <w:rFonts w:ascii="Microsoft JhengHei" w:eastAsia="Microsoft JhengHei"/>
          <w:b/>
          <w:sz w:val="28"/>
        </w:rPr>
        <w:t>监</w:t>
      </w:r>
      <w:r>
        <w:rPr>
          <w:rFonts w:ascii="Microsoft JhengHei" w:eastAsia="Microsoft JhengHei"/>
          <w:b/>
          <w:sz w:val="28"/>
        </w:rPr>
        <w:t>理</w:t>
      </w:r>
      <w:r>
        <w:rPr>
          <w:rFonts w:ascii="Microsoft JhengHei" w:eastAsia="Microsoft JhengHei"/>
          <w:b/>
          <w:sz w:val="28"/>
        </w:rPr>
        <w:t>工</w:t>
      </w:r>
      <w:r>
        <w:rPr>
          <w:rFonts w:ascii="Microsoft JhengHei" w:eastAsia="Microsoft JhengHei"/>
          <w:b/>
          <w:sz w:val="28"/>
        </w:rPr>
        <w:t>程</w:t>
      </w:r>
      <w:r>
        <w:rPr>
          <w:rFonts w:ascii="Microsoft JhengHei" w:eastAsia="Microsoft JhengHei"/>
          <w:b/>
          <w:sz w:val="28"/>
        </w:rPr>
        <w:t>师</w:t>
      </w:r>
      <w:r>
        <w:rPr>
          <w:rFonts w:ascii="Microsoft JhengHei" w:eastAsia="Microsoft JhengHei"/>
          <w:b/>
          <w:spacing w:val="-10"/>
          <w:sz w:val="28"/>
        </w:rPr>
        <w:t>：</w:t>
      </w:r>
      <w:r>
        <w:rPr>
          <w:rFonts w:ascii="Times New Roman" w:eastAsia="Times New Roman"/>
          <w:b/>
          <w:sz w:val="28"/>
          <w:u w:val="thick"/>
        </w:rPr>
        <w:tab/>
      </w:r>
    </w:p>
    <w:p>
      <w:pPr>
        <w:pStyle w:val="BodyText"/>
        <w:spacing w:before="2"/>
        <w:rPr>
          <w:rFonts w:ascii="Times New Roman"/>
          <w:b/>
          <w:sz w:val="12"/>
        </w:rPr>
      </w:pPr>
    </w:p>
    <w:p>
      <w:pPr>
        <w:tabs>
          <w:tab w:val="left" w:pos="4318"/>
          <w:tab w:val="left" w:pos="7899"/>
        </w:tabs>
        <w:spacing w:before="0" w:line="484" w:lineRule="exact"/>
        <w:ind w:left="2917" w:right="0" w:firstLine="0"/>
        <w:jc w:val="left"/>
        <w:rPr>
          <w:rFonts w:ascii="Times New Roman" w:eastAsia="Times New Roman"/>
          <w:b/>
          <w:sz w:val="28"/>
        </w:rPr>
      </w:pPr>
      <w:r>
        <w:rPr>
          <w:rFonts w:ascii="Microsoft JhengHei" w:eastAsia="Microsoft JhengHei"/>
          <w:b/>
          <w:spacing w:val="-10"/>
          <w:sz w:val="28"/>
        </w:rPr>
        <w:t>日</w:t>
      </w:r>
      <w:r>
        <w:rPr>
          <w:rFonts w:ascii="Microsoft JhengHei" w:eastAsia="Microsoft JhengHei"/>
          <w:b/>
          <w:sz w:val="28"/>
        </w:rPr>
        <w:tab/>
        <w:t>期</w:t>
      </w:r>
      <w:r>
        <w:rPr>
          <w:rFonts w:ascii="Microsoft JhengHei" w:eastAsia="Microsoft JhengHei"/>
          <w:b/>
          <w:spacing w:val="-10"/>
          <w:sz w:val="28"/>
        </w:rPr>
        <w:t>：</w:t>
      </w:r>
      <w:r>
        <w:rPr>
          <w:rFonts w:ascii="Times New Roman" w:eastAsia="Times New Roman"/>
          <w:b/>
          <w:sz w:val="28"/>
          <w:u w:val="thick"/>
        </w:rPr>
        <w:tab/>
      </w:r>
    </w:p>
    <w:p>
      <w:pPr>
        <w:spacing w:after="0" w:line="484" w:lineRule="exact"/>
        <w:jc w:val="left"/>
        <w:rPr>
          <w:rFonts w:ascii="Times New Roman" w:eastAsia="Times New Roman"/>
          <w:sz w:val="28"/>
        </w:rPr>
        <w:sectPr>
          <w:footerReference w:type="default" r:id="rId4"/>
          <w:type w:val="continuous"/>
          <w:pgSz w:w="11910" w:h="16840"/>
          <w:pgMar w:top="1760" w:right="40" w:bottom="1180" w:left="260" w:header="0" w:footer="991"/>
          <w:pgNumType w:start="1"/>
          <w:cols w:space="708"/>
        </w:sectPr>
      </w:pPr>
    </w:p>
    <w:p>
      <w:pPr>
        <w:tabs>
          <w:tab w:val="left" w:pos="1919"/>
        </w:tabs>
        <w:spacing w:before="10"/>
        <w:ind w:left="0" w:right="219" w:firstLine="0"/>
        <w:jc w:val="center"/>
        <w:rPr>
          <w:rFonts w:ascii="黑体" w:eastAsia="黑体"/>
          <w:sz w:val="48"/>
        </w:rPr>
      </w:pPr>
      <w:r>
        <w:rPr>
          <w:rFonts w:ascii="黑体" w:eastAsia="黑体"/>
          <w:spacing w:val="-10"/>
          <w:sz w:val="48"/>
        </w:rPr>
        <w:t>目</w:t>
      </w:r>
      <w:r>
        <w:rPr>
          <w:rFonts w:ascii="黑体" w:eastAsia="黑体"/>
          <w:sz w:val="48"/>
        </w:rPr>
        <w:tab/>
      </w:r>
      <w:r>
        <w:rPr>
          <w:rFonts w:ascii="黑体" w:eastAsia="黑体"/>
          <w:spacing w:val="-10"/>
          <w:sz w:val="48"/>
        </w:rPr>
        <w:t>录</w:t>
      </w:r>
    </w:p>
    <w:sdt>
      <w:sdtPr>
        <w:id w:val="151880808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9835"/>
            </w:tabs>
            <w:spacing w:before="760"/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r>
            <w:t>一、防渗改造工程监理规划细则编制说</w:t>
          </w:r>
          <w:r>
            <w:rPr>
              <w:spacing w:val="-10"/>
            </w:rPr>
            <w:t>明</w:t>
          </w:r>
          <w:r>
            <w:rPr>
              <w:rFonts w:ascii="Times New Roman" w:eastAsia="Times New Roman"/>
              <w:b/>
            </w:rPr>
            <w:tab/>
          </w:r>
          <w:hyperlink w:anchor="_bookmark0" w:history="1"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9835"/>
            </w:tabs>
          </w:pPr>
          <w:r>
            <w:t>二、防渗改造工程监理规划及细则编制依</w:t>
          </w:r>
          <w:r>
            <w:rPr>
              <w:spacing w:val="-10"/>
            </w:rPr>
            <w:t>据</w:t>
          </w:r>
          <w:r>
            <w:rPr>
              <w:rFonts w:ascii="Times New Roman" w:eastAsia="Times New Roman"/>
              <w:b/>
            </w:rPr>
            <w:tab/>
          </w:r>
          <w:hyperlink w:anchor="_bookmark1" w:history="1"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9835"/>
            </w:tabs>
          </w:pPr>
          <w:r>
            <w:t>三、工程项目概</w:t>
          </w:r>
          <w:r>
            <w:rPr>
              <w:spacing w:val="-10"/>
            </w:rPr>
            <w:t>况</w:t>
          </w:r>
          <w:r>
            <w:rPr>
              <w:rFonts w:ascii="Times New Roman" w:eastAsia="Times New Roman"/>
              <w:b/>
            </w:rPr>
            <w:tab/>
          </w:r>
          <w:hyperlink w:anchor="_bookmark2" w:history="1"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9835"/>
            </w:tabs>
          </w:pPr>
          <w:r>
            <w:t>四、防渗改造项目监理机构组织形</w:t>
          </w:r>
          <w:r>
            <w:rPr>
              <w:spacing w:val="-10"/>
            </w:rPr>
            <w:t>式</w:t>
          </w:r>
          <w:r>
            <w:rPr>
              <w:rFonts w:ascii="Times New Roman" w:eastAsia="Times New Roman"/>
              <w:b/>
            </w:rPr>
            <w:tab/>
          </w:r>
          <w:hyperlink w:anchor="_bookmark3" w:history="1">
            <w:r>
              <w:rPr>
                <w:spacing w:val="-10"/>
              </w:rPr>
              <w:t>3</w:t>
            </w:r>
          </w:hyperlink>
        </w:p>
        <w:p>
          <w:pPr>
            <w:pStyle w:val="TOC1"/>
            <w:tabs>
              <w:tab w:val="right" w:leader="dot" w:pos="9835"/>
            </w:tabs>
            <w:spacing w:before="266"/>
          </w:pPr>
          <w:hyperlink w:anchor="_TOC_250005" w:history="1">
            <w:r>
              <w:t>五、项目监理机构的人员构</w:t>
            </w:r>
            <w:r>
              <w:rPr>
                <w:spacing w:val="-10"/>
              </w:rPr>
              <w:t>成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9835"/>
            </w:tabs>
          </w:pPr>
          <w:hyperlink w:anchor="_TOC_250004" w:history="1">
            <w:r>
              <w:t>六、项目监理机构的人员岗位职</w:t>
            </w:r>
            <w:r>
              <w:rPr>
                <w:spacing w:val="-10"/>
              </w:rPr>
              <w:t>责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10"/>
              </w:rPr>
              <w:t>4</w:t>
            </w:r>
          </w:hyperlink>
        </w:p>
        <w:p>
          <w:pPr>
            <w:pStyle w:val="TOC1"/>
            <w:tabs>
              <w:tab w:val="right" w:leader="dot" w:pos="9835"/>
            </w:tabs>
          </w:pPr>
          <w:hyperlink w:anchor="_TOC_250003" w:history="1">
            <w:r>
              <w:t>七、防渗改造工程工作流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pPr>
            <w:pStyle w:val="TOC1"/>
            <w:tabs>
              <w:tab w:val="right" w:leader="dot" w:pos="9835"/>
            </w:tabs>
          </w:pPr>
          <w:hyperlink w:anchor="_TOC_250002" w:history="1">
            <w:r>
              <w:t>八、防渗改造工程监理工作实施要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10"/>
              </w:rPr>
              <w:t>8</w:t>
            </w:r>
          </w:hyperlink>
        </w:p>
        <w:p>
          <w:pPr>
            <w:pStyle w:val="TOC1"/>
            <w:tabs>
              <w:tab w:val="right" w:leader="dot" w:pos="9835"/>
            </w:tabs>
            <w:spacing w:before="266"/>
          </w:pPr>
          <w:hyperlink w:anchor="_TOC_250001" w:history="1">
            <w:r>
              <w:t>九、防渗改造工程监理工作主要安全风险管控实施细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5"/>
              </w:rPr>
              <w:t>10</w:t>
            </w:r>
          </w:hyperlink>
        </w:p>
        <w:p>
          <w:pPr>
            <w:pStyle w:val="TOC1"/>
            <w:tabs>
              <w:tab w:val="right" w:leader="dot" w:pos="9835"/>
            </w:tabs>
          </w:pPr>
          <w:hyperlink w:anchor="_TOC_250000" w:history="1">
            <w:r>
              <w:t>十、防渗改造工程监理工作质量实施细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  <w:b/>
              </w:rPr>
              <w:tab/>
            </w:r>
            <w:r>
              <w:rPr>
                <w:spacing w:val="-5"/>
              </w:rPr>
              <w:t>12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pgSz w:w="11910" w:h="16840"/>
          <w:pgMar w:top="1420" w:right="40" w:bottom="1180" w:left="260" w:header="0" w:footer="991"/>
          <w:pgNumType w:start="2"/>
          <w:cols w:space="708"/>
        </w:sectPr>
      </w:pPr>
    </w:p>
    <w:p>
      <w:pPr>
        <w:pStyle w:val="Heading1"/>
        <w:spacing w:line="464" w:lineRule="exact"/>
      </w:pPr>
      <w:bookmarkStart w:id="0" w:name="_bookmark0"/>
      <w:bookmarkEnd w:id="0"/>
      <w:r>
        <w:rPr>
          <w:spacing w:val="-1"/>
        </w:rPr>
        <w:t>一、防渗改造工程监理规划细则编制说明</w:t>
      </w:r>
    </w:p>
    <w:p>
      <w:pPr>
        <w:pStyle w:val="Heading2"/>
        <w:spacing w:before="92" w:line="417" w:lineRule="auto"/>
        <w:ind w:right="1618" w:firstLine="560"/>
      </w:pPr>
      <w:r>
        <w:rPr>
          <w:spacing w:val="-10"/>
        </w:rPr>
        <w:t>国务院“水十条”中的第八条明确提出防治地下水污染中明确要</w:t>
      </w:r>
      <w:r>
        <w:rPr>
          <w:spacing w:val="-14"/>
        </w:rPr>
        <w:t>求加油站地下油罐应全部更新为双层罐或增加防渗池，防渗改造工程</w:t>
      </w:r>
      <w:r>
        <w:rPr>
          <w:spacing w:val="-18"/>
        </w:rPr>
        <w:t>作为未来一段时间我们工作的重中之重，也为使防渗改造监理工作顺利进展，加强加油站防渗改造作业的风险控制，确保施工安全生产，</w:t>
      </w:r>
      <w:r>
        <w:rPr>
          <w:spacing w:val="5"/>
        </w:rPr>
        <w:t>特编制此防渗改造工程监理规划实施细则指导监理人员在现场落实</w:t>
      </w:r>
      <w:r>
        <w:rPr>
          <w:spacing w:val="-16"/>
        </w:rPr>
        <w:t>监理工作安全、质量两手抓，不因质量忽视安全，不因安全放松质量。</w:t>
      </w:r>
    </w:p>
    <w:p>
      <w:pPr>
        <w:pStyle w:val="Heading1"/>
        <w:spacing w:line="406" w:lineRule="exact"/>
      </w:pPr>
      <w:bookmarkStart w:id="1" w:name="_bookmark1"/>
      <w:bookmarkEnd w:id="1"/>
      <w:r>
        <w:rPr>
          <w:spacing w:val="-1"/>
        </w:rPr>
        <w:t>二、防渗改造工程监理规划及细则编制依据</w:t>
      </w:r>
    </w:p>
    <w:p>
      <w:pPr>
        <w:pStyle w:val="Heading2"/>
        <w:spacing w:before="78"/>
        <w:ind w:left="2100"/>
      </w:pPr>
      <w:r>
        <w:rPr>
          <w:rFonts w:ascii="Times New Roman" w:eastAsia="Times New Roman"/>
        </w:rPr>
        <w:t>1</w:t>
      </w:r>
      <w:r>
        <w:rPr>
          <w:spacing w:val="-5"/>
        </w:rPr>
        <w:t xml:space="preserve">、中国石油天然气股份有限公司 </w:t>
      </w:r>
      <w:r>
        <w:rPr>
          <w:rFonts w:ascii="Times New Roman" w:eastAsia="Times New Roman"/>
        </w:rPr>
        <w:t>HSE</w:t>
      </w:r>
      <w:r>
        <w:rPr>
          <w:rFonts w:ascii="Times New Roman" w:eastAsia="Times New Roman"/>
          <w:spacing w:val="-3"/>
        </w:rPr>
        <w:t xml:space="preserve"> </w:t>
      </w:r>
      <w:r>
        <w:rPr>
          <w:spacing w:val="-3"/>
        </w:rPr>
        <w:t>管理体系</w:t>
      </w:r>
    </w:p>
    <w:p>
      <w:pPr>
        <w:pStyle w:val="Heading2"/>
        <w:spacing w:before="141"/>
        <w:ind w:left="2100"/>
      </w:pPr>
      <w:r>
        <w:rPr>
          <w:rFonts w:ascii="Times New Roman" w:eastAsia="Times New Roman"/>
        </w:rPr>
        <w:t>2</w:t>
      </w:r>
      <w:r>
        <w:rPr>
          <w:spacing w:val="-22"/>
        </w:rPr>
        <w:t>、《建设工程安全生产管理条例》</w:t>
      </w:r>
      <w:r>
        <w:t>（</w:t>
      </w:r>
      <w:r>
        <w:rPr>
          <w:spacing w:val="-14"/>
        </w:rPr>
        <w:t xml:space="preserve">国务院第 </w:t>
      </w:r>
      <w:r>
        <w:rPr>
          <w:rFonts w:ascii="Times New Roman" w:eastAsia="Times New Roman"/>
        </w:rPr>
        <w:t xml:space="preserve">393 </w:t>
      </w:r>
      <w:r>
        <w:t>号</w:t>
      </w:r>
      <w:r>
        <w:rPr>
          <w:spacing w:val="-10"/>
        </w:rPr>
        <w:t>）</w:t>
      </w:r>
    </w:p>
    <w:p>
      <w:pPr>
        <w:pStyle w:val="Heading2"/>
        <w:spacing w:before="141"/>
        <w:ind w:left="2100"/>
        <w:rPr>
          <w:rFonts w:ascii="Times New Roman" w:eastAsia="Times New Roman"/>
        </w:rPr>
      </w:pPr>
      <w:r>
        <w:rPr>
          <w:rFonts w:ascii="Times New Roman" w:eastAsia="Times New Roman"/>
          <w:spacing w:val="-2"/>
        </w:rPr>
        <w:t>3</w:t>
      </w:r>
      <w:r>
        <w:rPr>
          <w:spacing w:val="-15"/>
        </w:rPr>
        <w:t>、《建筑施工安全检查标准》</w:t>
      </w:r>
      <w:r>
        <w:rPr>
          <w:rFonts w:ascii="Times New Roman" w:eastAsia="Times New Roman"/>
          <w:spacing w:val="-2"/>
        </w:rPr>
        <w:t>JGJ59-</w:t>
      </w:r>
      <w:r>
        <w:rPr>
          <w:rFonts w:ascii="Times New Roman" w:eastAsia="Times New Roman"/>
          <w:spacing w:val="-4"/>
        </w:rPr>
        <w:t>2011</w:t>
      </w:r>
    </w:p>
    <w:p>
      <w:pPr>
        <w:pStyle w:val="Heading2"/>
        <w:spacing w:before="141"/>
        <w:ind w:left="2100"/>
        <w:rPr>
          <w:rFonts w:ascii="Times New Roman" w:eastAsia="Times New Roman"/>
        </w:rPr>
      </w:pPr>
      <w:r>
        <w:rPr>
          <w:rFonts w:ascii="Times New Roman" w:eastAsia="Times New Roman"/>
          <w:spacing w:val="-2"/>
        </w:rPr>
        <w:t>4</w:t>
      </w:r>
      <w:r>
        <w:rPr>
          <w:spacing w:val="-15"/>
        </w:rPr>
        <w:t>、《汽车加油加气站设计及施工规范》</w:t>
      </w:r>
      <w:r>
        <w:rPr>
          <w:rFonts w:ascii="Times New Roman" w:eastAsia="Times New Roman"/>
          <w:spacing w:val="-2"/>
        </w:rPr>
        <w:t>GB50156-</w:t>
      </w:r>
      <w:r>
        <w:rPr>
          <w:rFonts w:ascii="Times New Roman" w:eastAsia="Times New Roman"/>
          <w:spacing w:val="-4"/>
        </w:rPr>
        <w:t>2012</w:t>
      </w:r>
    </w:p>
    <w:p>
      <w:pPr>
        <w:pStyle w:val="Heading2"/>
        <w:spacing w:before="142"/>
        <w:ind w:left="2100"/>
        <w:rPr>
          <w:rFonts w:ascii="Times New Roman" w:eastAsia="Times New Roman"/>
        </w:rPr>
      </w:pPr>
      <w:r>
        <w:rPr>
          <w:rFonts w:ascii="Times New Roman" w:eastAsia="Times New Roman"/>
          <w:spacing w:val="-2"/>
        </w:rPr>
        <w:t>5</w:t>
      </w:r>
      <w:r>
        <w:rPr>
          <w:spacing w:val="-15"/>
        </w:rPr>
        <w:t>、《建筑工程地基处理技术规范》</w:t>
      </w:r>
      <w:r>
        <w:rPr>
          <w:rFonts w:ascii="Times New Roman" w:eastAsia="Times New Roman"/>
          <w:spacing w:val="-2"/>
        </w:rPr>
        <w:t>JGJ79-</w:t>
      </w:r>
      <w:r>
        <w:rPr>
          <w:rFonts w:ascii="Times New Roman" w:eastAsia="Times New Roman"/>
          <w:spacing w:val="-4"/>
        </w:rPr>
        <w:t>2002</w:t>
      </w:r>
    </w:p>
    <w:p>
      <w:pPr>
        <w:pStyle w:val="Heading2"/>
        <w:spacing w:before="141"/>
        <w:ind w:left="2100"/>
        <w:rPr>
          <w:rFonts w:ascii="Times New Roman" w:eastAsia="Times New Roman"/>
        </w:rPr>
      </w:pPr>
      <w:r>
        <w:rPr>
          <w:rFonts w:ascii="Times New Roman" w:eastAsia="Times New Roman"/>
          <w:spacing w:val="-2"/>
        </w:rPr>
        <w:t>6</w:t>
      </w:r>
      <w:r>
        <w:rPr>
          <w:spacing w:val="-15"/>
        </w:rPr>
        <w:t>、《建筑基坑支护技术规程》</w:t>
      </w:r>
      <w:r>
        <w:rPr>
          <w:rFonts w:ascii="Times New Roman" w:eastAsia="Times New Roman"/>
          <w:spacing w:val="-2"/>
        </w:rPr>
        <w:t>JGJ20-</w:t>
      </w:r>
      <w:r>
        <w:rPr>
          <w:rFonts w:ascii="Times New Roman" w:eastAsia="Times New Roman"/>
          <w:spacing w:val="-5"/>
        </w:rPr>
        <w:t>99</w:t>
      </w:r>
    </w:p>
    <w:p>
      <w:pPr>
        <w:pStyle w:val="Heading2"/>
        <w:spacing w:before="141"/>
        <w:ind w:left="2100"/>
      </w:pPr>
      <w:r>
        <w:rPr>
          <w:rFonts w:ascii="Times New Roman" w:eastAsia="Times New Roman"/>
        </w:rPr>
        <w:t>7</w:t>
      </w:r>
      <w:r>
        <w:rPr>
          <w:spacing w:val="-1"/>
        </w:rPr>
        <w:t>、其它相关现行的国家和地方行政法规、法令、标准、规范等</w:t>
      </w:r>
    </w:p>
    <w:p>
      <w:pPr>
        <w:pStyle w:val="Heading1"/>
        <w:spacing w:before="49"/>
      </w:pPr>
      <w:bookmarkStart w:id="2" w:name="_bookmark2"/>
      <w:bookmarkEnd w:id="2"/>
      <w:r>
        <w:rPr>
          <w:spacing w:val="-2"/>
        </w:rPr>
        <w:t>三、工程项目概况</w:t>
      </w:r>
    </w:p>
    <w:p>
      <w:pPr>
        <w:pStyle w:val="Heading2"/>
        <w:spacing w:before="108"/>
        <w:ind w:left="2170"/>
        <w:rPr>
          <w:rFonts w:ascii="Times New Roman"/>
        </w:rPr>
      </w:pPr>
      <w:r>
        <w:rPr>
          <w:rFonts w:ascii="Times New Roman"/>
          <w:spacing w:val="-2"/>
        </w:rPr>
        <w:t>Xxxxxxx</w:t>
      </w:r>
    </w:p>
    <w:p>
      <w:pPr>
        <w:pStyle w:val="Heading1"/>
        <w:spacing w:before="179"/>
      </w:pPr>
      <w:bookmarkStart w:id="3" w:name="_bookmark3"/>
      <w:bookmarkEnd w:id="3"/>
      <w:r>
        <w:rPr>
          <w:spacing w:val="-1"/>
        </w:rPr>
        <w:t>四、防渗改造项目监理机构组织形式</w:t>
      </w:r>
    </w:p>
    <w:p>
      <w:pPr>
        <w:spacing w:after="0"/>
        <w:sectPr>
          <w:footerReference w:type="default" r:id="rId6"/>
          <w:pgSz w:w="11910" w:h="16840"/>
          <w:pgMar w:top="1500" w:right="40" w:bottom="1180" w:left="260" w:header="0" w:footer="991"/>
          <w:pgNumType w:start="3"/>
          <w:cols w:space="708"/>
        </w:sectPr>
      </w:pPr>
    </w:p>
    <w:p>
      <w:pPr>
        <w:pStyle w:val="BodyText"/>
        <w:ind w:left="1539"/>
        <w:rPr>
          <w:rFonts w:ascii="Microsoft JhengHei"/>
          <w:sz w:val="20"/>
        </w:rPr>
      </w:pPr>
      <w:r>
        <w:rPr>
          <w:rFonts w:ascii="Microsoft JhengHei"/>
          <w:sz w:val="20"/>
        </w:rPr>
        <w:pict>
          <v:group id="_x0000_i1027" style="width:417pt;height:195.75pt;mso-position-horizontal-relative:char;mso-position-vertical-relative:line" coordorigin="0,0" coordsize="8340,3915">
            <v:shape id="_x0000_s1028" style="width:2899;height:780;left:4147;position:absolute;top:1567" coordorigin="4148,1568" coordsize="2899,780" path="m7046,2347l7046,2167,4148,2167,4148,1567e" filled="f" stroked="t" strokecolor="black" strokeweight="2.25pt">
              <v:stroke dashstyle="solid"/>
              <v:path arrowok="t"/>
            </v:shape>
            <v:line id="_x0000_s1029" style="position:absolute" from="4148,2347" to="4149,1567" stroked="t" strokecolor="black" strokeweight="2.25pt">
              <v:stroke dashstyle="solid"/>
            </v:line>
            <v:shape id="_x0000_s1030" style="width:2899;height:780;left:1249;position:absolute;top:1567" coordorigin="1249,1568" coordsize="2899,780" path="m1249,2347l1249,2167,4148,2167,4148,1567e" filled="f" stroked="t" strokecolor="black" strokeweight="2.25pt">
              <v:stroke dashstyle="solid"/>
              <v:path arrowok="t"/>
            </v:shape>
            <v:shape id="_x0000_s1031" style="width:2484;height:1560;left:2905;position:absolute;top:7" coordorigin="2906,8" coordsize="2484,1560" path="m5247,1567l3048,1567,3004,1555,2934,1464,2913,1392,2906,1329,2906,1307,2906,267,2910,203,2934,111,2966,56,3048,8,5247,8,5329,56,5361,111,5382,183,5389,246,5389,267,5389,1307,5385,1372,5361,1464,5329,1519,5247,1567xe" filled="t" fillcolor="#bbe0e3" stroked="f">
              <v:fill type="solid"/>
              <v:path arrowok="t"/>
            </v:shape>
            <v:shape id="_x0000_s1032" style="width:2484;height:1560;left:2905;position:absolute;top:7" coordorigin="2906,8" coordsize="2484,1560" path="m2906,267l2910,203,2934,111,2966,56,3048,8,5247,8,5329,56,5361,111,5382,183,5389,246,5389,267,5389,1307,5385,1372,5361,1464,5329,1519,5247,1567,3048,1567,2966,1519,2934,1464,2913,1392,2906,1329,2906,1307,2906,267xe" filled="f" stroked="t" strokecolor="black" strokeweight="0.75pt">
              <v:stroke dashstyle="solid"/>
              <v:path arrowok="t"/>
            </v:shape>
            <v:shape id="_x0000_s1033" style="width:2484;height:1560;left:7;position:absolute;top:2347" coordorigin="8,2347" coordsize="2484,1560" path="m2348,3907l150,3907,106,3895,36,3804,15,3732,8,3669,8,3647,8,2607,12,2543,36,2451,67,2396,150,2347,2348,2347,2431,2396,2463,2451,2483,2523,2491,2586,2491,2607,2491,3647,2487,3712,2463,3804,2431,3859,2348,3907xe" filled="t" fillcolor="#bbe0e3" stroked="f">
              <v:fill type="solid"/>
              <v:path arrowok="t"/>
            </v:shape>
            <v:shape id="_x0000_s1034" style="width:2484;height:1560;left:7;position:absolute;top:2347" coordorigin="8,2347" coordsize="2484,1560" path="m8,2607l12,2543,36,2451,67,2396,150,2347,2348,2347,2431,2396,2463,2451,2483,2523,2491,2586,2491,2607,2491,3647,2487,3712,2463,3804,2431,3859,2348,3907,150,3907,67,3859,36,3804,15,3732,8,3669,8,3647,8,2607xe" filled="f" stroked="t" strokecolor="black" strokeweight="0.75pt">
              <v:stroke dashstyle="solid"/>
              <v:path arrowok="t"/>
            </v:shape>
            <v:shape id="_x0000_s1035" style="width:2484;height:1560;left:2905;position:absolute;top:2347" coordorigin="2906,2347" coordsize="2484,1560" path="m5247,3907l3048,3907,3004,3895,2934,3804,2913,3732,2906,3669,2906,3647,2906,2607,2910,2543,2934,2451,2966,2396,3048,2347,5247,2347,5329,2396,5361,2451,5382,2523,5389,2586,5389,2607,5389,3647,5385,3712,5361,3804,5329,3859,5247,3907xe" filled="t" fillcolor="#bbe0e3" stroked="f">
              <v:fill type="solid"/>
              <v:path arrowok="t"/>
            </v:shape>
            <v:shape id="_x0000_s1036" style="width:2484;height:1560;left:2905;position:absolute;top:2347" coordorigin="2906,2347" coordsize="2484,1560" path="m2906,2607l2910,2543,2934,2451,2966,2396,3048,2347,5247,2347,5329,2396,5361,2451,5382,2523,5389,2586,5389,2607,5389,3647,5385,3712,5361,3804,5329,3859,5247,3907,3048,3907,2966,3859,2934,3804,2913,3732,2906,3669,2906,3647,2906,2607xe" filled="f" stroked="t" strokecolor="black" strokeweight="0.75pt">
              <v:stroke dashstyle="solid"/>
              <v:path arrowok="t"/>
            </v:shape>
            <v:shape id="_x0000_s1037" style="width:2484;height:1560;left:5803;position:absolute;top:2347" coordorigin="5804,2347" coordsize="2484,1560" path="m8145,3907l5947,3907,5903,3895,5832,3804,5812,3732,5804,3669,5804,3647,5804,2607,5808,2543,5832,2451,5864,2396,5947,2347,8145,2347,8228,2396,8259,2451,8280,2523,8287,2586,8287,2607,8287,3647,8283,3712,8259,3804,8228,3859,8145,3907xe" filled="t" fillcolor="#bbe0e3" stroked="f">
              <v:fill type="solid"/>
              <v:path arrowok="t"/>
            </v:shape>
            <v:shape id="_x0000_s1038" style="width:2484;height:1560;left:5803;position:absolute;top:2347" coordorigin="5804,2347" coordsize="2484,1560" path="m5804,2607l5808,2543,5832,2451,5864,2396,5947,2347,8145,2347,8228,2396,8259,2451,8280,2523,8287,2586,8287,2607,8287,3647,8283,3712,8259,3804,8228,3859,8145,3907,5947,3907,5864,3859,5832,3804,5812,3732,5804,3669,5804,3647,5804,2607xe" filled="f" stroked="t" strokecolor="black" strokeweight="0.75pt">
              <v:stroke dashstyle="solid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width:2090;height:542;left:3112;position:absolute;top:445" filled="f" stroked="f">
              <v:textbox inset="0,0,0,0">
                <w:txbxContent>
                  <w:p>
                    <w:pPr>
                      <w:spacing w:before="0" w:line="262" w:lineRule="exact"/>
                      <w:ind w:left="338" w:right="356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spacing w:val="-4"/>
                        <w:sz w:val="23"/>
                      </w:rPr>
                      <w:t>总监理工程师</w:t>
                    </w:r>
                  </w:p>
                  <w:p>
                    <w:pPr>
                      <w:spacing w:before="17" w:line="262" w:lineRule="exact"/>
                      <w:ind w:left="-1" w:right="18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（房建、化工石油</w:t>
                    </w:r>
                    <w:r>
                      <w:rPr>
                        <w:spacing w:val="-10"/>
                        <w:sz w:val="23"/>
                      </w:rPr>
                      <w:t>）</w:t>
                    </w:r>
                  </w:p>
                </w:txbxContent>
              </v:textbox>
            </v:shape>
            <v:shape id="_x0000_s1040" type="#_x0000_t202" style="width:1400;height:542;left:559;position:absolute;top:2785" filled="f" stroked="f">
              <v:textbox inset="0,0,0,0">
                <w:txbxContent>
                  <w:p>
                    <w:pPr>
                      <w:spacing w:before="0" w:line="262" w:lineRule="exact"/>
                      <w:ind w:left="0" w:right="18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spacing w:val="-4"/>
                        <w:sz w:val="23"/>
                      </w:rPr>
                      <w:t>现场监理人员</w:t>
                    </w:r>
                  </w:p>
                  <w:p>
                    <w:pPr>
                      <w:tabs>
                        <w:tab w:val="left" w:pos="689"/>
                      </w:tabs>
                      <w:spacing w:before="17" w:line="262" w:lineRule="exact"/>
                      <w:ind w:left="0" w:right="18" w:firstLine="0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（</w:t>
                    </w:r>
                    <w:r>
                      <w:rPr>
                        <w:spacing w:val="-10"/>
                        <w:sz w:val="23"/>
                      </w:rPr>
                      <w:t>房</w:t>
                    </w:r>
                    <w:r>
                      <w:rPr>
                        <w:sz w:val="23"/>
                      </w:rPr>
                      <w:tab/>
                      <w:t>建</w:t>
                    </w:r>
                    <w:r>
                      <w:rPr>
                        <w:spacing w:val="-10"/>
                        <w:sz w:val="23"/>
                      </w:rPr>
                      <w:t>）</w:t>
                    </w:r>
                  </w:p>
                </w:txbxContent>
              </v:textbox>
            </v:shape>
            <v:shape id="_x0000_s1041" type="#_x0000_t202" style="width:1400;height:542;left:3457;position:absolute;top:2785" filled="f" stroked="f">
              <v:textbox inset="0,0,0,0">
                <w:txbxContent>
                  <w:p>
                    <w:pPr>
                      <w:spacing w:before="0" w:line="262" w:lineRule="exact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pacing w:val="-4"/>
                        <w:sz w:val="23"/>
                      </w:rPr>
                      <w:t>现场监理人员</w:t>
                    </w:r>
                  </w:p>
                  <w:p>
                    <w:pPr>
                      <w:spacing w:before="17" w:line="262" w:lineRule="exact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（机电安装</w:t>
                    </w:r>
                    <w:r>
                      <w:rPr>
                        <w:spacing w:val="-10"/>
                        <w:sz w:val="23"/>
                      </w:rPr>
                      <w:t>）</w:t>
                    </w:r>
                  </w:p>
                </w:txbxContent>
              </v:textbox>
            </v:shape>
            <v:shape id="_x0000_s1042" type="#_x0000_t202" style="width:2453;height:542;left:5886;position:absolute;top:2785" filled="f" stroked="f">
              <v:textbox inset="0,0,0,0">
                <w:txbxContent>
                  <w:p>
                    <w:pPr>
                      <w:spacing w:before="0" w:line="262" w:lineRule="exact"/>
                      <w:ind w:left="468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pacing w:val="-4"/>
                        <w:sz w:val="23"/>
                      </w:rPr>
                      <w:t>办公室资料员</w:t>
                    </w:r>
                  </w:p>
                  <w:p>
                    <w:pPr>
                      <w:spacing w:before="17" w:line="262" w:lineRule="exact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pacing w:val="-12"/>
                        <w:sz w:val="23"/>
                      </w:rPr>
                      <w:t>（资料整理收集、归档）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3"/>
        <w:rPr>
          <w:rFonts w:ascii="Microsoft JhengHei"/>
          <w:b/>
          <w:sz w:val="10"/>
        </w:rPr>
      </w:pPr>
    </w:p>
    <w:p>
      <w:pPr>
        <w:pStyle w:val="Heading1"/>
        <w:spacing w:line="484" w:lineRule="exact"/>
      </w:pPr>
      <w:bookmarkStart w:id="4" w:name="_TOC_250005"/>
      <w:bookmarkEnd w:id="4"/>
      <w:r>
        <w:rPr>
          <w:spacing w:val="-1"/>
        </w:rPr>
        <w:t>五、项目监理机构的人员构成</w:t>
      </w:r>
    </w:p>
    <w:p>
      <w:pPr>
        <w:pStyle w:val="Heading2"/>
        <w:spacing w:before="92" w:line="417" w:lineRule="auto"/>
        <w:ind w:right="8525"/>
        <w:rPr>
          <w:rFonts w:ascii="Times New Roman" w:eastAsia="Times New Roman"/>
        </w:rPr>
      </w:pPr>
      <w:r>
        <w:rPr>
          <w:spacing w:val="-2"/>
        </w:rPr>
        <w:t>总监：</w:t>
      </w:r>
      <w:r>
        <w:rPr>
          <w:rFonts w:ascii="Times New Roman" w:eastAsia="Times New Roman"/>
          <w:spacing w:val="-2"/>
        </w:rPr>
        <w:t>xxx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2"/>
        </w:rPr>
        <w:t>监理员：</w:t>
      </w:r>
      <w:r>
        <w:rPr>
          <w:rFonts w:ascii="Times New Roman" w:eastAsia="Times New Roman"/>
          <w:spacing w:val="-2"/>
        </w:rPr>
        <w:t>xxx</w:t>
      </w:r>
      <w:r>
        <w:rPr>
          <w:spacing w:val="-1"/>
        </w:rPr>
        <w:t>监理员：</w:t>
      </w:r>
      <w:r>
        <w:rPr>
          <w:rFonts w:ascii="Times New Roman" w:eastAsia="Times New Roman"/>
          <w:spacing w:val="-4"/>
        </w:rPr>
        <w:t>xxx</w:t>
      </w:r>
    </w:p>
    <w:p>
      <w:pPr>
        <w:pStyle w:val="BodyText"/>
        <w:spacing w:before="3"/>
        <w:rPr>
          <w:rFonts w:ascii="Times New Roman"/>
          <w:sz w:val="31"/>
        </w:rPr>
      </w:pPr>
    </w:p>
    <w:p>
      <w:pPr>
        <w:pStyle w:val="Heading1"/>
        <w:spacing w:before="1"/>
      </w:pPr>
      <w:bookmarkStart w:id="5" w:name="_TOC_250004"/>
      <w:bookmarkEnd w:id="5"/>
      <w:r>
        <w:rPr>
          <w:spacing w:val="-1"/>
        </w:rPr>
        <w:t>六、项目监理机构的人员岗位职责</w:t>
      </w:r>
    </w:p>
    <w:p>
      <w:pPr>
        <w:pStyle w:val="Heading2"/>
        <w:spacing w:before="92"/>
      </w:pPr>
      <w:r>
        <w:t>（一）</w:t>
      </w:r>
      <w:r>
        <w:rPr>
          <w:spacing w:val="-2"/>
        </w:rPr>
        <w:t>总监理工程师职责</w:t>
      </w:r>
    </w:p>
    <w:p>
      <w:pPr>
        <w:pStyle w:val="BodyText"/>
        <w:spacing w:before="9"/>
        <w:rPr>
          <w:sz w:val="20"/>
        </w:rPr>
      </w:pPr>
    </w:p>
    <w:p>
      <w:pPr>
        <w:pStyle w:val="Heading2"/>
        <w:spacing w:line="417" w:lineRule="auto"/>
        <w:ind w:right="1758"/>
      </w:pP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、组织领导项目监理机构贯彻有关的政策、法规、标准、规范和公</w:t>
      </w:r>
      <w:r>
        <w:rPr>
          <w:spacing w:val="-2"/>
        </w:rPr>
        <w:t>司的质量体系文件，对履行委托合同负全面责任；</w:t>
      </w:r>
    </w:p>
    <w:p>
      <w:pPr>
        <w:pStyle w:val="Heading2"/>
        <w:spacing w:line="417" w:lineRule="auto"/>
        <w:ind w:right="1618"/>
      </w:pPr>
      <w:r>
        <w:rPr>
          <w:rFonts w:ascii="Times New Roman" w:eastAsia="Times New Roman"/>
          <w:spacing w:val="-4"/>
        </w:rPr>
        <w:t>2</w:t>
      </w:r>
      <w:r>
        <w:rPr>
          <w:spacing w:val="-4"/>
        </w:rPr>
        <w:t>、协助公司经营部组建项目监理机构，对监理机构的人员进行领导、</w:t>
      </w:r>
      <w:r>
        <w:rPr>
          <w:spacing w:val="-2"/>
        </w:rPr>
        <w:t>调节和监督检查；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3</w:t>
      </w:r>
      <w:r>
        <w:rPr>
          <w:spacing w:val="-1"/>
        </w:rPr>
        <w:t>、保持与业主的密切联系，弄清其要求和愿望；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4</w:t>
      </w:r>
      <w:r>
        <w:rPr>
          <w:spacing w:val="-1"/>
        </w:rPr>
        <w:t>、主持编写其所承担项目的监理规划或质量计划；</w:t>
      </w:r>
    </w:p>
    <w:p>
      <w:pPr>
        <w:pStyle w:val="Heading2"/>
        <w:spacing w:before="265" w:line="417" w:lineRule="auto"/>
        <w:ind w:right="1758"/>
      </w:pPr>
      <w:r>
        <w:rPr>
          <w:rFonts w:ascii="Times New Roman" w:eastAsia="Times New Roman"/>
          <w:spacing w:val="-2"/>
        </w:rPr>
        <w:t>5</w:t>
      </w:r>
      <w:r>
        <w:rPr>
          <w:spacing w:val="-2"/>
        </w:rPr>
        <w:t>、在监理过程中代表公司对外联络和协调，并做出相关决定，对其</w:t>
      </w:r>
      <w:r>
        <w:rPr>
          <w:spacing w:val="-2"/>
        </w:rPr>
        <w:t>所作的决定负责；</w:t>
      </w:r>
    </w:p>
    <w:p>
      <w:pPr>
        <w:spacing w:after="0" w:line="417" w:lineRule="auto"/>
        <w:sectPr>
          <w:footerReference w:type="default" r:id="rId7"/>
          <w:pgSz w:w="11910" w:h="16840"/>
          <w:pgMar w:top="1500" w:right="40" w:bottom="1180" w:left="260" w:header="0" w:footer="991"/>
          <w:pgNumType w:start="4"/>
          <w:cols w:space="708"/>
        </w:sectPr>
      </w:pPr>
    </w:p>
    <w:p>
      <w:pPr>
        <w:pStyle w:val="Heading2"/>
        <w:spacing w:before="57" w:line="417" w:lineRule="auto"/>
        <w:ind w:right="1758"/>
        <w:jc w:val="both"/>
      </w:pPr>
      <w:r>
        <w:rPr>
          <w:rFonts w:ascii="Times New Roman" w:eastAsia="Times New Roman"/>
          <w:spacing w:val="-2"/>
        </w:rPr>
        <w:t>7</w:t>
      </w:r>
      <w:r>
        <w:rPr>
          <w:spacing w:val="-2"/>
        </w:rPr>
        <w:t>、负责调节工程各专业之间的技术问题，保证工程项目整体功能的</w:t>
      </w:r>
      <w:r>
        <w:rPr>
          <w:spacing w:val="-4"/>
        </w:rPr>
        <w:t>先进、合理和协调，防止出现不合格；确定项目监理机构人员的分工</w:t>
      </w:r>
      <w:r>
        <w:rPr>
          <w:spacing w:val="-2"/>
        </w:rPr>
        <w:t>和岗位职责；</w:t>
      </w:r>
    </w:p>
    <w:p>
      <w:pPr>
        <w:pStyle w:val="Heading2"/>
        <w:spacing w:line="417" w:lineRule="auto"/>
        <w:ind w:right="1758"/>
      </w:pPr>
      <w:r>
        <w:rPr>
          <w:rFonts w:ascii="Times New Roman" w:eastAsia="Times New Roman"/>
          <w:spacing w:val="-2"/>
        </w:rPr>
        <w:t>8</w:t>
      </w:r>
      <w:r>
        <w:rPr>
          <w:spacing w:val="-2"/>
        </w:rPr>
        <w:t>、主持编写项目监理计划、审批项目监理实施细则，并负责管理项</w:t>
      </w:r>
      <w:r>
        <w:rPr>
          <w:spacing w:val="-2"/>
        </w:rPr>
        <w:t>目监理机构的日常工作；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9</w:t>
      </w:r>
      <w:r>
        <w:rPr>
          <w:spacing w:val="-1"/>
        </w:rPr>
        <w:t>、审查分包单位的资质，并提出审查意见；</w:t>
      </w:r>
    </w:p>
    <w:p>
      <w:pPr>
        <w:pStyle w:val="Heading2"/>
        <w:spacing w:before="264" w:line="417" w:lineRule="auto"/>
        <w:ind w:right="1758"/>
      </w:pPr>
      <w:r>
        <w:rPr>
          <w:rFonts w:ascii="Times New Roman" w:eastAsia="Times New Roman"/>
          <w:spacing w:val="-4"/>
        </w:rPr>
        <w:t>10</w:t>
      </w:r>
      <w:r>
        <w:rPr>
          <w:spacing w:val="-4"/>
        </w:rPr>
        <w:t>、检查和监督监理人员的工作，根据工程项目的进展情况可进行人</w:t>
      </w:r>
      <w:r>
        <w:rPr>
          <w:spacing w:val="-2"/>
        </w:rPr>
        <w:t>员调配，对不称职的人员应调换其工作；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11</w:t>
      </w:r>
      <w:r>
        <w:rPr>
          <w:spacing w:val="-1"/>
        </w:rPr>
        <w:t>、主持监理工作会议，签发项目监理机构的文件和指令；</w:t>
      </w:r>
    </w:p>
    <w:p>
      <w:pPr>
        <w:pStyle w:val="Heading2"/>
        <w:spacing w:before="265" w:line="417" w:lineRule="auto"/>
        <w:ind w:right="1758"/>
      </w:pPr>
      <w:r>
        <w:rPr>
          <w:rFonts w:ascii="Times New Roman" w:eastAsia="Times New Roman"/>
          <w:spacing w:val="-4"/>
        </w:rPr>
        <w:t>12</w:t>
      </w:r>
      <w:r>
        <w:rPr>
          <w:spacing w:val="-4"/>
        </w:rPr>
        <w:t>、审定承包单位提交的开工报告、施工组织设计，技术方案、进度</w:t>
      </w:r>
      <w:r>
        <w:rPr>
          <w:spacing w:val="-2"/>
        </w:rPr>
        <w:t>计划，并签署工程开工报告、停工令、复工令；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13</w:t>
      </w:r>
      <w:r>
        <w:rPr>
          <w:spacing w:val="-1"/>
        </w:rPr>
        <w:t>、审核签署承包单位的申请、支付证书和竣工结算；</w:t>
      </w:r>
    </w:p>
    <w:p>
      <w:pPr>
        <w:pStyle w:val="Heading2"/>
        <w:spacing w:before="266"/>
      </w:pPr>
      <w:r>
        <w:rPr>
          <w:rFonts w:ascii="Times New Roman" w:eastAsia="Times New Roman"/>
        </w:rPr>
        <w:t>14</w:t>
      </w:r>
      <w:r>
        <w:rPr>
          <w:spacing w:val="-1"/>
        </w:rPr>
        <w:t>、审查和处理工程变更；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15</w:t>
      </w:r>
      <w:r>
        <w:rPr>
          <w:spacing w:val="-1"/>
        </w:rPr>
        <w:t>、主持或参与工程质量事故的调查 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16</w:t>
      </w:r>
      <w:r>
        <w:rPr>
          <w:spacing w:val="-15"/>
        </w:rPr>
        <w:t>、调解建设单位与承包单位的合同争议、处理索赔、审批工程延期；</w:t>
      </w:r>
    </w:p>
    <w:p>
      <w:pPr>
        <w:pStyle w:val="Heading2"/>
        <w:spacing w:before="265" w:line="417" w:lineRule="auto"/>
        <w:ind w:right="1758"/>
      </w:pPr>
      <w:r>
        <w:rPr>
          <w:rFonts w:ascii="Times New Roman" w:eastAsia="Times New Roman"/>
          <w:spacing w:val="-4"/>
        </w:rPr>
        <w:t>17</w:t>
      </w:r>
      <w:r>
        <w:rPr>
          <w:spacing w:val="-4"/>
        </w:rPr>
        <w:t>、组织编写并签发监理月报、监理工作阶段报告、专题报告和项目</w:t>
      </w:r>
      <w:r>
        <w:rPr>
          <w:spacing w:val="-2"/>
        </w:rPr>
        <w:t>监理工作总结；</w:t>
      </w:r>
    </w:p>
    <w:p>
      <w:pPr>
        <w:pStyle w:val="Heading2"/>
        <w:spacing w:line="417" w:lineRule="auto"/>
        <w:ind w:right="1758"/>
        <w:jc w:val="both"/>
      </w:pPr>
      <w:r>
        <w:rPr>
          <w:rFonts w:ascii="Times New Roman" w:eastAsia="Times New Roman"/>
          <w:spacing w:val="-4"/>
        </w:rPr>
        <w:t>18</w:t>
      </w:r>
      <w:r>
        <w:rPr>
          <w:spacing w:val="-4"/>
        </w:rPr>
        <w:t>、审核签认分部工程和单位工程的质量检验评定资料，审查承包单</w:t>
      </w:r>
      <w:r>
        <w:rPr>
          <w:spacing w:val="-4"/>
        </w:rPr>
        <w:t>位的竣工申请，组织监理人员对待验收的工程项目进行质量检查，参</w:t>
      </w:r>
      <w:r>
        <w:rPr>
          <w:spacing w:val="-2"/>
        </w:rPr>
        <w:t>与工程项目的竣工验收。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19</w:t>
      </w:r>
      <w:r>
        <w:rPr>
          <w:spacing w:val="-1"/>
        </w:rPr>
        <w:t>、主持整理工程项目的监理资料。</w:t>
      </w:r>
    </w:p>
    <w:p>
      <w:pPr>
        <w:pStyle w:val="Heading2"/>
        <w:spacing w:before="265"/>
      </w:pPr>
      <w:r>
        <w:t>（二）</w:t>
      </w:r>
      <w:r>
        <w:rPr>
          <w:spacing w:val="-2"/>
        </w:rPr>
        <w:t>现场监理职责</w:t>
      </w:r>
    </w:p>
    <w:p>
      <w:pPr>
        <w:spacing w:after="0"/>
        <w:sectPr>
          <w:footerReference w:type="default" r:id="rId8"/>
          <w:pgSz w:w="11910" w:h="16840"/>
          <w:pgMar w:top="1500" w:right="40" w:bottom="1180" w:left="260" w:header="0" w:footer="991"/>
          <w:pgNumType w:start="5"/>
          <w:cols w:space="708"/>
        </w:sectPr>
      </w:pPr>
    </w:p>
    <w:p>
      <w:pPr>
        <w:pStyle w:val="Heading2"/>
        <w:spacing w:before="57"/>
      </w:pPr>
      <w:r>
        <w:rPr>
          <w:rFonts w:ascii="Times New Roman" w:eastAsia="Times New Roman"/>
        </w:rPr>
        <w:t>1</w:t>
      </w:r>
      <w:r>
        <w:rPr>
          <w:spacing w:val="-1"/>
        </w:rPr>
        <w:t>、负责编制本专业的监理实施细则；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2</w:t>
      </w:r>
      <w:r>
        <w:rPr>
          <w:spacing w:val="-1"/>
        </w:rPr>
        <w:t>、负责本专业监理工作的具体实施；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3</w:t>
      </w:r>
      <w:r>
        <w:t>、当人员需要调整时</w:t>
      </w:r>
      <w:r>
        <w:rPr>
          <w:rFonts w:ascii="Times New Roman" w:eastAsia="Times New Roman"/>
        </w:rPr>
        <w:t>,</w:t>
      </w:r>
      <w:r>
        <w:rPr>
          <w:spacing w:val="-1"/>
        </w:rPr>
        <w:t>向总监理工程师提出建议。</w:t>
      </w:r>
    </w:p>
    <w:p>
      <w:pPr>
        <w:pStyle w:val="Heading2"/>
        <w:spacing w:before="265" w:line="417" w:lineRule="auto"/>
        <w:ind w:right="1758"/>
      </w:pPr>
      <w:r>
        <w:rPr>
          <w:rFonts w:ascii="Times New Roman" w:eastAsia="Times New Roman"/>
          <w:spacing w:val="-2"/>
        </w:rPr>
        <w:t>4</w:t>
      </w:r>
      <w:r>
        <w:rPr>
          <w:spacing w:val="-2"/>
        </w:rPr>
        <w:t>、审查承包单位提交的涉及本专业的计划、方案、申请、变更，并</w:t>
      </w:r>
      <w:r>
        <w:rPr>
          <w:spacing w:val="-2"/>
        </w:rPr>
        <w:t>向总监理工程提出报告；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5</w:t>
      </w:r>
      <w:r>
        <w:rPr>
          <w:spacing w:val="-1"/>
        </w:rPr>
        <w:t>、负责本专业分项工程验收及隐蔽工程验收；</w:t>
      </w:r>
    </w:p>
    <w:p>
      <w:pPr>
        <w:pStyle w:val="Heading2"/>
        <w:spacing w:before="266" w:line="417" w:lineRule="auto"/>
        <w:ind w:right="1758"/>
      </w:pPr>
      <w:r>
        <w:rPr>
          <w:rFonts w:ascii="Times New Roman" w:eastAsia="Times New Roman"/>
          <w:spacing w:val="-2"/>
        </w:rPr>
        <w:t>6</w:t>
      </w:r>
      <w:r>
        <w:rPr>
          <w:spacing w:val="-2"/>
        </w:rPr>
        <w:t>、定期向总监理工程师提交本专业监理工作实施情况报告，对重大</w:t>
      </w:r>
      <w:r>
        <w:rPr>
          <w:spacing w:val="-2"/>
        </w:rPr>
        <w:t>问题及时向总监理工程师汇报和请示；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7</w:t>
      </w:r>
      <w:r>
        <w:rPr>
          <w:spacing w:val="-1"/>
        </w:rPr>
        <w:t>、根据本专业监理工作实施情况做好监理日记；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8</w:t>
      </w:r>
      <w:r>
        <w:rPr>
          <w:spacing w:val="-1"/>
        </w:rPr>
        <w:t>、负责本专业监理资料的收集、汇总及整理，参与编写监理月报；</w:t>
      </w:r>
    </w:p>
    <w:p>
      <w:pPr>
        <w:pStyle w:val="Heading2"/>
        <w:spacing w:before="265" w:line="417" w:lineRule="auto"/>
        <w:ind w:right="1665"/>
      </w:pPr>
      <w:r>
        <w:rPr>
          <w:rFonts w:ascii="Times New Roman" w:eastAsia="Times New Roman"/>
          <w:spacing w:val="-2"/>
        </w:rPr>
        <w:t>9</w:t>
      </w:r>
      <w:r>
        <w:rPr>
          <w:spacing w:val="-2"/>
        </w:rPr>
        <w:t>、核查进场材料、设备、购配件的原始凭证、检测报告等质量证明</w:t>
      </w:r>
      <w:r>
        <w:rPr>
          <w:spacing w:val="-2"/>
        </w:rPr>
        <w:t>文件及其质量情况，根据实际情况认为有必要时对进场材料、设备、</w:t>
      </w:r>
      <w:r>
        <w:rPr>
          <w:spacing w:val="-2"/>
        </w:rPr>
        <w:t>构配件进行平行检验，合格时上报总监理工程师予以签认；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10</w:t>
      </w:r>
      <w:r>
        <w:rPr>
          <w:spacing w:val="-1"/>
        </w:rPr>
        <w:t>、负责本专业的工程计量工作，审核工程计量的数据和原始凭证。</w:t>
      </w:r>
    </w:p>
    <w:p>
      <w:pPr>
        <w:pStyle w:val="Heading2"/>
        <w:spacing w:before="265" w:line="417" w:lineRule="auto"/>
        <w:ind w:right="1665"/>
      </w:pPr>
      <w:r>
        <w:rPr>
          <w:rFonts w:ascii="Times New Roman" w:eastAsia="Times New Roman"/>
          <w:spacing w:val="-2"/>
        </w:rPr>
        <w:t>11</w:t>
      </w:r>
      <w:r>
        <w:rPr>
          <w:spacing w:val="-2"/>
        </w:rPr>
        <w:t>、检查承包单位投入工程项目的人力、材料、主要设备及其使用、</w:t>
      </w:r>
      <w:r>
        <w:rPr>
          <w:spacing w:val="-2"/>
        </w:rPr>
        <w:t>运行状况，并做好检查记录；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12</w:t>
      </w:r>
      <w:r>
        <w:rPr>
          <w:spacing w:val="-15"/>
        </w:rPr>
        <w:t>、复核或从施工现场直接获取工程计量的有关数据并签署原始凭证；</w:t>
      </w:r>
    </w:p>
    <w:p>
      <w:pPr>
        <w:pStyle w:val="Heading2"/>
        <w:spacing w:before="266" w:line="417" w:lineRule="auto"/>
        <w:ind w:right="1758"/>
      </w:pPr>
      <w:r>
        <w:rPr>
          <w:rFonts w:ascii="Times New Roman" w:eastAsia="Times New Roman"/>
          <w:spacing w:val="-4"/>
        </w:rPr>
        <w:t>13</w:t>
      </w:r>
      <w:r>
        <w:rPr>
          <w:spacing w:val="-4"/>
        </w:rPr>
        <w:t>、按设计图及有关标准，对承包单位的工艺过程说施工工序进行检</w:t>
      </w:r>
      <w:r>
        <w:rPr>
          <w:spacing w:val="-2"/>
        </w:rPr>
        <w:t>查和记录，对加工制作及工序施工质量检查结果进行记录；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13</w:t>
      </w:r>
      <w:r>
        <w:rPr>
          <w:spacing w:val="-1"/>
        </w:rPr>
        <w:t>、担任旁站工作，发现问题及时指出并向总监理工程师报告；</w:t>
      </w:r>
    </w:p>
    <w:p>
      <w:pPr>
        <w:pStyle w:val="Heading2"/>
        <w:spacing w:before="265"/>
      </w:pPr>
      <w:r>
        <w:rPr>
          <w:rFonts w:ascii="Times New Roman" w:eastAsia="Times New Roman"/>
        </w:rPr>
        <w:t>14</w:t>
      </w:r>
      <w:r>
        <w:rPr>
          <w:spacing w:val="-1"/>
        </w:rPr>
        <w:t>、做好监理日记和有关的监理记录。</w:t>
      </w:r>
    </w:p>
    <w:p>
      <w:pPr>
        <w:pStyle w:val="Heading2"/>
        <w:spacing w:before="265"/>
      </w:pPr>
      <w:r>
        <w:rPr>
          <w:rFonts w:ascii="Times New Roman" w:eastAsia="Times New Roman"/>
          <w:spacing w:val="-4"/>
        </w:rPr>
        <w:t>15</w:t>
      </w:r>
      <w:r>
        <w:rPr>
          <w:spacing w:val="-5"/>
        </w:rPr>
        <w:t>、负责对施工单位申报的工程量和已完工程实物量的复核，负责工</w:t>
      </w:r>
    </w:p>
    <w:p>
      <w:pPr>
        <w:spacing w:after="0"/>
        <w:sectPr>
          <w:footerReference w:type="default" r:id="rId9"/>
          <w:pgSz w:w="11910" w:h="16840"/>
          <w:pgMar w:top="1500" w:right="40" w:bottom="1180" w:left="260" w:header="0" w:footer="991"/>
          <w:pgNumType w:start="6"/>
          <w:cols w:space="708"/>
        </w:sectPr>
      </w:pPr>
    </w:p>
    <w:p>
      <w:pPr>
        <w:pStyle w:val="Heading2"/>
        <w:spacing w:before="37"/>
      </w:pPr>
      <w:r>
        <w:rPr>
          <w:spacing w:val="-2"/>
        </w:rPr>
        <w:t>程进度款的核定；</w:t>
      </w:r>
    </w:p>
    <w:p>
      <w:pPr>
        <w:pStyle w:val="BodyText"/>
        <w:spacing w:before="8"/>
        <w:rPr>
          <w:sz w:val="20"/>
        </w:rPr>
      </w:pPr>
    </w:p>
    <w:p>
      <w:pPr>
        <w:pStyle w:val="Heading2"/>
        <w:spacing w:before="1" w:line="417" w:lineRule="auto"/>
        <w:ind w:right="1665"/>
      </w:pPr>
      <w:r>
        <w:rPr>
          <w:rFonts w:ascii="Times New Roman" w:eastAsia="Times New Roman"/>
          <w:spacing w:val="-2"/>
        </w:rPr>
        <w:t>16</w:t>
      </w:r>
      <w:r>
        <w:rPr>
          <w:spacing w:val="-2"/>
        </w:rPr>
        <w:t>、及时处理档案管理员转交的文件，确保文件资料的完整、准确、</w:t>
      </w:r>
      <w:r>
        <w:rPr>
          <w:spacing w:val="-4"/>
        </w:rPr>
        <w:t>有效；</w:t>
      </w:r>
    </w:p>
    <w:p>
      <w:pPr>
        <w:pStyle w:val="Heading2"/>
        <w:spacing w:line="417" w:lineRule="auto"/>
        <w:ind w:right="1618"/>
      </w:pPr>
      <w:r>
        <w:rPr>
          <w:rFonts w:ascii="Times New Roman" w:eastAsia="Times New Roman"/>
          <w:spacing w:val="-2"/>
        </w:rPr>
        <w:t>17</w:t>
      </w:r>
      <w:r>
        <w:rPr>
          <w:spacing w:val="-22"/>
        </w:rPr>
        <w:t>、负责收集整理工地所有会议</w:t>
      </w:r>
      <w:r>
        <w:rPr>
          <w:spacing w:val="-2"/>
        </w:rPr>
        <w:t>（系由监理负责召集或有监理参加的</w:t>
      </w:r>
      <w:r>
        <w:rPr>
          <w:spacing w:val="-2"/>
        </w:rPr>
        <w:t>）</w:t>
      </w:r>
      <w:r>
        <w:rPr>
          <w:spacing w:val="-2"/>
        </w:rPr>
        <w:t>会议纪要，整理后交项目负责人审查，印后迅速发给有关专业人员或</w:t>
      </w:r>
      <w:r>
        <w:rPr>
          <w:spacing w:val="-2"/>
        </w:rPr>
        <w:t>人关单位；</w:t>
      </w:r>
    </w:p>
    <w:p>
      <w:pPr>
        <w:pStyle w:val="Heading2"/>
        <w:spacing w:line="417" w:lineRule="auto"/>
        <w:ind w:right="1758"/>
      </w:pPr>
      <w:r>
        <w:rPr>
          <w:rFonts w:ascii="Times New Roman" w:eastAsia="Times New Roman"/>
          <w:spacing w:val="-4"/>
        </w:rPr>
        <w:t>18</w:t>
      </w:r>
      <w:r>
        <w:rPr>
          <w:spacing w:val="-4"/>
        </w:rPr>
        <w:t>、负责对工程建设各方相互往来的一切书面资料（包括信件、电报</w:t>
      </w:r>
      <w:r>
        <w:rPr>
          <w:spacing w:val="-2"/>
        </w:rPr>
        <w:t>等）进行妥善保管；</w:t>
      </w:r>
    </w:p>
    <w:p>
      <w:pPr>
        <w:pStyle w:val="Heading2"/>
        <w:spacing w:line="358" w:lineRule="exact"/>
      </w:pPr>
      <w:r>
        <w:t>（三）</w:t>
      </w:r>
      <w:r>
        <w:rPr>
          <w:spacing w:val="-2"/>
        </w:rPr>
        <w:t>档案管理员职责</w:t>
      </w:r>
    </w:p>
    <w:p>
      <w:pPr>
        <w:pStyle w:val="BodyText"/>
        <w:spacing w:before="7"/>
        <w:rPr>
          <w:sz w:val="20"/>
        </w:rPr>
      </w:pPr>
    </w:p>
    <w:p>
      <w:pPr>
        <w:pStyle w:val="Heading2"/>
        <w:spacing w:line="417" w:lineRule="auto"/>
        <w:ind w:right="1758"/>
      </w:pPr>
      <w:r>
        <w:rPr>
          <w:rFonts w:ascii="Times New Roman" w:eastAsia="Times New Roman"/>
          <w:spacing w:val="-2"/>
        </w:rPr>
        <w:t>1</w:t>
      </w:r>
      <w:r>
        <w:rPr>
          <w:spacing w:val="-2"/>
        </w:rPr>
        <w:t>、报告的收发应办理签收登记手续，签收的资料应及时转交给现场</w:t>
      </w:r>
      <w:r>
        <w:rPr>
          <w:spacing w:val="-2"/>
        </w:rPr>
        <w:t>信息管理员，以便确认资料的完整性、准确性和有效性；</w:t>
      </w:r>
    </w:p>
    <w:p>
      <w:pPr>
        <w:pStyle w:val="Heading2"/>
        <w:spacing w:line="417" w:lineRule="auto"/>
        <w:ind w:right="1758"/>
      </w:pP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、对各现场监理确认返回的文件资料，按统一的编目系统进行分类</w:t>
      </w:r>
      <w:r>
        <w:rPr>
          <w:spacing w:val="-2"/>
        </w:rPr>
        <w:t>整理归类；</w:t>
      </w:r>
    </w:p>
    <w:p>
      <w:pPr>
        <w:pStyle w:val="Heading2"/>
        <w:spacing w:line="358" w:lineRule="exact"/>
      </w:pPr>
      <w:r>
        <w:rPr>
          <w:rFonts w:ascii="Times New Roman" w:eastAsia="Times New Roman"/>
        </w:rPr>
        <w:t>3</w:t>
      </w:r>
      <w:r>
        <w:rPr>
          <w:spacing w:val="-1"/>
        </w:rPr>
        <w:t>、协助项目负责人负责现场监理的生活后勤工作；</w:t>
      </w:r>
    </w:p>
    <w:p>
      <w:pPr>
        <w:pStyle w:val="Heading1"/>
        <w:spacing w:before="158"/>
      </w:pPr>
      <w:bookmarkStart w:id="6" w:name="_TOC_250003"/>
      <w:bookmarkEnd w:id="6"/>
      <w:r>
        <w:rPr>
          <w:spacing w:val="-1"/>
        </w:rPr>
        <w:t>七、防渗改造工程工作流程</w:t>
      </w:r>
    </w:p>
    <w:p>
      <w:pPr>
        <w:pStyle w:val="Heading2"/>
        <w:spacing w:before="92" w:line="417" w:lineRule="auto"/>
        <w:ind w:right="1618" w:firstLine="560"/>
        <w:jc w:val="both"/>
      </w:pPr>
      <w:r>
        <w:rPr>
          <w:spacing w:val="-6"/>
        </w:rPr>
        <w:t>非承重非防渗罐区原位置改造施工以罐区施工为主线，管道及电</w:t>
      </w:r>
      <w:r>
        <w:t>仪施工为辅线（</w:t>
      </w:r>
      <w:r>
        <w:rPr>
          <w:spacing w:val="-11"/>
        </w:rPr>
        <w:t xml:space="preserve">辅线 </w:t>
      </w:r>
      <w:r>
        <w:rPr>
          <w:rFonts w:ascii="Times New Roman" w:eastAsia="Times New Roman"/>
        </w:rPr>
        <w:t>1</w:t>
      </w:r>
      <w:r>
        <w:rPr>
          <w:rFonts w:ascii="Times New Roman" w:eastAsia="Times New Roman"/>
          <w:spacing w:val="36"/>
        </w:rPr>
        <w:t xml:space="preserve"> </w:t>
      </w:r>
      <w:r>
        <w:rPr>
          <w:spacing w:val="-6"/>
        </w:rPr>
        <w:t xml:space="preserve">管道，辅线 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36"/>
        </w:rPr>
        <w:t xml:space="preserve"> </w:t>
      </w:r>
      <w:r>
        <w:t>电仪</w:t>
      </w:r>
      <w:r>
        <w:rPr>
          <w:spacing w:val="-139"/>
        </w:rPr>
        <w:t>）</w:t>
      </w:r>
      <w:r>
        <w:t>，采取主线与辅线交叉作</w:t>
      </w:r>
      <w:r>
        <w:rPr>
          <w:spacing w:val="-2"/>
        </w:rPr>
        <w:t>业、同步施工形式。其中，施工主线包括：罐区拆除、储油罐基础施</w:t>
      </w:r>
      <w:r>
        <w:rPr>
          <w:spacing w:val="-4"/>
        </w:rPr>
        <w:t>工</w:t>
      </w:r>
      <w:r>
        <w:rPr>
          <w:spacing w:val="16"/>
        </w:rPr>
        <w:t>（</w:t>
      </w:r>
      <w:r>
        <w:rPr>
          <w:rFonts w:ascii="Times New Roman" w:eastAsia="Times New Roman"/>
          <w:spacing w:val="16"/>
        </w:rPr>
        <w:t>S</w:t>
      </w:r>
      <w:r>
        <w:rPr>
          <w:rFonts w:ascii="Times New Roman" w:eastAsia="Times New Roman"/>
          <w:spacing w:val="15"/>
        </w:rPr>
        <w:t>F/FF</w:t>
      </w:r>
      <w:r>
        <w:rPr>
          <w:spacing w:val="-124"/>
        </w:rPr>
        <w:t>）</w:t>
      </w:r>
      <w:r>
        <w:rPr>
          <w:spacing w:val="-4"/>
        </w:rPr>
        <w:t>、储油罐安装、罐区回填、人孔操作井安装、罐区顶板及</w:t>
      </w:r>
      <w:r>
        <w:t xml:space="preserve">地面施工、整体调试、内部及外部验收等。辅线 </w:t>
      </w:r>
      <w:r>
        <w:rPr>
          <w:rFonts w:ascii="Times New Roman" w:eastAsia="Times New Roman"/>
        </w:rPr>
        <w:t>1</w:t>
      </w:r>
      <w:r>
        <w:t>、</w:t>
      </w:r>
      <w:r>
        <w:rPr>
          <w:rFonts w:ascii="Times New Roman" w:eastAsia="Times New Roman"/>
        </w:rPr>
        <w:t>2</w:t>
      </w:r>
      <w:r>
        <w:rPr>
          <w:rFonts w:ascii="Times New Roman" w:eastAsia="Times New Roman"/>
          <w:spacing w:val="40"/>
        </w:rPr>
        <w:t xml:space="preserve"> </w:t>
      </w:r>
      <w:r>
        <w:t>主要是在主线</w:t>
      </w:r>
      <w:r>
        <w:rPr>
          <w:spacing w:val="-2"/>
        </w:rPr>
        <w:t>施工的同时平行交叉作业，人员机动调整，主要施工内容包括：工艺</w:t>
      </w:r>
      <w:r>
        <w:rPr>
          <w:spacing w:val="-16"/>
        </w:rPr>
        <w:t>和电仪设备及管道拆除、管沟施工、设备和管道安装、硬化地面施工。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40" w:bottom="1180" w:left="260" w:header="0" w:footer="991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16"/>
        </w:rPr>
      </w:pPr>
    </w:p>
    <w:p>
      <w:pPr>
        <w:pStyle w:val="BodyText"/>
        <w:ind w:left="2100"/>
        <w:rPr>
          <w:sz w:val="20"/>
        </w:rPr>
      </w:pPr>
      <w:r>
        <w:rPr>
          <w:sz w:val="20"/>
        </w:rPr>
        <w:pict>
          <v:group id="_x0000_i1043" style="width:29pt;height:14pt;mso-position-horizontal-relative:char;mso-position-vertical-relative:line" coordorigin="0,0" coordsize="580,280">
            <v:shape id="_x0000_s1044" type="#_x0000_t202" style="width:580;height:280;position:absolute" filled="f" stroked="f">
              <v:textbox inset="0,0,0,0">
                <w:txbxContent>
                  <w:p>
                    <w:pPr>
                      <w:spacing w:before="0" w:line="280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8"/>
                        <w:sz w:val="28"/>
                      </w:rPr>
                      <w:t>等。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  <w:spacing w:line="484" w:lineRule="exact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228600</wp:posOffset>
            </wp:positionH>
            <wp:positionV relativeFrom="paragraph">
              <wp:posOffset>-2775787</wp:posOffset>
            </wp:positionV>
            <wp:extent cx="7235190" cy="26714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519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_TOC_250002"/>
      <w:bookmarkEnd w:id="7"/>
      <w:r>
        <w:rPr>
          <w:spacing w:val="-1"/>
        </w:rPr>
        <w:t>八、防渗改造工程监理工作实施要求</w:t>
      </w:r>
    </w:p>
    <w:p>
      <w:pPr>
        <w:pStyle w:val="Heading2"/>
        <w:spacing w:before="92" w:line="417" w:lineRule="auto"/>
        <w:ind w:right="1525" w:firstLine="525"/>
      </w:pPr>
      <w:r>
        <w:rPr>
          <w:rFonts w:ascii="Times New Roman" w:eastAsia="Times New Roman"/>
        </w:rPr>
        <w:t>1</w:t>
      </w:r>
      <w:r>
        <w:rPr>
          <w:spacing w:val="2"/>
        </w:rPr>
        <w:t>、开工前审查施工单位专项施工方案，细看方案内容是否具有</w:t>
      </w:r>
      <w:r>
        <w:rPr>
          <w:spacing w:val="-8"/>
        </w:rPr>
        <w:t>可操作性，结合加油站现场实地情况进行分析，指出方案中不足内容</w:t>
      </w:r>
      <w:r>
        <w:rPr>
          <w:spacing w:val="-17"/>
        </w:rPr>
        <w:t>要求施工单位加以细化或更改方案。专项方案编制内容必须真实有效，</w:t>
      </w:r>
      <w:r>
        <w:rPr>
          <w:spacing w:val="-9"/>
        </w:rPr>
        <w:t>杜绝千篇一律、抄袭或不符合现场实际情况的假方案。方案中必须明</w:t>
      </w:r>
      <w:r>
        <w:rPr>
          <w:spacing w:val="-15"/>
        </w:rPr>
        <w:t>确给出防渗工作过程中安全风险高，危害性大的非常规作业防范措施并要具有可行性。</w:t>
      </w:r>
    </w:p>
    <w:p>
      <w:pPr>
        <w:pStyle w:val="Heading2"/>
        <w:spacing w:line="417" w:lineRule="auto"/>
        <w:ind w:right="1758" w:firstLine="560"/>
        <w:jc w:val="both"/>
      </w:pPr>
      <w:r>
        <w:rPr>
          <w:rFonts w:ascii="Times New Roman" w:eastAsia="Times New Roman"/>
          <w:spacing w:val="-2"/>
        </w:rPr>
        <w:t>2</w:t>
      </w:r>
      <w:r>
        <w:rPr>
          <w:spacing w:val="-2"/>
        </w:rPr>
        <w:t>、施工过程中根据防渗改造工程的特性监理人员在工作过程中</w:t>
      </w:r>
      <w:r>
        <w:rPr>
          <w:spacing w:val="-7"/>
        </w:rPr>
        <w:t>需重点对危险性较大的作业点进行有效的管控，以下为作业过程中危</w:t>
      </w:r>
      <w:r>
        <w:rPr>
          <w:spacing w:val="-2"/>
        </w:rPr>
        <w:t>险性较大的内容及工作重点：</w:t>
      </w:r>
    </w:p>
    <w:p>
      <w:pPr>
        <w:pStyle w:val="Heading2"/>
        <w:spacing w:line="417" w:lineRule="auto"/>
        <w:ind w:right="1758"/>
        <w:jc w:val="both"/>
      </w:pPr>
      <w:r>
        <w:rPr>
          <w:spacing w:val="-4"/>
        </w:rPr>
        <w:t>⑴、旧油罐拆除作业：作业前检查承包商办理的非常规作业票据（</w:t>
      </w:r>
      <w:r>
        <w:rPr>
          <w:spacing w:val="-4"/>
        </w:rPr>
        <w:t>管</w:t>
      </w:r>
      <w:r>
        <w:rPr>
          <w:spacing w:val="-4"/>
        </w:rPr>
        <w:t>线打开，受限空间等）拆除油罐前必须进行清罐作业，去除浮油，罐</w:t>
      </w:r>
      <w:r>
        <w:rPr>
          <w:spacing w:val="-4"/>
        </w:rPr>
        <w:t xml:space="preserve">内通风。随后每间隔 </w:t>
      </w:r>
      <w:r>
        <w:rPr>
          <w:rFonts w:ascii="Times New Roman" w:eastAsia="Times New Roman" w:hAnsi="Times New Roman"/>
        </w:rPr>
        <w:t>30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t>分钟必须进行一次爆炸气体检测，检测过程</w:t>
      </w:r>
      <w:r>
        <w:rPr>
          <w:spacing w:val="-4"/>
        </w:rPr>
        <w:t>中必须执行“三同”同品牌、同型号、同时检测检测后要形成文字记</w:t>
      </w:r>
      <w:r>
        <w:rPr>
          <w:spacing w:val="-5"/>
        </w:rPr>
        <w:t>录。旧油罐运离现场要采取有效安全的运输方式。旧油罐从抽油清罐</w:t>
      </w:r>
    </w:p>
    <w:p>
      <w:pPr>
        <w:spacing w:after="0" w:line="417" w:lineRule="auto"/>
        <w:jc w:val="both"/>
        <w:sectPr>
          <w:footerReference w:type="default" r:id="rId12"/>
          <w:pgSz w:w="11910" w:h="16840"/>
          <w:pgMar w:top="1580" w:right="40" w:bottom="1180" w:left="260" w:header="0" w:footer="991"/>
          <w:pgNumType w:start="8"/>
          <w:cols w:space="708"/>
        </w:sectPr>
      </w:pPr>
    </w:p>
    <w:p>
      <w:pPr>
        <w:pStyle w:val="Heading2"/>
        <w:spacing w:before="57"/>
      </w:pPr>
      <w:r>
        <w:rPr>
          <w:spacing w:val="-6"/>
        </w:rPr>
        <w:t xml:space="preserve">到拖运出场期间，罐区周边 </w:t>
      </w:r>
      <w:r>
        <w:rPr>
          <w:rFonts w:ascii="Times New Roman" w:eastAsia="Times New Roman"/>
        </w:rPr>
        <w:t xml:space="preserve">15 </w:t>
      </w:r>
      <w:r>
        <w:rPr>
          <w:spacing w:val="-1"/>
        </w:rPr>
        <w:t>米范围内严禁进行任何动火作业。</w:t>
      </w:r>
    </w:p>
    <w:p>
      <w:pPr>
        <w:pStyle w:val="Heading2"/>
        <w:spacing w:before="265" w:line="417" w:lineRule="auto"/>
        <w:ind w:right="1665"/>
      </w:pPr>
      <w:r>
        <w:rPr>
          <w:spacing w:val="-2"/>
        </w:rPr>
        <w:t>⑵、吊装作业：司职人员进场前必须做好安全交底，检查人员操作证</w:t>
      </w:r>
      <w:r>
        <w:rPr>
          <w:spacing w:val="-2"/>
        </w:rPr>
        <w:t>件齐全有效，参与人员安全考试，考试合格才可进场作业。吊装前检</w:t>
      </w:r>
      <w:r>
        <w:rPr>
          <w:spacing w:val="-2"/>
        </w:rPr>
        <w:t>查设备设施，车辆各部件齐全，吊装用的钢丝缆无破损，断裂现象。</w:t>
      </w:r>
      <w:r>
        <w:rPr>
          <w:spacing w:val="-2"/>
        </w:rPr>
        <w:t>旁站吊装过程，及时提示施工人员保持安全距离，督促施工单位设置</w:t>
      </w:r>
      <w:r>
        <w:rPr>
          <w:spacing w:val="-2"/>
        </w:rPr>
        <w:t>警戒区，要求施工队伍必须做到无关人员不得进入吊装作业半径内，</w:t>
      </w:r>
      <w:r>
        <w:rPr>
          <w:spacing w:val="-2"/>
        </w:rPr>
        <w:t>并设专人值守。</w:t>
      </w:r>
    </w:p>
    <w:p>
      <w:pPr>
        <w:pStyle w:val="Heading2"/>
        <w:spacing w:line="417" w:lineRule="auto"/>
        <w:ind w:right="1758"/>
        <w:jc w:val="both"/>
      </w:pPr>
      <w:r>
        <w:rPr>
          <w:spacing w:val="-4"/>
        </w:rPr>
        <w:t>⑶、挖掘作业：司职人员进场前必须做好安全交底，检查人员操作证</w:t>
      </w:r>
      <w:r>
        <w:rPr>
          <w:spacing w:val="-4"/>
        </w:rPr>
        <w:t>件齐全有效，参与人员安全考试，考试合格才可进场作业。挖掘前先</w:t>
      </w:r>
      <w:r>
        <w:rPr>
          <w:spacing w:val="-4"/>
        </w:rPr>
        <w:t>再三确认油罐内无浮油，管线内无油品残留，各用电设施已断电。明</w:t>
      </w:r>
      <w:r>
        <w:rPr>
          <w:spacing w:val="-4"/>
        </w:rPr>
        <w:t>确旧管线及旧电气管线走向，旁站开挖过程。实时测量开挖深度，观</w:t>
      </w:r>
      <w:r>
        <w:rPr>
          <w:spacing w:val="-2"/>
        </w:rPr>
        <w:t>察基坑土质情况。发现特殊情况及时要求停止作业。</w:t>
      </w:r>
    </w:p>
    <w:p>
      <w:pPr>
        <w:pStyle w:val="Heading2"/>
        <w:spacing w:line="343" w:lineRule="exact"/>
      </w:pPr>
      <w:r>
        <w:rPr>
          <w:spacing w:val="-5"/>
        </w:rPr>
        <w:t>⑷、基坑内作业：基坑开挖后观察土质情况，分析基底土质走向，配</w:t>
      </w:r>
    </w:p>
    <w:p>
      <w:pPr>
        <w:pStyle w:val="Heading2"/>
        <w:spacing w:before="140" w:line="333" w:lineRule="auto"/>
        <w:ind w:right="1665"/>
      </w:pPr>
      <w:r>
        <w:rPr>
          <w:spacing w:val="-2"/>
        </w:rPr>
        <w:t>合各家单位进行基槽验收，遇到流沙、地下水位较高的情况提供处理</w:t>
      </w:r>
      <w:r>
        <w:rPr>
          <w:spacing w:val="-2"/>
        </w:rPr>
        <w:t>措施建议（流沙采用拉森钢板桩、水位较高采用井点降水等</w:t>
      </w:r>
      <w:r>
        <w:rPr>
          <w:spacing w:val="-139"/>
        </w:rPr>
        <w:t>）</w:t>
      </w:r>
      <w:r>
        <w:rPr>
          <w:spacing w:val="-2"/>
        </w:rPr>
        <w:t>，检查</w:t>
      </w:r>
      <w:r>
        <w:rPr>
          <w:spacing w:val="-2"/>
        </w:rPr>
        <w:t>测量放坡系数，如特殊情况要求施工单位加大放坡比例或分层放坡，</w:t>
      </w:r>
      <w:r>
        <w:t>基坑开挖完成后检查边缘防护栏杆设置（</w:t>
      </w:r>
      <w:r>
        <w:rPr>
          <w:spacing w:val="-8"/>
        </w:rPr>
        <w:t xml:space="preserve">必须满足高度 </w:t>
      </w:r>
      <w:r>
        <w:rPr>
          <w:rFonts w:ascii="Times New Roman" w:eastAsia="Times New Roman"/>
        </w:rPr>
        <w:t xml:space="preserve">1.2 </w:t>
      </w:r>
      <w:r>
        <w:t>米，横档</w:t>
      </w:r>
    </w:p>
    <w:p>
      <w:pPr>
        <w:pStyle w:val="Heading2"/>
        <w:spacing w:before="5" w:line="333" w:lineRule="auto"/>
        <w:ind w:right="1758"/>
        <w:jc w:val="both"/>
      </w:pPr>
      <w:r>
        <w:rPr>
          <w:rFonts w:ascii="Times New Roman" w:eastAsia="Times New Roman"/>
        </w:rPr>
        <w:t xml:space="preserve">0.6 </w:t>
      </w:r>
      <w:r>
        <w:rPr>
          <w:spacing w:val="-6"/>
        </w:rPr>
        <w:t xml:space="preserve">米，踢脚板 </w:t>
      </w:r>
      <w:r>
        <w:rPr>
          <w:rFonts w:ascii="Times New Roman" w:eastAsia="Times New Roman"/>
        </w:rPr>
        <w:t xml:space="preserve">0.2 </w:t>
      </w:r>
      <w:r>
        <w:t>米，闭目网张拉遮严）和安全警示标语，夜间灯</w:t>
      </w:r>
      <w:r>
        <w:rPr>
          <w:spacing w:val="-4"/>
        </w:rPr>
        <w:t>光照明充足，基坑内不同位置设两处逃生通道（钢管搭设，台阶采用</w:t>
      </w:r>
      <w:r>
        <w:rPr>
          <w:spacing w:val="-2"/>
        </w:rPr>
        <w:t>模板铺设）扶梯应牢固可靠，角度适宜，梯侧防护符合要求。</w:t>
      </w:r>
    </w:p>
    <w:p>
      <w:pPr>
        <w:pStyle w:val="Heading2"/>
        <w:spacing w:before="19"/>
      </w:pPr>
      <w:r>
        <w:t>⑸、罐区基础作业：（详见监理实施细则内混凝土结构工程细则</w:t>
      </w:r>
      <w:r>
        <w:rPr>
          <w:spacing w:val="-10"/>
        </w:rPr>
        <w:t>）</w:t>
      </w:r>
    </w:p>
    <w:p>
      <w:pPr>
        <w:pStyle w:val="BodyText"/>
        <w:spacing w:before="9"/>
        <w:rPr>
          <w:sz w:val="20"/>
        </w:rPr>
      </w:pPr>
    </w:p>
    <w:p>
      <w:pPr>
        <w:pStyle w:val="Heading2"/>
        <w:spacing w:line="417" w:lineRule="auto"/>
        <w:ind w:right="1758"/>
        <w:jc w:val="both"/>
      </w:pPr>
      <w:r>
        <w:rPr>
          <w:spacing w:val="-4"/>
        </w:rPr>
        <w:t>⑹、新油罐作业：新油罐进场后进行外观检查，几何尺寸的复验，出</w:t>
      </w:r>
      <w:r>
        <w:t>场负压力表读数在</w:t>
      </w:r>
      <w:r>
        <w:rPr>
          <w:rFonts w:ascii="Times New Roman" w:eastAsia="Times New Roman" w:hAnsi="Times New Roman"/>
        </w:rPr>
        <w:t>-0.35mpa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rPr>
          <w:spacing w:val="-12"/>
        </w:rPr>
        <w:t>范围内，如遇压力表归零现场要求油罐厂</w:t>
      </w:r>
      <w:r>
        <w:rPr>
          <w:spacing w:val="-11"/>
        </w:rPr>
        <w:t>家进行再次抽压，压力值达到</w:t>
      </w:r>
      <w:r>
        <w:rPr>
          <w:rFonts w:ascii="Times New Roman" w:eastAsia="Times New Roman" w:hAnsi="Times New Roman"/>
        </w:rPr>
        <w:t>-0.35mpa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spacing w:val="-1"/>
        </w:rPr>
        <w:t>后保持半个小时不掉压同意进</w:t>
      </w:r>
    </w:p>
    <w:p>
      <w:pPr>
        <w:spacing w:after="0" w:line="417" w:lineRule="auto"/>
        <w:jc w:val="both"/>
        <w:sectPr>
          <w:footerReference w:type="default" r:id="rId13"/>
          <w:pgSz w:w="11910" w:h="16840"/>
          <w:pgMar w:top="1500" w:right="40" w:bottom="1180" w:left="260" w:header="0" w:footer="991"/>
          <w:pgNumType w:start="9"/>
          <w:cols w:space="708"/>
        </w:sectPr>
      </w:pPr>
    </w:p>
    <w:p>
      <w:pPr>
        <w:pStyle w:val="Heading2"/>
        <w:spacing w:before="37" w:line="417" w:lineRule="auto"/>
        <w:ind w:right="1758"/>
        <w:jc w:val="both"/>
      </w:pPr>
      <w:r>
        <w:rPr>
          <w:spacing w:val="-4"/>
        </w:rPr>
        <w:t>场使用，不满足压力要求退回处理。跟车油罐附件复验，抱箍必须满</w:t>
      </w:r>
      <w:r>
        <w:rPr>
          <w:spacing w:val="-4"/>
        </w:rPr>
        <w:t>足设计要求，使用游标卡尺等相应测量工具进行检查。新油罐吊装固</w:t>
      </w:r>
      <w:r>
        <w:rPr>
          <w:spacing w:val="-4"/>
        </w:rPr>
        <w:t xml:space="preserve">定完成后及时注水，按设备容积的 </w:t>
      </w:r>
      <w:r>
        <w:rPr>
          <w:rFonts w:ascii="Times New Roman" w:eastAsia="Times New Roman"/>
          <w:spacing w:val="-2"/>
        </w:rPr>
        <w:t>1/3</w:t>
      </w:r>
      <w:r>
        <w:rPr>
          <w:rFonts w:ascii="Times New Roman" w:eastAsia="Times New Roman"/>
          <w:spacing w:val="-16"/>
        </w:rPr>
        <w:t xml:space="preserve"> </w:t>
      </w:r>
      <w:r>
        <w:rPr>
          <w:spacing w:val="-2"/>
        </w:rPr>
        <w:t>分期注水，每期稳定时间不得</w:t>
      </w:r>
      <w:r>
        <w:rPr>
          <w:spacing w:val="-9"/>
        </w:rPr>
        <w:t xml:space="preserve">少于 </w:t>
      </w:r>
      <w:r>
        <w:rPr>
          <w:rFonts w:ascii="Times New Roman" w:eastAsia="Times New Roman"/>
        </w:rPr>
        <w:t>12H</w:t>
      </w:r>
      <w:r>
        <w:rPr>
          <w:spacing w:val="-2"/>
        </w:rPr>
        <w:t xml:space="preserve">，设备充满水后，观测时间不得少于 </w:t>
      </w:r>
      <w:r>
        <w:rPr>
          <w:rFonts w:ascii="Times New Roman" w:eastAsia="Times New Roman"/>
        </w:rPr>
        <w:t>6d</w:t>
      </w:r>
      <w:r>
        <w:t>。施工单位测量完</w:t>
      </w:r>
      <w:r>
        <w:rPr>
          <w:spacing w:val="-7"/>
        </w:rPr>
        <w:t>成后由监理人员再次进行复测油罐基础的沉降观测，数值必须真实有</w:t>
      </w:r>
      <w:r>
        <w:rPr>
          <w:spacing w:val="-4"/>
        </w:rPr>
        <w:t>效。后期观测数据必须稳定，如有不同情况及时查找原因制定整改措</w:t>
      </w:r>
      <w:r>
        <w:rPr>
          <w:spacing w:val="-6"/>
        </w:rPr>
        <w:t>施。</w:t>
      </w:r>
    </w:p>
    <w:p>
      <w:pPr>
        <w:pStyle w:val="Heading2"/>
        <w:spacing w:line="417" w:lineRule="auto"/>
        <w:ind w:right="1618"/>
      </w:pPr>
      <w:r>
        <w:rPr>
          <w:spacing w:val="-2"/>
        </w:rPr>
        <w:t>⑺、罐区回填作业：油罐安装固定完成后及时进行回填，回填材质必</w:t>
      </w:r>
      <w:r>
        <w:rPr>
          <w:spacing w:val="-14"/>
        </w:rPr>
        <w:t>须满足设计图要求回填料中无尖锐物体、无石块、碎砖、废弃钢筋等。</w:t>
      </w:r>
      <w:r>
        <w:rPr>
          <w:spacing w:val="-2"/>
        </w:rPr>
        <w:t>分层回填压实，压实后静置一段时间再次进行回填直至回填结束。回</w:t>
      </w:r>
      <w:r>
        <w:rPr>
          <w:spacing w:val="-10"/>
        </w:rPr>
        <w:t>填前进行必须进行油罐注水，避免空罐受到回填材质的挤压发生罐体</w:t>
      </w:r>
      <w:r>
        <w:rPr>
          <w:spacing w:val="-2"/>
        </w:rPr>
        <w:t>变形等情况发生。</w:t>
      </w:r>
    </w:p>
    <w:p>
      <w:pPr>
        <w:pStyle w:val="Heading1"/>
        <w:spacing w:line="407" w:lineRule="exact"/>
      </w:pPr>
      <w:bookmarkStart w:id="8" w:name="_TOC_250001"/>
      <w:bookmarkEnd w:id="8"/>
      <w:r>
        <w:rPr>
          <w:spacing w:val="-1"/>
        </w:rPr>
        <w:t>九、防渗改造工程监理工作主要安全风险管控实施细则</w:t>
      </w:r>
    </w:p>
    <w:p>
      <w:pPr>
        <w:pStyle w:val="BodyText"/>
        <w:spacing w:before="10"/>
        <w:rPr>
          <w:rFonts w:ascii="Microsoft JhengHei"/>
          <w:b/>
          <w:sz w:val="14"/>
        </w:rPr>
      </w:pPr>
    </w:p>
    <w:tbl>
      <w:tblPr>
        <w:tblStyle w:val="TableNormal0"/>
        <w:tblW w:w="0" w:type="auto"/>
        <w:jc w:val="left"/>
        <w:tblInd w:w="1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1620"/>
        <w:gridCol w:w="2880"/>
        <w:gridCol w:w="4320"/>
      </w:tblGrid>
      <w:tr>
        <w:tblPrEx>
          <w:tblW w:w="0" w:type="auto"/>
          <w:jc w:val="left"/>
          <w:tblInd w:w="143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6"/>
          <w:jc w:val="left"/>
        </w:trPr>
        <w:tc>
          <w:tcPr>
            <w:tcW w:w="648" w:type="dxa"/>
          </w:tcPr>
          <w:p>
            <w:pPr>
              <w:pStyle w:val="TableParagraph"/>
              <w:spacing w:line="351" w:lineRule="exact"/>
              <w:ind w:left="183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z w:val="28"/>
              </w:rPr>
              <w:t>序</w:t>
            </w:r>
          </w:p>
          <w:p>
            <w:pPr>
              <w:pStyle w:val="TableParagraph"/>
              <w:spacing w:line="355" w:lineRule="exact"/>
              <w:ind w:left="183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z w:val="28"/>
              </w:rPr>
              <w:t>号</w:t>
            </w:r>
          </w:p>
        </w:tc>
        <w:tc>
          <w:tcPr>
            <w:tcW w:w="1620" w:type="dxa"/>
          </w:tcPr>
          <w:p>
            <w:pPr>
              <w:pStyle w:val="TableParagraph"/>
              <w:spacing w:before="93"/>
              <w:ind w:left="247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3"/>
                <w:sz w:val="28"/>
              </w:rPr>
              <w:t>过程要点</w:t>
            </w:r>
          </w:p>
        </w:tc>
        <w:tc>
          <w:tcPr>
            <w:tcW w:w="2880" w:type="dxa"/>
          </w:tcPr>
          <w:p>
            <w:pPr>
              <w:pStyle w:val="TableParagraph"/>
              <w:spacing w:before="93"/>
              <w:ind w:left="596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2"/>
                <w:sz w:val="28"/>
              </w:rPr>
              <w:t>主要安全风险</w:t>
            </w:r>
          </w:p>
        </w:tc>
        <w:tc>
          <w:tcPr>
            <w:tcW w:w="4320" w:type="dxa"/>
          </w:tcPr>
          <w:p>
            <w:pPr>
              <w:pStyle w:val="TableParagraph"/>
              <w:spacing w:before="93"/>
              <w:ind w:left="1316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2"/>
                <w:sz w:val="28"/>
              </w:rPr>
              <w:t>主要实施细则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41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3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spacing w:line="242" w:lineRule="auto"/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人孔操作井</w:t>
            </w:r>
            <w:r>
              <w:rPr>
                <w:spacing w:val="-2"/>
                <w:sz w:val="28"/>
              </w:rPr>
              <w:t>内工艺拆除</w:t>
            </w:r>
            <w:r>
              <w:rPr>
                <w:spacing w:val="-6"/>
                <w:sz w:val="28"/>
              </w:rPr>
              <w:t>作业</w:t>
            </w:r>
          </w:p>
        </w:tc>
        <w:tc>
          <w:tcPr>
            <w:tcW w:w="2880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spacing w:line="242" w:lineRule="auto"/>
              <w:ind w:left="108" w:right="96"/>
              <w:jc w:val="both"/>
              <w:rPr>
                <w:sz w:val="28"/>
              </w:rPr>
            </w:pPr>
            <w:r>
              <w:rPr>
                <w:spacing w:val="-17"/>
                <w:sz w:val="28"/>
              </w:rPr>
              <w:t>工艺管道上法兰、人孔盖上潜油泵、液位计等拆除时发生火灾、爆炸</w:t>
            </w:r>
            <w:r>
              <w:rPr>
                <w:spacing w:val="-2"/>
                <w:sz w:val="28"/>
              </w:rPr>
              <w:t>触电事故。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审查拆除方案，确认对周围建</w:t>
            </w:r>
            <w:r>
              <w:rPr>
                <w:spacing w:val="-2"/>
                <w:sz w:val="28"/>
              </w:rPr>
              <w:t>筑物的影响。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529"/>
              </w:tabs>
              <w:spacing w:before="2" w:after="0" w:line="242" w:lineRule="auto"/>
              <w:ind w:left="527" w:right="-44" w:hanging="4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旁站对可燃气体浓度进行检测</w:t>
            </w:r>
            <w:r>
              <w:rPr>
                <w:spacing w:val="-2"/>
                <w:sz w:val="28"/>
              </w:rPr>
              <w:t>，并详细记录。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529"/>
              </w:tabs>
              <w:spacing w:before="1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z w:val="28"/>
              </w:rPr>
              <w:t>防爆工具使用（铜制工具</w:t>
            </w:r>
            <w:r>
              <w:rPr>
                <w:spacing w:val="-140"/>
                <w:sz w:val="28"/>
              </w:rPr>
              <w:t>）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529"/>
              </w:tabs>
              <w:spacing w:before="5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z w:val="28"/>
              </w:rPr>
              <w:t>油品的收集（集中收集处理</w:t>
            </w:r>
            <w:r>
              <w:rPr>
                <w:spacing w:val="-140"/>
                <w:sz w:val="28"/>
              </w:rPr>
              <w:t>）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529"/>
              </w:tabs>
              <w:spacing w:before="4" w:after="0" w:line="339" w:lineRule="exact"/>
              <w:ind w:left="529" w:right="0" w:hanging="422"/>
              <w:jc w:val="left"/>
              <w:rPr>
                <w:sz w:val="28"/>
              </w:rPr>
            </w:pPr>
            <w:r>
              <w:rPr>
                <w:sz w:val="28"/>
              </w:rPr>
              <w:t>断电后作业（现场确认</w:t>
            </w:r>
            <w:r>
              <w:rPr>
                <w:spacing w:val="-140"/>
                <w:sz w:val="28"/>
              </w:rPr>
              <w:t>）</w:t>
            </w:r>
            <w:r>
              <w:rPr>
                <w:spacing w:val="-10"/>
                <w:sz w:val="28"/>
              </w:rPr>
              <w:t>。</w:t>
            </w:r>
          </w:p>
        </w:tc>
      </w:tr>
    </w:tbl>
    <w:p>
      <w:pPr>
        <w:spacing w:after="0" w:line="339" w:lineRule="exact"/>
        <w:jc w:val="left"/>
        <w:rPr>
          <w:sz w:val="28"/>
        </w:rPr>
        <w:sectPr>
          <w:footerReference w:type="default" r:id="rId14"/>
          <w:pgSz w:w="11910" w:h="16840"/>
          <w:pgMar w:top="1520" w:right="40" w:bottom="1180" w:left="260" w:header="0" w:footer="991"/>
          <w:pgNumType w:start="10"/>
          <w:cols w:space="708"/>
        </w:sectPr>
      </w:pPr>
    </w:p>
    <w:tbl>
      <w:tblPr>
        <w:tblStyle w:val="TableNormal1"/>
        <w:tblW w:w="0" w:type="auto"/>
        <w:jc w:val="left"/>
        <w:tblInd w:w="1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1620"/>
        <w:gridCol w:w="2880"/>
        <w:gridCol w:w="4320"/>
      </w:tblGrid>
      <w:tr>
        <w:tblPrEx>
          <w:tblW w:w="0" w:type="auto"/>
          <w:jc w:val="left"/>
          <w:tblInd w:w="143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357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5"/>
              <w:rPr>
                <w:rFonts w:ascii="Microsoft JhengHei"/>
                <w:b/>
                <w:sz w:val="24"/>
              </w:rPr>
            </w:pPr>
          </w:p>
          <w:p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3"/>
                <w:sz w:val="28"/>
              </w:rPr>
              <w:t>清罐作业</w:t>
            </w:r>
          </w:p>
        </w:tc>
        <w:tc>
          <w:tcPr>
            <w:tcW w:w="2880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23"/>
              </w:rPr>
            </w:pPr>
          </w:p>
          <w:p>
            <w:pPr>
              <w:pStyle w:val="TableParagraph"/>
              <w:spacing w:line="242" w:lineRule="auto"/>
              <w:ind w:left="108" w:right="-44"/>
              <w:rPr>
                <w:sz w:val="28"/>
              </w:rPr>
            </w:pPr>
            <w:r>
              <w:rPr>
                <w:spacing w:val="-2"/>
                <w:sz w:val="28"/>
              </w:rPr>
              <w:t>清罐作业中发生火灾、</w:t>
            </w:r>
            <w:r>
              <w:rPr>
                <w:spacing w:val="-2"/>
                <w:sz w:val="28"/>
              </w:rPr>
              <w:t>爆炸事故、人员坠落、</w:t>
            </w:r>
            <w:r>
              <w:rPr>
                <w:spacing w:val="-17"/>
                <w:sz w:val="28"/>
              </w:rPr>
              <w:t>窒息或土地、水体污染</w:t>
            </w:r>
            <w:r>
              <w:rPr>
                <w:spacing w:val="-4"/>
                <w:sz w:val="28"/>
              </w:rPr>
              <w:t>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left" w:pos="529"/>
              </w:tabs>
              <w:spacing w:before="4" w:after="0" w:line="240" w:lineRule="auto"/>
              <w:ind w:left="529" w:right="-44" w:hanging="422"/>
              <w:jc w:val="left"/>
              <w:rPr>
                <w:sz w:val="28"/>
              </w:rPr>
            </w:pPr>
            <w:r>
              <w:rPr>
                <w:spacing w:val="-22"/>
                <w:sz w:val="28"/>
              </w:rPr>
              <w:t>专业队伍清罐</w:t>
            </w:r>
            <w:r>
              <w:rPr>
                <w:spacing w:val="-2"/>
                <w:sz w:val="28"/>
              </w:rPr>
              <w:t>（现场资质查看</w:t>
            </w:r>
            <w:r>
              <w:rPr>
                <w:spacing w:val="-140"/>
                <w:sz w:val="28"/>
              </w:rPr>
              <w:t>）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spacing w:before="4" w:after="0" w:line="240" w:lineRule="auto"/>
              <w:ind w:left="531" w:right="0" w:hanging="425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审核清罐专项方案，检查 </w:t>
            </w:r>
            <w:r>
              <w:rPr>
                <w:spacing w:val="-5"/>
                <w:sz w:val="28"/>
              </w:rPr>
              <w:t>HSE</w:t>
            </w:r>
          </w:p>
          <w:p>
            <w:pPr>
              <w:pStyle w:val="TableParagraph"/>
              <w:spacing w:before="5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措施。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参与安全教育，监督安全技术</w:t>
            </w:r>
            <w:r>
              <w:rPr>
                <w:spacing w:val="-4"/>
                <w:sz w:val="28"/>
              </w:rPr>
              <w:t>交底。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29"/>
              </w:tabs>
              <w:spacing w:before="2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审查清罐作业票。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spacing w:before="4" w:after="0" w:line="242" w:lineRule="auto"/>
              <w:ind w:left="527" w:right="96" w:hanging="42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清罐设备应符合防爆要求，对</w:t>
            </w:r>
            <w:r>
              <w:rPr>
                <w:spacing w:val="-2"/>
                <w:sz w:val="28"/>
              </w:rPr>
              <w:t>可燃气体浓度进行检测。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29"/>
              </w:tabs>
              <w:spacing w:before="2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罐口作业安全防护。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532"/>
              </w:tabs>
              <w:spacing w:before="0" w:after="0" w:line="360" w:lineRule="atLeast"/>
              <w:ind w:left="107" w:right="96" w:firstLine="0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配备相应的个人防护用品、安</w:t>
            </w:r>
            <w:r>
              <w:rPr>
                <w:spacing w:val="-2"/>
                <w:sz w:val="28"/>
              </w:rPr>
              <w:t>全绳，作业全过程现场旁站。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8）</w:t>
            </w:r>
            <w:r>
              <w:rPr>
                <w:spacing w:val="-1"/>
                <w:sz w:val="28"/>
              </w:rPr>
              <w:t>旁站清罐的残液的环保处理。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04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6"/>
              <w:rPr>
                <w:rFonts w:ascii="Microsoft JhengHei"/>
                <w:b/>
                <w:sz w:val="41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31"/>
              </w:rPr>
            </w:pPr>
          </w:p>
          <w:p>
            <w:pPr>
              <w:pStyle w:val="TableParagraph"/>
              <w:spacing w:before="1"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非承重罐区</w:t>
            </w:r>
            <w:r>
              <w:rPr>
                <w:spacing w:val="-6"/>
                <w:sz w:val="28"/>
              </w:rPr>
              <w:t>拆除</w:t>
            </w:r>
          </w:p>
        </w:tc>
        <w:tc>
          <w:tcPr>
            <w:tcW w:w="2880" w:type="dxa"/>
          </w:tcPr>
          <w:p>
            <w:pPr>
              <w:pStyle w:val="TableParagraph"/>
              <w:spacing w:before="3" w:line="360" w:lineRule="atLeast"/>
              <w:ind w:left="108" w:right="96"/>
              <w:jc w:val="both"/>
              <w:rPr>
                <w:sz w:val="28"/>
              </w:rPr>
            </w:pPr>
            <w:r>
              <w:rPr>
                <w:spacing w:val="-17"/>
                <w:sz w:val="28"/>
              </w:rPr>
              <w:t>拆除卸油口箱、人孔操</w:t>
            </w:r>
            <w:r>
              <w:rPr>
                <w:spacing w:val="-18"/>
                <w:sz w:val="28"/>
              </w:rPr>
              <w:t>作井、罐区地面时发生</w:t>
            </w:r>
            <w:r>
              <w:rPr>
                <w:spacing w:val="-18"/>
                <w:sz w:val="28"/>
              </w:rPr>
              <w:t>火灾、爆炸事故、人员</w:t>
            </w:r>
            <w:r>
              <w:rPr>
                <w:spacing w:val="-17"/>
                <w:sz w:val="28"/>
              </w:rPr>
              <w:t>物体打击、机械伤害事</w:t>
            </w:r>
            <w:r>
              <w:rPr>
                <w:spacing w:val="-18"/>
                <w:sz w:val="28"/>
              </w:rPr>
              <w:t>故、储油罐破损问题等</w:t>
            </w:r>
            <w:r>
              <w:rPr>
                <w:spacing w:val="14"/>
                <w:sz w:val="28"/>
              </w:rPr>
              <w:t>清理储油罐周围回填</w:t>
            </w:r>
            <w:r>
              <w:rPr>
                <w:spacing w:val="-17"/>
                <w:sz w:val="28"/>
              </w:rPr>
              <w:t>沙土时发生坍塌、人员</w:t>
            </w:r>
            <w:r>
              <w:rPr>
                <w:spacing w:val="-2"/>
                <w:sz w:val="28"/>
              </w:rPr>
              <w:t>高处坠落等事故。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查阅加油站原有施工图纸、隐</w:t>
            </w:r>
            <w:r>
              <w:rPr>
                <w:spacing w:val="-2"/>
                <w:sz w:val="28"/>
              </w:rPr>
              <w:t>蔽工程记录。</w:t>
            </w:r>
            <w:r>
              <w:rPr>
                <w:spacing w:val="80"/>
                <w:w w:val="150"/>
                <w:sz w:val="28"/>
              </w:rPr>
              <w:t xml:space="preserve">        </w:t>
            </w:r>
            <w:r>
              <w:rPr>
                <w:spacing w:val="-2"/>
                <w:sz w:val="28"/>
              </w:rPr>
              <w:t>2）审批拆除方案。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</w:tabs>
              <w:spacing w:before="2" w:after="0" w:line="240" w:lineRule="auto"/>
              <w:ind w:left="529" w:right="-44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确认储油罐已清罐合格并密闭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</w:tabs>
              <w:spacing w:before="5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机械破拆深度的控制。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</w:tabs>
              <w:spacing w:before="4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作业区的围挡和管理。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</w:tabs>
              <w:spacing w:before="5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放坡、支护等基坑保护措施。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529"/>
              </w:tabs>
              <w:spacing w:before="4" w:after="0" w:line="339" w:lineRule="exact"/>
              <w:ind w:left="529" w:right="-44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罐池临近建筑物的观测和防护</w:t>
            </w:r>
            <w:r>
              <w:rPr>
                <w:spacing w:val="-10"/>
                <w:sz w:val="28"/>
              </w:rPr>
              <w:t>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68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4"/>
              <w:rPr>
                <w:rFonts w:ascii="Microsoft JhengHei"/>
                <w:b/>
                <w:sz w:val="23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31"/>
              </w:rPr>
            </w:pPr>
          </w:p>
          <w:p>
            <w:pPr>
              <w:pStyle w:val="TableParagraph"/>
              <w:spacing w:before="1" w:line="242" w:lineRule="auto"/>
              <w:ind w:left="108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旧储油罐吊</w:t>
            </w:r>
            <w:r>
              <w:rPr>
                <w:spacing w:val="-2"/>
                <w:sz w:val="28"/>
              </w:rPr>
              <w:t>装、运输、</w:t>
            </w:r>
            <w:r>
              <w:rPr>
                <w:spacing w:val="-2"/>
                <w:sz w:val="28"/>
              </w:rPr>
              <w:t>储存、处理</w:t>
            </w:r>
          </w:p>
        </w:tc>
        <w:tc>
          <w:tcPr>
            <w:tcW w:w="2880" w:type="dxa"/>
          </w:tcPr>
          <w:p>
            <w:pPr>
              <w:pStyle w:val="TableParagraph"/>
              <w:spacing w:before="1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spacing w:line="242" w:lineRule="auto"/>
              <w:ind w:left="108" w:right="-44"/>
              <w:rPr>
                <w:sz w:val="28"/>
              </w:rPr>
            </w:pPr>
            <w:r>
              <w:rPr>
                <w:spacing w:val="14"/>
                <w:sz w:val="28"/>
              </w:rPr>
              <w:t>起重作业时发生起重</w:t>
            </w:r>
            <w:r>
              <w:rPr>
                <w:spacing w:val="-18"/>
                <w:sz w:val="28"/>
              </w:rPr>
              <w:t>伤害、吊车倾覆、储油</w:t>
            </w:r>
            <w:r>
              <w:rPr>
                <w:spacing w:val="-2"/>
                <w:sz w:val="28"/>
              </w:rPr>
              <w:t>罐破损等事故；运输、</w:t>
            </w:r>
            <w:r>
              <w:rPr>
                <w:spacing w:val="-18"/>
                <w:sz w:val="28"/>
              </w:rPr>
              <w:t>储存、后续处理发生火</w:t>
            </w:r>
            <w:r>
              <w:rPr>
                <w:spacing w:val="-2"/>
                <w:sz w:val="28"/>
              </w:rPr>
              <w:t>灾、物体打击等事故。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审批吊装方案，检查吊装作业</w:t>
            </w:r>
            <w:r>
              <w:rPr>
                <w:spacing w:val="-6"/>
                <w:sz w:val="28"/>
              </w:rPr>
              <w:t>票。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529"/>
              </w:tabs>
              <w:spacing w:before="2" w:after="0" w:line="240" w:lineRule="auto"/>
              <w:ind w:left="529" w:right="-44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储油罐封闭及周围沙土的清理</w:t>
            </w:r>
            <w:r>
              <w:rPr>
                <w:spacing w:val="-10"/>
                <w:sz w:val="28"/>
              </w:rPr>
              <w:t>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防漂抱带、工艺管道、接地扁</w:t>
            </w:r>
            <w:r>
              <w:rPr>
                <w:spacing w:val="-2"/>
                <w:sz w:val="28"/>
              </w:rPr>
              <w:t>钢等束缚物脱开。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532"/>
              </w:tabs>
              <w:spacing w:before="2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吊出储油罐的存放、运输的安</w:t>
            </w:r>
            <w:r>
              <w:rPr>
                <w:spacing w:val="-4"/>
                <w:sz w:val="28"/>
              </w:rPr>
              <w:t>全措施。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532"/>
              </w:tabs>
              <w:spacing w:before="1" w:after="0" w:line="240" w:lineRule="auto"/>
              <w:ind w:left="531" w:right="0" w:hanging="425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旧储罐应由甲方组织集中进行</w:t>
            </w:r>
          </w:p>
          <w:p>
            <w:pPr>
              <w:pStyle w:val="TableParagraph"/>
              <w:spacing w:before="5" w:line="33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专业处理。</w:t>
            </w:r>
          </w:p>
        </w:tc>
      </w:tr>
    </w:tbl>
    <w:p>
      <w:pPr>
        <w:sectPr>
          <w:footerReference w:type="default" r:id="rId15"/>
          <w:pgSz w:w="11910" w:h="16840"/>
          <w:pgMar w:top="1400" w:right="40" w:bottom="1180" w:left="260" w:header="0" w:footer="991"/>
          <w:pgNumType w:start="11"/>
          <w:cols w:space="708"/>
        </w:sectPr>
      </w:pPr>
    </w:p>
    <w:tbl>
      <w:tblPr>
        <w:tblStyle w:val="TableNormal2"/>
        <w:tblW w:w="0" w:type="auto"/>
        <w:jc w:val="left"/>
        <w:tblInd w:w="1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1620"/>
        <w:gridCol w:w="2880"/>
        <w:gridCol w:w="4320"/>
      </w:tblGrid>
      <w:tr>
        <w:tblPrEx>
          <w:tblW w:w="0" w:type="auto"/>
          <w:jc w:val="left"/>
          <w:tblInd w:w="143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41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8"/>
              <w:rPr>
                <w:rFonts w:ascii="Microsoft JhengHei"/>
                <w:b/>
                <w:sz w:val="31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620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Microsoft JhengHei"/>
                <w:b/>
                <w:sz w:val="21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加油机、工</w:t>
            </w:r>
            <w:r>
              <w:rPr>
                <w:spacing w:val="-2"/>
                <w:sz w:val="28"/>
              </w:rPr>
              <w:t>艺管道拆除</w:t>
            </w:r>
          </w:p>
        </w:tc>
        <w:tc>
          <w:tcPr>
            <w:tcW w:w="2880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spacing w:line="242" w:lineRule="auto"/>
              <w:ind w:left="108" w:right="96"/>
              <w:jc w:val="both"/>
              <w:rPr>
                <w:sz w:val="28"/>
              </w:rPr>
            </w:pPr>
            <w:r>
              <w:rPr>
                <w:spacing w:val="-18"/>
                <w:sz w:val="28"/>
              </w:rPr>
              <w:t>加油机、工艺管道拆除</w:t>
            </w:r>
            <w:r>
              <w:rPr>
                <w:spacing w:val="-18"/>
                <w:sz w:val="28"/>
              </w:rPr>
              <w:t>时发生火灾、爆炸、触</w:t>
            </w:r>
            <w:r>
              <w:rPr>
                <w:spacing w:val="-18"/>
                <w:sz w:val="28"/>
              </w:rPr>
              <w:t>电事故、加油机吊装发</w:t>
            </w:r>
            <w:r>
              <w:rPr>
                <w:spacing w:val="-2"/>
                <w:sz w:val="28"/>
              </w:rPr>
              <w:t>生设备损坏事故。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查阅加油站原有施工图纸、隐</w:t>
            </w:r>
            <w:r>
              <w:rPr>
                <w:spacing w:val="-2"/>
                <w:sz w:val="28"/>
              </w:rPr>
              <w:t>蔽工程记录。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532"/>
              </w:tabs>
              <w:spacing w:before="2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加油机及工艺管道的油品排放</w:t>
            </w:r>
            <w:r>
              <w:rPr>
                <w:spacing w:val="-4"/>
                <w:sz w:val="28"/>
              </w:rPr>
              <w:t>和清理。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532"/>
              </w:tabs>
              <w:spacing w:before="1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加油机管道的封堵和加油机的</w:t>
            </w:r>
            <w:r>
              <w:rPr>
                <w:spacing w:val="-4"/>
                <w:sz w:val="28"/>
              </w:rPr>
              <w:t>防护。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529"/>
              </w:tabs>
              <w:spacing w:before="2" w:after="0" w:line="339" w:lineRule="exact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工艺管道切割的安全措施。</w:t>
            </w:r>
          </w:p>
        </w:tc>
      </w:tr>
    </w:tbl>
    <w:p>
      <w:pPr>
        <w:spacing w:after="0" w:line="339" w:lineRule="exact"/>
        <w:jc w:val="left"/>
        <w:rPr>
          <w:sz w:val="28"/>
        </w:rPr>
        <w:sectPr>
          <w:footerReference w:type="default" r:id="rId16"/>
          <w:type w:val="nextPage"/>
          <w:pgSz w:w="11910" w:h="16840"/>
          <w:pgMar w:top="1400" w:right="40" w:bottom="1180" w:left="260" w:header="0" w:footer="991"/>
          <w:pgNumType w:start="12"/>
          <w:cols w:space="708"/>
          <w:titlePg w:val="0"/>
        </w:sectPr>
      </w:pPr>
    </w:p>
    <w:tbl>
      <w:tblPr>
        <w:tblStyle w:val="TableNormal2"/>
        <w:tblW w:w="0" w:type="auto"/>
        <w:jc w:val="left"/>
        <w:tblInd w:w="1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1620"/>
        <w:gridCol w:w="2880"/>
        <w:gridCol w:w="4320"/>
      </w:tblGrid>
      <w:tr>
        <w:tblPrEx>
          <w:tblW w:w="0" w:type="auto"/>
          <w:jc w:val="left"/>
          <w:tblInd w:w="143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15"/>
          <w:jc w:val="left"/>
        </w:trPr>
        <w:tc>
          <w:tcPr>
            <w:tcW w:w="648" w:type="dxa"/>
          </w:tcPr>
          <w:p>
            <w:pPr>
              <w:pStyle w:val="TableParagraph"/>
              <w:spacing w:before="1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620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新储油罐吊</w:t>
            </w:r>
            <w:r>
              <w:rPr>
                <w:spacing w:val="-10"/>
                <w:sz w:val="28"/>
              </w:rPr>
              <w:t>装</w:t>
            </w:r>
          </w:p>
        </w:tc>
        <w:tc>
          <w:tcPr>
            <w:tcW w:w="2880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spacing w:line="242" w:lineRule="auto"/>
              <w:ind w:left="108" w:right="-44"/>
              <w:rPr>
                <w:sz w:val="28"/>
              </w:rPr>
            </w:pPr>
            <w:r>
              <w:rPr>
                <w:spacing w:val="14"/>
                <w:sz w:val="28"/>
              </w:rPr>
              <w:t>吊装作业中发生设备</w:t>
            </w:r>
            <w:r>
              <w:rPr>
                <w:spacing w:val="-1"/>
                <w:sz w:val="28"/>
              </w:rPr>
              <w:t>损坏、人身伤害事故。</w:t>
            </w:r>
          </w:p>
        </w:tc>
        <w:tc>
          <w:tcPr>
            <w:tcW w:w="4320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val="left" w:pos="532"/>
              </w:tabs>
              <w:spacing w:before="4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审批吊装方案，检查吊装作业</w:t>
            </w:r>
            <w:r>
              <w:rPr>
                <w:spacing w:val="-6"/>
                <w:sz w:val="28"/>
              </w:rPr>
              <w:t>票。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529"/>
              </w:tabs>
              <w:spacing w:before="2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作业区的围挡和管理。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529"/>
              </w:tabs>
              <w:spacing w:before="4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罐上作业的安全管理。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529"/>
              </w:tabs>
              <w:spacing w:before="4" w:after="0" w:line="339" w:lineRule="exact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基坑内人员的安全防护。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78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Microsoft JhengHei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工艺管道及</w:t>
            </w:r>
            <w:r>
              <w:rPr>
                <w:spacing w:val="-4"/>
                <w:sz w:val="28"/>
              </w:rPr>
              <w:t>设备安装</w:t>
            </w:r>
          </w:p>
        </w:tc>
        <w:tc>
          <w:tcPr>
            <w:tcW w:w="2880" w:type="dxa"/>
          </w:tcPr>
          <w:p>
            <w:pPr>
              <w:pStyle w:val="TableParagraph"/>
              <w:spacing w:line="360" w:lineRule="atLeast"/>
              <w:ind w:left="108" w:right="96"/>
              <w:jc w:val="both"/>
              <w:rPr>
                <w:sz w:val="28"/>
              </w:rPr>
            </w:pPr>
            <w:r>
              <w:rPr>
                <w:spacing w:val="14"/>
                <w:sz w:val="28"/>
              </w:rPr>
              <w:t>工艺管道安装有物体</w:t>
            </w:r>
            <w:r>
              <w:rPr>
                <w:spacing w:val="-16"/>
                <w:sz w:val="28"/>
              </w:rPr>
              <w:t>打击、触电、灼烫、机械伤害的安全风险。工</w:t>
            </w:r>
            <w:r>
              <w:rPr>
                <w:spacing w:val="14"/>
                <w:sz w:val="28"/>
              </w:rPr>
              <w:t>艺设备安装有物体打</w:t>
            </w:r>
            <w:r>
              <w:rPr>
                <w:spacing w:val="-18"/>
                <w:sz w:val="28"/>
              </w:rPr>
              <w:t>击、机械伤害的安全风</w:t>
            </w:r>
            <w:r>
              <w:rPr>
                <w:spacing w:val="-6"/>
                <w:sz w:val="28"/>
              </w:rPr>
              <w:t>险。</w:t>
            </w:r>
          </w:p>
        </w:tc>
        <w:tc>
          <w:tcPr>
            <w:tcW w:w="4320" w:type="dxa"/>
          </w:tcPr>
          <w:p>
            <w:pPr>
              <w:pStyle w:val="TableParagraph"/>
              <w:spacing w:before="18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532"/>
              </w:tabs>
              <w:spacing w:before="0" w:after="0" w:line="242" w:lineRule="auto"/>
              <w:ind w:left="107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参与安全教育，监督安全技术</w:t>
            </w:r>
            <w:r>
              <w:rPr>
                <w:spacing w:val="-4"/>
                <w:sz w:val="28"/>
              </w:rPr>
              <w:t>交底。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529"/>
              </w:tabs>
              <w:spacing w:before="1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检查临时用电管理。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529"/>
              </w:tabs>
              <w:spacing w:before="5" w:after="0" w:line="240" w:lineRule="auto"/>
              <w:ind w:left="529" w:right="0" w:hanging="422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电动工具、手持工具的管理。</w:t>
            </w:r>
          </w:p>
        </w:tc>
      </w:tr>
    </w:tbl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7"/>
        <w:rPr>
          <w:rFonts w:ascii="Microsoft JhengHei"/>
          <w:b/>
          <w:sz w:val="18"/>
        </w:rPr>
      </w:pPr>
    </w:p>
    <w:p>
      <w:pPr>
        <w:pStyle w:val="Heading1"/>
        <w:spacing w:line="484" w:lineRule="exact"/>
      </w:pPr>
      <w:bookmarkStart w:id="9" w:name="_TOC_250000"/>
      <w:bookmarkEnd w:id="9"/>
      <w:r>
        <w:rPr>
          <w:spacing w:val="-1"/>
        </w:rPr>
        <w:t>十、防渗改造工程监理工作质量实施细则</w:t>
      </w:r>
    </w:p>
    <w:p>
      <w:pPr>
        <w:pStyle w:val="BodyText"/>
        <w:spacing w:before="12"/>
        <w:rPr>
          <w:rFonts w:ascii="Microsoft JhengHei"/>
          <w:b/>
          <w:sz w:val="14"/>
        </w:rPr>
      </w:pPr>
    </w:p>
    <w:tbl>
      <w:tblPr>
        <w:tblStyle w:val="TableNormal2"/>
        <w:tblW w:w="0" w:type="auto"/>
        <w:jc w:val="left"/>
        <w:tblInd w:w="1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8"/>
        <w:gridCol w:w="1620"/>
        <w:gridCol w:w="7200"/>
      </w:tblGrid>
      <w:tr>
        <w:tblPrEx>
          <w:tblW w:w="0" w:type="auto"/>
          <w:jc w:val="left"/>
          <w:tblInd w:w="1436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26"/>
          <w:jc w:val="left"/>
        </w:trPr>
        <w:tc>
          <w:tcPr>
            <w:tcW w:w="648" w:type="dxa"/>
          </w:tcPr>
          <w:p>
            <w:pPr>
              <w:pStyle w:val="TableParagraph"/>
              <w:spacing w:line="351" w:lineRule="exact"/>
              <w:ind w:left="183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z w:val="28"/>
              </w:rPr>
              <w:t>序</w:t>
            </w:r>
          </w:p>
          <w:p>
            <w:pPr>
              <w:pStyle w:val="TableParagraph"/>
              <w:spacing w:line="355" w:lineRule="exact"/>
              <w:ind w:left="183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z w:val="28"/>
              </w:rPr>
              <w:t>号</w:t>
            </w:r>
          </w:p>
        </w:tc>
        <w:tc>
          <w:tcPr>
            <w:tcW w:w="1620" w:type="dxa"/>
          </w:tcPr>
          <w:p>
            <w:pPr>
              <w:pStyle w:val="TableParagraph"/>
              <w:spacing w:before="93"/>
              <w:ind w:left="247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3"/>
                <w:sz w:val="28"/>
              </w:rPr>
              <w:t>重点项目</w:t>
            </w:r>
          </w:p>
        </w:tc>
        <w:tc>
          <w:tcPr>
            <w:tcW w:w="7200" w:type="dxa"/>
          </w:tcPr>
          <w:p>
            <w:pPr>
              <w:pStyle w:val="TableParagraph"/>
              <w:spacing w:before="93"/>
              <w:ind w:left="2745" w:right="2737"/>
              <w:jc w:val="center"/>
              <w:rPr>
                <w:rFonts w:ascii="Microsoft JhengHei" w:eastAsia="Microsoft JhengHei"/>
                <w:b/>
                <w:sz w:val="28"/>
              </w:rPr>
            </w:pPr>
            <w:r>
              <w:rPr>
                <w:rFonts w:ascii="Microsoft JhengHei" w:eastAsia="Microsoft JhengHei"/>
                <w:b/>
                <w:spacing w:val="-2"/>
                <w:sz w:val="28"/>
              </w:rPr>
              <w:t>主要质量要求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52"/>
          <w:jc w:val="left"/>
        </w:trPr>
        <w:tc>
          <w:tcPr>
            <w:tcW w:w="648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620" w:type="dxa"/>
          </w:tcPr>
          <w:p>
            <w:pPr>
              <w:pStyle w:val="TableParagraph"/>
              <w:spacing w:before="18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清罐质量控</w:t>
            </w:r>
            <w:r>
              <w:rPr>
                <w:spacing w:val="-10"/>
                <w:sz w:val="28"/>
              </w:rPr>
              <w:t>制</w:t>
            </w: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529"/>
              </w:tabs>
              <w:spacing w:before="4" w:after="0" w:line="240" w:lineRule="auto"/>
              <w:ind w:left="529" w:right="0" w:hanging="421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储油罐清洗应专业队伍资质审查。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529"/>
              </w:tabs>
              <w:spacing w:before="4" w:after="0" w:line="240" w:lineRule="auto"/>
              <w:ind w:left="529" w:right="0" w:hanging="421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清罐后应组织清罐队伍与施工单位进行交接。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529"/>
              </w:tabs>
              <w:spacing w:before="0" w:after="0" w:line="360" w:lineRule="atLeast"/>
              <w:ind w:left="108" w:right="95" w:firstLine="0"/>
              <w:jc w:val="left"/>
              <w:rPr>
                <w:sz w:val="28"/>
              </w:rPr>
            </w:pPr>
            <w:r>
              <w:rPr>
                <w:spacing w:val="-14"/>
                <w:sz w:val="28"/>
              </w:rPr>
              <w:t xml:space="preserve">用于进行衬 </w:t>
            </w:r>
            <w:r>
              <w:rPr>
                <w:spacing w:val="-2"/>
                <w:sz w:val="28"/>
              </w:rPr>
              <w:t>FF</w:t>
            </w:r>
            <w:r>
              <w:rPr>
                <w:spacing w:val="-11"/>
                <w:sz w:val="28"/>
              </w:rPr>
              <w:t xml:space="preserve"> 罐钢储油罐，清罐后用洁布擦拭时无脏</w:t>
            </w:r>
            <w:r>
              <w:rPr>
                <w:spacing w:val="-2"/>
                <w:sz w:val="28"/>
              </w:rPr>
              <w:t>污、油泥、铁锈且应露出金属本色。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52"/>
          <w:jc w:val="left"/>
        </w:trPr>
        <w:tc>
          <w:tcPr>
            <w:tcW w:w="648" w:type="dxa"/>
          </w:tcPr>
          <w:p>
            <w:pPr>
              <w:pStyle w:val="TableParagraph"/>
              <w:spacing w:before="15"/>
              <w:rPr>
                <w:rFonts w:ascii="Microsoft JhengHei"/>
                <w:b/>
                <w:sz w:val="29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0" w:type="dxa"/>
          </w:tcPr>
          <w:p>
            <w:pPr>
              <w:pStyle w:val="TableParagraph"/>
              <w:spacing w:before="18"/>
              <w:rPr>
                <w:rFonts w:ascii="Microsoft JhengHei"/>
                <w:b/>
                <w:sz w:val="19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储油罐检测</w:t>
            </w:r>
            <w:r>
              <w:rPr>
                <w:spacing w:val="-2"/>
                <w:sz w:val="28"/>
              </w:rPr>
              <w:t>的质量控制</w:t>
            </w: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529"/>
              </w:tabs>
              <w:spacing w:before="4" w:after="0" w:line="240" w:lineRule="auto"/>
              <w:ind w:left="529" w:right="0" w:hanging="421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储油罐检测前，应确认清罐合格，并办理交接手续。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</w:tabs>
              <w:spacing w:before="0" w:after="0" w:line="360" w:lineRule="atLeast"/>
              <w:ind w:left="108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旁站储罐检测，检测项目包括储油罐壁及封头厚度、</w:t>
            </w:r>
            <w:r>
              <w:rPr>
                <w:spacing w:val="-2"/>
                <w:sz w:val="28"/>
              </w:rPr>
              <w:t>焊缝无损检测、罐体变形量、人孔法兰和人孔盖厚度等</w:t>
            </w:r>
            <w:r>
              <w:rPr>
                <w:spacing w:val="-2"/>
                <w:sz w:val="28"/>
              </w:rPr>
              <w:t xml:space="preserve"> 3）储油罐检测单位资质审查。</w:t>
            </w:r>
          </w:p>
        </w:tc>
      </w:tr>
      <w:tr>
        <w:tblPrEx>
          <w:tblW w:w="0" w:type="auto"/>
          <w:jc w:val="left"/>
          <w:tblInd w:w="143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78"/>
          <w:jc w:val="left"/>
        </w:trPr>
        <w:tc>
          <w:tcPr>
            <w:tcW w:w="648" w:type="dxa"/>
          </w:tcPr>
          <w:p>
            <w:pPr>
              <w:pStyle w:val="TableParagraph"/>
              <w:rPr>
                <w:rFonts w:ascii="Microsoft JhengHei"/>
                <w:b/>
                <w:sz w:val="28"/>
              </w:rPr>
            </w:pPr>
          </w:p>
          <w:p>
            <w:pPr>
              <w:pStyle w:val="TableParagraph"/>
              <w:spacing w:before="11"/>
              <w:rPr>
                <w:rFonts w:ascii="Microsoft JhengHei"/>
                <w:b/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"/>
              <w:rPr>
                <w:rFonts w:ascii="Microsoft JhengHei"/>
                <w:b/>
                <w:sz w:val="39"/>
              </w:rPr>
            </w:pPr>
          </w:p>
          <w:p>
            <w:pPr>
              <w:pStyle w:val="TableParagraph"/>
              <w:spacing w:line="242" w:lineRule="auto"/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双层储油罐</w:t>
            </w:r>
            <w:r>
              <w:rPr>
                <w:spacing w:val="-2"/>
                <w:sz w:val="28"/>
              </w:rPr>
              <w:t>的质量控制</w:t>
            </w:r>
          </w:p>
        </w:tc>
        <w:tc>
          <w:tcPr>
            <w:tcW w:w="7200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</w:tabs>
              <w:spacing w:before="4" w:after="0" w:line="242" w:lineRule="auto"/>
              <w:ind w:left="108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检查双层储油罐供应厂家应提供产品质量证明文件和</w:t>
            </w:r>
            <w:r>
              <w:rPr>
                <w:spacing w:val="-2"/>
                <w:sz w:val="28"/>
              </w:rPr>
              <w:t>储油罐安装使用说明书。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</w:tabs>
              <w:spacing w:before="2" w:after="0" w:line="242" w:lineRule="auto"/>
              <w:ind w:left="108"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监督施工队伍应严格按照厂家提供的安装说明书进行</w:t>
            </w:r>
            <w:r>
              <w:rPr>
                <w:spacing w:val="-2"/>
                <w:sz w:val="28"/>
              </w:rPr>
              <w:t>安装和回填。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</w:tabs>
              <w:spacing w:before="1" w:after="0" w:line="240" w:lineRule="auto"/>
              <w:ind w:left="529" w:right="-44" w:hanging="421"/>
              <w:jc w:val="left"/>
              <w:rPr>
                <w:sz w:val="28"/>
              </w:rPr>
            </w:pPr>
            <w:r>
              <w:rPr>
                <w:spacing w:val="-3"/>
                <w:sz w:val="28"/>
              </w:rPr>
              <w:t>双层储油罐防渗漏检测装置齐全，在线检测功能正常。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</w:tabs>
              <w:spacing w:before="5" w:after="0" w:line="339" w:lineRule="exact"/>
              <w:ind w:left="529" w:right="0" w:hanging="421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安装后应进行检查、验收。</w:t>
            </w:r>
          </w:p>
        </w:tc>
      </w:tr>
    </w:tbl>
    <w:p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https://d.book118.com/896032034224010054</w:t>
        </w:r>
      </w:hyperlink>
    </w:p>
    <w:p/>
    <w:sectPr>
      <w:footerReference w:type="default" r:id="rId18"/>
      <w:type w:val="continuous"/>
      <w:pgSz w:w="11910" w:h="16840"/>
      <w:pgMar w:top="1400" w:right="40" w:bottom="1180" w:left="260" w:header="0" w:footer="991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YaHei UI">
    <w:altName w:val="Microsoft YaHei UI"/>
    <w:charset w:val="86"/>
    <w:family w:val="swiss"/>
    <w:pitch w:val="variable"/>
    <w:sig w:usb0="00000000" w:usb1="00000000" w:usb2="00000000" w:usb3="00000000" w:csb0="00040000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6pt;height:12pt;margin-top:781.33pt;margin-left:290.1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pt;height:12pt;margin-top:781.33pt;margin-left:290.1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6pt;height:12pt;margin-top:781.33pt;margin-left:290.1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pt;height:12pt;margin-top:781.33pt;margin-left:290.1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6pt;height:12pt;margin-top:781.33pt;margin-left:290.1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pt;height:12pt;margin-top:781.33pt;margin-left:290.1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6pt;height:12pt;margin-top:781.33pt;margin-left:290.1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pt;height:12pt;margin-top:781.33pt;margin-left:290.1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6pt;height:12pt;margin-top:781.33pt;margin-left:290.1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pt;height:12pt;margin-top:781.33pt;margin-left:290.1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6pt;height:12pt;margin-top:781.33pt;margin-left:290.1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pt;height:12pt;margin-top:781.33pt;margin-left:290.1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6pt;height:12pt;margin-top:781.33pt;margin-left:290.1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28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5F1BC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1">
    <w:nsid w:val="03C61910"/>
    <w:multiLevelType w:val="hybridMultilevel"/>
    <w:tmpl w:val="00000000"/>
    <w:lvl w:ilvl="0">
      <w:start w:val="1"/>
      <w:numFmt w:val="decimal"/>
      <w:lvlText w:val="%1）"/>
      <w:lvlJc w:val="left"/>
      <w:pPr>
        <w:ind w:left="5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118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9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278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5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3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415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794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173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552" w:hanging="421"/>
      </w:pPr>
      <w:rPr>
        <w:rFonts w:hint="default"/>
        <w:lang w:val="en-US" w:eastAsia="zh-CN" w:bidi="ar-SA"/>
      </w:rPr>
    </w:lvl>
  </w:abstractNum>
  <w:abstractNum w:abstractNumId="2">
    <w:nsid w:val="0610DF16"/>
    <w:multiLevelType w:val="hybridMultilevel"/>
    <w:tmpl w:val="00000000"/>
    <w:lvl w:ilvl="0">
      <w:start w:val="8"/>
      <w:numFmt w:val="decimal"/>
      <w:lvlText w:val="%1."/>
      <w:lvlJc w:val="left"/>
      <w:pPr>
        <w:ind w:left="1541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3">
    <w:nsid w:val="0E55933B"/>
    <w:multiLevelType w:val="hybridMultilevel"/>
    <w:tmpl w:val="00000000"/>
    <w:lvl w:ilvl="0">
      <w:start w:val="1"/>
      <w:numFmt w:val="decimal"/>
      <w:lvlText w:val="%1）"/>
      <w:lvlJc w:val="left"/>
      <w:pPr>
        <w:ind w:left="5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87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4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2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8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55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22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189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856" w:hanging="421"/>
      </w:pPr>
      <w:rPr>
        <w:rFonts w:hint="default"/>
        <w:lang w:val="en-US" w:eastAsia="zh-CN" w:bidi="ar-SA"/>
      </w:rPr>
    </w:lvl>
  </w:abstractNum>
  <w:abstractNum w:abstractNumId="4">
    <w:nsid w:val="10810D21"/>
    <w:multiLevelType w:val="hybridMultilevel"/>
    <w:tmpl w:val="00000000"/>
    <w:lvl w:ilvl="0">
      <w:start w:val="1"/>
      <w:numFmt w:val="decimal"/>
      <w:lvlText w:val="%1."/>
      <w:lvlJc w:val="left"/>
      <w:pPr>
        <w:ind w:left="2012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978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93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9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85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77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73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688" w:hanging="263"/>
      </w:pPr>
      <w:rPr>
        <w:rFonts w:hint="default"/>
        <w:lang w:val="en-US" w:eastAsia="zh-CN" w:bidi="ar-SA"/>
      </w:rPr>
    </w:lvl>
  </w:abstractNum>
  <w:abstractNum w:abstractNumId="5">
    <w:nsid w:val="12504705"/>
    <w:multiLevelType w:val="hybridMultilevel"/>
    <w:tmpl w:val="00000000"/>
    <w:lvl w:ilvl="0">
      <w:start w:val="1"/>
      <w:numFmt w:val="decimal"/>
      <w:lvlText w:val="%1）"/>
      <w:lvlJc w:val="left"/>
      <w:pPr>
        <w:ind w:left="5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87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4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2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8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55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22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189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856" w:hanging="421"/>
      </w:pPr>
      <w:rPr>
        <w:rFonts w:hint="default"/>
        <w:lang w:val="en-US" w:eastAsia="zh-CN" w:bidi="ar-SA"/>
      </w:rPr>
    </w:lvl>
  </w:abstractNum>
  <w:abstractNum w:abstractNumId="6">
    <w:nsid w:val="172EC190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4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8" w:hanging="4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7" w:hanging="4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6" w:hanging="4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5" w:hanging="4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4" w:hanging="4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3" w:hanging="4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2" w:hanging="426"/>
      </w:pPr>
      <w:rPr>
        <w:rFonts w:hint="default"/>
        <w:lang w:val="en-US" w:eastAsia="zh-CN" w:bidi="ar-SA"/>
      </w:rPr>
    </w:lvl>
  </w:abstractNum>
  <w:abstractNum w:abstractNumId="7">
    <w:nsid w:val="1847BF34"/>
    <w:multiLevelType w:val="hybridMultilevel"/>
    <w:tmpl w:val="00000000"/>
    <w:lvl w:ilvl="0">
      <w:start w:val="1"/>
      <w:numFmt w:val="decimal"/>
      <w:lvlText w:val="%1"/>
      <w:lvlJc w:val="left"/>
      <w:pPr>
        <w:ind w:left="192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888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857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794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76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731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700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668" w:hanging="210"/>
      </w:pPr>
      <w:rPr>
        <w:rFonts w:hint="default"/>
        <w:lang w:val="en-US" w:eastAsia="zh-CN" w:bidi="ar-SA"/>
      </w:rPr>
    </w:lvl>
  </w:abstractNum>
  <w:abstractNum w:abstractNumId="8">
    <w:nsid w:val="1AE27347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9">
    <w:nsid w:val="1C996924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10">
    <w:nsid w:val="1F6889F8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4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8" w:hanging="4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7" w:hanging="4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6" w:hanging="4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5" w:hanging="4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4" w:hanging="4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3" w:hanging="4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2" w:hanging="426"/>
      </w:pPr>
      <w:rPr>
        <w:rFonts w:hint="default"/>
        <w:lang w:val="en-US" w:eastAsia="zh-CN" w:bidi="ar-SA"/>
      </w:rPr>
    </w:lvl>
  </w:abstractNum>
  <w:abstractNum w:abstractNumId="11">
    <w:nsid w:val="1F7E0FDD"/>
    <w:multiLevelType w:val="hybridMultilevel"/>
    <w:tmpl w:val="00000000"/>
    <w:lvl w:ilvl="0">
      <w:start w:val="1"/>
      <w:numFmt w:val="decimal"/>
      <w:lvlText w:val="%1."/>
      <w:lvlJc w:val="left"/>
      <w:pPr>
        <w:ind w:left="2012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978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93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9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85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77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73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688" w:hanging="263"/>
      </w:pPr>
      <w:rPr>
        <w:rFonts w:hint="default"/>
        <w:lang w:val="en-US" w:eastAsia="zh-CN" w:bidi="ar-SA"/>
      </w:rPr>
    </w:lvl>
  </w:abstractNum>
  <w:abstractNum w:abstractNumId="12">
    <w:nsid w:val="212BF0AF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13">
    <w:nsid w:val="2B8B0694"/>
    <w:multiLevelType w:val="hybridMultilevel"/>
    <w:tmpl w:val="00000000"/>
    <w:lvl w:ilvl="0">
      <w:start w:val="1"/>
      <w:numFmt w:val="decimal"/>
      <w:lvlText w:val="%1."/>
      <w:lvlJc w:val="left"/>
      <w:pPr>
        <w:ind w:left="1899" w:hanging="182"/>
        <w:jc w:val="lef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-1"/>
        <w:w w:val="100"/>
        <w:sz w:val="19"/>
        <w:szCs w:val="19"/>
        <w:lang w:val="en-US" w:eastAsia="zh-CN" w:bidi="ar-SA"/>
      </w:rPr>
    </w:lvl>
    <w:lvl w:ilvl="1">
      <w:start w:val="1"/>
      <w:numFmt w:val="decimal"/>
      <w:lvlText w:val="%2"/>
      <w:lvlJc w:val="left"/>
      <w:pPr>
        <w:ind w:left="2145" w:hanging="186"/>
        <w:jc w:val="lef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91" w:hanging="18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43" w:hanging="18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95" w:hanging="18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347" w:hanging="18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398" w:hanging="18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450" w:hanging="18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02" w:hanging="186"/>
      </w:pPr>
      <w:rPr>
        <w:rFonts w:hint="default"/>
        <w:lang w:val="en-US" w:eastAsia="zh-CN" w:bidi="ar-SA"/>
      </w:rPr>
    </w:lvl>
  </w:abstractNum>
  <w:abstractNum w:abstractNumId="14">
    <w:nsid w:val="329995C2"/>
    <w:multiLevelType w:val="hybridMultilevel"/>
    <w:tmpl w:val="00000000"/>
    <w:lvl w:ilvl="0">
      <w:start w:val="1"/>
      <w:numFmt w:val="decimal"/>
      <w:lvlText w:val="%1"/>
      <w:lvlJc w:val="left"/>
      <w:pPr>
        <w:ind w:left="2286" w:hanging="3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12" w:hanging="3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45" w:hanging="3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5077" w:hanging="3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010" w:hanging="3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943" w:hanging="3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875" w:hanging="3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808" w:hanging="3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740" w:hanging="327"/>
      </w:pPr>
      <w:rPr>
        <w:rFonts w:hint="default"/>
        <w:lang w:val="en-US" w:eastAsia="zh-CN" w:bidi="ar-SA"/>
      </w:rPr>
    </w:lvl>
  </w:abstractNum>
  <w:abstractNum w:abstractNumId="15">
    <w:nsid w:val="36C4A30B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16">
    <w:nsid w:val="3E19046D"/>
    <w:multiLevelType w:val="hybridMultilevel"/>
    <w:tmpl w:val="00000000"/>
    <w:lvl w:ilvl="0">
      <w:start w:val="1"/>
      <w:numFmt w:val="decimal"/>
      <w:lvlText w:val="%1."/>
      <w:lvlJc w:val="left"/>
      <w:pPr>
        <w:ind w:left="1541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17">
    <w:nsid w:val="4820FC7E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4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8" w:hanging="4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7" w:hanging="4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6" w:hanging="4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5" w:hanging="4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4" w:hanging="4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3" w:hanging="4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2" w:hanging="426"/>
      </w:pPr>
      <w:rPr>
        <w:rFonts w:hint="default"/>
        <w:lang w:val="en-US" w:eastAsia="zh-CN" w:bidi="ar-SA"/>
      </w:rPr>
    </w:lvl>
  </w:abstractNum>
  <w:abstractNum w:abstractNumId="18">
    <w:nsid w:val="4D2A8EE5"/>
    <w:multiLevelType w:val="hybridMultilevel"/>
    <w:tmpl w:val="00000000"/>
    <w:lvl w:ilvl="0">
      <w:start w:val="3"/>
      <w:numFmt w:val="decimal"/>
      <w:lvlText w:val="%1）"/>
      <w:lvlJc w:val="left"/>
      <w:pPr>
        <w:ind w:left="5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97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9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278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657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03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415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794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173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552" w:hanging="421"/>
      </w:pPr>
      <w:rPr>
        <w:rFonts w:hint="default"/>
        <w:lang w:val="en-US" w:eastAsia="zh-CN" w:bidi="ar-SA"/>
      </w:rPr>
    </w:lvl>
  </w:abstractNum>
  <w:abstractNum w:abstractNumId="19">
    <w:nsid w:val="4E2DAC03"/>
    <w:multiLevelType w:val="hybridMultilevel"/>
    <w:tmpl w:val="00000000"/>
    <w:lvl w:ilvl="0">
      <w:start w:val="1"/>
      <w:numFmt w:val="decimal"/>
      <w:lvlText w:val="%1."/>
      <w:lvlJc w:val="left"/>
      <w:pPr>
        <w:ind w:left="2317" w:hanging="3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3248" w:hanging="32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4177" w:hanging="32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5105" w:hanging="32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034" w:hanging="32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963" w:hanging="32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891" w:hanging="32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820" w:hanging="32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748" w:hanging="328"/>
      </w:pPr>
      <w:rPr>
        <w:rFonts w:hint="default"/>
        <w:lang w:val="en-US" w:eastAsia="zh-CN" w:bidi="ar-SA"/>
      </w:rPr>
    </w:lvl>
  </w:abstractNum>
  <w:abstractNum w:abstractNumId="20">
    <w:nsid w:val="5C2C1650"/>
    <w:multiLevelType w:val="hybridMultilevel"/>
    <w:tmpl w:val="00000000"/>
    <w:lvl w:ilvl="0">
      <w:start w:val="1"/>
      <w:numFmt w:val="decimal"/>
      <w:lvlText w:val="%1."/>
      <w:lvlJc w:val="left"/>
      <w:pPr>
        <w:ind w:left="1541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21">
    <w:nsid w:val="5C34521D"/>
    <w:multiLevelType w:val="hybridMultilevel"/>
    <w:tmpl w:val="00000000"/>
    <w:lvl w:ilvl="0">
      <w:start w:val="1"/>
      <w:numFmt w:val="decimal"/>
      <w:lvlText w:val="%1."/>
      <w:lvlJc w:val="left"/>
      <w:pPr>
        <w:ind w:left="1541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4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22">
    <w:nsid w:val="602AC9ED"/>
    <w:multiLevelType w:val="hybridMultilevel"/>
    <w:tmpl w:val="00000000"/>
    <w:lvl w:ilvl="0">
      <w:start w:val="1"/>
      <w:numFmt w:val="decimal"/>
      <w:lvlText w:val="%1."/>
      <w:lvlJc w:val="left"/>
      <w:pPr>
        <w:ind w:left="1541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23">
    <w:nsid w:val="6495B52F"/>
    <w:multiLevelType w:val="hybridMultilevel"/>
    <w:tmpl w:val="00000000"/>
    <w:lvl w:ilvl="0">
      <w:start w:val="1"/>
      <w:numFmt w:val="decimal"/>
      <w:lvlText w:val="%1."/>
      <w:lvlJc w:val="left"/>
      <w:pPr>
        <w:ind w:left="1541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46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553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59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566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57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579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86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92" w:hanging="316"/>
      </w:pPr>
      <w:rPr>
        <w:rFonts w:hint="default"/>
        <w:lang w:val="en-US" w:eastAsia="zh-CN" w:bidi="ar-SA"/>
      </w:rPr>
    </w:lvl>
  </w:abstractNum>
  <w:abstractNum w:abstractNumId="24">
    <w:nsid w:val="67F11DE0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521" w:hanging="42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942" w:hanging="4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63" w:hanging="4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784" w:hanging="4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205" w:hanging="4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626" w:hanging="4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047" w:hanging="4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468" w:hanging="424"/>
      </w:pPr>
      <w:rPr>
        <w:rFonts w:hint="default"/>
        <w:lang w:val="en-US" w:eastAsia="zh-CN" w:bidi="ar-SA"/>
      </w:rPr>
    </w:lvl>
  </w:abstractNum>
  <w:abstractNum w:abstractNumId="25">
    <w:nsid w:val="6EDDE090"/>
    <w:multiLevelType w:val="hybridMultilevel"/>
    <w:tmpl w:val="00000000"/>
    <w:lvl w:ilvl="0">
      <w:start w:val="1"/>
      <w:numFmt w:val="decimal"/>
      <w:lvlText w:val="%1."/>
      <w:lvlJc w:val="left"/>
      <w:pPr>
        <w:ind w:left="2172" w:hanging="3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1"/>
      <w:numFmt w:val="decimal"/>
      <w:lvlText w:val="%2"/>
      <w:lvlJc w:val="left"/>
      <w:pPr>
        <w:ind w:left="2327" w:hanging="186"/>
        <w:jc w:val="righ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51" w:hanging="18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83" w:hanging="18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15" w:hanging="18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447" w:hanging="18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478" w:hanging="18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510" w:hanging="18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542" w:hanging="186"/>
      </w:pPr>
      <w:rPr>
        <w:rFonts w:hint="default"/>
        <w:lang w:val="en-US" w:eastAsia="zh-CN" w:bidi="ar-SA"/>
      </w:rPr>
    </w:lvl>
  </w:abstractNum>
  <w:abstractNum w:abstractNumId="26">
    <w:nsid w:val="75BD2745"/>
    <w:multiLevelType w:val="hybridMultilevel"/>
    <w:tmpl w:val="00000000"/>
    <w:lvl w:ilvl="0">
      <w:start w:val="1"/>
      <w:numFmt w:val="decimal"/>
      <w:lvlText w:val="%1）"/>
      <w:lvlJc w:val="left"/>
      <w:pPr>
        <w:ind w:left="5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87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4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2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88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55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22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189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856" w:hanging="421"/>
      </w:pPr>
      <w:rPr>
        <w:rFonts w:hint="default"/>
        <w:lang w:val="en-US" w:eastAsia="zh-CN" w:bidi="ar-SA"/>
      </w:rPr>
    </w:lvl>
  </w:abstractNum>
  <w:abstractNum w:abstractNumId="27">
    <w:nsid w:val="799DA8AA"/>
    <w:multiLevelType w:val="hybridMultilevel"/>
    <w:tmpl w:val="00000000"/>
    <w:lvl w:ilvl="0">
      <w:start w:val="1"/>
      <w:numFmt w:val="decimal"/>
      <w:lvlText w:val="%1."/>
      <w:lvlJc w:val="left"/>
      <w:pPr>
        <w:ind w:left="1645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636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33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629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626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623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619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616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612" w:hanging="265"/>
      </w:pPr>
      <w:rPr>
        <w:rFonts w:hint="default"/>
        <w:lang w:val="en-US" w:eastAsia="zh-CN" w:bidi="ar-SA"/>
      </w:rPr>
    </w:lvl>
  </w:abstractNum>
  <w:abstractNum w:abstractNumId="28">
    <w:nsid w:val="7A901DC3"/>
    <w:multiLevelType w:val="hybridMultilevel"/>
    <w:tmpl w:val="00000000"/>
    <w:lvl w:ilvl="0">
      <w:start w:val="1"/>
      <w:numFmt w:val="decimal"/>
      <w:lvlText w:val="%1）"/>
      <w:lvlJc w:val="left"/>
      <w:pPr>
        <w:ind w:left="108" w:hanging="426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09" w:hanging="4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18" w:hanging="4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27" w:hanging="4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36" w:hanging="4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45" w:hanging="4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354" w:hanging="4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063" w:hanging="4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5772" w:hanging="426"/>
      </w:pPr>
      <w:rPr>
        <w:rFonts w:hint="default"/>
        <w:lang w:val="en-US" w:eastAsia="zh-CN" w:bidi="ar-SA"/>
      </w:rPr>
    </w:lvl>
  </w:abstractNum>
  <w:abstractNum w:abstractNumId="29">
    <w:nsid w:val="7D9CC446"/>
    <w:multiLevelType w:val="hybridMultilevel"/>
    <w:tmpl w:val="00000000"/>
    <w:lvl w:ilvl="0">
      <w:start w:val="1"/>
      <w:numFmt w:val="decimal"/>
      <w:lvlText w:val="%1."/>
      <w:lvlJc w:val="left"/>
      <w:pPr>
        <w:ind w:left="2012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978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93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89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85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81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77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73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9688" w:hanging="263"/>
      </w:pPr>
      <w:rPr>
        <w:rFonts w:hint="default"/>
        <w:lang w:val="en-US" w:eastAsia="zh-CN" w:bidi="ar-SA"/>
      </w:rPr>
    </w:lvl>
  </w:abstractNum>
  <w:num w:numId="1">
    <w:abstractNumId w:val="19"/>
  </w:num>
  <w:num w:numId="2">
    <w:abstractNumId w:val="7"/>
  </w:num>
  <w:num w:numId="3">
    <w:abstractNumId w:val="14"/>
  </w:num>
  <w:num w:numId="4">
    <w:abstractNumId w:val="13"/>
  </w:num>
  <w:num w:numId="5">
    <w:abstractNumId w:val="27"/>
  </w:num>
  <w:num w:numId="6">
    <w:abstractNumId w:val="11"/>
  </w:num>
  <w:num w:numId="7">
    <w:abstractNumId w:val="4"/>
  </w:num>
  <w:num w:numId="8">
    <w:abstractNumId w:val="29"/>
  </w:num>
  <w:num w:numId="9">
    <w:abstractNumId w:val="25"/>
  </w:num>
  <w:num w:numId="10">
    <w:abstractNumId w:val="20"/>
  </w:num>
  <w:num w:numId="11">
    <w:abstractNumId w:val="22"/>
  </w:num>
  <w:num w:numId="12">
    <w:abstractNumId w:val="2"/>
  </w:num>
  <w:num w:numId="13">
    <w:abstractNumId w:val="23"/>
  </w:num>
  <w:num w:numId="14">
    <w:abstractNumId w:val="21"/>
  </w:num>
  <w:num w:numId="15">
    <w:abstractNumId w:val="16"/>
  </w:num>
  <w:num w:numId="16">
    <w:abstractNumId w:val="10"/>
  </w:num>
  <w:num w:numId="17">
    <w:abstractNumId w:val="17"/>
  </w:num>
  <w:num w:numId="18">
    <w:abstractNumId w:val="6"/>
  </w:num>
  <w:num w:numId="19">
    <w:abstractNumId w:val="3"/>
  </w:num>
  <w:num w:numId="20">
    <w:abstractNumId w:val="28"/>
  </w:num>
  <w:num w:numId="21">
    <w:abstractNumId w:val="26"/>
  </w:num>
  <w:num w:numId="22">
    <w:abstractNumId w:val="5"/>
  </w:num>
  <w:num w:numId="23">
    <w:abstractNumId w:val="15"/>
  </w:num>
  <w:num w:numId="24">
    <w:abstractNumId w:val="0"/>
  </w:num>
  <w:num w:numId="25">
    <w:abstractNumId w:val="24"/>
  </w:num>
  <w:num w:numId="26">
    <w:abstractNumId w:val="12"/>
  </w:num>
  <w:num w:numId="27">
    <w:abstractNumId w:val="18"/>
  </w:num>
  <w:num w:numId="28">
    <w:abstractNumId w:val="8"/>
  </w:num>
  <w:num w:numId="29">
    <w:abstractNumId w:val="1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540"/>
      <w:outlineLvl w:val="0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1540"/>
      <w:outlineLvl w:val="1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1540"/>
      <w:outlineLvl w:val="2"/>
    </w:pPr>
    <w:rPr>
      <w:rFonts w:ascii="Microsoft JhengHei" w:eastAsia="Microsoft JhengHei" w:hAnsi="Microsoft JhengHei" w:cs="Microsoft JhengHei"/>
      <w:b/>
      <w:bCs/>
      <w:sz w:val="21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265"/>
      <w:ind w:left="1960"/>
    </w:pPr>
    <w:rPr>
      <w:rFonts w:ascii="黑体" w:eastAsia="黑体" w:hAnsi="黑体" w:cs="黑体"/>
      <w:sz w:val="28"/>
      <w:szCs w:val="28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541" w:hanging="186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image" Target="media/image1.jpeg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896032034224010054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2024-03-04T12:56:50Z</dcterms:created>
  <dcterms:modified xsi:type="dcterms:W3CDTF">2024-03-04T12:56:50Z</dcterms:modified>
</cp:coreProperties>
</file>