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4083" w:rsidRPr="009D20D3" w:rsidP="00834083">
      <w:pPr>
        <w:spacing w:line="360" w:lineRule="auto"/>
        <w:jc w:val="center"/>
        <w:rPr>
          <w:rFonts w:ascii="华文中宋" w:eastAsia="华文中宋" w:hAnsi="华文中宋"/>
          <w:b/>
          <w:sz w:val="44"/>
          <w:szCs w:val="44"/>
        </w:rPr>
      </w:pPr>
      <w:r w:rsidRPr="009D20D3">
        <w:rPr>
          <w:rFonts w:ascii="华文中宋" w:eastAsia="华文中宋" w:hAnsi="华文中宋" w:hint="eastAsia"/>
          <w:b/>
          <w:sz w:val="44"/>
          <w:szCs w:val="44"/>
        </w:rPr>
        <w:t>证券公司股指类结构化理财产品定价分析</w:t>
      </w:r>
    </w:p>
    <w:p w:rsidR="00834083" w:rsidRPr="00BE5321" w:rsidP="00834083">
      <w:pPr>
        <w:spacing w:line="360" w:lineRule="auto"/>
        <w:jc w:val="right"/>
        <w:rPr>
          <w:rFonts w:asciiTheme="minorEastAsia" w:hAnsiTheme="minorEastAsia"/>
          <w:b/>
          <w:sz w:val="24"/>
          <w:szCs w:val="24"/>
        </w:rPr>
      </w:pPr>
      <w:r w:rsidRPr="00BE5321">
        <w:rPr>
          <w:rFonts w:asciiTheme="minorEastAsia" w:hAnsiTheme="minorEastAsia" w:hint="eastAsia"/>
          <w:b/>
          <w:sz w:val="24"/>
          <w:szCs w:val="24"/>
        </w:rPr>
        <w:t>—基于东方</w:t>
      </w:r>
      <w:r w:rsidRPr="00BE5321">
        <w:rPr>
          <w:rFonts w:asciiTheme="minorEastAsia" w:hAnsiTheme="minorEastAsia" w:hint="eastAsia"/>
          <w:b/>
          <w:sz w:val="24"/>
          <w:szCs w:val="24"/>
        </w:rPr>
        <w:t>证券金鳍</w:t>
      </w:r>
      <w:r w:rsidRPr="00BE5321">
        <w:rPr>
          <w:rFonts w:asciiTheme="minorEastAsia" w:hAnsiTheme="minorEastAsia" w:hint="eastAsia"/>
          <w:b/>
          <w:sz w:val="24"/>
          <w:szCs w:val="24"/>
        </w:rPr>
        <w:t>473期26天收益凭证</w:t>
      </w:r>
    </w:p>
    <w:p w:rsidR="007C16F1" w:rsidRPr="007C16F1" w:rsidP="007C16F1">
      <w:pPr>
        <w:spacing w:line="360" w:lineRule="auto"/>
        <w:jc w:val="center"/>
        <w:outlineLvl w:val="0"/>
        <w:rPr>
          <w:rFonts w:ascii="华文中宋" w:eastAsia="华文中宋" w:hAnsi="华文中宋"/>
          <w:b/>
          <w:sz w:val="44"/>
          <w:szCs w:val="44"/>
        </w:rPr>
      </w:pPr>
      <w:bookmarkStart w:id="0" w:name="_Toc35810055"/>
      <w:r w:rsidRPr="007C16F1">
        <w:rPr>
          <w:rFonts w:ascii="华文中宋" w:eastAsia="华文中宋" w:hAnsi="华文中宋" w:hint="eastAsia"/>
          <w:b/>
          <w:sz w:val="44"/>
          <w:szCs w:val="44"/>
        </w:rPr>
        <w:t>摘要</w:t>
      </w:r>
      <w:bookmarkEnd w:id="0"/>
    </w:p>
    <w:p w:rsidR="007C16F1" w:rsidRPr="007C16F1" w:rsidP="00311EFF">
      <w:pPr>
        <w:spacing w:line="360" w:lineRule="auto"/>
        <w:ind w:firstLine="480" w:firstLineChars="200"/>
        <w:rPr>
          <w:rFonts w:ascii="华文中宋" w:eastAsia="华文中宋" w:hAnsi="华文中宋"/>
          <w:b/>
          <w:sz w:val="44"/>
          <w:szCs w:val="44"/>
        </w:rPr>
      </w:pPr>
      <w:r w:rsidRPr="007C16F1">
        <w:rPr>
          <w:rFonts w:asciiTheme="minorEastAsia" w:hAnsiTheme="minorEastAsia"/>
          <w:b/>
          <w:sz w:val="24"/>
          <w:szCs w:val="24"/>
        </w:rPr>
        <w:t>资管新规</w:t>
      </w:r>
      <w:r w:rsidRPr="007C16F1">
        <w:rPr>
          <w:rFonts w:asciiTheme="minorEastAsia" w:hAnsiTheme="minorEastAsia"/>
          <w:b/>
          <w:sz w:val="24"/>
          <w:szCs w:val="24"/>
        </w:rPr>
        <w:t>出台后</w:t>
      </w:r>
      <w:r w:rsidRPr="007C16F1">
        <w:rPr>
          <w:rFonts w:asciiTheme="minorEastAsia" w:hAnsiTheme="minorEastAsia" w:hint="eastAsia"/>
          <w:b/>
          <w:sz w:val="24"/>
          <w:szCs w:val="24"/>
        </w:rPr>
        <w:t>，</w:t>
      </w:r>
      <w:r w:rsidRPr="007C16F1">
        <w:rPr>
          <w:rFonts w:asciiTheme="minorEastAsia" w:hAnsiTheme="minorEastAsia"/>
          <w:b/>
          <w:sz w:val="24"/>
          <w:szCs w:val="24"/>
        </w:rPr>
        <w:t>设计灵活又可保本的证券公司结构化理财产品异军突起</w:t>
      </w:r>
      <w:r w:rsidRPr="007C16F1">
        <w:rPr>
          <w:rFonts w:asciiTheme="minorEastAsia" w:hAnsiTheme="minorEastAsia" w:hint="eastAsia"/>
          <w:b/>
          <w:sz w:val="24"/>
          <w:szCs w:val="24"/>
        </w:rPr>
        <w:t>，从2020年3月1日施行的新证券法强调投资者权益保护的实际意义和加深对券商结构化理财产品研究的理论意义两方面来看，都有必要研究对证券公司收益凭证的定价，而股指是投资者较为熟悉并广为接受的金融标的，所以本文选择对证券公司股指类结构化理财产品加以研究。以东方证券“金鳍473期26天”收益凭证为例，本文采用</w:t>
      </w:r>
      <w:r w:rsidRPr="007C16F1">
        <w:rPr>
          <w:rFonts w:asciiTheme="minorEastAsia" w:hAnsiTheme="minorEastAsia" w:hint="eastAsia"/>
          <w:b/>
          <w:sz w:val="24"/>
          <w:szCs w:val="24"/>
        </w:rPr>
        <w:t>鞅</w:t>
      </w:r>
      <w:r w:rsidRPr="007C16F1">
        <w:rPr>
          <w:rFonts w:asciiTheme="minorEastAsia" w:hAnsiTheme="minorEastAsia" w:hint="eastAsia"/>
          <w:b/>
          <w:sz w:val="24"/>
          <w:szCs w:val="24"/>
        </w:rPr>
        <w:t>定价和蒙特卡罗模拟两种方法对其定价，两者相互验证得到该产品的理论价值——该产品以0.0848%的溢价率溢价发行，并对定价结果进行分析。最后基于分析结论，给出对监管层、发行方和投资者三方的建议。</w:t>
      </w:r>
    </w:p>
    <w:p w:rsidR="007C16F1" w:rsidRPr="007C16F1" w:rsidP="00311EFF">
      <w:pPr>
        <w:spacing w:line="360" w:lineRule="auto"/>
        <w:jc w:val="center"/>
        <w:rPr>
          <w:rFonts w:asciiTheme="minorEastAsia" w:hAnsiTheme="minorEastAsia"/>
          <w:b/>
          <w:sz w:val="24"/>
          <w:szCs w:val="24"/>
        </w:rPr>
      </w:pPr>
      <w:r w:rsidRPr="007C16F1">
        <w:rPr>
          <w:rFonts w:asciiTheme="minorEastAsia" w:hAnsiTheme="minorEastAsia" w:hint="eastAsia"/>
          <w:b/>
          <w:sz w:val="24"/>
          <w:szCs w:val="24"/>
        </w:rPr>
        <w:t>关键词:收益凭证；结构化理财产品；</w:t>
      </w:r>
      <w:r w:rsidRPr="007C16F1">
        <w:rPr>
          <w:rFonts w:asciiTheme="minorEastAsia" w:hAnsiTheme="minorEastAsia" w:hint="eastAsia"/>
          <w:b/>
          <w:sz w:val="24"/>
          <w:szCs w:val="24"/>
        </w:rPr>
        <w:t>鞅</w:t>
      </w:r>
      <w:r w:rsidRPr="007C16F1">
        <w:rPr>
          <w:rFonts w:asciiTheme="minorEastAsia" w:hAnsiTheme="minorEastAsia" w:hint="eastAsia"/>
          <w:b/>
          <w:sz w:val="24"/>
          <w:szCs w:val="24"/>
        </w:rPr>
        <w:t>定价；蒙特卡洛模拟；单向鲨鱼</w:t>
      </w:r>
      <w:r w:rsidRPr="007C16F1">
        <w:rPr>
          <w:rFonts w:asciiTheme="minorEastAsia" w:hAnsiTheme="minorEastAsia" w:hint="eastAsia"/>
          <w:b/>
          <w:sz w:val="24"/>
          <w:szCs w:val="24"/>
        </w:rPr>
        <w:t>鳍</w:t>
      </w:r>
      <w:r w:rsidRPr="007C16F1">
        <w:rPr>
          <w:rFonts w:asciiTheme="minorEastAsia" w:hAnsiTheme="minorEastAsia" w:hint="eastAsia"/>
          <w:b/>
          <w:sz w:val="24"/>
          <w:szCs w:val="24"/>
        </w:rPr>
        <w:t>期权</w:t>
      </w:r>
    </w:p>
    <w:p w:rsidR="00311EFF" w:rsidP="007C16F1">
      <w:pPr>
        <w:spacing w:after="312" w:afterLines="100" w:line="360" w:lineRule="auto"/>
        <w:jc w:val="center"/>
        <w:outlineLvl w:val="0"/>
        <w:rPr>
          <w:rFonts w:ascii="Times New Roman" w:hAnsi="Times New Roman" w:cs="Times New Roman" w:hint="eastAsia"/>
          <w:b/>
          <w:sz w:val="44"/>
          <w:szCs w:val="44"/>
        </w:rPr>
      </w:pPr>
      <w:bookmarkStart w:id="1" w:name="_Toc35810056"/>
    </w:p>
    <w:p w:rsidR="00311EFF" w:rsidP="007C16F1">
      <w:pPr>
        <w:spacing w:after="312" w:afterLines="100" w:line="360" w:lineRule="auto"/>
        <w:jc w:val="center"/>
        <w:outlineLvl w:val="0"/>
        <w:rPr>
          <w:rFonts w:ascii="Times New Roman" w:hAnsi="Times New Roman" w:cs="Times New Roman" w:hint="eastAsia"/>
          <w:b/>
          <w:sz w:val="44"/>
          <w:szCs w:val="44"/>
        </w:rPr>
      </w:pPr>
    </w:p>
    <w:p w:rsidR="00311EFF" w:rsidP="007C16F1">
      <w:pPr>
        <w:spacing w:after="312" w:afterLines="100" w:line="360" w:lineRule="auto"/>
        <w:jc w:val="center"/>
        <w:outlineLvl w:val="0"/>
        <w:rPr>
          <w:rFonts w:ascii="Times New Roman" w:hAnsi="Times New Roman" w:cs="Times New Roman" w:hint="eastAsia"/>
          <w:b/>
          <w:sz w:val="44"/>
          <w:szCs w:val="44"/>
        </w:rPr>
      </w:pPr>
    </w:p>
    <w:p w:rsidR="00311EFF" w:rsidP="007C16F1">
      <w:pPr>
        <w:spacing w:after="312" w:afterLines="100" w:line="360" w:lineRule="auto"/>
        <w:jc w:val="center"/>
        <w:outlineLvl w:val="0"/>
        <w:rPr>
          <w:rFonts w:ascii="Times New Roman" w:hAnsi="Times New Roman" w:cs="Times New Roman" w:hint="eastAsia"/>
          <w:b/>
          <w:sz w:val="44"/>
          <w:szCs w:val="44"/>
        </w:rPr>
      </w:pPr>
    </w:p>
    <w:p w:rsidR="00311EFF" w:rsidP="007C16F1">
      <w:pPr>
        <w:spacing w:after="312" w:afterLines="100" w:line="360" w:lineRule="auto"/>
        <w:jc w:val="center"/>
        <w:outlineLvl w:val="0"/>
        <w:rPr>
          <w:rFonts w:ascii="Times New Roman" w:hAnsi="Times New Roman" w:cs="Times New Roman" w:hint="eastAsia"/>
          <w:b/>
          <w:sz w:val="44"/>
          <w:szCs w:val="44"/>
        </w:rPr>
      </w:pPr>
    </w:p>
    <w:p w:rsidR="00311EFF" w:rsidP="007C16F1">
      <w:pPr>
        <w:spacing w:after="312" w:afterLines="100" w:line="360" w:lineRule="auto"/>
        <w:jc w:val="center"/>
        <w:outlineLvl w:val="0"/>
        <w:rPr>
          <w:rFonts w:ascii="Times New Roman" w:hAnsi="Times New Roman" w:cs="Times New Roman" w:hint="eastAsia"/>
          <w:b/>
          <w:sz w:val="44"/>
          <w:szCs w:val="44"/>
        </w:rPr>
      </w:pPr>
    </w:p>
    <w:p w:rsidR="00311EFF" w:rsidP="007C16F1">
      <w:pPr>
        <w:spacing w:after="312" w:afterLines="100" w:line="360" w:lineRule="auto"/>
        <w:jc w:val="center"/>
        <w:outlineLvl w:val="0"/>
        <w:rPr>
          <w:rFonts w:ascii="Times New Roman" w:hAnsi="Times New Roman" w:cs="Times New Roman" w:hint="eastAsia"/>
          <w:b/>
          <w:sz w:val="44"/>
          <w:szCs w:val="44"/>
        </w:rPr>
        <w:sectPr w:rsidSect="00311EFF">
          <w:pgSz w:w="11906" w:h="16838"/>
          <w:pgMar w:top="1701" w:right="1701" w:bottom="1701" w:left="1701" w:header="851" w:footer="992" w:gutter="0"/>
          <w:cols w:space="425"/>
          <w:docGrid w:type="lines" w:linePitch="312"/>
        </w:sectPr>
      </w:pPr>
    </w:p>
    <w:p w:rsidR="007C16F1" w:rsidRPr="007C16F1" w:rsidP="007C16F1">
      <w:pPr>
        <w:spacing w:after="312" w:afterLines="100" w:line="360" w:lineRule="auto"/>
        <w:jc w:val="center"/>
        <w:outlineLvl w:val="0"/>
        <w:rPr>
          <w:rFonts w:ascii="Times New Roman" w:hAnsi="Times New Roman" w:cs="Times New Roman"/>
          <w:b/>
          <w:sz w:val="44"/>
          <w:szCs w:val="44"/>
        </w:rPr>
      </w:pPr>
      <w:r w:rsidRPr="007C16F1">
        <w:rPr>
          <w:rFonts w:ascii="Times New Roman" w:hAnsi="Times New Roman" w:cs="Times New Roman"/>
          <w:b/>
          <w:sz w:val="44"/>
          <w:szCs w:val="44"/>
        </w:rPr>
        <w:t>Abstract</w:t>
      </w:r>
      <w:bookmarkEnd w:id="1"/>
    </w:p>
    <w:p w:rsidR="006F576D" w:rsidP="00311EFF">
      <w:pPr>
        <w:spacing w:line="360" w:lineRule="auto"/>
        <w:ind w:firstLine="480" w:firstLineChars="200"/>
        <w:rPr>
          <w:rFonts w:ascii="Times New Roman" w:hAnsi="Times New Roman" w:cs="Times New Roman"/>
          <w:b/>
          <w:sz w:val="24"/>
          <w:szCs w:val="24"/>
        </w:rPr>
      </w:pPr>
      <w:r w:rsidRPr="007C16F1">
        <w:rPr>
          <w:rFonts w:ascii="Times New Roman" w:hAnsi="Times New Roman" w:cs="Times New Roman"/>
          <w:b/>
          <w:sz w:val="24"/>
          <w:szCs w:val="24"/>
        </w:rPr>
        <w:t xml:space="preserve">After the introduction of new regulations on asset management, </w:t>
      </w:r>
      <w:r w:rsidRPr="007C16F1">
        <w:rPr>
          <w:rFonts w:ascii="Times New Roman" w:hAnsi="Times New Roman" w:cs="Times New Roman" w:hint="eastAsia"/>
          <w:b/>
          <w:sz w:val="24"/>
          <w:szCs w:val="24"/>
        </w:rPr>
        <w:t>S</w:t>
      </w:r>
      <w:r w:rsidRPr="007C16F1">
        <w:rPr>
          <w:rFonts w:ascii="Times New Roman" w:hAnsi="Times New Roman" w:cs="Times New Roman"/>
          <w:b/>
          <w:sz w:val="24"/>
          <w:szCs w:val="24"/>
        </w:rPr>
        <w:t>ecurities companies’ structured financi</w:t>
      </w:r>
      <w:r w:rsidRPr="007C16F1">
        <w:rPr>
          <w:rFonts w:ascii="Times New Roman" w:hAnsi="Times New Roman" w:cs="Times New Roman" w:hint="eastAsia"/>
          <w:b/>
          <w:sz w:val="24"/>
          <w:szCs w:val="24"/>
        </w:rPr>
        <w:t>ng</w:t>
      </w:r>
      <w:r w:rsidRPr="007C16F1">
        <w:rPr>
          <w:rFonts w:ascii="Times New Roman" w:hAnsi="Times New Roman" w:cs="Times New Roman"/>
          <w:b/>
          <w:sz w:val="24"/>
          <w:szCs w:val="24"/>
        </w:rPr>
        <w:t xml:space="preserve"> products with flexible design have sprung up. </w:t>
      </w:r>
      <w:r w:rsidRPr="007C16F1">
        <w:rPr>
          <w:rFonts w:ascii="Times New Roman" w:hAnsi="Times New Roman" w:cs="Times New Roman" w:hint="eastAsia"/>
          <w:b/>
          <w:sz w:val="24"/>
          <w:szCs w:val="24"/>
        </w:rPr>
        <w:t>In view of</w:t>
      </w:r>
      <w:r w:rsidRPr="007C16F1">
        <w:rPr>
          <w:rFonts w:ascii="Times New Roman" w:hAnsi="Times New Roman" w:cs="Times New Roman"/>
          <w:b/>
          <w:sz w:val="24"/>
          <w:szCs w:val="24"/>
        </w:rPr>
        <w:t xml:space="preserve"> two aspects </w:t>
      </w:r>
      <w:r w:rsidRPr="007C16F1">
        <w:rPr>
          <w:rFonts w:ascii="Times New Roman" w:hAnsi="Times New Roman" w:cs="Times New Roman" w:hint="eastAsia"/>
          <w:b/>
          <w:sz w:val="24"/>
          <w:szCs w:val="24"/>
        </w:rPr>
        <w:t xml:space="preserve">about </w:t>
      </w:r>
      <w:r w:rsidRPr="007C16F1">
        <w:rPr>
          <w:rFonts w:ascii="Times New Roman" w:hAnsi="Times New Roman" w:cs="Times New Roman"/>
          <w:b/>
          <w:sz w:val="24"/>
          <w:szCs w:val="24"/>
        </w:rPr>
        <w:t xml:space="preserve">the practical significance and the theoretical </w:t>
      </w:r>
      <w:r w:rsidRPr="007C16F1">
        <w:rPr>
          <w:rFonts w:ascii="Times New Roman" w:hAnsi="Times New Roman" w:cs="Times New Roman" w:hint="eastAsia"/>
          <w:b/>
          <w:sz w:val="24"/>
          <w:szCs w:val="24"/>
        </w:rPr>
        <w:t>importance, it</w:t>
      </w:r>
      <w:r w:rsidRPr="007C16F1">
        <w:rPr>
          <w:rFonts w:ascii="Times New Roman" w:hAnsi="Times New Roman" w:cs="Times New Roman"/>
          <w:b/>
          <w:sz w:val="24"/>
          <w:szCs w:val="24"/>
        </w:rPr>
        <w:t>’</w:t>
      </w:r>
      <w:r w:rsidRPr="007C16F1">
        <w:rPr>
          <w:rFonts w:ascii="Times New Roman" w:hAnsi="Times New Roman" w:cs="Times New Roman" w:hint="eastAsia"/>
          <w:b/>
          <w:sz w:val="24"/>
          <w:szCs w:val="24"/>
        </w:rPr>
        <w:t xml:space="preserve">s necessary to </w:t>
      </w:r>
      <w:r w:rsidRPr="007C16F1">
        <w:rPr>
          <w:rFonts w:ascii="Times New Roman" w:hAnsi="Times New Roman" w:cs="Times New Roman"/>
          <w:b/>
          <w:sz w:val="24"/>
          <w:szCs w:val="24"/>
        </w:rPr>
        <w:t>deepen the research on the pricing of structured financi</w:t>
      </w:r>
      <w:r w:rsidRPr="007C16F1">
        <w:rPr>
          <w:rFonts w:ascii="Times New Roman" w:hAnsi="Times New Roman" w:cs="Times New Roman" w:hint="eastAsia"/>
          <w:b/>
          <w:sz w:val="24"/>
          <w:szCs w:val="24"/>
        </w:rPr>
        <w:t>ng</w:t>
      </w:r>
      <w:r w:rsidRPr="007C16F1">
        <w:rPr>
          <w:rFonts w:ascii="Times New Roman" w:hAnsi="Times New Roman" w:cs="Times New Roman"/>
          <w:b/>
          <w:sz w:val="24"/>
          <w:szCs w:val="24"/>
        </w:rPr>
        <w:t xml:space="preserve"> products of securities companies</w:t>
      </w:r>
      <w:r w:rsidRPr="007C16F1">
        <w:rPr>
          <w:rFonts w:ascii="Times New Roman" w:hAnsi="Times New Roman" w:cs="Times New Roman" w:hint="eastAsia"/>
          <w:b/>
          <w:sz w:val="24"/>
          <w:szCs w:val="24"/>
        </w:rPr>
        <w:t>.</w:t>
      </w:r>
      <w:r w:rsidRPr="007C16F1">
        <w:rPr>
          <w:rFonts w:ascii="Times New Roman" w:hAnsi="Times New Roman" w:cs="Times New Roman"/>
          <w:b/>
          <w:sz w:val="24"/>
          <w:szCs w:val="24"/>
        </w:rPr>
        <w:t xml:space="preserve"> </w:t>
      </w:r>
      <w:r w:rsidRPr="007C16F1">
        <w:rPr>
          <w:rFonts w:ascii="Times New Roman" w:hAnsi="Times New Roman" w:cs="Times New Roman" w:hint="eastAsia"/>
          <w:b/>
          <w:sz w:val="24"/>
          <w:szCs w:val="24"/>
        </w:rPr>
        <w:t>W</w:t>
      </w:r>
      <w:r w:rsidRPr="007C16F1">
        <w:rPr>
          <w:rFonts w:ascii="Times New Roman" w:hAnsi="Times New Roman" w:cs="Times New Roman"/>
          <w:b/>
          <w:sz w:val="24"/>
          <w:szCs w:val="24"/>
        </w:rPr>
        <w:t>hile stock index is more familiar to investors</w:t>
      </w:r>
      <w:r w:rsidRPr="007C16F1">
        <w:rPr>
          <w:rFonts w:ascii="Times New Roman" w:hAnsi="Times New Roman" w:cs="Times New Roman" w:hint="eastAsia"/>
          <w:b/>
          <w:sz w:val="24"/>
          <w:szCs w:val="24"/>
        </w:rPr>
        <w:t>, this paper chose to study stock index linked earnings vouchers.</w:t>
      </w:r>
      <w:r w:rsidRPr="007C16F1">
        <w:rPr>
          <w:rFonts w:ascii="Times New Roman" w:hAnsi="Times New Roman" w:cs="Times New Roman"/>
          <w:b/>
          <w:sz w:val="24"/>
          <w:szCs w:val="24"/>
        </w:rPr>
        <w:t xml:space="preserve"> </w:t>
      </w:r>
      <w:r w:rsidRPr="007C16F1">
        <w:rPr>
          <w:rFonts w:ascii="Times New Roman" w:hAnsi="Times New Roman" w:cs="Times New Roman" w:hint="eastAsia"/>
          <w:b/>
          <w:sz w:val="24"/>
          <w:szCs w:val="24"/>
        </w:rPr>
        <w:t>T</w:t>
      </w:r>
      <w:r w:rsidRPr="007C16F1">
        <w:rPr>
          <w:rFonts w:ascii="Times New Roman" w:hAnsi="Times New Roman" w:cs="Times New Roman"/>
          <w:b/>
          <w:sz w:val="24"/>
          <w:szCs w:val="24"/>
        </w:rPr>
        <w:t>aking the “golden</w:t>
      </w:r>
      <w:r w:rsidRPr="007C16F1">
        <w:rPr>
          <w:rFonts w:ascii="Times New Roman" w:hAnsi="Times New Roman" w:cs="Times New Roman" w:hint="eastAsia"/>
          <w:b/>
          <w:sz w:val="24"/>
          <w:szCs w:val="24"/>
        </w:rPr>
        <w:t xml:space="preserve"> </w:t>
      </w:r>
      <w:r w:rsidRPr="007C16F1">
        <w:rPr>
          <w:rFonts w:ascii="Times New Roman" w:hAnsi="Times New Roman" w:cs="Times New Roman"/>
          <w:b/>
          <w:sz w:val="24"/>
          <w:szCs w:val="24"/>
        </w:rPr>
        <w:t>fin</w:t>
      </w:r>
      <w:r w:rsidRPr="007C16F1">
        <w:rPr>
          <w:rFonts w:ascii="Times New Roman" w:hAnsi="Times New Roman" w:cs="Times New Roman" w:hint="eastAsia"/>
          <w:b/>
          <w:sz w:val="24"/>
          <w:szCs w:val="24"/>
        </w:rPr>
        <w:t xml:space="preserve"> </w:t>
      </w:r>
      <w:r w:rsidRPr="007C16F1">
        <w:rPr>
          <w:rFonts w:ascii="Times New Roman" w:hAnsi="Times New Roman" w:cs="Times New Roman"/>
          <w:b/>
          <w:sz w:val="24"/>
          <w:szCs w:val="24"/>
        </w:rPr>
        <w:t>26 day</w:t>
      </w:r>
      <w:r w:rsidRPr="007C16F1">
        <w:rPr>
          <w:rFonts w:ascii="Times New Roman" w:hAnsi="Times New Roman" w:cs="Times New Roman" w:hint="eastAsia"/>
          <w:b/>
          <w:sz w:val="24"/>
          <w:szCs w:val="24"/>
        </w:rPr>
        <w:t>s</w:t>
      </w:r>
      <w:r w:rsidRPr="007C16F1">
        <w:rPr>
          <w:rFonts w:ascii="Times New Roman" w:hAnsi="Times New Roman" w:cs="Times New Roman"/>
          <w:b/>
          <w:sz w:val="24"/>
          <w:szCs w:val="24"/>
        </w:rPr>
        <w:t>”</w:t>
      </w:r>
      <w:r w:rsidRPr="007C16F1">
        <w:rPr>
          <w:rFonts w:ascii="Times New Roman" w:hAnsi="Times New Roman" w:cs="Times New Roman" w:hint="eastAsia"/>
          <w:b/>
          <w:sz w:val="24"/>
          <w:szCs w:val="24"/>
        </w:rPr>
        <w:t xml:space="preserve"> earnings vouchers</w:t>
      </w:r>
      <w:r w:rsidRPr="007C16F1">
        <w:rPr>
          <w:rFonts w:ascii="Times New Roman" w:hAnsi="Times New Roman" w:cs="Times New Roman"/>
          <w:b/>
          <w:sz w:val="24"/>
          <w:szCs w:val="24"/>
        </w:rPr>
        <w:t xml:space="preserve"> of Don fang securities</w:t>
      </w:r>
      <w:r w:rsidRPr="007C16F1">
        <w:rPr>
          <w:rFonts w:ascii="Times New Roman" w:hAnsi="Times New Roman" w:cs="Times New Roman" w:hint="eastAsia"/>
          <w:b/>
          <w:sz w:val="24"/>
          <w:szCs w:val="24"/>
        </w:rPr>
        <w:t xml:space="preserve"> company</w:t>
      </w:r>
      <w:r w:rsidRPr="007C16F1">
        <w:rPr>
          <w:rFonts w:ascii="Times New Roman" w:hAnsi="Times New Roman" w:cs="Times New Roman"/>
          <w:b/>
          <w:sz w:val="24"/>
          <w:szCs w:val="24"/>
        </w:rPr>
        <w:t xml:space="preserve"> as an example, this paper use</w:t>
      </w:r>
      <w:r w:rsidRPr="007C16F1">
        <w:rPr>
          <w:rFonts w:ascii="Times New Roman" w:hAnsi="Times New Roman" w:cs="Times New Roman" w:hint="eastAsia"/>
          <w:b/>
          <w:sz w:val="24"/>
          <w:szCs w:val="24"/>
        </w:rPr>
        <w:t>d</w:t>
      </w:r>
      <w:r w:rsidRPr="007C16F1">
        <w:rPr>
          <w:rFonts w:ascii="Times New Roman" w:hAnsi="Times New Roman" w:cs="Times New Roman"/>
          <w:b/>
          <w:sz w:val="24"/>
          <w:szCs w:val="24"/>
        </w:rPr>
        <w:t xml:space="preserve"> martingale pricing and Monte Carlo simulation to price it. The two methods verif</w:t>
      </w:r>
      <w:r w:rsidRPr="007C16F1">
        <w:rPr>
          <w:rFonts w:ascii="Times New Roman" w:hAnsi="Times New Roman" w:cs="Times New Roman" w:hint="eastAsia"/>
          <w:b/>
          <w:sz w:val="24"/>
          <w:szCs w:val="24"/>
        </w:rPr>
        <w:t>ied</w:t>
      </w:r>
      <w:r w:rsidRPr="007C16F1">
        <w:rPr>
          <w:rFonts w:ascii="Times New Roman" w:hAnsi="Times New Roman" w:cs="Times New Roman"/>
          <w:b/>
          <w:sz w:val="24"/>
          <w:szCs w:val="24"/>
        </w:rPr>
        <w:t xml:space="preserve"> each other and g</w:t>
      </w:r>
      <w:r w:rsidRPr="007C16F1">
        <w:rPr>
          <w:rFonts w:ascii="Times New Roman" w:hAnsi="Times New Roman" w:cs="Times New Roman" w:hint="eastAsia"/>
          <w:b/>
          <w:sz w:val="24"/>
          <w:szCs w:val="24"/>
        </w:rPr>
        <w:t>o</w:t>
      </w:r>
      <w:r w:rsidRPr="007C16F1">
        <w:rPr>
          <w:rFonts w:ascii="Times New Roman" w:hAnsi="Times New Roman" w:cs="Times New Roman"/>
          <w:b/>
          <w:sz w:val="24"/>
          <w:szCs w:val="24"/>
        </w:rPr>
        <w:t>t the theoretical value of the product, showing</w:t>
      </w:r>
      <w:r w:rsidRPr="007C16F1">
        <w:rPr>
          <w:rFonts w:ascii="Times New Roman" w:hAnsi="Times New Roman" w:cs="Times New Roman" w:hint="eastAsia"/>
          <w:b/>
          <w:sz w:val="24"/>
          <w:szCs w:val="24"/>
        </w:rPr>
        <w:t xml:space="preserve"> that t</w:t>
      </w:r>
      <w:r w:rsidRPr="007C16F1">
        <w:rPr>
          <w:rFonts w:ascii="Times New Roman" w:hAnsi="Times New Roman" w:cs="Times New Roman"/>
          <w:b/>
          <w:sz w:val="24"/>
          <w:szCs w:val="24"/>
        </w:rPr>
        <w:t xml:space="preserve">he product </w:t>
      </w:r>
      <w:r w:rsidRPr="007C16F1">
        <w:rPr>
          <w:rFonts w:ascii="Times New Roman" w:hAnsi="Times New Roman" w:cs="Times New Roman" w:hint="eastAsia"/>
          <w:b/>
          <w:sz w:val="24"/>
          <w:szCs w:val="24"/>
        </w:rPr>
        <w:t>was</w:t>
      </w:r>
      <w:r w:rsidRPr="007C16F1">
        <w:rPr>
          <w:rFonts w:ascii="Times New Roman" w:hAnsi="Times New Roman" w:cs="Times New Roman"/>
          <w:b/>
          <w:sz w:val="24"/>
          <w:szCs w:val="24"/>
        </w:rPr>
        <w:t xml:space="preserve"> issued at a premium rate of 0.0848%</w:t>
      </w:r>
      <w:r w:rsidRPr="007C16F1">
        <w:rPr>
          <w:rFonts w:ascii="Times New Roman" w:hAnsi="Times New Roman" w:cs="Times New Roman" w:hint="eastAsia"/>
          <w:b/>
          <w:sz w:val="24"/>
          <w:szCs w:val="24"/>
        </w:rPr>
        <w:t>.</w:t>
      </w:r>
      <w:r w:rsidRPr="007C16F1">
        <w:rPr>
          <w:rFonts w:ascii="Times New Roman" w:hAnsi="Times New Roman" w:cs="Times New Roman"/>
          <w:b/>
          <w:sz w:val="24"/>
          <w:szCs w:val="24"/>
        </w:rPr>
        <w:t xml:space="preserve"> </w:t>
      </w:r>
      <w:r w:rsidRPr="007C16F1">
        <w:rPr>
          <w:rFonts w:ascii="Times New Roman" w:hAnsi="Times New Roman" w:cs="Times New Roman" w:hint="eastAsia"/>
          <w:b/>
          <w:sz w:val="24"/>
          <w:szCs w:val="24"/>
        </w:rPr>
        <w:t xml:space="preserve">Then this paper </w:t>
      </w:r>
      <w:r w:rsidRPr="007C16F1">
        <w:rPr>
          <w:rFonts w:ascii="Times New Roman" w:hAnsi="Times New Roman" w:cs="Times New Roman"/>
          <w:b/>
          <w:sz w:val="24"/>
          <w:szCs w:val="24"/>
        </w:rPr>
        <w:t>analyzed the results. Finally, based on the analysis, the paper g</w:t>
      </w:r>
      <w:r w:rsidRPr="007C16F1">
        <w:rPr>
          <w:rFonts w:ascii="Times New Roman" w:hAnsi="Times New Roman" w:cs="Times New Roman" w:hint="eastAsia"/>
          <w:b/>
          <w:sz w:val="24"/>
          <w:szCs w:val="24"/>
        </w:rPr>
        <w:t>ave</w:t>
      </w:r>
      <w:r w:rsidRPr="007C16F1">
        <w:rPr>
          <w:rFonts w:ascii="Times New Roman" w:hAnsi="Times New Roman" w:cs="Times New Roman"/>
          <w:b/>
          <w:sz w:val="24"/>
          <w:szCs w:val="24"/>
        </w:rPr>
        <w:t xml:space="preserve"> the suggestions to the regulators, issuers and investors.</w:t>
      </w:r>
    </w:p>
    <w:p w:rsidR="006F576D" w:rsidP="00311EFF">
      <w:pPr>
        <w:spacing w:line="360" w:lineRule="auto"/>
        <w:rPr>
          <w:rFonts w:ascii="Times New Roman" w:hAnsi="Times New Roman" w:cs="Times New Roman"/>
          <w:b/>
          <w:sz w:val="24"/>
          <w:szCs w:val="24"/>
        </w:rPr>
      </w:pPr>
      <w:r w:rsidRPr="007C16F1">
        <w:rPr>
          <w:rFonts w:ascii="Times New Roman" w:hAnsi="Times New Roman" w:cs="Times New Roman" w:hint="eastAsia"/>
          <w:b/>
          <w:sz w:val="24"/>
          <w:szCs w:val="24"/>
        </w:rPr>
        <w:t>Key words:</w:t>
      </w:r>
      <w:r w:rsidRPr="007C16F1">
        <w:rPr>
          <w:rFonts w:ascii="Times New Roman" w:hAnsi="Times New Roman" w:cs="Times New Roman"/>
          <w:b/>
          <w:sz w:val="24"/>
          <w:szCs w:val="24"/>
        </w:rPr>
        <w:t xml:space="preserve"> </w:t>
      </w:r>
      <w:r w:rsidRPr="007C16F1">
        <w:rPr>
          <w:rFonts w:ascii="Times New Roman" w:hAnsi="Times New Roman" w:cs="Times New Roman" w:hint="eastAsia"/>
          <w:b/>
          <w:sz w:val="24"/>
          <w:szCs w:val="24"/>
        </w:rPr>
        <w:t>E</w:t>
      </w:r>
      <w:r w:rsidRPr="007C16F1">
        <w:rPr>
          <w:rFonts w:ascii="Times New Roman" w:hAnsi="Times New Roman" w:cs="Times New Roman"/>
          <w:b/>
          <w:sz w:val="24"/>
          <w:szCs w:val="24"/>
        </w:rPr>
        <w:t>arnings vouchers</w:t>
      </w:r>
      <w:r w:rsidRPr="007C16F1">
        <w:rPr>
          <w:rFonts w:ascii="Times New Roman" w:hAnsi="Times New Roman" w:cs="Times New Roman" w:hint="eastAsia"/>
          <w:b/>
          <w:sz w:val="24"/>
          <w:szCs w:val="24"/>
        </w:rPr>
        <w:t>;</w:t>
      </w:r>
      <w:r w:rsidRPr="007C16F1">
        <w:rPr>
          <w:rFonts w:ascii="Times New Roman" w:hAnsi="Times New Roman" w:cs="Times New Roman"/>
          <w:b/>
          <w:sz w:val="24"/>
          <w:szCs w:val="24"/>
        </w:rPr>
        <w:t xml:space="preserve"> </w:t>
      </w:r>
      <w:r w:rsidRPr="007C16F1">
        <w:rPr>
          <w:rFonts w:ascii="Times New Roman" w:hAnsi="Times New Roman" w:cs="Times New Roman" w:hint="eastAsia"/>
          <w:b/>
          <w:sz w:val="24"/>
          <w:szCs w:val="24"/>
        </w:rPr>
        <w:t>M</w:t>
      </w:r>
      <w:r w:rsidRPr="007C16F1">
        <w:rPr>
          <w:rFonts w:ascii="Times New Roman" w:hAnsi="Times New Roman" w:cs="Times New Roman"/>
          <w:b/>
          <w:sz w:val="24"/>
          <w:szCs w:val="24"/>
        </w:rPr>
        <w:t>artingale pricing</w:t>
      </w:r>
      <w:r w:rsidRPr="007C16F1">
        <w:rPr>
          <w:rFonts w:ascii="Times New Roman" w:hAnsi="Times New Roman" w:cs="Times New Roman" w:hint="eastAsia"/>
          <w:b/>
          <w:sz w:val="24"/>
          <w:szCs w:val="24"/>
        </w:rPr>
        <w:t>;</w:t>
      </w:r>
      <w:r w:rsidRPr="007C16F1">
        <w:rPr>
          <w:rFonts w:ascii="Times New Roman" w:hAnsi="Times New Roman" w:cs="Times New Roman"/>
          <w:b/>
          <w:sz w:val="24"/>
          <w:szCs w:val="24"/>
        </w:rPr>
        <w:t xml:space="preserve"> Monte Carlo simulation</w:t>
      </w:r>
    </w:p>
    <w:p w:rsidR="00311EFF" w:rsidP="006F576D">
      <w:pPr>
        <w:spacing w:before="936" w:beforeLines="300" w:after="624" w:afterLines="200" w:line="360" w:lineRule="auto"/>
        <w:jc w:val="center"/>
        <w:outlineLvl w:val="0"/>
        <w:rPr>
          <w:rFonts w:ascii="华文中宋" w:eastAsia="华文中宋" w:hAnsi="华文中宋" w:hint="eastAsia"/>
          <w:b/>
          <w:sz w:val="44"/>
          <w:szCs w:val="44"/>
        </w:rPr>
      </w:pPr>
    </w:p>
    <w:p w:rsidR="00311EFF" w:rsidP="006F576D">
      <w:pPr>
        <w:spacing w:before="936" w:beforeLines="300" w:after="624" w:afterLines="200" w:line="360" w:lineRule="auto"/>
        <w:jc w:val="center"/>
        <w:outlineLvl w:val="0"/>
        <w:rPr>
          <w:rFonts w:ascii="华文中宋" w:eastAsia="华文中宋" w:hAnsi="华文中宋" w:hint="eastAsia"/>
          <w:b/>
          <w:sz w:val="44"/>
          <w:szCs w:val="44"/>
        </w:rPr>
      </w:pPr>
    </w:p>
    <w:p w:rsidR="00311EFF" w:rsidP="006F576D">
      <w:pPr>
        <w:spacing w:before="936" w:beforeLines="300" w:after="624" w:afterLines="200" w:line="360" w:lineRule="auto"/>
        <w:jc w:val="center"/>
        <w:outlineLvl w:val="0"/>
        <w:rPr>
          <w:rFonts w:ascii="华文中宋" w:eastAsia="华文中宋" w:hAnsi="华文中宋" w:hint="eastAsia"/>
          <w:b/>
          <w:sz w:val="44"/>
          <w:szCs w:val="44"/>
        </w:rPr>
      </w:pPr>
      <w:r>
        <w:rPr>
          <w:rFonts w:ascii="华文中宋" w:eastAsia="华文中宋" w:hAnsi="华文中宋" w:hint="eastAsia"/>
          <w:b/>
          <w:sz w:val="44"/>
          <w:szCs w:val="44"/>
        </w:rPr>
        <w:br/>
      </w:r>
      <w:r>
        <w:rPr>
          <w:rFonts w:ascii="华文中宋" w:eastAsia="华文中宋" w:hAnsi="华文中宋" w:hint="eastAsia"/>
          <w:b/>
          <w:sz w:val="44"/>
          <w:szCs w:val="4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https://d.book118.com/896105120232010044</w:t>
        </w:r>
      </w:hyperlink>
    </w:p>
    <w:p w:rsidR="00311EFF" w:rsidP="006F576D">
      <w:pPr>
        <w:spacing w:before="936" w:beforeLines="300" w:after="624" w:afterLines="200" w:line="360" w:lineRule="auto"/>
        <w:jc w:val="center"/>
        <w:outlineLvl w:val="0"/>
        <w:rPr>
          <w:rFonts w:ascii="华文中宋" w:eastAsia="华文中宋" w:hAnsi="华文中宋" w:hint="eastAsia"/>
          <w:b/>
          <w:sz w:val="44"/>
          <w:szCs w:val="44"/>
        </w:rPr>
      </w:pPr>
    </w:p>
    <w:sectPr w:rsidSect="00311EFF">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212650"/>
    <w:multiLevelType w:val="hybridMultilevel"/>
    <w:tmpl w:val="5E127034"/>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13BC507F"/>
    <w:multiLevelType w:val="hybridMultilevel"/>
    <w:tmpl w:val="22742F1C"/>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15A146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654E208D"/>
    <w:multiLevelType w:val="hybridMultilevel"/>
    <w:tmpl w:val="1F00AD8A"/>
    <w:lvl w:ilvl="0">
      <w:start w:val="1"/>
      <w:numFmt w:val="decimal"/>
      <w:lvlText w:val="%1、"/>
      <w:lvlJc w:val="left"/>
      <w:pPr>
        <w:ind w:left="1155" w:hanging="735"/>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756C0708"/>
    <w:multiLevelType w:val="hybridMultilevel"/>
    <w:tmpl w:val="19203D64"/>
    <w:lvl w:ilvl="0">
      <w:start w:val="2"/>
      <w:numFmt w:val="japaneseCounting"/>
      <w:lvlText w:val="%1、"/>
      <w:lvlJc w:val="left"/>
      <w:pPr>
        <w:ind w:left="450" w:hanging="4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403"/>
    <w:rsid w:val="00011F16"/>
    <w:rsid w:val="00071843"/>
    <w:rsid w:val="00082D51"/>
    <w:rsid w:val="000862C6"/>
    <w:rsid w:val="000A7A41"/>
    <w:rsid w:val="00123D08"/>
    <w:rsid w:val="001423AB"/>
    <w:rsid w:val="001B56BD"/>
    <w:rsid w:val="00205D88"/>
    <w:rsid w:val="00212E7C"/>
    <w:rsid w:val="00291F2F"/>
    <w:rsid w:val="002C47C7"/>
    <w:rsid w:val="002C601C"/>
    <w:rsid w:val="00311EFF"/>
    <w:rsid w:val="0032431C"/>
    <w:rsid w:val="003306D8"/>
    <w:rsid w:val="0035617D"/>
    <w:rsid w:val="00393403"/>
    <w:rsid w:val="003D21FD"/>
    <w:rsid w:val="003F7D34"/>
    <w:rsid w:val="00432F88"/>
    <w:rsid w:val="00455E8A"/>
    <w:rsid w:val="00457DAF"/>
    <w:rsid w:val="00460775"/>
    <w:rsid w:val="004C3558"/>
    <w:rsid w:val="004D1AC2"/>
    <w:rsid w:val="00520B79"/>
    <w:rsid w:val="0055344E"/>
    <w:rsid w:val="005B4CFB"/>
    <w:rsid w:val="006055E8"/>
    <w:rsid w:val="00616871"/>
    <w:rsid w:val="00661A6D"/>
    <w:rsid w:val="006B3B0A"/>
    <w:rsid w:val="006F576D"/>
    <w:rsid w:val="0073796D"/>
    <w:rsid w:val="00744CD9"/>
    <w:rsid w:val="007A4F14"/>
    <w:rsid w:val="007C16F1"/>
    <w:rsid w:val="00804314"/>
    <w:rsid w:val="00834083"/>
    <w:rsid w:val="008552B0"/>
    <w:rsid w:val="008867A7"/>
    <w:rsid w:val="00923A5A"/>
    <w:rsid w:val="00933473"/>
    <w:rsid w:val="009A06C5"/>
    <w:rsid w:val="009D20D3"/>
    <w:rsid w:val="00A02721"/>
    <w:rsid w:val="00B10D12"/>
    <w:rsid w:val="00B23735"/>
    <w:rsid w:val="00B6383C"/>
    <w:rsid w:val="00B90C1A"/>
    <w:rsid w:val="00BD778D"/>
    <w:rsid w:val="00BE5321"/>
    <w:rsid w:val="00C14D42"/>
    <w:rsid w:val="00C65115"/>
    <w:rsid w:val="00C86DAB"/>
    <w:rsid w:val="00CA074F"/>
    <w:rsid w:val="00CA522D"/>
    <w:rsid w:val="00CB2F92"/>
    <w:rsid w:val="00D01147"/>
    <w:rsid w:val="00D86EFF"/>
    <w:rsid w:val="00E027EC"/>
    <w:rsid w:val="00E3089F"/>
    <w:rsid w:val="00E340EB"/>
    <w:rsid w:val="00E54B76"/>
    <w:rsid w:val="00EC0F18"/>
    <w:rsid w:val="00EC6508"/>
    <w:rsid w:val="00ED48DD"/>
    <w:rsid w:val="00EE3364"/>
    <w:rsid w:val="00FB121B"/>
    <w:rsid w:val="00FF3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3B0A"/>
    <w:pPr>
      <w:widowControl w:val="0"/>
      <w:jc w:val="both"/>
    </w:pPr>
  </w:style>
  <w:style w:type="paragraph" w:styleId="Heading1">
    <w:name w:val="heading 1"/>
    <w:basedOn w:val="Normal"/>
    <w:next w:val="Normal"/>
    <w:link w:val="1Char"/>
    <w:uiPriority w:val="9"/>
    <w:qFormat/>
    <w:rsid w:val="00393403"/>
    <w:pPr>
      <w:keepNext/>
      <w:keepLines/>
      <w:spacing w:before="340" w:after="330" w:line="578" w:lineRule="auto"/>
      <w:outlineLvl w:val="0"/>
    </w:pPr>
    <w:rPr>
      <w:b/>
      <w:bCs/>
      <w:kern w:val="44"/>
      <w:sz w:val="44"/>
      <w:szCs w:val="44"/>
    </w:rPr>
  </w:style>
  <w:style w:type="paragraph" w:styleId="Heading3">
    <w:name w:val="heading 3"/>
    <w:basedOn w:val="Normal"/>
    <w:next w:val="Normal"/>
    <w:link w:val="3Char"/>
    <w:uiPriority w:val="9"/>
    <w:semiHidden/>
    <w:unhideWhenUsed/>
    <w:qFormat/>
    <w:rsid w:val="00393403"/>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93403"/>
    <w:rPr>
      <w:b/>
      <w:bCs/>
      <w:kern w:val="44"/>
      <w:sz w:val="44"/>
      <w:szCs w:val="44"/>
    </w:rPr>
  </w:style>
  <w:style w:type="character" w:customStyle="1" w:styleId="3Char">
    <w:name w:val="标题 3 Char"/>
    <w:basedOn w:val="DefaultParagraphFont"/>
    <w:link w:val="Heading3"/>
    <w:uiPriority w:val="9"/>
    <w:semiHidden/>
    <w:rsid w:val="00393403"/>
    <w:rPr>
      <w:b/>
      <w:bCs/>
      <w:sz w:val="32"/>
      <w:szCs w:val="32"/>
    </w:rPr>
  </w:style>
  <w:style w:type="paragraph" w:styleId="ListParagraph">
    <w:name w:val="List Paragraph"/>
    <w:basedOn w:val="Normal"/>
    <w:uiPriority w:val="34"/>
    <w:qFormat/>
    <w:rsid w:val="00393403"/>
    <w:pPr>
      <w:ind w:firstLine="420" w:firstLineChars="200"/>
    </w:pPr>
  </w:style>
  <w:style w:type="paragraph" w:styleId="BalloonText">
    <w:name w:val="Balloon Text"/>
    <w:basedOn w:val="Normal"/>
    <w:link w:val="Char"/>
    <w:uiPriority w:val="99"/>
    <w:semiHidden/>
    <w:unhideWhenUsed/>
    <w:rsid w:val="00393403"/>
    <w:rPr>
      <w:sz w:val="18"/>
      <w:szCs w:val="18"/>
    </w:rPr>
  </w:style>
  <w:style w:type="character" w:customStyle="1" w:styleId="Char">
    <w:name w:val="批注框文本 Char"/>
    <w:basedOn w:val="DefaultParagraphFont"/>
    <w:link w:val="BalloonText"/>
    <w:uiPriority w:val="99"/>
    <w:semiHidden/>
    <w:rsid w:val="00393403"/>
    <w:rPr>
      <w:sz w:val="18"/>
      <w:szCs w:val="18"/>
    </w:rPr>
  </w:style>
  <w:style w:type="table" w:styleId="TableGrid">
    <w:name w:val="Table Grid"/>
    <w:basedOn w:val="TableNormal"/>
    <w:uiPriority w:val="59"/>
    <w:rsid w:val="003934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93403"/>
    <w:rPr>
      <w:color w:val="808080"/>
    </w:rPr>
  </w:style>
  <w:style w:type="paragraph" w:styleId="TOCHeading">
    <w:name w:val="TOC Heading"/>
    <w:basedOn w:val="Heading1"/>
    <w:next w:val="Normal"/>
    <w:uiPriority w:val="39"/>
    <w:unhideWhenUsed/>
    <w:qFormat/>
    <w:rsid w:val="0039340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393403"/>
    <w:pPr>
      <w:widowControl/>
      <w:spacing w:after="100" w:line="276" w:lineRule="auto"/>
      <w:ind w:left="220"/>
      <w:jc w:val="left"/>
    </w:pPr>
    <w:rPr>
      <w:kern w:val="0"/>
      <w:sz w:val="22"/>
    </w:rPr>
  </w:style>
  <w:style w:type="paragraph" w:styleId="TOC1">
    <w:name w:val="toc 1"/>
    <w:basedOn w:val="Normal"/>
    <w:next w:val="Normal"/>
    <w:autoRedefine/>
    <w:uiPriority w:val="39"/>
    <w:unhideWhenUsed/>
    <w:qFormat/>
    <w:rsid w:val="00393403"/>
    <w:pPr>
      <w:widowControl/>
      <w:spacing w:after="100" w:line="276" w:lineRule="auto"/>
      <w:jc w:val="left"/>
    </w:pPr>
    <w:rPr>
      <w:kern w:val="0"/>
      <w:sz w:val="22"/>
    </w:rPr>
  </w:style>
  <w:style w:type="paragraph" w:styleId="TOC3">
    <w:name w:val="toc 3"/>
    <w:basedOn w:val="Normal"/>
    <w:next w:val="Normal"/>
    <w:autoRedefine/>
    <w:uiPriority w:val="39"/>
    <w:unhideWhenUsed/>
    <w:qFormat/>
    <w:rsid w:val="00393403"/>
    <w:pPr>
      <w:widowControl/>
      <w:spacing w:after="100" w:line="276" w:lineRule="auto"/>
      <w:ind w:left="440"/>
      <w:jc w:val="left"/>
    </w:pPr>
    <w:rPr>
      <w:kern w:val="0"/>
      <w:sz w:val="22"/>
    </w:rPr>
  </w:style>
  <w:style w:type="paragraph" w:styleId="Header">
    <w:name w:val="header"/>
    <w:basedOn w:val="Normal"/>
    <w:link w:val="Char0"/>
    <w:uiPriority w:val="99"/>
    <w:unhideWhenUsed/>
    <w:rsid w:val="006B3B0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6B3B0A"/>
    <w:rPr>
      <w:sz w:val="18"/>
      <w:szCs w:val="18"/>
    </w:rPr>
  </w:style>
  <w:style w:type="paragraph" w:styleId="Footer">
    <w:name w:val="footer"/>
    <w:basedOn w:val="Normal"/>
    <w:link w:val="Char1"/>
    <w:uiPriority w:val="99"/>
    <w:unhideWhenUsed/>
    <w:rsid w:val="006B3B0A"/>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6B3B0A"/>
    <w:rPr>
      <w:sz w:val="18"/>
      <w:szCs w:val="18"/>
    </w:rPr>
  </w:style>
  <w:style w:type="paragraph" w:styleId="HTMLPreformatted">
    <w:name w:val="HTML Preformatted"/>
    <w:basedOn w:val="Normal"/>
    <w:link w:val="HTMLChar"/>
    <w:uiPriority w:val="99"/>
    <w:unhideWhenUsed/>
    <w:rsid w:val="006B3B0A"/>
    <w:rPr>
      <w:rFonts w:ascii="Courier New" w:hAnsi="Courier New" w:cs="Courier New"/>
      <w:sz w:val="20"/>
      <w:szCs w:val="20"/>
    </w:rPr>
  </w:style>
  <w:style w:type="character" w:customStyle="1" w:styleId="HTMLChar">
    <w:name w:val="HTML 预设格式 Char"/>
    <w:basedOn w:val="DefaultParagraphFont"/>
    <w:link w:val="HTMLPreformatted"/>
    <w:uiPriority w:val="99"/>
    <w:rsid w:val="006B3B0A"/>
    <w:rPr>
      <w:rFonts w:ascii="Courier New" w:hAnsi="Courier New" w:cs="Courier New"/>
      <w:sz w:val="20"/>
      <w:szCs w:val="20"/>
    </w:rPr>
  </w:style>
  <w:style w:type="character" w:styleId="Hyperlink">
    <w:name w:val="Hyperlink"/>
    <w:basedOn w:val="DefaultParagraphFont"/>
    <w:uiPriority w:val="99"/>
    <w:unhideWhenUsed/>
    <w:rsid w:val="00432F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96105120232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2</Pages>
  <Words>2171</Words>
  <Characters>12378</Characters>
  <Application>Microsoft Office Word</Application>
  <DocSecurity>0</DocSecurity>
  <Lines>103</Lines>
  <Paragraphs>29</Paragraphs>
  <ScaleCrop>false</ScaleCrop>
  <Company/>
  <LinksUpToDate>false</LinksUpToDate>
  <CharactersWithSpaces>14520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19</cp:revision>
  <dcterms:created xsi:type="dcterms:W3CDTF">2020-03-17T12:30:00Z</dcterms:created>
  <dcterms:modified xsi:type="dcterms:W3CDTF">2020-04-01T05:48:00Z</dcterms:modified>
</cp:coreProperties>
</file>