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2024年管线阀门行业分析报告及未来五到十年行业发展趋势报告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39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行业的外部环境及发展趋势分析</w:t>
        </w:r>
        <w:r>
          <w:tab/>
        </w:r>
        <w:r>
          <w:fldChar w:fldCharType="begin"/>
        </w:r>
        <w:r>
          <w:instrText xml:space="preserve"> PAGEREF _Toc17639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7671" w:history="1">
        <w:r>
          <w:rPr>
            <w:rFonts w:eastAsia="微软雅黑" w:hint="eastAsia"/>
            <w:snapToGrid/>
            <w:lang w:val="en-US" w:eastAsia="en-US"/>
          </w:rPr>
          <w:t>(一)、国际政治经济发展对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_Toc7671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014" w:history="1">
        <w:r>
          <w:rPr>
            <w:rFonts w:eastAsia="微软雅黑" w:hint="eastAsia"/>
            <w:snapToGrid/>
            <w:lang w:val="en-US" w:eastAsia="zh-CN"/>
          </w:rPr>
          <w:t>(二)、国内政治经济发展对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_Toc24014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818" w:history="1">
        <w:r>
          <w:rPr>
            <w:rFonts w:eastAsia="微软雅黑" w:hint="eastAsia"/>
            <w:snapToGrid/>
            <w:lang w:val="en-US" w:eastAsia="zh-CN"/>
          </w:rPr>
          <w:t>(三)、国内突出经济问题对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_Toc27818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00" w:history="1">
        <w:r>
          <w:rPr>
            <w:rFonts w:eastAsia="微软雅黑" w:hint="eastAsia"/>
            <w:snapToGrid/>
            <w:lang w:val="en-US" w:eastAsia="en-US"/>
          </w:rPr>
          <w:t>二、关于未来5-10年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_Toc1700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091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_Toc4091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602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_Toc11602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172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_Toc11172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204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_Toc26204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1038" w:history="1">
        <w:r>
          <w:rPr>
            <w:rFonts w:eastAsia="微软雅黑" w:hint="eastAsia"/>
            <w:snapToGrid/>
            <w:lang w:val="en-US" w:eastAsia="en-US"/>
          </w:rPr>
          <w:t>三、宏观经济对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_Toc11038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817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_Toc31817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641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_Toc28641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352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_Toc20352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9276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_Toc29276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74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_Toc12747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668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_Toc29668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93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_Toc793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33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_Toc4335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70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_Toc16700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959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_Toc15959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43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_Toc2743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0851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行业企业转型思考(2024-2029)</w:t>
        </w:r>
        <w:r>
          <w:tab/>
        </w:r>
        <w:r>
          <w:fldChar w:fldCharType="begin"/>
        </w:r>
        <w:r>
          <w:instrText xml:space="preserve"> PAGEREF _Toc20851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720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行业的内生延伸——选择与定位</w:t>
        </w:r>
        <w:r>
          <w:tab/>
        </w:r>
        <w:r>
          <w:fldChar w:fldCharType="begin"/>
        </w:r>
        <w:r>
          <w:instrText xml:space="preserve"> PAGEREF _Toc21720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26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行业跨行业转型延伸</w:t>
        </w:r>
        <w:r>
          <w:tab/>
        </w:r>
        <w:r>
          <w:fldChar w:fldCharType="begin"/>
        </w:r>
        <w:r>
          <w:instrText xml:space="preserve"> PAGEREF _Toc29262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442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行业企业资本计划分析</w:t>
        </w:r>
        <w:r>
          <w:tab/>
        </w:r>
        <w:r>
          <w:fldChar w:fldCharType="begin"/>
        </w:r>
        <w:r>
          <w:instrText xml:space="preserve"> PAGEREF _Toc22442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167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行业的融资问题</w:t>
        </w:r>
        <w:r>
          <w:tab/>
        </w:r>
        <w:r>
          <w:fldChar w:fldCharType="begin"/>
        </w:r>
        <w:r>
          <w:instrText xml:space="preserve"> PAGEREF _Toc4167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78" w:history="1">
        <w:r>
          <w:rPr>
            <w:rFonts w:eastAsia="微软雅黑" w:hint="eastAsia"/>
            <w:snapToGrid/>
            <w:lang w:val="en-US" w:eastAsia="zh-CN"/>
          </w:rPr>
          <w:t>(五)、加强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行业人才引进，优化人才结构</w:t>
        </w:r>
        <w:r>
          <w:tab/>
        </w:r>
        <w:r>
          <w:fldChar w:fldCharType="begin"/>
        </w:r>
        <w:r>
          <w:instrText xml:space="preserve"> PAGEREF _Toc1678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9904" w:history="1">
        <w:r>
          <w:rPr>
            <w:rFonts w:eastAsia="微软雅黑" w:hint="eastAsia"/>
            <w:snapToGrid/>
            <w:lang w:val="en-US" w:eastAsia="en-US"/>
          </w:rPr>
          <w:t>七、2024-2029年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行业企业市场突围战略分析</w:t>
        </w:r>
        <w:r>
          <w:tab/>
        </w:r>
        <w:r>
          <w:fldChar w:fldCharType="begin"/>
        </w:r>
        <w:r>
          <w:instrText xml:space="preserve"> PAGEREF _Toc29904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205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行业树立“战略突破”理念</w:t>
        </w:r>
        <w:r>
          <w:tab/>
        </w:r>
        <w:r>
          <w:fldChar w:fldCharType="begin"/>
        </w:r>
        <w:r>
          <w:instrText xml:space="preserve"> PAGEREF _Toc25205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574" w:history="1">
        <w:r>
          <w:rPr>
            <w:rFonts w:eastAsia="微软雅黑" w:hint="eastAsia"/>
            <w:snapToGrid/>
            <w:lang w:val="en-US" w:eastAsia="zh-CN"/>
          </w:rPr>
          <w:t>(二)、确定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行业市场定位、产品定位和品牌定位</w:t>
        </w:r>
        <w:r>
          <w:tab/>
        </w:r>
        <w:r>
          <w:fldChar w:fldCharType="begin"/>
        </w:r>
        <w:r>
          <w:instrText xml:space="preserve"> PAGEREF _Toc11574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6930" w:history="1">
        <w:r>
          <w:rPr>
            <w:rFonts w:eastAsia="微软雅黑" w:hint="eastAsia"/>
            <w:snapToGrid/>
            <w:lang w:val="en-US" w:eastAsia="zh-CN"/>
          </w:rPr>
          <w:t>1、市场定位</w:t>
        </w:r>
        <w:r>
          <w:tab/>
        </w:r>
        <w:r>
          <w:fldChar w:fldCharType="begin"/>
        </w:r>
        <w:r>
          <w:instrText xml:space="preserve"> PAGEREF _Toc6930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964" w:history="1">
        <w:r>
          <w:rPr>
            <w:rFonts w:eastAsia="微软雅黑" w:hint="eastAsia"/>
            <w:snapToGrid/>
            <w:lang w:val="en-US" w:eastAsia="zh-CN"/>
          </w:rPr>
          <w:t>2、产品定位</w:t>
        </w:r>
        <w:r>
          <w:tab/>
        </w:r>
        <w:r>
          <w:fldChar w:fldCharType="begin"/>
        </w:r>
        <w:r>
          <w:instrText xml:space="preserve"> PAGEREF _Toc2964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4192" w:history="1">
        <w:r>
          <w:rPr>
            <w:rFonts w:eastAsia="微软雅黑" w:hint="eastAsia"/>
            <w:snapToGrid/>
            <w:lang w:val="en-US" w:eastAsia="zh-CN"/>
          </w:rPr>
          <w:t>3、品牌定位</w:t>
        </w:r>
        <w:r>
          <w:tab/>
        </w:r>
        <w:r>
          <w:fldChar w:fldCharType="begin"/>
        </w:r>
        <w:r>
          <w:instrText xml:space="preserve"> PAGEREF _Toc24192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471" w:history="1">
        <w:r>
          <w:rPr>
            <w:rFonts w:eastAsia="微软雅黑" w:hint="eastAsia"/>
            <w:snapToGrid/>
            <w:lang w:val="en-US" w:eastAsia="zh-CN"/>
          </w:rPr>
          <w:t>(三)、创新寻求突破</w:t>
        </w:r>
        <w:r>
          <w:tab/>
        </w:r>
        <w:r>
          <w:fldChar w:fldCharType="begin"/>
        </w:r>
        <w:r>
          <w:instrText xml:space="preserve"> PAGEREF _Toc16471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29486" w:history="1">
        <w:r>
          <w:rPr>
            <w:rFonts w:eastAsia="微软雅黑" w:hint="eastAsia"/>
            <w:snapToGrid/>
            <w:lang w:val="en-US" w:eastAsia="zh-CN"/>
          </w:rPr>
          <w:t>1、基于消费升级的科技创新模式</w:t>
        </w:r>
        <w:r>
          <w:tab/>
        </w:r>
        <w:r>
          <w:fldChar w:fldCharType="begin"/>
        </w:r>
        <w:r>
          <w:instrText xml:space="preserve"> PAGEREF _Toc29486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2792" w:history="1">
        <w:r>
          <w:rPr>
            <w:rFonts w:eastAsia="微软雅黑" w:hint="eastAsia"/>
            <w:snapToGrid/>
            <w:lang w:val="en-US" w:eastAsia="zh-CN"/>
          </w:rPr>
          <w:t>2、创新推动行业更高质量发展</w:t>
        </w:r>
        <w:r>
          <w:tab/>
        </w:r>
        <w:r>
          <w:fldChar w:fldCharType="begin"/>
        </w:r>
        <w:r>
          <w:instrText xml:space="preserve"> PAGEREF _Toc22792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2029" w:history="1">
        <w:r>
          <w:rPr>
            <w:rFonts w:eastAsia="微软雅黑" w:hint="eastAsia"/>
            <w:snapToGrid/>
            <w:lang w:val="en-US" w:eastAsia="zh-CN"/>
          </w:rPr>
          <w:t>3、尝试业态创新和品牌创新</w:t>
        </w:r>
        <w:r>
          <w:tab/>
        </w:r>
        <w:r>
          <w:fldChar w:fldCharType="begin"/>
        </w:r>
        <w:r>
          <w:instrText xml:space="preserve"> PAGEREF _Toc22029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5681" w:history="1">
        <w:r>
          <w:rPr>
            <w:rFonts w:eastAsia="微软雅黑" w:hint="eastAsia"/>
            <w:snapToGrid/>
            <w:lang w:val="en-US" w:eastAsia="zh-CN"/>
          </w:rPr>
          <w:t>4、自主创新打造品牌</w:t>
        </w:r>
        <w:r>
          <w:tab/>
        </w:r>
        <w:r>
          <w:fldChar w:fldCharType="begin"/>
        </w:r>
        <w:r>
          <w:instrText xml:space="preserve"> PAGEREF _Toc5681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073" w:history="1">
        <w:r>
          <w:rPr>
            <w:rFonts w:eastAsia="微软雅黑" w:hint="eastAsia"/>
            <w:snapToGrid/>
            <w:lang w:val="en-US" w:eastAsia="zh-CN"/>
          </w:rPr>
          <w:t>(四)、制定宣传计划</w:t>
        </w:r>
        <w:r>
          <w:tab/>
        </w:r>
        <w:r>
          <w:fldChar w:fldCharType="begin"/>
        </w:r>
        <w:r>
          <w:instrText xml:space="preserve"> PAGEREF _Toc10073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2935" w:history="1">
        <w:r>
          <w:rPr>
            <w:rFonts w:eastAsia="微软雅黑" w:hint="eastAsia"/>
            <w:snapToGrid/>
            <w:lang w:val="en-US" w:eastAsia="zh-CN"/>
          </w:rPr>
          <w:t>1、学会做低成本的传播工具</w:t>
        </w:r>
        <w:r>
          <w:tab/>
        </w:r>
        <w:r>
          <w:fldChar w:fldCharType="begin"/>
        </w:r>
        <w:r>
          <w:instrText xml:space="preserve"> PAGEREF _Toc22935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7005" w:history="1">
        <w:r>
          <w:rPr>
            <w:rFonts w:eastAsia="微软雅黑" w:hint="eastAsia"/>
            <w:snapToGrid/>
            <w:lang w:val="en-US" w:eastAsia="zh-CN"/>
          </w:rPr>
          <w:t>2、学会以优秀的品牌视觉设计突出品牌特色</w:t>
        </w:r>
        <w:r>
          <w:tab/>
        </w:r>
        <w:r>
          <w:fldChar w:fldCharType="begin"/>
        </w:r>
        <w:r>
          <w:instrText xml:space="preserve"> PAGEREF _Toc17005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4115" w:history="1">
        <w:r>
          <w:rPr>
            <w:rFonts w:eastAsia="微软雅黑" w:hint="eastAsia"/>
            <w:snapToGrid/>
            <w:lang w:val="en-US" w:eastAsia="zh-CN"/>
          </w:rPr>
          <w:t>3、学会使用网络营销</w:t>
        </w:r>
        <w:r>
          <w:tab/>
        </w:r>
        <w:r>
          <w:fldChar w:fldCharType="begin"/>
        </w:r>
        <w:r>
          <w:instrText xml:space="preserve"> PAGEREF _Toc14115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94" w:history="1">
        <w:r>
          <w:rPr>
            <w:rFonts w:eastAsia="微软雅黑" w:hint="eastAsia"/>
            <w:snapToGrid/>
            <w:lang w:val="en-US" w:eastAsia="en-US"/>
          </w:rPr>
          <w:t>八、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行业未来发展机会</w:t>
        </w:r>
        <w:r>
          <w:tab/>
        </w:r>
        <w:r>
          <w:fldChar w:fldCharType="begin"/>
        </w:r>
        <w:r>
          <w:instrText xml:space="preserve"> PAGEREF _Toc394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964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行业中通过产品差异化获得商机</w:t>
        </w:r>
        <w:r>
          <w:tab/>
        </w:r>
        <w:r>
          <w:fldChar w:fldCharType="begin"/>
        </w:r>
        <w:r>
          <w:instrText xml:space="preserve"> PAGEREF _Toc17964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812" w:history="1">
        <w:r>
          <w:rPr>
            <w:rFonts w:eastAsia="微软雅黑" w:hint="eastAsia"/>
            <w:snapToGrid/>
            <w:lang w:val="en-US" w:eastAsia="zh-CN"/>
          </w:rPr>
          <w:t>(二)、借助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行业市场差异赢得商机</w:t>
        </w:r>
        <w:r>
          <w:tab/>
        </w:r>
        <w:r>
          <w:fldChar w:fldCharType="begin"/>
        </w:r>
        <w:r>
          <w:instrText xml:space="preserve"> PAGEREF _Toc29812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260" w:history="1">
        <w:r>
          <w:rPr>
            <w:rFonts w:eastAsia="微软雅黑" w:hint="eastAsia"/>
            <w:snapToGrid/>
            <w:lang w:val="en-US" w:eastAsia="zh-CN"/>
          </w:rPr>
          <w:t>(三)、借助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行业服务差异化抓住商机</w:t>
        </w:r>
        <w:r>
          <w:tab/>
        </w:r>
        <w:r>
          <w:fldChar w:fldCharType="begin"/>
        </w:r>
        <w:r>
          <w:instrText xml:space="preserve"> PAGEREF _Toc32260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766" w:history="1">
        <w:r>
          <w:rPr>
            <w:rFonts w:eastAsia="微软雅黑" w:hint="eastAsia"/>
            <w:snapToGrid/>
            <w:lang w:val="en-US" w:eastAsia="zh-CN"/>
          </w:rPr>
          <w:t>(四)、借助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行业客户差异化把握商机</w:t>
        </w:r>
        <w:r>
          <w:tab/>
        </w:r>
        <w:r>
          <w:fldChar w:fldCharType="begin"/>
        </w:r>
        <w:r>
          <w:instrText xml:space="preserve"> PAGEREF _Toc18766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754" w:history="1">
        <w:r>
          <w:rPr>
            <w:rFonts w:eastAsia="微软雅黑" w:hint="eastAsia"/>
            <w:snapToGrid/>
            <w:lang w:val="en-US" w:eastAsia="zh-CN"/>
          </w:rPr>
          <w:t>(五)、借助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行业渠道差异来寻求商机</w:t>
        </w:r>
        <w:r>
          <w:tab/>
        </w:r>
        <w:r>
          <w:fldChar w:fldCharType="begin"/>
        </w:r>
        <w:r>
          <w:instrText xml:space="preserve"> PAGEREF _Toc32754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874" w:history="1">
        <w:r>
          <w:rPr>
            <w:rFonts w:eastAsia="微软雅黑" w:hint="eastAsia"/>
            <w:snapToGrid/>
            <w:lang w:val="en-US" w:eastAsia="en-US"/>
          </w:rPr>
          <w:t>九、2024-2029年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_Toc24874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18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_Toc518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657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_Toc5657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975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_Toc26975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923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_Toc9923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496" w:history="1">
        <w:r>
          <w:rPr>
            <w:rFonts w:eastAsia="微软雅黑" w:hint="eastAsia"/>
            <w:snapToGrid/>
            <w:lang w:val="en-US" w:eastAsia="en-US"/>
          </w:rPr>
          <w:t>十、关于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_Toc22496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129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_Toc7129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0592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_Toc20592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4018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_Toc24018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20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_Toc28204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68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_Toc9681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0022" w:history="1">
        <w:r>
          <w:rPr>
            <w:rFonts w:eastAsia="微软雅黑" w:hint="eastAsia"/>
            <w:snapToGrid/>
            <w:lang w:val="en-US" w:eastAsia="en-US"/>
          </w:rPr>
          <w:t>十一、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_Toc20022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45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_Toc2745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17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_Toc2317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22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_Toc13221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6273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_Toc16273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7252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_Toc17252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8470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_Toc8470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7825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_Toc27825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5164" w:history="1">
        <w:r>
          <w:rPr>
            <w:rFonts w:eastAsia="微软雅黑" w:hint="eastAsia"/>
            <w:snapToGrid/>
            <w:lang w:val="en-US" w:eastAsia="en-US"/>
          </w:rPr>
          <w:t>十二、2024-2029年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_Toc15164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86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管线阀门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_Toc23863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59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管线阀门</w:t>
        </w:r>
        <w:r>
          <w:rPr>
            <w:rFonts w:eastAsia="微软雅黑" w:hint="eastAsia"/>
            <w:snapToGrid/>
            <w:lang w:val="en-US" w:eastAsia="zh-CN"/>
          </w:rPr>
          <w:t>行业的增长与波动分析</w:t>
        </w:r>
        <w:r>
          <w:tab/>
        </w:r>
        <w:r>
          <w:fldChar w:fldCharType="begin"/>
        </w:r>
        <w:r>
          <w:instrText xml:space="preserve"> PAGEREF _Toc10599 \h </w:instrText>
        </w:r>
        <w:r>
          <w:fldChar w:fldCharType="separate"/>
        </w:r>
        <w:r>
          <w:t>37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https://d.book118.com/896112005125010031</w:t>
        </w:r>
      </w:hyperlink>
    </w:p>
    <w:p>
      <w:pPr>
        <w:pStyle w:val="TOC2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9611200512501003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