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碳交易市场项目创业投资方案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2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_Toc24124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val="en-US"/>
          </w:rPr>
          <w:t>一、公司概况</w:t>
        </w:r>
        <w:r>
          <w:tab/>
        </w:r>
        <w:r>
          <w:fldChar w:fldCharType="begin"/>
        </w:r>
        <w:r>
          <w:instrText xml:space="preserve"> PAGEREF _Toc28868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8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_Toc23308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4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_Toc24004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val="en-US"/>
          </w:rPr>
          <w:t>二、碳交易市场项目风险管理方案</w:t>
        </w:r>
        <w:r>
          <w:tab/>
        </w:r>
        <w:r>
          <w:fldChar w:fldCharType="begin"/>
        </w:r>
        <w:r>
          <w:instrText xml:space="preserve"> PAGEREF _Toc23389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val="en-US"/>
          </w:rPr>
          <w:t>(一)、风险管理概述</w:t>
        </w:r>
        <w:r>
          <w:tab/>
        </w:r>
        <w:r>
          <w:fldChar w:fldCharType="begin"/>
        </w:r>
        <w:r>
          <w:instrText xml:space="preserve"> PAGEREF _Toc12801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val="en-US"/>
          </w:rPr>
          <w:t>(二)、企业面临的风险</w:t>
        </w:r>
        <w:r>
          <w:tab/>
        </w:r>
        <w:r>
          <w:fldChar w:fldCharType="begin"/>
        </w:r>
        <w:r>
          <w:instrText xml:space="preserve"> PAGEREF _Toc23995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val="en-US"/>
          </w:rPr>
          <w:t>(三)、风险成本与风险管理的目标</w:t>
        </w:r>
        <w:r>
          <w:tab/>
        </w:r>
        <w:r>
          <w:fldChar w:fldCharType="begin"/>
        </w:r>
        <w:r>
          <w:instrText xml:space="preserve"> PAGEREF _Toc12752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7" w:history="1">
        <w:r>
          <w:rPr>
            <w:rFonts w:ascii="仿宋" w:eastAsia="仿宋" w:hAnsi="仿宋" w:cs="仿宋" w:hint="eastAsia"/>
            <w:lang w:val="en-US"/>
          </w:rPr>
          <w:t>(四)、人力资本风险分析</w:t>
        </w:r>
        <w:r>
          <w:tab/>
        </w:r>
        <w:r>
          <w:fldChar w:fldCharType="begin"/>
        </w:r>
        <w:r>
          <w:instrText xml:space="preserve"> PAGEREF _Toc15667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val="en-US"/>
          </w:rPr>
          <w:t>(五)、风险识别</w:t>
        </w:r>
        <w:r>
          <w:tab/>
        </w:r>
        <w:r>
          <w:fldChar w:fldCharType="begin"/>
        </w:r>
        <w:r>
          <w:instrText xml:space="preserve"> PAGEREF _Toc7125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val="en-US"/>
          </w:rPr>
          <w:t>(六)、风险管理的措施</w:t>
        </w:r>
        <w:r>
          <w:tab/>
        </w:r>
        <w:r>
          <w:fldChar w:fldCharType="begin"/>
        </w:r>
        <w:r>
          <w:instrText xml:space="preserve"> PAGEREF _Toc30337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5" w:history="1">
        <w:r>
          <w:rPr>
            <w:rFonts w:ascii="仿宋" w:eastAsia="仿宋" w:hAnsi="仿宋" w:cs="仿宋" w:hint="eastAsia"/>
            <w:lang w:val="en-US"/>
          </w:rPr>
          <w:t>三、运营和供应链分析</w:t>
        </w:r>
        <w:r>
          <w:tab/>
        </w:r>
        <w:r>
          <w:fldChar w:fldCharType="begin"/>
        </w:r>
        <w:r>
          <w:instrText xml:space="preserve"> PAGEREF _Toc22515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val="en-US"/>
          </w:rPr>
          <w:t>(一)、生产流程分析</w:t>
        </w:r>
        <w:r>
          <w:tab/>
        </w:r>
        <w:r>
          <w:fldChar w:fldCharType="begin"/>
        </w:r>
        <w:r>
          <w:instrText xml:space="preserve"> PAGEREF _Toc8109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val="en-US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_Toc768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val="en-US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_Toc28022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val="en-US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_Toc25844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4" w:history="1">
        <w:r>
          <w:rPr>
            <w:rFonts w:ascii="仿宋" w:eastAsia="仿宋" w:hAnsi="仿宋" w:cs="仿宋" w:hint="eastAsia"/>
            <w:lang w:val="en-US"/>
          </w:rPr>
          <w:t>四、重点投资碳交易市场项目分析</w:t>
        </w:r>
        <w:r>
          <w:tab/>
        </w:r>
        <w:r>
          <w:fldChar w:fldCharType="begin"/>
        </w:r>
        <w:r>
          <w:instrText xml:space="preserve"> PAGEREF _Toc15684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val="en-US"/>
          </w:rPr>
          <w:t>(一)、碳交易市场项目承办单位基本情况</w:t>
        </w:r>
        <w:r>
          <w:tab/>
        </w:r>
        <w:r>
          <w:fldChar w:fldCharType="begin"/>
        </w:r>
        <w:r>
          <w:instrText xml:space="preserve"> PAGEREF _Toc3496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val="en-US"/>
          </w:rPr>
          <w:t>(二)、碳交易市场项目建设符合性</w:t>
        </w:r>
        <w:r>
          <w:tab/>
        </w:r>
        <w:r>
          <w:fldChar w:fldCharType="begin"/>
        </w:r>
        <w:r>
          <w:instrText xml:space="preserve"> PAGEREF _Toc3957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val="en-US"/>
          </w:rPr>
          <w:t>(三)、碳交易市场项目概况</w:t>
        </w:r>
        <w:r>
          <w:tab/>
        </w:r>
        <w:r>
          <w:fldChar w:fldCharType="begin"/>
        </w:r>
        <w:r>
          <w:instrText xml:space="preserve"> PAGEREF _Toc29784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0" w:history="1">
        <w:r>
          <w:rPr>
            <w:rFonts w:ascii="仿宋" w:eastAsia="仿宋" w:hAnsi="仿宋" w:cs="仿宋" w:hint="eastAsia"/>
            <w:lang w:val="en-US"/>
          </w:rPr>
          <w:t>(四)、碳交易市场项目评价</w:t>
        </w:r>
        <w:r>
          <w:tab/>
        </w:r>
        <w:r>
          <w:fldChar w:fldCharType="begin"/>
        </w:r>
        <w:r>
          <w:instrText xml:space="preserve"> PAGEREF _Toc32060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val="en-US"/>
          </w:rPr>
          <w:t>五、碳交易市场行业发展形势分析</w:t>
        </w:r>
        <w:r>
          <w:tab/>
        </w:r>
        <w:r>
          <w:fldChar w:fldCharType="begin"/>
        </w:r>
        <w:r>
          <w:instrText xml:space="preserve"> PAGEREF _Toc6291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val="en-US"/>
          </w:rPr>
          <w:t>(一)、碳交易市场行业发展形势分析</w:t>
        </w:r>
        <w:r>
          <w:tab/>
        </w:r>
        <w:r>
          <w:fldChar w:fldCharType="begin"/>
        </w:r>
        <w:r>
          <w:instrText xml:space="preserve"> PAGEREF _Toc20090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val="en-US"/>
          </w:rPr>
          <w:t>六、碳交易市场项目土建工程</w:t>
        </w:r>
        <w:r>
          <w:tab/>
        </w:r>
        <w:r>
          <w:fldChar w:fldCharType="begin"/>
        </w:r>
        <w:r>
          <w:instrText xml:space="preserve"> PAGEREF _Toc22324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_Toc14119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97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_Toc31897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8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_Toc16718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5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_Toc9535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val="en-US"/>
          </w:rPr>
          <w:t>七、市场分析、调研</w:t>
        </w:r>
        <w:r>
          <w:tab/>
        </w:r>
        <w:r>
          <w:fldChar w:fldCharType="begin"/>
        </w:r>
        <w:r>
          <w:instrText xml:space="preserve"> PAGEREF _Toc20396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1" w:history="1">
        <w:r>
          <w:rPr>
            <w:rFonts w:ascii="仿宋" w:eastAsia="仿宋" w:hAnsi="仿宋" w:cs="仿宋" w:hint="eastAsia"/>
            <w:lang w:val="en-US"/>
          </w:rPr>
          <w:t>(一)、碳交易市场行业分析</w:t>
        </w:r>
        <w:r>
          <w:tab/>
        </w:r>
        <w:r>
          <w:fldChar w:fldCharType="begin"/>
        </w:r>
        <w:r>
          <w:instrText xml:space="preserve"> PAGEREF _Toc18521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3" w:history="1">
        <w:r>
          <w:rPr>
            <w:rFonts w:ascii="仿宋" w:eastAsia="仿宋" w:hAnsi="仿宋" w:cs="仿宋" w:hint="eastAsia"/>
            <w:lang w:val="en-US"/>
          </w:rPr>
          <w:t>(二)、碳交易市场市场分析预测</w:t>
        </w:r>
        <w:r>
          <w:tab/>
        </w:r>
        <w:r>
          <w:fldChar w:fldCharType="begin"/>
        </w:r>
        <w:r>
          <w:instrText xml:space="preserve"> PAGEREF _Toc18023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val="en-US"/>
          </w:rPr>
          <w:t>八、碳交易市场项目风险概况</w:t>
        </w:r>
        <w:r>
          <w:tab/>
        </w:r>
        <w:r>
          <w:fldChar w:fldCharType="begin"/>
        </w:r>
        <w:r>
          <w:instrText xml:space="preserve"> PAGEREF _Toc25643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_Toc4742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_Toc16940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_Toc19977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_Toc14646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_Toc28111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_Toc18007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_Toc4018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_Toc22780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_Toc29311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val="en-US"/>
          </w:rPr>
          <w:t>九、人力资源配置</w:t>
        </w:r>
        <w:r>
          <w:tab/>
        </w:r>
        <w:r>
          <w:fldChar w:fldCharType="begin"/>
        </w:r>
        <w:r>
          <w:instrText xml:space="preserve"> PAGEREF _Toc21893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7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_Toc11957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_Toc10639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val="en-US"/>
          </w:rPr>
          <w:t>十、组织机构管理</w:t>
        </w:r>
        <w:r>
          <w:tab/>
        </w:r>
        <w:r>
          <w:fldChar w:fldCharType="begin"/>
        </w:r>
        <w:r>
          <w:instrText xml:space="preserve"> PAGEREF _Toc15920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4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_Toc26484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_Toc4645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val="en-US"/>
          </w:rPr>
          <w:t>十一、进度计划</w:t>
        </w:r>
        <w:r>
          <w:tab/>
        </w:r>
        <w:r>
          <w:fldChar w:fldCharType="begin"/>
        </w:r>
        <w:r>
          <w:instrText xml:space="preserve"> PAGEREF _Toc19145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val="en-US"/>
          </w:rPr>
          <w:t>(一)、碳交易市场项目进度安排</w:t>
        </w:r>
        <w:r>
          <w:tab/>
        </w:r>
        <w:r>
          <w:fldChar w:fldCharType="begin"/>
        </w:r>
        <w:r>
          <w:instrText xml:space="preserve"> PAGEREF _Toc12836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val="en-US"/>
          </w:rPr>
          <w:t>(二)、碳交易市场项目实施保障措施</w:t>
        </w:r>
        <w:r>
          <w:tab/>
        </w:r>
        <w:r>
          <w:fldChar w:fldCharType="begin"/>
        </w:r>
        <w:r>
          <w:instrText xml:space="preserve"> PAGEREF _Toc21998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4" w:history="1">
        <w:r>
          <w:rPr>
            <w:rFonts w:ascii="仿宋" w:eastAsia="仿宋" w:hAnsi="仿宋" w:cs="仿宋" w:hint="eastAsia"/>
            <w:lang w:val="en-US"/>
          </w:rPr>
          <w:t>十二、环境影响分析</w:t>
        </w:r>
        <w:r>
          <w:tab/>
        </w:r>
        <w:r>
          <w:fldChar w:fldCharType="begin"/>
        </w:r>
        <w:r>
          <w:instrText xml:space="preserve"> PAGEREF _Toc29684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5" w:history="1">
        <w:r>
          <w:rPr>
            <w:rFonts w:ascii="仿宋" w:eastAsia="仿宋" w:hAnsi="仿宋" w:cs="仿宋" w:hint="eastAsia"/>
            <w:lang w:val="en-US"/>
          </w:rPr>
          <w:t>(一)、大气环境影响</w:t>
        </w:r>
        <w:r>
          <w:tab/>
        </w:r>
        <w:r>
          <w:fldChar w:fldCharType="begin"/>
        </w:r>
        <w:r>
          <w:instrText xml:space="preserve"> PAGEREF _Toc30945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val="en-US"/>
          </w:rPr>
          <w:t>(二)、水环境影响</w:t>
        </w:r>
        <w:r>
          <w:tab/>
        </w:r>
        <w:r>
          <w:fldChar w:fldCharType="begin"/>
        </w:r>
        <w:r>
          <w:instrText xml:space="preserve"> PAGEREF _Toc7048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691" w:history="1">
        <w:r>
          <w:rPr>
            <w:rFonts w:ascii="仿宋" w:eastAsia="仿宋" w:hAnsi="仿宋" w:cs="仿宋" w:hint="eastAsia"/>
            <w:lang w:val="en-US"/>
          </w:rPr>
          <w:t>(三)、土壤环境影响</w:t>
        </w:r>
        <w:r>
          <w:tab/>
        </w:r>
        <w:r>
          <w:fldChar w:fldCharType="begin"/>
        </w:r>
        <w:r>
          <w:instrText xml:space="preserve"> PAGEREF _Toc29691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val="en-US"/>
          </w:rPr>
          <w:t>(四)、生态环境影响</w:t>
        </w:r>
        <w:r>
          <w:tab/>
        </w:r>
        <w:r>
          <w:fldChar w:fldCharType="begin"/>
        </w:r>
        <w:r>
          <w:instrText xml:space="preserve"> PAGEREF _Toc27484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val="en-US"/>
          </w:rPr>
          <w:t>(五)、噪声环境影响</w:t>
        </w:r>
        <w:r>
          <w:tab/>
        </w:r>
        <w:r>
          <w:fldChar w:fldCharType="begin"/>
        </w:r>
        <w:r>
          <w:instrText xml:space="preserve"> PAGEREF _Toc32061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val="en-US"/>
          </w:rPr>
          <w:t>十三、第十二章职业伦理与社会责任</w:t>
        </w:r>
        <w:r>
          <w:tab/>
        </w:r>
        <w:r>
          <w:fldChar w:fldCharType="begin"/>
        </w:r>
        <w:r>
          <w:instrText xml:space="preserve"> PAGEREF _Toc12538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val="en-US"/>
          </w:rPr>
          <w:t>(一)、职业道德规范</w:t>
        </w:r>
        <w:r>
          <w:tab/>
        </w:r>
        <w:r>
          <w:fldChar w:fldCharType="begin"/>
        </w:r>
        <w:r>
          <w:instrText xml:space="preserve"> PAGEREF _Toc9557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val="en-US"/>
          </w:rPr>
          <w:t>(二)、社会责任履行</w:t>
        </w:r>
        <w:r>
          <w:tab/>
        </w:r>
        <w:r>
          <w:fldChar w:fldCharType="begin"/>
        </w:r>
        <w:r>
          <w:instrText xml:space="preserve"> PAGEREF _Toc30334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val="en-US"/>
          </w:rPr>
          <w:t>十四、碳交易市场项目规划进度</w:t>
        </w:r>
        <w:r>
          <w:tab/>
        </w:r>
        <w:r>
          <w:fldChar w:fldCharType="begin"/>
        </w:r>
        <w:r>
          <w:instrText xml:space="preserve"> PAGEREF _Toc8583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val="en-US"/>
          </w:rPr>
          <w:t>(一)、碳交易市场项目进度安排</w:t>
        </w:r>
        <w:r>
          <w:tab/>
        </w:r>
        <w:r>
          <w:fldChar w:fldCharType="begin"/>
        </w:r>
        <w:r>
          <w:instrText xml:space="preserve"> PAGEREF _Toc2378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val="en-US"/>
          </w:rPr>
          <w:t>(二)、碳交易市场项目实施保障措施</w:t>
        </w:r>
        <w:r>
          <w:tab/>
        </w:r>
        <w:r>
          <w:fldChar w:fldCharType="begin"/>
        </w:r>
        <w:r>
          <w:instrText xml:space="preserve"> PAGEREF _Toc2588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val="en-US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_Toc18250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val="en-US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_Toc22787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val="en-US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_Toc28541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val="en-US"/>
          </w:rPr>
          <w:t>十六、人才队伍建设</w:t>
        </w:r>
        <w:r>
          <w:tab/>
        </w:r>
        <w:r>
          <w:fldChar w:fldCharType="begin"/>
        </w:r>
        <w:r>
          <w:instrText xml:space="preserve"> PAGEREF _Toc4811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_Toc22430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_Toc5152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_Toc14360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_Toc4203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val="en-US"/>
          </w:rPr>
          <w:t>十七、碳交易市场项目安全现状评价报告的存档与发布</w:t>
        </w:r>
        <w:r>
          <w:tab/>
        </w:r>
        <w:r>
          <w:fldChar w:fldCharType="begin"/>
        </w:r>
        <w:r>
          <w:instrText xml:space="preserve"> PAGEREF _Toc2226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_Toc29261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_Toc31643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_Toc5382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_Toc20915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val="en-US"/>
          </w:rPr>
          <w:t>十八、碳交易市场项目工艺及设备分析</w:t>
        </w:r>
        <w:r>
          <w:tab/>
        </w:r>
        <w:r>
          <w:fldChar w:fldCharType="begin"/>
        </w:r>
        <w:r>
          <w:instrText xml:space="preserve"> PAGEREF _Toc17933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5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_Toc23115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1" w:history="1">
        <w:r>
          <w:rPr>
            <w:rFonts w:ascii="仿宋" w:eastAsia="仿宋" w:hAnsi="仿宋" w:cs="仿宋" w:hint="eastAsia"/>
            <w:lang w:val="en-US"/>
          </w:rPr>
          <w:t>(二)、碳交易市场项目工艺技术设计方案</w:t>
        </w:r>
        <w:r>
          <w:tab/>
        </w:r>
        <w:r>
          <w:fldChar w:fldCharType="begin"/>
        </w:r>
        <w:r>
          <w:instrText xml:space="preserve"> PAGEREF _Toc14431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_Toc16814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val="en-US"/>
          </w:rPr>
          <w:t>十九、碳交易市场可持续发展战略</w:t>
        </w:r>
        <w:r>
          <w:tab/>
        </w:r>
        <w:r>
          <w:fldChar w:fldCharType="begin"/>
        </w:r>
        <w:r>
          <w:instrText xml:space="preserve"> PAGEREF _Toc8014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_Toc11572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5344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_Toc5344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_Toc22704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1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_Toc20471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val="en-US"/>
          </w:rPr>
          <w:t>二十、碳交易市场项目执行风险与应对策略</w:t>
        </w:r>
        <w:r>
          <w:tab/>
        </w:r>
        <w:r>
          <w:fldChar w:fldCharType="begin"/>
        </w:r>
        <w:r>
          <w:instrText xml:space="preserve"> PAGEREF _Toc18543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val="en-US"/>
          </w:rPr>
          <w:t>(一)、碳交易市场项目执行风险识别</w:t>
        </w:r>
        <w:r>
          <w:tab/>
        </w:r>
        <w:r>
          <w:fldChar w:fldCharType="begin"/>
        </w:r>
        <w:r>
          <w:instrText xml:space="preserve"> PAGEREF _Toc4308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val="en-US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_Toc31788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val="en-US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_Toc7872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https://d.book118.com/896232143212010103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碳交易市场项目创业投资方案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碳交易市场项目创业投资方案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碳交易市场项目创业投资方案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碳交易市场项目创业投资方案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碳交易市场项目创业投资方案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A370A3"/>
    <w:rsid w:val="4DA370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96232143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2024-03-20T18:37:00Z</dcterms:created>
  <dcterms:modified xsi:type="dcterms:W3CDTF">2024-03-20T18:38:04Z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