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6"/>
        </w:rPr>
      </w:pPr>
    </w:p>
    <w:p>
      <w:pPr>
        <w:spacing w:before="60"/>
        <w:ind w:left="4046" w:right="0" w:firstLine="0"/>
        <w:jc w:val="lef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艾草制品生产加工工程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37"/>
        </w:rPr>
      </w:pPr>
    </w:p>
    <w:p>
      <w:pPr>
        <w:spacing w:before="0"/>
        <w:ind w:left="280" w:right="3536" w:firstLine="0"/>
        <w:jc w:val="center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规划建设方案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1"/>
        <w:rPr>
          <w:rFonts w:ascii="黑体"/>
          <w:b/>
          <w:sz w:val="29"/>
        </w:rPr>
      </w:pPr>
    </w:p>
    <w:p>
      <w:pPr>
        <w:pStyle w:val="Heading2"/>
        <w:spacing w:before="37"/>
        <w:ind w:left="9170"/>
        <w:rPr>
          <w:rFonts w:ascii="黑体" w:eastAsia="黑体" w:hint="eastAsia"/>
        </w:rPr>
      </w:pPr>
      <w:r>
        <w:rPr>
          <w:rFonts w:ascii="黑体" w:eastAsia="黑体" w:hint="eastAsia"/>
          <w:spacing w:val="2"/>
          <w:w w:val="95"/>
        </w:rPr>
        <w:t>规划设计</w:t>
      </w:r>
      <w:r>
        <w:rPr>
          <w:rFonts w:ascii="黑体" w:eastAsia="黑体" w:hint="eastAsia"/>
          <w:w w:val="95"/>
        </w:rPr>
        <w:t>/投资分析/实施方案</w:t>
      </w:r>
    </w:p>
    <w:p>
      <w:pPr>
        <w:spacing w:after="0"/>
        <w:rPr>
          <w:rFonts w:ascii="黑体" w:eastAsia="黑体" w:hint="eastAsia"/>
        </w:rPr>
        <w:sectPr>
          <w:headerReference w:type="even" r:id="rId4"/>
          <w:headerReference w:type="default" r:id="rId5"/>
          <w:type w:val="continuous"/>
          <w:pgSz w:w="18360" w:h="23760"/>
          <w:pgMar w:top="1180" w:right="1220" w:bottom="280" w:left="1520" w:header="980" w:footer="708"/>
          <w:cols w:space="708"/>
        </w:sect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7"/>
        <w:rPr>
          <w:rFonts w:ascii="黑体"/>
          <w:b/>
          <w:sz w:val="19"/>
        </w:rPr>
      </w:pPr>
    </w:p>
    <w:p>
      <w:pPr>
        <w:pStyle w:val="BodyText"/>
        <w:spacing w:before="19"/>
        <w:ind w:left="280" w:right="612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艾草制品生产加工工程规划建设方案说明</w:t>
      </w:r>
    </w:p>
    <w:p>
      <w:pPr>
        <w:pStyle w:val="BodyText"/>
        <w:rPr>
          <w:rFonts w:ascii="幼圆"/>
          <w:sz w:val="44"/>
        </w:rPr>
      </w:pPr>
    </w:p>
    <w:p>
      <w:pPr>
        <w:pStyle w:val="BodyText"/>
        <w:spacing w:before="5"/>
        <w:rPr>
          <w:rFonts w:ascii="幼圆"/>
          <w:sz w:val="39"/>
        </w:rPr>
      </w:pPr>
    </w:p>
    <w:p>
      <w:pPr>
        <w:pStyle w:val="BodyText"/>
        <w:spacing w:line="405" w:lineRule="auto"/>
        <w:ind w:left="280" w:right="937" w:firstLine="900"/>
      </w:pPr>
      <w:r>
        <w:rPr>
          <w:spacing w:val="-1"/>
        </w:rPr>
        <w:t>灸法〔又称艾灸</w:t>
      </w:r>
      <w:r>
        <w:t>〕是指以艾绒为主要材料，点燃后直接或间接熏灼体</w:t>
      </w:r>
      <w:r>
        <w:rPr>
          <w:spacing w:val="-1"/>
        </w:rPr>
        <w:t>表穴位的一种治疗方法；也可在艾绒中掺入少量药末，以加强治疗作用。</w:t>
      </w:r>
    </w:p>
    <w:p>
      <w:pPr>
        <w:pStyle w:val="BodyText"/>
        <w:spacing w:line="405" w:lineRule="auto"/>
        <w:ind w:left="280" w:right="249"/>
      </w:pPr>
      <w:r>
        <w:t>公元 550</w:t>
      </w:r>
      <w:r>
        <w:rPr>
          <w:spacing w:val="-2"/>
        </w:rPr>
        <w:t xml:space="preserve"> 年，灸法由中国从朝鲜传到日本，日本又把灸法扩展应用到预防、</w:t>
      </w:r>
      <w:r>
        <w:t>保健。艾灸不仅是一种治疗，而且已成为一种文化。这种文化以各种方式</w:t>
      </w:r>
    </w:p>
    <w:p>
      <w:pPr>
        <w:pStyle w:val="BodyText"/>
        <w:spacing w:line="405" w:lineRule="auto"/>
        <w:ind w:left="280" w:right="596"/>
        <w:jc w:val="center"/>
      </w:pPr>
      <w:r>
        <w:rPr>
          <w:spacing w:val="-1"/>
        </w:rPr>
        <w:t>流传下来，并且又传到西方发扬光大。</w:t>
      </w:r>
      <w:r>
        <w:t>2023</w:t>
      </w:r>
      <w:r>
        <w:rPr>
          <w:spacing w:val="-25"/>
        </w:rPr>
        <w:t xml:space="preserve"> 年我国艾灸产量达 </w:t>
      </w:r>
      <w:r>
        <w:t>2.21</w:t>
      </w:r>
      <w:r>
        <w:rPr>
          <w:spacing w:val="-29"/>
        </w:rPr>
        <w:t xml:space="preserve"> 万吨。</w:t>
      </w:r>
      <w:r>
        <w:rPr>
          <w:spacing w:val="-4"/>
        </w:rPr>
        <w:t xml:space="preserve">该艾草制品工程打算总投资 </w:t>
      </w:r>
      <w:r>
        <w:t>16511.69</w:t>
      </w:r>
      <w:r>
        <w:rPr>
          <w:spacing w:val="-8"/>
        </w:rPr>
        <w:t xml:space="preserve"> 万元，其中：固定资产投资</w:t>
      </w:r>
      <w:r>
        <w:t>12565.69</w:t>
      </w:r>
      <w:r>
        <w:rPr>
          <w:spacing w:val="-113"/>
        </w:rPr>
        <w:t xml:space="preserve"> </w:t>
      </w:r>
      <w:r>
        <w:rPr>
          <w:spacing w:val="-10"/>
        </w:rPr>
        <w:t xml:space="preserve">万元，占工程总投资的 </w:t>
      </w:r>
      <w:r>
        <w:t>76.10%；</w:t>
      </w:r>
      <w:r>
        <w:rPr>
          <w:spacing w:val="-23"/>
        </w:rPr>
        <w:t xml:space="preserve">流淌资金 </w:t>
      </w:r>
      <w:r>
        <w:t>3946.00</w:t>
      </w:r>
      <w:r>
        <w:rPr>
          <w:spacing w:val="-18"/>
        </w:rPr>
        <w:t xml:space="preserve"> 万元，占工程</w:t>
      </w:r>
    </w:p>
    <w:p>
      <w:pPr>
        <w:pStyle w:val="BodyText"/>
        <w:spacing w:line="569" w:lineRule="exact"/>
        <w:ind w:left="263" w:right="11608"/>
        <w:jc w:val="center"/>
      </w:pPr>
      <w:r>
        <w:rPr>
          <w:spacing w:val="-22"/>
        </w:rPr>
        <w:t xml:space="preserve">总投资的 </w:t>
      </w:r>
      <w:r>
        <w:rPr>
          <w:spacing w:val="-1"/>
        </w:rPr>
        <w:t>23.90%。</w:t>
      </w:r>
    </w:p>
    <w:p>
      <w:pPr>
        <w:pStyle w:val="BodyText"/>
        <w:spacing w:before="395" w:line="405" w:lineRule="auto"/>
        <w:ind w:left="280" w:right="708" w:firstLine="900"/>
      </w:pPr>
      <w:r>
        <w:rPr>
          <w:spacing w:val="1"/>
          <w:w w:val="95"/>
        </w:rPr>
        <w:t xml:space="preserve">达产年营业收入 </w:t>
      </w:r>
      <w:r>
        <w:rPr>
          <w:w w:val="95"/>
        </w:rPr>
        <w:t>34576.00</w:t>
      </w:r>
      <w:r>
        <w:rPr>
          <w:spacing w:val="1"/>
          <w:w w:val="95"/>
        </w:rPr>
        <w:t xml:space="preserve"> 万元，总本钱费用 </w:t>
      </w:r>
      <w:r>
        <w:rPr>
          <w:w w:val="95"/>
        </w:rPr>
        <w:t>26948.71 万元，税金及</w:t>
      </w:r>
      <w:r>
        <w:rPr>
          <w:spacing w:val="-1"/>
        </w:rPr>
        <w:t>附</w:t>
      </w:r>
      <w:r>
        <w:rPr>
          <w:spacing w:val="-55"/>
        </w:rPr>
        <w:t xml:space="preserve">加 </w:t>
      </w:r>
      <w:r>
        <w:rPr>
          <w:spacing w:val="-1"/>
        </w:rPr>
        <w:t>302.57</w:t>
      </w:r>
      <w:r>
        <w:rPr>
          <w:spacing w:val="-28"/>
        </w:rPr>
        <w:t xml:space="preserve"> 万元，利润总额 </w:t>
      </w:r>
      <w:r>
        <w:rPr>
          <w:spacing w:val="-1"/>
        </w:rPr>
        <w:t>7627.29</w:t>
      </w:r>
      <w:r>
        <w:rPr>
          <w:spacing w:val="-27"/>
        </w:rPr>
        <w:t xml:space="preserve"> 万元，利税总额 </w:t>
      </w:r>
      <w:r>
        <w:t>8981.90</w:t>
      </w:r>
      <w:r>
        <w:rPr>
          <w:spacing w:val="-18"/>
        </w:rPr>
        <w:t xml:space="preserve"> 万元，税后净</w:t>
      </w:r>
      <w:r>
        <w:rPr>
          <w:spacing w:val="-37"/>
        </w:rPr>
        <w:t xml:space="preserve">利润 </w:t>
      </w:r>
      <w:r>
        <w:t>5720.47</w:t>
      </w:r>
      <w:r>
        <w:rPr>
          <w:spacing w:val="-21"/>
        </w:rPr>
        <w:t xml:space="preserve"> 万元，达产年纳税总额 </w:t>
      </w:r>
      <w:r>
        <w:t>3261.43</w:t>
      </w:r>
      <w:r>
        <w:rPr>
          <w:spacing w:val="-12"/>
        </w:rPr>
        <w:t xml:space="preserve"> 万元；达产年投资利润率</w:t>
      </w:r>
      <w:r>
        <w:rPr>
          <w:spacing w:val="-1"/>
        </w:rPr>
        <w:t>46.19%，</w:t>
      </w:r>
      <w:r>
        <w:rPr>
          <w:spacing w:val="-19"/>
        </w:rPr>
        <w:t xml:space="preserve">投资利税率 </w:t>
      </w:r>
      <w:r>
        <w:t>54.40</w:t>
      </w:r>
      <w:r>
        <w:rPr>
          <w:spacing w:val="-14"/>
        </w:rPr>
        <w:t xml:space="preserve">%，投资回报率 </w:t>
      </w:r>
      <w:r>
        <w:t>34.64%，全部投资回收期 4.39</w:t>
      </w:r>
      <w:r>
        <w:rPr>
          <w:spacing w:val="1"/>
        </w:rPr>
        <w:t xml:space="preserve"> </w:t>
      </w:r>
      <w:r>
        <w:rPr>
          <w:spacing w:val="-13"/>
        </w:rPr>
        <w:t xml:space="preserve">年，供给就业职位 </w:t>
      </w:r>
      <w:r>
        <w:t>571</w:t>
      </w:r>
      <w:r>
        <w:rPr>
          <w:spacing w:val="-39"/>
        </w:rPr>
        <w:t xml:space="preserve"> 个。</w:t>
      </w:r>
    </w:p>
    <w:p>
      <w:pPr>
        <w:pStyle w:val="BodyText"/>
        <w:spacing w:line="405" w:lineRule="auto"/>
        <w:ind w:left="280" w:right="937" w:firstLine="900"/>
        <w:jc w:val="both"/>
      </w:pPr>
      <w:r>
        <w:rPr>
          <w:spacing w:val="-1"/>
        </w:rPr>
        <w:t>严格遵守国家产业进展政策和地方产业进展规划的原则。工程肯定要遵循国家有关相关产业政策，深入进展市场调查，严密跟踪工程产品市场走势，确保工程具有良好的经济效益和进展前景。工程建设必需依法遵循</w:t>
      </w:r>
    </w:p>
    <w:p>
      <w:pPr>
        <w:spacing w:after="0" w:line="405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https://d.book118.com/897046043010006025</w:t>
        </w:r>
      </w:hyperlink>
    </w:p>
    <w:p>
      <w:pPr>
        <w:spacing w:after="0" w:line="405" w:lineRule="auto"/>
        <w:jc w:val="both"/>
      </w:pPr>
    </w:p>
    <w:sectPr>
      <w:headerReference w:type="even" r:id="rId7"/>
      <w:headerReference w:type="default" r:id="rId8"/>
      <w:pgSz w:w="18360" w:h="23760"/>
      <w:pgMar w:top="1180" w:right="1220" w:bottom="280" w:left="1520" w:header="980" w:footer="0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711200</wp:posOffset>
          </wp:positionV>
          <wp:extent cx="9461500" cy="3810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61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711200</wp:posOffset>
          </wp:positionV>
          <wp:extent cx="94615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61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711200</wp:posOffset>
          </wp:positionV>
          <wp:extent cx="9461500" cy="38100"/>
          <wp:effectExtent l="0" t="0" r="0" b="0"/>
          <wp:wrapNone/>
          <wp:docPr id="16931957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1957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61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711200</wp:posOffset>
          </wp:positionV>
          <wp:extent cx="9461500" cy="38100"/>
          <wp:effectExtent l="0" t="0" r="0" b="0"/>
          <wp:wrapNone/>
          <wp:docPr id="19495861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5861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61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180"/>
      <w:outlineLvl w:val="1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180"/>
      <w:outlineLvl w:val="2"/>
    </w:pPr>
    <w:rPr>
      <w:rFonts w:ascii="仿宋" w:eastAsia="仿宋" w:hAnsi="仿宋" w:cs="仿宋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8"/>
      <w:ind w:left="50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yperlink" Target="https://d.book118.com/897046043010006025" TargetMode="Externa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2023-10-11T14:35:13Z</dcterms:created>
  <dcterms:modified xsi:type="dcterms:W3CDTF">2023-10-11T14:35:13Z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2023-05-06T00:00:00Z</vt:filetime>
  </property>
  <property fmtid="{D5CDD505-2E9C-101B-9397-08002B2CF9AE}" pid="3" name="LastSaved">
    <vt:filetime>2023-10-11T00:00:00Z</vt:filetime>
  </property>
</Properties>
</file>