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2024年配电变压器行业趋势</w:t>
      </w:r>
      <w:r>
        <w:rPr>
          <w:rFonts w:ascii="微软雅黑" w:eastAsia="微软雅黑" w:hAnsi="微软雅黑" w:cs="微软雅黑"/>
          <w:b/>
          <w:bCs/>
          <w:color w:val="2D54A0"/>
          <w:spacing w:val="8"/>
          <w:sz w:val="59"/>
          <w:szCs w:val="59"/>
        </w:rPr>
        <w:t>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5563"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_Toc25563 \h </w:instrText>
        </w:r>
        <w:r>
          <w:fldChar w:fldCharType="separate"/>
        </w:r>
        <w:r>
          <w:t>4</w:t>
        </w:r>
        <w:r>
          <w:fldChar w:fldCharType="end"/>
        </w:r>
      </w:hyperlink>
    </w:p>
    <w:p>
      <w:pPr>
        <w:pStyle w:val="TOC1"/>
        <w:tabs>
          <w:tab w:val="right" w:leader="dot" w:pos="8306"/>
        </w:tabs>
      </w:pPr>
      <w:hyperlink w:anchor="_Toc11280" w:history="1">
        <w:r>
          <w:rPr>
            <w:rFonts w:ascii="微软雅黑" w:eastAsia="微软雅黑" w:hAnsi="微软雅黑" w:cs="微软雅黑" w:hint="eastAsia"/>
            <w:color w:val="001CAC" w:themeColor="hyperlink" w:themeShade="BF"/>
            <w:szCs w:val="32"/>
            <w:lang w:eastAsia="zh-CN"/>
          </w:rPr>
          <w:t>一、制度运行与优化</w:t>
        </w:r>
        <w:r>
          <w:tab/>
        </w:r>
        <w:r>
          <w:fldChar w:fldCharType="begin"/>
        </w:r>
        <w:r>
          <w:instrText xml:space="preserve"> PAGEREF _Toc11280 \h </w:instrText>
        </w:r>
        <w:r>
          <w:fldChar w:fldCharType="separate"/>
        </w:r>
        <w:r>
          <w:t>4</w:t>
        </w:r>
        <w:r>
          <w:fldChar w:fldCharType="end"/>
        </w:r>
      </w:hyperlink>
    </w:p>
    <w:p>
      <w:pPr>
        <w:pStyle w:val="TOC2"/>
        <w:tabs>
          <w:tab w:val="right" w:leader="dot" w:pos="8306"/>
        </w:tabs>
      </w:pPr>
      <w:hyperlink w:anchor="_Toc23077" w:history="1">
        <w:r>
          <w:rPr>
            <w:rFonts w:ascii="宋体" w:eastAsia="宋体" w:hAnsi="宋体" w:cs="宋体" w:hint="eastAsia"/>
            <w:bCs w:val="0"/>
            <w:szCs w:val="28"/>
            <w:lang w:eastAsia="zh-CN"/>
          </w:rPr>
          <w:t>(一)、制度执行与监督</w:t>
        </w:r>
        <w:r>
          <w:tab/>
        </w:r>
        <w:r>
          <w:fldChar w:fldCharType="begin"/>
        </w:r>
        <w:r>
          <w:instrText xml:space="preserve"> PAGEREF _Toc23077 \h </w:instrText>
        </w:r>
        <w:r>
          <w:fldChar w:fldCharType="separate"/>
        </w:r>
        <w:r>
          <w:t>4</w:t>
        </w:r>
        <w:r>
          <w:fldChar w:fldCharType="end"/>
        </w:r>
      </w:hyperlink>
    </w:p>
    <w:p>
      <w:pPr>
        <w:pStyle w:val="TOC2"/>
        <w:tabs>
          <w:tab w:val="right" w:leader="dot" w:pos="8306"/>
        </w:tabs>
      </w:pPr>
      <w:hyperlink w:anchor="_Toc19766" w:history="1">
        <w:r>
          <w:rPr>
            <w:rFonts w:ascii="宋体" w:eastAsia="宋体" w:hAnsi="宋体" w:cs="宋体" w:hint="eastAsia"/>
            <w:bCs w:val="0"/>
            <w:szCs w:val="28"/>
            <w:lang w:eastAsia="zh-CN"/>
          </w:rPr>
          <w:t>(二)、制度优化与更新</w:t>
        </w:r>
        <w:r>
          <w:tab/>
        </w:r>
        <w:r>
          <w:fldChar w:fldCharType="begin"/>
        </w:r>
        <w:r>
          <w:instrText xml:space="preserve"> PAGEREF _Toc19766 \h </w:instrText>
        </w:r>
        <w:r>
          <w:fldChar w:fldCharType="separate"/>
        </w:r>
        <w:r>
          <w:t>5</w:t>
        </w:r>
        <w:r>
          <w:fldChar w:fldCharType="end"/>
        </w:r>
      </w:hyperlink>
    </w:p>
    <w:p>
      <w:pPr>
        <w:pStyle w:val="TOC1"/>
        <w:tabs>
          <w:tab w:val="right" w:leader="dot" w:pos="8306"/>
        </w:tabs>
      </w:pPr>
      <w:hyperlink w:anchor="_Toc1990" w:history="1">
        <w:r>
          <w:rPr>
            <w:rFonts w:ascii="微软雅黑" w:eastAsia="微软雅黑" w:hAnsi="微软雅黑" w:cs="微软雅黑" w:hint="eastAsia"/>
            <w:color w:val="001CAC" w:themeColor="hyperlink" w:themeShade="BF"/>
            <w:szCs w:val="32"/>
            <w:lang w:eastAsia="zh-CN"/>
          </w:rPr>
          <w:t>二、配电变压器行业运营管理及商业模式分析</w:t>
        </w:r>
        <w:r>
          <w:tab/>
        </w:r>
        <w:r>
          <w:fldChar w:fldCharType="begin"/>
        </w:r>
        <w:r>
          <w:instrText xml:space="preserve"> PAGEREF _Toc1990 \h </w:instrText>
        </w:r>
        <w:r>
          <w:fldChar w:fldCharType="separate"/>
        </w:r>
        <w:r>
          <w:t>5</w:t>
        </w:r>
        <w:r>
          <w:fldChar w:fldCharType="end"/>
        </w:r>
      </w:hyperlink>
    </w:p>
    <w:p>
      <w:pPr>
        <w:pStyle w:val="TOC2"/>
        <w:tabs>
          <w:tab w:val="right" w:leader="dot" w:pos="8306"/>
        </w:tabs>
      </w:pPr>
      <w:hyperlink w:anchor="_Toc14782" w:history="1">
        <w:r>
          <w:rPr>
            <w:rFonts w:ascii="宋体" w:eastAsia="宋体" w:hAnsi="宋体" w:cs="宋体" w:hint="eastAsia"/>
            <w:bCs w:val="0"/>
            <w:szCs w:val="28"/>
            <w:lang w:eastAsia="zh-CN"/>
          </w:rPr>
          <w:t>(一)、配电变压器行业数字化发展方案</w:t>
        </w:r>
        <w:r>
          <w:tab/>
        </w:r>
        <w:r>
          <w:fldChar w:fldCharType="begin"/>
        </w:r>
        <w:r>
          <w:instrText xml:space="preserve"> PAGEREF _Toc14782 \h </w:instrText>
        </w:r>
        <w:r>
          <w:fldChar w:fldCharType="separate"/>
        </w:r>
        <w:r>
          <w:t>5</w:t>
        </w:r>
        <w:r>
          <w:fldChar w:fldCharType="end"/>
        </w:r>
      </w:hyperlink>
    </w:p>
    <w:p>
      <w:pPr>
        <w:pStyle w:val="TOC2"/>
        <w:tabs>
          <w:tab w:val="right" w:leader="dot" w:pos="8306"/>
        </w:tabs>
      </w:pPr>
      <w:hyperlink w:anchor="_Toc26638" w:history="1">
        <w:r>
          <w:rPr>
            <w:rFonts w:ascii="宋体" w:eastAsia="宋体" w:hAnsi="宋体" w:cs="宋体" w:hint="eastAsia"/>
            <w:bCs w:val="0"/>
            <w:szCs w:val="28"/>
            <w:lang w:eastAsia="zh-CN"/>
          </w:rPr>
          <w:t>(二)、配电变压器行业新型运营方式</w:t>
        </w:r>
        <w:r>
          <w:tab/>
        </w:r>
        <w:r>
          <w:fldChar w:fldCharType="begin"/>
        </w:r>
        <w:r>
          <w:instrText xml:space="preserve"> PAGEREF _Toc26638 \h </w:instrText>
        </w:r>
        <w:r>
          <w:fldChar w:fldCharType="separate"/>
        </w:r>
        <w:r>
          <w:t>8</w:t>
        </w:r>
        <w:r>
          <w:fldChar w:fldCharType="end"/>
        </w:r>
      </w:hyperlink>
    </w:p>
    <w:p>
      <w:pPr>
        <w:pStyle w:val="TOC2"/>
        <w:tabs>
          <w:tab w:val="right" w:leader="dot" w:pos="8306"/>
        </w:tabs>
      </w:pPr>
      <w:hyperlink w:anchor="_Toc5355" w:history="1">
        <w:r>
          <w:rPr>
            <w:rFonts w:ascii="宋体" w:eastAsia="宋体" w:hAnsi="宋体" w:cs="宋体" w:hint="eastAsia"/>
            <w:bCs w:val="0"/>
            <w:szCs w:val="28"/>
            <w:lang w:eastAsia="zh-CN"/>
          </w:rPr>
          <w:t>(三)、配电变压器行业风险管理</w:t>
        </w:r>
        <w:r>
          <w:tab/>
        </w:r>
        <w:r>
          <w:fldChar w:fldCharType="begin"/>
        </w:r>
        <w:r>
          <w:instrText xml:space="preserve"> PAGEREF _Toc5355 \h </w:instrText>
        </w:r>
        <w:r>
          <w:fldChar w:fldCharType="separate"/>
        </w:r>
        <w:r>
          <w:t>11</w:t>
        </w:r>
        <w:r>
          <w:fldChar w:fldCharType="end"/>
        </w:r>
      </w:hyperlink>
    </w:p>
    <w:p>
      <w:pPr>
        <w:pStyle w:val="TOC1"/>
        <w:tabs>
          <w:tab w:val="right" w:leader="dot" w:pos="8306"/>
        </w:tabs>
      </w:pPr>
      <w:hyperlink w:anchor="_Toc6556" w:history="1">
        <w:r>
          <w:rPr>
            <w:rFonts w:ascii="微软雅黑" w:eastAsia="微软雅黑" w:hAnsi="微软雅黑" w:cs="微软雅黑" w:hint="eastAsia"/>
            <w:color w:val="001CAC" w:themeColor="hyperlink" w:themeShade="BF"/>
            <w:szCs w:val="32"/>
            <w:lang w:eastAsia="zh-CN"/>
          </w:rPr>
          <w:t>三、公司文化与社会责任</w:t>
        </w:r>
        <w:r>
          <w:tab/>
        </w:r>
        <w:r>
          <w:fldChar w:fldCharType="begin"/>
        </w:r>
        <w:r>
          <w:instrText xml:space="preserve"> PAGEREF _Toc6556 \h </w:instrText>
        </w:r>
        <w:r>
          <w:fldChar w:fldCharType="separate"/>
        </w:r>
        <w:r>
          <w:t>15</w:t>
        </w:r>
        <w:r>
          <w:fldChar w:fldCharType="end"/>
        </w:r>
      </w:hyperlink>
    </w:p>
    <w:p>
      <w:pPr>
        <w:pStyle w:val="TOC2"/>
        <w:tabs>
          <w:tab w:val="right" w:leader="dot" w:pos="8306"/>
        </w:tabs>
      </w:pPr>
      <w:hyperlink w:anchor="_Toc4509" w:history="1">
        <w:r>
          <w:rPr>
            <w:rFonts w:ascii="宋体" w:eastAsia="宋体" w:hAnsi="宋体" w:cs="宋体" w:hint="eastAsia"/>
            <w:bCs w:val="0"/>
            <w:szCs w:val="28"/>
            <w:lang w:eastAsia="zh-CN"/>
          </w:rPr>
          <w:t>(一)、公司文化建设</w:t>
        </w:r>
        <w:r>
          <w:tab/>
        </w:r>
        <w:r>
          <w:fldChar w:fldCharType="begin"/>
        </w:r>
        <w:r>
          <w:instrText xml:space="preserve"> PAGEREF _Toc4509 \h </w:instrText>
        </w:r>
        <w:r>
          <w:fldChar w:fldCharType="separate"/>
        </w:r>
        <w:r>
          <w:t>15</w:t>
        </w:r>
        <w:r>
          <w:fldChar w:fldCharType="end"/>
        </w:r>
      </w:hyperlink>
    </w:p>
    <w:p>
      <w:pPr>
        <w:pStyle w:val="TOC2"/>
        <w:tabs>
          <w:tab w:val="right" w:leader="dot" w:pos="8306"/>
        </w:tabs>
      </w:pPr>
      <w:hyperlink w:anchor="_Toc24460" w:history="1">
        <w:r>
          <w:rPr>
            <w:rFonts w:ascii="宋体" w:eastAsia="宋体" w:hAnsi="宋体" w:cs="宋体" w:hint="eastAsia"/>
            <w:bCs w:val="0"/>
            <w:szCs w:val="28"/>
            <w:lang w:eastAsia="zh-CN"/>
          </w:rPr>
          <w:t>(二)、企业社会责任与可持续发展</w:t>
        </w:r>
        <w:r>
          <w:tab/>
        </w:r>
        <w:r>
          <w:fldChar w:fldCharType="begin"/>
        </w:r>
        <w:r>
          <w:instrText xml:space="preserve"> PAGEREF _Toc24460 \h </w:instrText>
        </w:r>
        <w:r>
          <w:fldChar w:fldCharType="separate"/>
        </w:r>
        <w:r>
          <w:t>16</w:t>
        </w:r>
        <w:r>
          <w:fldChar w:fldCharType="end"/>
        </w:r>
      </w:hyperlink>
    </w:p>
    <w:p>
      <w:pPr>
        <w:pStyle w:val="TOC1"/>
        <w:tabs>
          <w:tab w:val="right" w:leader="dot" w:pos="8306"/>
        </w:tabs>
      </w:pPr>
      <w:hyperlink w:anchor="_Toc15189" w:history="1">
        <w:r>
          <w:rPr>
            <w:rFonts w:ascii="微软雅黑" w:eastAsia="微软雅黑" w:hAnsi="微软雅黑" w:cs="微软雅黑" w:hint="eastAsia"/>
            <w:color w:val="001CAC" w:themeColor="hyperlink" w:themeShade="BF"/>
            <w:szCs w:val="32"/>
            <w:lang w:eastAsia="zh-CN"/>
          </w:rPr>
          <w:t>四、配电变压器行业质量管理方案</w:t>
        </w:r>
        <w:r>
          <w:tab/>
        </w:r>
        <w:r>
          <w:fldChar w:fldCharType="begin"/>
        </w:r>
        <w:r>
          <w:instrText xml:space="preserve"> PAGEREF _Toc15189 \h </w:instrText>
        </w:r>
        <w:r>
          <w:fldChar w:fldCharType="separate"/>
        </w:r>
        <w:r>
          <w:t>17</w:t>
        </w:r>
        <w:r>
          <w:fldChar w:fldCharType="end"/>
        </w:r>
      </w:hyperlink>
    </w:p>
    <w:p>
      <w:pPr>
        <w:pStyle w:val="TOC2"/>
        <w:tabs>
          <w:tab w:val="right" w:leader="dot" w:pos="8306"/>
        </w:tabs>
      </w:pPr>
      <w:hyperlink w:anchor="_Toc24807" w:history="1">
        <w:r>
          <w:rPr>
            <w:rFonts w:ascii="宋体" w:eastAsia="宋体" w:hAnsi="宋体" w:cs="宋体" w:hint="eastAsia"/>
            <w:bCs w:val="0"/>
            <w:szCs w:val="28"/>
            <w:lang w:eastAsia="zh-CN"/>
          </w:rPr>
          <w:t>(一)、配电变压器行业质量管理要求</w:t>
        </w:r>
        <w:r>
          <w:tab/>
        </w:r>
        <w:r>
          <w:fldChar w:fldCharType="begin"/>
        </w:r>
        <w:r>
          <w:instrText xml:space="preserve"> PAGEREF _Toc24807 \h </w:instrText>
        </w:r>
        <w:r>
          <w:fldChar w:fldCharType="separate"/>
        </w:r>
        <w:r>
          <w:t>17</w:t>
        </w:r>
        <w:r>
          <w:fldChar w:fldCharType="end"/>
        </w:r>
      </w:hyperlink>
    </w:p>
    <w:p>
      <w:pPr>
        <w:pStyle w:val="TOC2"/>
        <w:tabs>
          <w:tab w:val="right" w:leader="dot" w:pos="8306"/>
        </w:tabs>
      </w:pPr>
      <w:hyperlink w:anchor="_Toc26719" w:history="1">
        <w:r>
          <w:rPr>
            <w:rFonts w:ascii="宋体" w:eastAsia="宋体" w:hAnsi="宋体" w:cs="宋体" w:hint="eastAsia"/>
            <w:bCs w:val="0"/>
            <w:szCs w:val="28"/>
            <w:lang w:eastAsia="zh-CN"/>
          </w:rPr>
          <w:t>(二)、配电变压器行业服务质量管理方案</w:t>
        </w:r>
        <w:r>
          <w:tab/>
        </w:r>
        <w:r>
          <w:fldChar w:fldCharType="begin"/>
        </w:r>
        <w:r>
          <w:instrText xml:space="preserve"> PAGEREF _Toc26719 \h </w:instrText>
        </w:r>
        <w:r>
          <w:fldChar w:fldCharType="separate"/>
        </w:r>
        <w:r>
          <w:t>18</w:t>
        </w:r>
        <w:r>
          <w:fldChar w:fldCharType="end"/>
        </w:r>
      </w:hyperlink>
    </w:p>
    <w:p>
      <w:pPr>
        <w:pStyle w:val="TOC2"/>
        <w:tabs>
          <w:tab w:val="right" w:leader="dot" w:pos="8306"/>
        </w:tabs>
      </w:pPr>
      <w:hyperlink w:anchor="_Toc16545" w:history="1">
        <w:r>
          <w:rPr>
            <w:rFonts w:ascii="宋体" w:eastAsia="宋体" w:hAnsi="宋体" w:cs="宋体" w:hint="eastAsia"/>
            <w:bCs w:val="0"/>
            <w:szCs w:val="28"/>
            <w:lang w:eastAsia="zh-CN"/>
          </w:rPr>
          <w:t>(三)、配电变压器行业质量成本管理方案</w:t>
        </w:r>
        <w:r>
          <w:tab/>
        </w:r>
        <w:r>
          <w:fldChar w:fldCharType="begin"/>
        </w:r>
        <w:r>
          <w:instrText xml:space="preserve"> PAGEREF _Toc16545 \h </w:instrText>
        </w:r>
        <w:r>
          <w:fldChar w:fldCharType="separate"/>
        </w:r>
        <w:r>
          <w:t>18</w:t>
        </w:r>
        <w:r>
          <w:fldChar w:fldCharType="end"/>
        </w:r>
      </w:hyperlink>
    </w:p>
    <w:p>
      <w:pPr>
        <w:pStyle w:val="TOC1"/>
        <w:tabs>
          <w:tab w:val="right" w:leader="dot" w:pos="8306"/>
        </w:tabs>
      </w:pPr>
      <w:hyperlink w:anchor="_Toc9800" w:history="1">
        <w:r>
          <w:rPr>
            <w:rFonts w:ascii="微软雅黑" w:eastAsia="微软雅黑" w:hAnsi="微软雅黑" w:cs="微软雅黑" w:hint="eastAsia"/>
            <w:color w:val="001CAC" w:themeColor="hyperlink" w:themeShade="BF"/>
            <w:szCs w:val="32"/>
            <w:lang w:eastAsia="zh-CN"/>
          </w:rPr>
          <w:t>五、资金筹措与投资分析</w:t>
        </w:r>
        <w:r>
          <w:tab/>
        </w:r>
        <w:r>
          <w:fldChar w:fldCharType="begin"/>
        </w:r>
        <w:r>
          <w:instrText xml:space="preserve"> PAGEREF _Toc9800 \h </w:instrText>
        </w:r>
        <w:r>
          <w:fldChar w:fldCharType="separate"/>
        </w:r>
        <w:r>
          <w:t>19</w:t>
        </w:r>
        <w:r>
          <w:fldChar w:fldCharType="end"/>
        </w:r>
      </w:hyperlink>
    </w:p>
    <w:p>
      <w:pPr>
        <w:pStyle w:val="TOC2"/>
        <w:tabs>
          <w:tab w:val="right" w:leader="dot" w:pos="8306"/>
        </w:tabs>
      </w:pPr>
      <w:hyperlink w:anchor="_Toc15039" w:history="1">
        <w:r>
          <w:rPr>
            <w:rFonts w:ascii="宋体" w:eastAsia="宋体" w:hAnsi="宋体" w:cs="宋体" w:hint="eastAsia"/>
            <w:bCs w:val="0"/>
            <w:szCs w:val="28"/>
            <w:lang w:eastAsia="zh-CN"/>
          </w:rPr>
          <w:t>(一)、资金需求与筹措计划</w:t>
        </w:r>
        <w:r>
          <w:tab/>
        </w:r>
        <w:r>
          <w:fldChar w:fldCharType="begin"/>
        </w:r>
        <w:r>
          <w:instrText xml:space="preserve"> PAGEREF _Toc15039 \h </w:instrText>
        </w:r>
        <w:r>
          <w:fldChar w:fldCharType="separate"/>
        </w:r>
        <w:r>
          <w:t>19</w:t>
        </w:r>
        <w:r>
          <w:fldChar w:fldCharType="end"/>
        </w:r>
      </w:hyperlink>
    </w:p>
    <w:p>
      <w:pPr>
        <w:pStyle w:val="TOC2"/>
        <w:tabs>
          <w:tab w:val="right" w:leader="dot" w:pos="8306"/>
        </w:tabs>
      </w:pPr>
      <w:hyperlink w:anchor="_Toc15113" w:history="1">
        <w:r>
          <w:rPr>
            <w:rFonts w:ascii="宋体" w:eastAsia="宋体" w:hAnsi="宋体" w:cs="宋体" w:hint="eastAsia"/>
            <w:bCs w:val="0"/>
            <w:szCs w:val="28"/>
            <w:lang w:eastAsia="zh-CN"/>
          </w:rPr>
          <w:t>(二)、投资分析与回报预期</w:t>
        </w:r>
        <w:r>
          <w:tab/>
        </w:r>
        <w:r>
          <w:fldChar w:fldCharType="begin"/>
        </w:r>
        <w:r>
          <w:instrText xml:space="preserve"> PAGEREF _Toc15113 \h </w:instrText>
        </w:r>
        <w:r>
          <w:fldChar w:fldCharType="separate"/>
        </w:r>
        <w:r>
          <w:t>20</w:t>
        </w:r>
        <w:r>
          <w:fldChar w:fldCharType="end"/>
        </w:r>
      </w:hyperlink>
    </w:p>
    <w:p>
      <w:pPr>
        <w:pStyle w:val="TOC1"/>
        <w:tabs>
          <w:tab w:val="right" w:leader="dot" w:pos="8306"/>
        </w:tabs>
      </w:pPr>
      <w:hyperlink w:anchor="_Toc5963" w:history="1">
        <w:r>
          <w:rPr>
            <w:rFonts w:ascii="微软雅黑" w:eastAsia="微软雅黑" w:hAnsi="微软雅黑" w:cs="微软雅黑" w:hint="eastAsia"/>
            <w:color w:val="001CAC" w:themeColor="hyperlink" w:themeShade="BF"/>
            <w:szCs w:val="32"/>
            <w:lang w:eastAsia="zh-CN"/>
          </w:rPr>
          <w:t>六、配电变压器行业投资管理策略</w:t>
        </w:r>
        <w:r>
          <w:tab/>
        </w:r>
        <w:r>
          <w:fldChar w:fldCharType="begin"/>
        </w:r>
        <w:r>
          <w:instrText xml:space="preserve"> PAGEREF _Toc5963 \h </w:instrText>
        </w:r>
        <w:r>
          <w:fldChar w:fldCharType="separate"/>
        </w:r>
        <w:r>
          <w:t>20</w:t>
        </w:r>
        <w:r>
          <w:fldChar w:fldCharType="end"/>
        </w:r>
      </w:hyperlink>
    </w:p>
    <w:p>
      <w:pPr>
        <w:pStyle w:val="TOC2"/>
        <w:tabs>
          <w:tab w:val="right" w:leader="dot" w:pos="8306"/>
        </w:tabs>
      </w:pPr>
      <w:hyperlink w:anchor="_Toc26771" w:history="1">
        <w:r>
          <w:rPr>
            <w:rFonts w:ascii="宋体" w:eastAsia="宋体" w:hAnsi="宋体" w:cs="宋体" w:hint="eastAsia"/>
            <w:bCs w:val="0"/>
            <w:szCs w:val="28"/>
            <w:lang w:eastAsia="zh-CN"/>
          </w:rPr>
          <w:t>(一)、配电变压器行业投资估算主要内容</w:t>
        </w:r>
        <w:r>
          <w:tab/>
        </w:r>
        <w:r>
          <w:fldChar w:fldCharType="begin"/>
        </w:r>
        <w:r>
          <w:instrText xml:space="preserve"> PAGEREF _Toc26771 \h </w:instrText>
        </w:r>
        <w:r>
          <w:fldChar w:fldCharType="separate"/>
        </w:r>
        <w:r>
          <w:t>20</w:t>
        </w:r>
        <w:r>
          <w:fldChar w:fldCharType="end"/>
        </w:r>
      </w:hyperlink>
    </w:p>
    <w:p>
      <w:pPr>
        <w:pStyle w:val="TOC2"/>
        <w:tabs>
          <w:tab w:val="right" w:leader="dot" w:pos="8306"/>
        </w:tabs>
      </w:pPr>
      <w:hyperlink w:anchor="_Toc2624" w:history="1">
        <w:r>
          <w:rPr>
            <w:rFonts w:ascii="宋体" w:eastAsia="宋体" w:hAnsi="宋体" w:cs="宋体" w:hint="eastAsia"/>
            <w:bCs w:val="0"/>
            <w:szCs w:val="28"/>
            <w:lang w:eastAsia="zh-CN"/>
          </w:rPr>
          <w:t>(二)、配电变压器行业设备购置投资费用管理</w:t>
        </w:r>
        <w:r>
          <w:tab/>
        </w:r>
        <w:r>
          <w:fldChar w:fldCharType="begin"/>
        </w:r>
        <w:r>
          <w:instrText xml:space="preserve"> PAGEREF _Toc2624 \h </w:instrText>
        </w:r>
        <w:r>
          <w:fldChar w:fldCharType="separate"/>
        </w:r>
        <w:r>
          <w:t>23</w:t>
        </w:r>
        <w:r>
          <w:fldChar w:fldCharType="end"/>
        </w:r>
      </w:hyperlink>
    </w:p>
    <w:p>
      <w:pPr>
        <w:pStyle w:val="TOC2"/>
        <w:tabs>
          <w:tab w:val="right" w:leader="dot" w:pos="8306"/>
        </w:tabs>
      </w:pPr>
      <w:hyperlink w:anchor="_Toc19866" w:history="1">
        <w:r>
          <w:rPr>
            <w:rFonts w:ascii="宋体" w:eastAsia="宋体" w:hAnsi="宋体" w:cs="宋体" w:hint="eastAsia"/>
            <w:bCs w:val="0"/>
            <w:szCs w:val="28"/>
            <w:lang w:eastAsia="zh-CN"/>
          </w:rPr>
          <w:t>(三)、配电变压器行业装修施工投资费用管理</w:t>
        </w:r>
        <w:r>
          <w:tab/>
        </w:r>
        <w:r>
          <w:fldChar w:fldCharType="begin"/>
        </w:r>
        <w:r>
          <w:instrText xml:space="preserve"> PAGEREF _Toc19866 \h </w:instrText>
        </w:r>
        <w:r>
          <w:fldChar w:fldCharType="separate"/>
        </w:r>
        <w:r>
          <w:t>27</w:t>
        </w:r>
        <w:r>
          <w:fldChar w:fldCharType="end"/>
        </w:r>
      </w:hyperlink>
    </w:p>
    <w:p>
      <w:pPr>
        <w:pStyle w:val="TOC2"/>
        <w:tabs>
          <w:tab w:val="right" w:leader="dot" w:pos="8306"/>
        </w:tabs>
      </w:pPr>
      <w:hyperlink w:anchor="_Toc3998" w:history="1">
        <w:r>
          <w:rPr>
            <w:rFonts w:ascii="宋体" w:eastAsia="宋体" w:hAnsi="宋体" w:cs="宋体" w:hint="eastAsia"/>
            <w:bCs w:val="0"/>
            <w:szCs w:val="28"/>
            <w:lang w:eastAsia="zh-CN"/>
          </w:rPr>
          <w:t>(四)、配电变压器行业流动资金管理</w:t>
        </w:r>
        <w:r>
          <w:tab/>
        </w:r>
        <w:r>
          <w:fldChar w:fldCharType="begin"/>
        </w:r>
        <w:r>
          <w:instrText xml:space="preserve"> PAGEREF _Toc3998 \h </w:instrText>
        </w:r>
        <w:r>
          <w:fldChar w:fldCharType="separate"/>
        </w:r>
        <w:r>
          <w:t>29</w:t>
        </w:r>
        <w:r>
          <w:fldChar w:fldCharType="end"/>
        </w:r>
      </w:hyperlink>
    </w:p>
    <w:p>
      <w:pPr>
        <w:pStyle w:val="TOC1"/>
        <w:tabs>
          <w:tab w:val="right" w:leader="dot" w:pos="8306"/>
        </w:tabs>
      </w:pPr>
      <w:hyperlink w:anchor="_Toc21965" w:history="1">
        <w:r>
          <w:rPr>
            <w:rFonts w:ascii="微软雅黑" w:eastAsia="微软雅黑" w:hAnsi="微软雅黑" w:cs="微软雅黑" w:hint="eastAsia"/>
            <w:color w:val="001CAC" w:themeColor="hyperlink" w:themeShade="BF"/>
            <w:szCs w:val="32"/>
            <w:lang w:eastAsia="zh-CN"/>
          </w:rPr>
          <w:t>七、制度建设与管理</w:t>
        </w:r>
        <w:r>
          <w:tab/>
        </w:r>
        <w:r>
          <w:fldChar w:fldCharType="begin"/>
        </w:r>
        <w:r>
          <w:instrText xml:space="preserve"> PAGEREF _Toc21965 \h </w:instrText>
        </w:r>
        <w:r>
          <w:fldChar w:fldCharType="separate"/>
        </w:r>
        <w:r>
          <w:t>31</w:t>
        </w:r>
        <w:r>
          <w:fldChar w:fldCharType="end"/>
        </w:r>
      </w:hyperlink>
    </w:p>
    <w:p>
      <w:pPr>
        <w:pStyle w:val="TOC2"/>
        <w:tabs>
          <w:tab w:val="right" w:leader="dot" w:pos="8306"/>
        </w:tabs>
      </w:pPr>
      <w:hyperlink w:anchor="_Toc3387" w:history="1">
        <w:r>
          <w:rPr>
            <w:rFonts w:ascii="宋体" w:eastAsia="宋体" w:hAnsi="宋体" w:cs="宋体" w:hint="eastAsia"/>
            <w:bCs w:val="0"/>
            <w:szCs w:val="28"/>
            <w:lang w:eastAsia="zh-CN"/>
          </w:rPr>
          <w:t>(一)、公司治理结构</w:t>
        </w:r>
        <w:r>
          <w:tab/>
        </w:r>
        <w:r>
          <w:fldChar w:fldCharType="begin"/>
        </w:r>
        <w:r>
          <w:instrText xml:space="preserve"> PAGEREF _Toc3387 \h </w:instrText>
        </w:r>
        <w:r>
          <w:fldChar w:fldCharType="separate"/>
        </w:r>
        <w:r>
          <w:t>31</w:t>
        </w:r>
        <w:r>
          <w:fldChar w:fldCharType="end"/>
        </w:r>
      </w:hyperlink>
    </w:p>
    <w:p>
      <w:pPr>
        <w:pStyle w:val="TOC2"/>
        <w:tabs>
          <w:tab w:val="right" w:leader="dot" w:pos="8306"/>
        </w:tabs>
      </w:pPr>
      <w:hyperlink w:anchor="_Toc31981" w:history="1">
        <w:r>
          <w:rPr>
            <w:rFonts w:ascii="宋体" w:eastAsia="宋体" w:hAnsi="宋体" w:cs="宋体" w:hint="eastAsia"/>
            <w:bCs w:val="0"/>
            <w:szCs w:val="28"/>
            <w:lang w:eastAsia="zh-CN"/>
          </w:rPr>
          <w:t>(二)、内部控制与审计</w:t>
        </w:r>
        <w:r>
          <w:tab/>
        </w:r>
        <w:r>
          <w:fldChar w:fldCharType="begin"/>
        </w:r>
        <w:r>
          <w:instrText xml:space="preserve"> PAGEREF _Toc31981 \h </w:instrText>
        </w:r>
        <w:r>
          <w:fldChar w:fldCharType="separate"/>
        </w:r>
        <w:r>
          <w:t>32</w:t>
        </w:r>
        <w:r>
          <w:fldChar w:fldCharType="end"/>
        </w:r>
      </w:hyperlink>
    </w:p>
    <w:p>
      <w:pPr>
        <w:pStyle w:val="TOC2"/>
        <w:tabs>
          <w:tab w:val="right" w:leader="dot" w:pos="8306"/>
        </w:tabs>
      </w:pPr>
      <w:hyperlink w:anchor="_Toc4117" w:history="1">
        <w:r>
          <w:rPr>
            <w:rFonts w:ascii="宋体" w:eastAsia="宋体" w:hAnsi="宋体" w:cs="宋体" w:hint="eastAsia"/>
            <w:bCs w:val="0"/>
            <w:szCs w:val="28"/>
            <w:lang w:eastAsia="zh-CN"/>
          </w:rPr>
          <w:t>(三)、法律法规合规体系</w:t>
        </w:r>
        <w:r>
          <w:tab/>
        </w:r>
        <w:r>
          <w:fldChar w:fldCharType="begin"/>
        </w:r>
        <w:r>
          <w:instrText xml:space="preserve"> PAGEREF _Toc4117 \h </w:instrText>
        </w:r>
        <w:r>
          <w:fldChar w:fldCharType="separate"/>
        </w:r>
        <w:r>
          <w:t>32</w:t>
        </w:r>
        <w:r>
          <w:fldChar w:fldCharType="end"/>
        </w:r>
      </w:hyperlink>
    </w:p>
    <w:p>
      <w:pPr>
        <w:pStyle w:val="TOC1"/>
        <w:tabs>
          <w:tab w:val="right" w:leader="dot" w:pos="8306"/>
        </w:tabs>
      </w:pPr>
      <w:hyperlink w:anchor="_Toc850" w:history="1">
        <w:r>
          <w:rPr>
            <w:rFonts w:ascii="微软雅黑" w:eastAsia="微软雅黑" w:hAnsi="微软雅黑" w:cs="微软雅黑" w:hint="eastAsia"/>
            <w:color w:val="001CAC" w:themeColor="hyperlink" w:themeShade="BF"/>
            <w:szCs w:val="32"/>
            <w:lang w:eastAsia="zh-CN"/>
          </w:rPr>
          <w:t>八、制度运行与优化</w:t>
        </w:r>
        <w:r>
          <w:tab/>
        </w:r>
        <w:r>
          <w:fldChar w:fldCharType="begin"/>
        </w:r>
        <w:r>
          <w:instrText xml:space="preserve"> PAGEREF _Toc850 \h </w:instrText>
        </w:r>
        <w:r>
          <w:fldChar w:fldCharType="separate"/>
        </w:r>
        <w:r>
          <w:t>33</w:t>
        </w:r>
        <w:r>
          <w:fldChar w:fldCharType="end"/>
        </w:r>
      </w:hyperlink>
    </w:p>
    <w:p>
      <w:pPr>
        <w:pStyle w:val="TOC2"/>
        <w:tabs>
          <w:tab w:val="right" w:leader="dot" w:pos="8306"/>
        </w:tabs>
      </w:pPr>
      <w:hyperlink w:anchor="_Toc26924" w:history="1">
        <w:r>
          <w:rPr>
            <w:rFonts w:ascii="宋体" w:eastAsia="宋体" w:hAnsi="宋体" w:cs="宋体" w:hint="eastAsia"/>
            <w:bCs w:val="0"/>
            <w:szCs w:val="28"/>
            <w:lang w:eastAsia="zh-CN"/>
          </w:rPr>
          <w:t>(一)、制度执行与监督</w:t>
        </w:r>
        <w:r>
          <w:tab/>
        </w:r>
        <w:r>
          <w:fldChar w:fldCharType="begin"/>
        </w:r>
        <w:r>
          <w:instrText xml:space="preserve"> PAGEREF _Toc26924 \h </w:instrText>
        </w:r>
        <w:r>
          <w:fldChar w:fldCharType="separate"/>
        </w:r>
        <w:r>
          <w:t>33</w:t>
        </w:r>
        <w:r>
          <w:fldChar w:fldCharType="end"/>
        </w:r>
      </w:hyperlink>
    </w:p>
    <w:p>
      <w:pPr>
        <w:pStyle w:val="TOC2"/>
        <w:tabs>
          <w:tab w:val="right" w:leader="dot" w:pos="8306"/>
        </w:tabs>
      </w:pPr>
      <w:hyperlink w:anchor="_Toc26592" w:history="1">
        <w:r>
          <w:rPr>
            <w:rFonts w:ascii="宋体" w:eastAsia="宋体" w:hAnsi="宋体" w:cs="宋体" w:hint="eastAsia"/>
            <w:bCs w:val="0"/>
            <w:szCs w:val="28"/>
            <w:lang w:eastAsia="zh-CN"/>
          </w:rPr>
          <w:t>(二)、制度优化与更新</w:t>
        </w:r>
        <w:r>
          <w:tab/>
        </w:r>
        <w:r>
          <w:fldChar w:fldCharType="begin"/>
        </w:r>
        <w:r>
          <w:instrText xml:space="preserve"> PAGEREF _Toc26592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10" w:history="1">
        <w:r>
          <w:rPr>
            <w:rFonts w:ascii="微软雅黑" w:eastAsia="微软雅黑" w:hAnsi="微软雅黑" w:cs="微软雅黑" w:hint="eastAsia"/>
            <w:color w:val="001CAC" w:themeColor="hyperlink" w:themeShade="BF"/>
            <w:szCs w:val="32"/>
            <w:lang w:eastAsia="zh-CN"/>
          </w:rPr>
          <w:t>九、配电变压器行业项目管理与实施</w:t>
        </w:r>
        <w:r>
          <w:tab/>
        </w:r>
        <w:r>
          <w:fldChar w:fldCharType="begin"/>
        </w:r>
        <w:r>
          <w:instrText xml:space="preserve"> PAGEREF _Toc20010 \h </w:instrText>
        </w:r>
        <w:r>
          <w:fldChar w:fldCharType="separate"/>
        </w:r>
        <w:r>
          <w:t>35</w:t>
        </w:r>
        <w:r>
          <w:fldChar w:fldCharType="end"/>
        </w:r>
      </w:hyperlink>
    </w:p>
    <w:p>
      <w:pPr>
        <w:pStyle w:val="TOC2"/>
        <w:tabs>
          <w:tab w:val="right" w:leader="dot" w:pos="8306"/>
        </w:tabs>
      </w:pPr>
      <w:hyperlink w:anchor="_Toc23176" w:history="1">
        <w:r>
          <w:rPr>
            <w:rFonts w:ascii="宋体" w:eastAsia="宋体" w:hAnsi="宋体" w:cs="宋体" w:hint="eastAsia"/>
            <w:bCs w:val="0"/>
            <w:szCs w:val="28"/>
            <w:lang w:eastAsia="zh-CN"/>
          </w:rPr>
          <w:t>(一)、项目进度安排</w:t>
        </w:r>
        <w:r>
          <w:tab/>
        </w:r>
        <w:r>
          <w:fldChar w:fldCharType="begin"/>
        </w:r>
        <w:r>
          <w:instrText xml:space="preserve"> PAGEREF _Toc23176 \h </w:instrText>
        </w:r>
        <w:r>
          <w:fldChar w:fldCharType="separate"/>
        </w:r>
        <w:r>
          <w:t>35</w:t>
        </w:r>
        <w:r>
          <w:fldChar w:fldCharType="end"/>
        </w:r>
      </w:hyperlink>
    </w:p>
    <w:p>
      <w:pPr>
        <w:pStyle w:val="TOC2"/>
        <w:tabs>
          <w:tab w:val="right" w:leader="dot" w:pos="8306"/>
        </w:tabs>
      </w:pPr>
      <w:hyperlink w:anchor="_Toc1132" w:history="1">
        <w:r>
          <w:rPr>
            <w:rFonts w:ascii="宋体" w:eastAsia="宋体" w:hAnsi="宋体" w:cs="宋体" w:hint="eastAsia"/>
            <w:bCs w:val="0"/>
            <w:szCs w:val="28"/>
            <w:lang w:eastAsia="zh-CN"/>
          </w:rPr>
          <w:t>(二)、项目实施保障措施</w:t>
        </w:r>
        <w:r>
          <w:tab/>
        </w:r>
        <w:r>
          <w:fldChar w:fldCharType="begin"/>
        </w:r>
        <w:r>
          <w:instrText xml:space="preserve"> PAGEREF _Toc1132 \h </w:instrText>
        </w:r>
        <w:r>
          <w:fldChar w:fldCharType="separate"/>
        </w:r>
        <w:r>
          <w:t>35</w:t>
        </w:r>
        <w:r>
          <w:fldChar w:fldCharType="end"/>
        </w:r>
      </w:hyperlink>
    </w:p>
    <w:p>
      <w:pPr>
        <w:pStyle w:val="TOC2"/>
        <w:tabs>
          <w:tab w:val="right" w:leader="dot" w:pos="8306"/>
        </w:tabs>
      </w:pPr>
      <w:hyperlink w:anchor="_Toc13238" w:history="1">
        <w:r>
          <w:rPr>
            <w:rFonts w:ascii="宋体" w:eastAsia="宋体" w:hAnsi="宋体" w:cs="宋体" w:hint="eastAsia"/>
            <w:bCs w:val="0"/>
            <w:szCs w:val="28"/>
            <w:lang w:eastAsia="zh-CN"/>
          </w:rPr>
          <w:t>(三)、项目风险分析与对策</w:t>
        </w:r>
        <w:r>
          <w:tab/>
        </w:r>
        <w:r>
          <w:fldChar w:fldCharType="begin"/>
        </w:r>
        <w:r>
          <w:instrText xml:space="preserve"> PAGEREF _Toc13238 \h </w:instrText>
        </w:r>
        <w:r>
          <w:fldChar w:fldCharType="separate"/>
        </w:r>
        <w:r>
          <w:t>36</w:t>
        </w:r>
        <w:r>
          <w:fldChar w:fldCharType="end"/>
        </w:r>
      </w:hyperlink>
    </w:p>
    <w:p>
      <w:pPr>
        <w:pStyle w:val="TOC1"/>
        <w:tabs>
          <w:tab w:val="right" w:leader="dot" w:pos="8306"/>
        </w:tabs>
      </w:pPr>
      <w:hyperlink w:anchor="_Toc4388" w:history="1">
        <w:r>
          <w:rPr>
            <w:rFonts w:ascii="微软雅黑" w:eastAsia="微软雅黑" w:hAnsi="微软雅黑" w:cs="微软雅黑" w:hint="eastAsia"/>
            <w:color w:val="001CAC" w:themeColor="hyperlink" w:themeShade="BF"/>
            <w:szCs w:val="32"/>
            <w:lang w:eastAsia="zh-CN"/>
          </w:rPr>
          <w:t>十、安全与劳动保护</w:t>
        </w:r>
        <w:r>
          <w:tab/>
        </w:r>
        <w:r>
          <w:fldChar w:fldCharType="begin"/>
        </w:r>
        <w:r>
          <w:instrText xml:space="preserve"> PAGEREF _Toc4388 \h </w:instrText>
        </w:r>
        <w:r>
          <w:fldChar w:fldCharType="separate"/>
        </w:r>
        <w:r>
          <w:t>36</w:t>
        </w:r>
        <w:r>
          <w:fldChar w:fldCharType="end"/>
        </w:r>
      </w:hyperlink>
    </w:p>
    <w:p>
      <w:pPr>
        <w:pStyle w:val="TOC2"/>
        <w:tabs>
          <w:tab w:val="right" w:leader="dot" w:pos="8306"/>
        </w:tabs>
      </w:pPr>
      <w:hyperlink w:anchor="_Toc8295" w:history="1">
        <w:r>
          <w:rPr>
            <w:rFonts w:ascii="宋体" w:eastAsia="宋体" w:hAnsi="宋体" w:cs="宋体" w:hint="eastAsia"/>
            <w:bCs w:val="0"/>
            <w:szCs w:val="28"/>
            <w:lang w:eastAsia="zh-CN"/>
          </w:rPr>
          <w:t>(一)、设计依据与法规合规</w:t>
        </w:r>
        <w:r>
          <w:tab/>
        </w:r>
        <w:r>
          <w:fldChar w:fldCharType="begin"/>
        </w:r>
        <w:r>
          <w:instrText xml:space="preserve"> PAGEREF _Toc8295 \h </w:instrText>
        </w:r>
        <w:r>
          <w:fldChar w:fldCharType="separate"/>
        </w:r>
        <w:r>
          <w:t>36</w:t>
        </w:r>
        <w:r>
          <w:fldChar w:fldCharType="end"/>
        </w:r>
      </w:hyperlink>
    </w:p>
    <w:p>
      <w:pPr>
        <w:pStyle w:val="TOC2"/>
        <w:tabs>
          <w:tab w:val="right" w:leader="dot" w:pos="8306"/>
        </w:tabs>
      </w:pPr>
      <w:hyperlink w:anchor="_Toc32680" w:history="1">
        <w:r>
          <w:rPr>
            <w:rFonts w:ascii="宋体" w:eastAsia="宋体" w:hAnsi="宋体" w:cs="宋体" w:hint="eastAsia"/>
            <w:bCs w:val="0"/>
            <w:szCs w:val="28"/>
            <w:lang w:eastAsia="zh-CN"/>
          </w:rPr>
          <w:t>(二)、劳动安全预期效果评价</w:t>
        </w:r>
        <w:r>
          <w:tab/>
        </w:r>
        <w:r>
          <w:fldChar w:fldCharType="begin"/>
        </w:r>
        <w:r>
          <w:instrText xml:space="preserve"> PAGEREF _Toc32680 \h </w:instrText>
        </w:r>
        <w:r>
          <w:fldChar w:fldCharType="separate"/>
        </w:r>
        <w:r>
          <w:t>37</w:t>
        </w:r>
        <w:r>
          <w:fldChar w:fldCharType="end"/>
        </w:r>
      </w:hyperlink>
    </w:p>
    <w:p>
      <w:pPr>
        <w:pStyle w:val="TOC2"/>
        <w:tabs>
          <w:tab w:val="right" w:leader="dot" w:pos="8306"/>
        </w:tabs>
      </w:pPr>
      <w:hyperlink w:anchor="_Toc28602" w:history="1">
        <w:r>
          <w:rPr>
            <w:rFonts w:ascii="宋体" w:eastAsia="宋体" w:hAnsi="宋体" w:cs="宋体" w:hint="eastAsia"/>
            <w:bCs w:val="0"/>
            <w:szCs w:val="28"/>
            <w:lang w:eastAsia="zh-CN"/>
          </w:rPr>
          <w:t>(三)、主要防范措施</w:t>
        </w:r>
        <w:r>
          <w:tab/>
        </w:r>
        <w:r>
          <w:fldChar w:fldCharType="begin"/>
        </w:r>
        <w:r>
          <w:instrText xml:space="preserve"> PAGEREF _Toc28602 \h </w:instrText>
        </w:r>
        <w:r>
          <w:fldChar w:fldCharType="separate"/>
        </w:r>
        <w:r>
          <w:t>37</w:t>
        </w:r>
        <w:r>
          <w:fldChar w:fldCharType="end"/>
        </w:r>
      </w:hyperlink>
    </w:p>
    <w:p>
      <w:pPr>
        <w:pStyle w:val="TOC1"/>
        <w:tabs>
          <w:tab w:val="right" w:leader="dot" w:pos="8306"/>
        </w:tabs>
      </w:pPr>
      <w:hyperlink w:anchor="_Toc5937" w:history="1">
        <w:r>
          <w:rPr>
            <w:rFonts w:ascii="微软雅黑" w:eastAsia="微软雅黑" w:hAnsi="微软雅黑" w:cs="微软雅黑" w:hint="eastAsia"/>
            <w:color w:val="001CAC" w:themeColor="hyperlink" w:themeShade="BF"/>
            <w:szCs w:val="32"/>
            <w:lang w:eastAsia="zh-CN"/>
          </w:rPr>
          <w:t>十一、配电变压器行业背景及市场分析</w:t>
        </w:r>
        <w:r>
          <w:tab/>
        </w:r>
        <w:r>
          <w:fldChar w:fldCharType="begin"/>
        </w:r>
        <w:r>
          <w:instrText xml:space="preserve"> PAGEREF _Toc5937 \h </w:instrText>
        </w:r>
        <w:r>
          <w:fldChar w:fldCharType="separate"/>
        </w:r>
        <w:r>
          <w:t>38</w:t>
        </w:r>
        <w:r>
          <w:fldChar w:fldCharType="end"/>
        </w:r>
      </w:hyperlink>
    </w:p>
    <w:p>
      <w:pPr>
        <w:pStyle w:val="TOC2"/>
        <w:tabs>
          <w:tab w:val="right" w:leader="dot" w:pos="8306"/>
        </w:tabs>
      </w:pPr>
      <w:hyperlink w:anchor="_Toc5688" w:history="1">
        <w:r>
          <w:rPr>
            <w:rFonts w:ascii="宋体" w:eastAsia="宋体" w:hAnsi="宋体" w:cs="宋体" w:hint="eastAsia"/>
            <w:bCs w:val="0"/>
            <w:szCs w:val="28"/>
            <w:lang w:eastAsia="zh-CN"/>
          </w:rPr>
          <w:t>(一)、配电变压器行业创新驱动</w:t>
        </w:r>
        <w:r>
          <w:tab/>
        </w:r>
        <w:r>
          <w:fldChar w:fldCharType="begin"/>
        </w:r>
        <w:r>
          <w:instrText xml:space="preserve"> PAGEREF _Toc5688 \h </w:instrText>
        </w:r>
        <w:r>
          <w:fldChar w:fldCharType="separate"/>
        </w:r>
        <w:r>
          <w:t>38</w:t>
        </w:r>
        <w:r>
          <w:fldChar w:fldCharType="end"/>
        </w:r>
      </w:hyperlink>
    </w:p>
    <w:p>
      <w:pPr>
        <w:pStyle w:val="TOC2"/>
        <w:tabs>
          <w:tab w:val="right" w:leader="dot" w:pos="8306"/>
        </w:tabs>
      </w:pPr>
      <w:hyperlink w:anchor="_Toc25490" w:history="1">
        <w:r>
          <w:rPr>
            <w:rFonts w:ascii="宋体" w:eastAsia="宋体" w:hAnsi="宋体" w:cs="宋体" w:hint="eastAsia"/>
            <w:bCs w:val="0"/>
            <w:szCs w:val="28"/>
            <w:lang w:eastAsia="zh-CN"/>
          </w:rPr>
          <w:t>(二)、配电变压器行业发展现状</w:t>
        </w:r>
        <w:r>
          <w:tab/>
        </w:r>
        <w:r>
          <w:fldChar w:fldCharType="begin"/>
        </w:r>
        <w:r>
          <w:instrText xml:space="preserve"> PAGEREF _Toc25490 \h </w:instrText>
        </w:r>
        <w:r>
          <w:fldChar w:fldCharType="separate"/>
        </w:r>
        <w:r>
          <w:t>39</w:t>
        </w:r>
        <w:r>
          <w:fldChar w:fldCharType="end"/>
        </w:r>
      </w:hyperlink>
    </w:p>
    <w:p>
      <w:pPr>
        <w:pStyle w:val="TOC2"/>
        <w:tabs>
          <w:tab w:val="right" w:leader="dot" w:pos="8306"/>
        </w:tabs>
      </w:pPr>
      <w:hyperlink w:anchor="_Toc23589" w:history="1">
        <w:r>
          <w:rPr>
            <w:rFonts w:ascii="宋体" w:eastAsia="宋体" w:hAnsi="宋体" w:cs="宋体" w:hint="eastAsia"/>
            <w:bCs w:val="0"/>
            <w:szCs w:val="28"/>
            <w:lang w:eastAsia="zh-CN"/>
          </w:rPr>
          <w:t>(三)、配电变压器行业高质量发展</w:t>
        </w:r>
        <w:r>
          <w:tab/>
        </w:r>
        <w:r>
          <w:fldChar w:fldCharType="begin"/>
        </w:r>
        <w:r>
          <w:instrText xml:space="preserve"> PAGEREF _Toc23589 \h </w:instrText>
        </w:r>
        <w:r>
          <w:fldChar w:fldCharType="separate"/>
        </w:r>
        <w:r>
          <w:t>39</w:t>
        </w:r>
        <w:r>
          <w:fldChar w:fldCharType="end"/>
        </w:r>
      </w:hyperlink>
    </w:p>
    <w:p>
      <w:pPr>
        <w:pStyle w:val="TOC2"/>
        <w:tabs>
          <w:tab w:val="right" w:leader="dot" w:pos="8306"/>
        </w:tabs>
      </w:pPr>
      <w:hyperlink w:anchor="_Toc20660" w:history="1">
        <w:r>
          <w:rPr>
            <w:rFonts w:ascii="宋体" w:eastAsia="宋体" w:hAnsi="宋体" w:cs="宋体" w:hint="eastAsia"/>
            <w:bCs w:val="0"/>
            <w:szCs w:val="28"/>
            <w:lang w:eastAsia="zh-CN"/>
          </w:rPr>
          <w:t>(四)、配电变压器行业产业链分析</w:t>
        </w:r>
        <w:r>
          <w:tab/>
        </w:r>
        <w:r>
          <w:fldChar w:fldCharType="begin"/>
        </w:r>
        <w:r>
          <w:instrText xml:space="preserve"> PAGEREF _Toc20660 \h </w:instrText>
        </w:r>
        <w:r>
          <w:fldChar w:fldCharType="separate"/>
        </w:r>
        <w:r>
          <w:t>41</w:t>
        </w:r>
        <w:r>
          <w:fldChar w:fldCharType="end"/>
        </w:r>
      </w:hyperlink>
    </w:p>
    <w:p>
      <w:pPr>
        <w:pStyle w:val="TOC2"/>
        <w:tabs>
          <w:tab w:val="right" w:leader="dot" w:pos="8306"/>
        </w:tabs>
      </w:pPr>
      <w:hyperlink w:anchor="_Toc6044" w:history="1">
        <w:r>
          <w:rPr>
            <w:rFonts w:ascii="宋体" w:eastAsia="宋体" w:hAnsi="宋体" w:cs="宋体" w:hint="eastAsia"/>
            <w:bCs w:val="0"/>
            <w:szCs w:val="28"/>
            <w:lang w:eastAsia="zh-CN"/>
          </w:rPr>
          <w:t>(五)、配电变压器行业发展方向</w:t>
        </w:r>
        <w:r>
          <w:tab/>
        </w:r>
        <w:r>
          <w:fldChar w:fldCharType="begin"/>
        </w:r>
        <w:r>
          <w:instrText xml:space="preserve"> PAGEREF _Toc6044 \h </w:instrText>
        </w:r>
        <w:r>
          <w:fldChar w:fldCharType="separate"/>
        </w:r>
        <w:r>
          <w:t>42</w:t>
        </w:r>
        <w:r>
          <w:fldChar w:fldCharType="end"/>
        </w:r>
      </w:hyperlink>
    </w:p>
    <w:p>
      <w:pPr>
        <w:pStyle w:val="TOC2"/>
        <w:tabs>
          <w:tab w:val="right" w:leader="dot" w:pos="8306"/>
        </w:tabs>
      </w:pPr>
      <w:hyperlink w:anchor="_Toc22230" w:history="1">
        <w:r>
          <w:rPr>
            <w:rFonts w:ascii="宋体" w:eastAsia="宋体" w:hAnsi="宋体" w:cs="宋体" w:hint="eastAsia"/>
            <w:bCs w:val="0"/>
            <w:szCs w:val="28"/>
            <w:lang w:eastAsia="zh-CN"/>
          </w:rPr>
          <w:t>(六)、配电变压器行业前景</w:t>
        </w:r>
        <w:r>
          <w:tab/>
        </w:r>
        <w:r>
          <w:fldChar w:fldCharType="begin"/>
        </w:r>
        <w:r>
          <w:instrText xml:space="preserve"> PAGEREF _Toc22230 \h </w:instrText>
        </w:r>
        <w:r>
          <w:fldChar w:fldCharType="separate"/>
        </w:r>
        <w:r>
          <w:t>44</w:t>
        </w:r>
        <w:r>
          <w:fldChar w:fldCharType="end"/>
        </w:r>
      </w:hyperlink>
    </w:p>
    <w:p>
      <w:pPr>
        <w:pStyle w:val="TOC2"/>
        <w:tabs>
          <w:tab w:val="right" w:leader="dot" w:pos="8306"/>
        </w:tabs>
      </w:pPr>
      <w:hyperlink w:anchor="_Toc6210" w:history="1">
        <w:r>
          <w:rPr>
            <w:rFonts w:ascii="宋体" w:eastAsia="宋体" w:hAnsi="宋体" w:cs="宋体" w:hint="eastAsia"/>
            <w:bCs w:val="0"/>
            <w:szCs w:val="28"/>
            <w:lang w:eastAsia="zh-CN"/>
          </w:rPr>
          <w:t>(七)、配电变压器行业发展趋势</w:t>
        </w:r>
        <w:r>
          <w:tab/>
        </w:r>
        <w:r>
          <w:fldChar w:fldCharType="begin"/>
        </w:r>
        <w:r>
          <w:instrText xml:space="preserve"> PAGEREF _Toc6210 \h </w:instrText>
        </w:r>
        <w:r>
          <w:fldChar w:fldCharType="separate"/>
        </w:r>
        <w:r>
          <w:t>46</w:t>
        </w:r>
        <w:r>
          <w:fldChar w:fldCharType="end"/>
        </w:r>
      </w:hyperlink>
    </w:p>
    <w:p>
      <w:pPr>
        <w:pStyle w:val="TOC1"/>
        <w:tabs>
          <w:tab w:val="right" w:leader="dot" w:pos="8306"/>
        </w:tabs>
      </w:pPr>
      <w:hyperlink w:anchor="_Toc26080" w:history="1">
        <w:r>
          <w:rPr>
            <w:rFonts w:ascii="微软雅黑" w:eastAsia="微软雅黑" w:hAnsi="微软雅黑" w:cs="微软雅黑" w:hint="eastAsia"/>
            <w:color w:val="001CAC" w:themeColor="hyperlink" w:themeShade="BF"/>
            <w:szCs w:val="32"/>
            <w:lang w:eastAsia="zh-CN"/>
          </w:rPr>
          <w:t>十二、配电变压器行业选址方案分析</w:t>
        </w:r>
        <w:r>
          <w:tab/>
        </w:r>
        <w:r>
          <w:fldChar w:fldCharType="begin"/>
        </w:r>
        <w:r>
          <w:instrText xml:space="preserve"> PAGEREF _Toc26080 \h </w:instrText>
        </w:r>
        <w:r>
          <w:fldChar w:fldCharType="separate"/>
        </w:r>
        <w:r>
          <w:t>48</w:t>
        </w:r>
        <w:r>
          <w:fldChar w:fldCharType="end"/>
        </w:r>
      </w:hyperlink>
    </w:p>
    <w:p>
      <w:pPr>
        <w:pStyle w:val="TOC2"/>
        <w:tabs>
          <w:tab w:val="right" w:leader="dot" w:pos="8306"/>
        </w:tabs>
      </w:pPr>
      <w:hyperlink w:anchor="_Toc22993" w:history="1">
        <w:r>
          <w:rPr>
            <w:rFonts w:ascii="宋体" w:eastAsia="宋体" w:hAnsi="宋体" w:cs="宋体" w:hint="eastAsia"/>
            <w:bCs w:val="0"/>
            <w:szCs w:val="28"/>
            <w:lang w:eastAsia="zh-CN"/>
          </w:rPr>
          <w:t>(一)、配电变压器行业选址影响因素</w:t>
        </w:r>
        <w:r>
          <w:tab/>
        </w:r>
        <w:r>
          <w:fldChar w:fldCharType="begin"/>
        </w:r>
        <w:r>
          <w:instrText xml:space="preserve"> PAGEREF _Toc22993 \h </w:instrText>
        </w:r>
        <w:r>
          <w:fldChar w:fldCharType="separate"/>
        </w:r>
        <w:r>
          <w:t>48</w:t>
        </w:r>
        <w:r>
          <w:fldChar w:fldCharType="end"/>
        </w:r>
      </w:hyperlink>
    </w:p>
    <w:p>
      <w:pPr>
        <w:pStyle w:val="TOC2"/>
        <w:tabs>
          <w:tab w:val="right" w:leader="dot" w:pos="8306"/>
        </w:tabs>
      </w:pPr>
      <w:hyperlink w:anchor="_Toc28752" w:history="1">
        <w:r>
          <w:rPr>
            <w:rFonts w:ascii="宋体" w:eastAsia="宋体" w:hAnsi="宋体" w:cs="宋体" w:hint="eastAsia"/>
            <w:bCs w:val="0"/>
            <w:szCs w:val="28"/>
            <w:lang w:eastAsia="zh-CN"/>
          </w:rPr>
          <w:t>(二)、配电变压器行业选址原则</w:t>
        </w:r>
        <w:r>
          <w:tab/>
        </w:r>
        <w:r>
          <w:fldChar w:fldCharType="begin"/>
        </w:r>
        <w:r>
          <w:instrText xml:space="preserve"> PAGEREF _Toc28752 \h </w:instrText>
        </w:r>
        <w:r>
          <w:fldChar w:fldCharType="separate"/>
        </w:r>
        <w:r>
          <w:t>50</w:t>
        </w:r>
        <w:r>
          <w:fldChar w:fldCharType="end"/>
        </w:r>
      </w:hyperlink>
    </w:p>
    <w:p>
      <w:pPr>
        <w:pStyle w:val="TOC2"/>
        <w:tabs>
          <w:tab w:val="right" w:leader="dot" w:pos="8306"/>
        </w:tabs>
      </w:pPr>
      <w:hyperlink w:anchor="_Toc31696" w:history="1">
        <w:r>
          <w:rPr>
            <w:rFonts w:ascii="宋体" w:eastAsia="宋体" w:hAnsi="宋体" w:cs="宋体" w:hint="eastAsia"/>
            <w:bCs w:val="0"/>
            <w:szCs w:val="28"/>
            <w:lang w:eastAsia="zh-CN"/>
          </w:rPr>
          <w:t>(三)、消费习惯对配电变压器行业选址的影响</w:t>
        </w:r>
        <w:r>
          <w:tab/>
        </w:r>
        <w:r>
          <w:fldChar w:fldCharType="begin"/>
        </w:r>
        <w:r>
          <w:instrText xml:space="preserve"> PAGEREF _Toc31696 \h </w:instrText>
        </w:r>
        <w:r>
          <w:fldChar w:fldCharType="separate"/>
        </w:r>
        <w:r>
          <w:t>52</w:t>
        </w:r>
        <w:r>
          <w:fldChar w:fldCharType="end"/>
        </w:r>
      </w:hyperlink>
    </w:p>
    <w:p>
      <w:pPr>
        <w:pStyle w:val="TOC2"/>
        <w:tabs>
          <w:tab w:val="right" w:leader="dot" w:pos="8306"/>
        </w:tabs>
      </w:pPr>
      <w:hyperlink w:anchor="_Toc14982" w:history="1">
        <w:r>
          <w:rPr>
            <w:rFonts w:ascii="宋体" w:eastAsia="宋体" w:hAnsi="宋体" w:cs="宋体" w:hint="eastAsia"/>
            <w:bCs w:val="0"/>
            <w:szCs w:val="28"/>
            <w:lang w:eastAsia="zh-CN"/>
          </w:rPr>
          <w:t>(四)、消费能力对配电变压器行业选址的影响</w:t>
        </w:r>
        <w:r>
          <w:tab/>
        </w:r>
        <w:r>
          <w:fldChar w:fldCharType="begin"/>
        </w:r>
        <w:r>
          <w:instrText xml:space="preserve"> PAGEREF _Toc14982 \h </w:instrText>
        </w:r>
        <w:r>
          <w:fldChar w:fldCharType="separate"/>
        </w:r>
        <w:r>
          <w:t>53</w:t>
        </w:r>
        <w:r>
          <w:fldChar w:fldCharType="end"/>
        </w:r>
      </w:hyperlink>
    </w:p>
    <w:p>
      <w:pPr>
        <w:pStyle w:val="TOC2"/>
        <w:tabs>
          <w:tab w:val="right" w:leader="dot" w:pos="8306"/>
        </w:tabs>
      </w:pPr>
      <w:hyperlink w:anchor="_Toc12337" w:history="1">
        <w:r>
          <w:rPr>
            <w:rFonts w:ascii="宋体" w:eastAsia="宋体" w:hAnsi="宋体" w:cs="宋体" w:hint="eastAsia"/>
            <w:bCs w:val="0"/>
            <w:szCs w:val="28"/>
            <w:lang w:eastAsia="zh-CN"/>
          </w:rPr>
          <w:t>(五)、经营成本对配电变压器行业选址的影响</w:t>
        </w:r>
        <w:r>
          <w:tab/>
        </w:r>
        <w:r>
          <w:fldChar w:fldCharType="begin"/>
        </w:r>
        <w:r>
          <w:instrText xml:space="preserve"> PAGEREF _Toc12337 \h </w:instrText>
        </w:r>
        <w:r>
          <w:fldChar w:fldCharType="separate"/>
        </w:r>
        <w:r>
          <w:t>55</w:t>
        </w:r>
        <w:r>
          <w:fldChar w:fldCharType="end"/>
        </w:r>
      </w:hyperlink>
    </w:p>
    <w:p>
      <w:pPr>
        <w:pStyle w:val="TOC2"/>
        <w:tabs>
          <w:tab w:val="right" w:leader="dot" w:pos="8306"/>
        </w:tabs>
      </w:pPr>
      <w:hyperlink w:anchor="_Toc31100" w:history="1">
        <w:r>
          <w:rPr>
            <w:rFonts w:ascii="宋体" w:eastAsia="宋体" w:hAnsi="宋体" w:cs="宋体" w:hint="eastAsia"/>
            <w:bCs w:val="0"/>
            <w:szCs w:val="28"/>
            <w:lang w:eastAsia="zh-CN"/>
          </w:rPr>
          <w:t>(六)、交通条件对配电变压器行业选址的影响</w:t>
        </w:r>
        <w:r>
          <w:tab/>
        </w:r>
        <w:r>
          <w:fldChar w:fldCharType="begin"/>
        </w:r>
        <w:r>
          <w:instrText xml:space="preserve"> PAGEREF _Toc31100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5563"/>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配电变压器行业研究报告致力于对配电变压器行业进行详尽研究和分析，旨在为配电变压器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1280"/>
      <w:r>
        <w:rPr>
          <w:rFonts w:ascii="微软雅黑" w:eastAsia="微软雅黑" w:hAnsi="微软雅黑" w:cs="微软雅黑" w:hint="eastAsia"/>
          <w:color w:val="2E54A1" w:themeColor="accent1" w:themeShade="BF"/>
          <w:sz w:val="32"/>
          <w:szCs w:val="32"/>
          <w:lang w:eastAsia="zh-CN"/>
        </w:rPr>
        <w:t>一、制度运行与优化</w:t>
      </w:r>
      <w:bookmarkEnd w:id="2"/>
    </w:p>
    <w:p>
      <w:pPr>
        <w:pStyle w:val="Heading2"/>
        <w:spacing w:line="480" w:lineRule="auto"/>
        <w:rPr>
          <w:rFonts w:ascii="宋体" w:eastAsia="宋体" w:hAnsi="宋体" w:cs="宋体" w:hint="eastAsia"/>
          <w:bCs w:val="0"/>
          <w:sz w:val="28"/>
          <w:szCs w:val="28"/>
          <w:lang w:eastAsia="zh-CN"/>
        </w:rPr>
      </w:pPr>
      <w:bookmarkStart w:id="3" w:name="_Toc23077"/>
      <w:r>
        <w:rPr>
          <w:rFonts w:ascii="宋体" w:eastAsia="宋体" w:hAnsi="宋体" w:cs="宋体" w:hint="eastAsia"/>
          <w:b/>
          <w:bCs w:val="0"/>
          <w:sz w:val="28"/>
          <w:szCs w:val="28"/>
          <w:lang w:eastAsia="zh-CN"/>
        </w:rPr>
        <w:t>(一)、制度执行与监督</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制度执行与监督是确保公司规章制度得到切实贯彻的重要环节。我们特别重视这一过程，通过成立专业的制度执行团队，致力于监察和评估公司各级制度的执行情况。该团队定期进行内部审核，深入各个部门开展审查，全面了解执行效果，并向高层管理层提供详尽的报告,以确保公司的各项规章制度得以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进一步强化监督机制，我们鼓励员工积极参与。通过设立匿名举报机制，我们提供了一个安全、隐蔽的渠道，使员工能够自由反映制度执行中的问题。这种开放的沟通渠道有助于公司及时发现并解决潜在问题，同时也增强了员工对公司治理的信任度。</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领导层也积极参与制度执行情况的检查,通过定期的审查与交流,高层管理层能够深入了解制度执行的实际情况，并迅速制定必要的改进方案。这种多层次的监督机制不仅有助于维护公司内部秩序，也为公司整体治理水平的不断提升翼定坚实基础。</w:t>
      </w:r>
    </w:p>
    <w:p>
      <w:pPr>
        <w:pStyle w:val="Heading2"/>
        <w:spacing w:line="480" w:lineRule="auto"/>
        <w:rPr>
          <w:rFonts w:ascii="宋体" w:eastAsia="宋体" w:hAnsi="宋体" w:cs="宋体" w:hint="eastAsia"/>
          <w:bCs w:val="0"/>
          <w:sz w:val="28"/>
          <w:szCs w:val="28"/>
          <w:lang w:eastAsia="zh-CN"/>
        </w:rPr>
      </w:pPr>
      <w:bookmarkStart w:id="4" w:name="_Toc19766"/>
      <w:r>
        <w:rPr>
          <w:rFonts w:ascii="宋体" w:eastAsia="宋体" w:hAnsi="宋体" w:cs="宋体" w:hint="eastAsia"/>
          <w:b/>
          <w:bCs w:val="0"/>
          <w:sz w:val="28"/>
          <w:szCs w:val="28"/>
          <w:lang w:eastAsia="zh-CN"/>
        </w:rPr>
        <w:t>(二)、制度优化与更新</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度的优化与更新是公司持续发展的重要环节。我们将其视作一项策略任务，通过建立制度管理委员会来推动这一过程。委员会由各个部门的专业人员组成，负责定期审查公司的各项制度。这一审查不仅仅限于内部，还积极吸纳员工的建议和意见，融入外部专业观点，确保审查的全面性和公正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适应外部环境的变化和公司内部的发展需求,我们密切关注法规和配电变压器行业标准的变动。这种灵活性使得我们能够及时调整公司制度，确保其与时俱进。通过持续的制度优化与更新，我们致力于构建一个符合公司实际情况、富有弹性和活力的治理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度更新的过程中，我们注重与员工的沟通与合作。通过定期的培训和沟通会议，我们向员工解释新制度的背景和目的，提供详尽的操作指南，以确保员工能够理解和遵守新的规定。这种共同努力有助于强化员工对制度变化的接受度，为公司长期发展提供更为健康和稳定的制度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5" w:name="_Toc1990"/>
      <w:r>
        <w:rPr>
          <w:rFonts w:ascii="微软雅黑" w:eastAsia="微软雅黑" w:hAnsi="微软雅黑" w:cs="微软雅黑" w:hint="eastAsia"/>
          <w:color w:val="2E54A1" w:themeColor="accent1" w:themeShade="BF"/>
          <w:sz w:val="32"/>
          <w:szCs w:val="32"/>
          <w:lang w:eastAsia="zh-CN"/>
        </w:rPr>
        <w:t>二、配电变压器行业运营管理及商业模式分析</w:t>
      </w:r>
      <w:bookmarkEnd w:id="5"/>
    </w:p>
    <w:p>
      <w:pPr>
        <w:pStyle w:val="Heading2"/>
        <w:spacing w:line="480" w:lineRule="auto"/>
        <w:rPr>
          <w:rFonts w:ascii="宋体" w:eastAsia="宋体" w:hAnsi="宋体" w:cs="宋体" w:hint="eastAsia"/>
          <w:bCs w:val="0"/>
          <w:sz w:val="28"/>
          <w:szCs w:val="28"/>
          <w:lang w:eastAsia="zh-CN"/>
        </w:rPr>
      </w:pPr>
      <w:bookmarkStart w:id="6" w:name="_Toc14782"/>
      <w:r>
        <w:rPr>
          <w:rFonts w:ascii="宋体" w:eastAsia="宋体" w:hAnsi="宋体" w:cs="宋体" w:hint="eastAsia"/>
          <w:b/>
          <w:bCs w:val="0"/>
          <w:sz w:val="28"/>
          <w:szCs w:val="28"/>
          <w:lang w:eastAsia="zh-CN"/>
        </w:rPr>
        <w:t>(一)、配电变压器行业数字化发展方案</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(一)线上销售平台构建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伴随着互联网的高速蓬勃发展，配电变压器行业计划构建一体化的线上销售平台，以拓展销售渠道，为消费者提供更为便捷的购物体验。此平台的关键特点包括：</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https://d.book118.com/897052106013006034</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4F53E47"/>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7052106013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2024-01-17T07:27:54Z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