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  <w:bookmarkStart w:id="0" w:name="_GoBack"/>
      <w:bookmarkEnd w:id="0"/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spacing w:before="254" w:line="360" w:lineRule="auto"/>
        <w:ind w:left="273"/>
        <w:jc w:val="center"/>
        <w:outlineLvl w:val="0"/>
        <w:rPr>
          <w:rFonts w:ascii="微软雅黑" w:eastAsia="微软雅黑" w:hAnsi="微软雅黑" w:cs="微软雅黑"/>
          <w:b/>
          <w:bCs/>
          <w:color w:val="2D54A0"/>
          <w:spacing w:val="8"/>
          <w:sz w:val="59"/>
          <w:szCs w:val="59"/>
        </w:rPr>
      </w:pPr>
      <w:r>
        <w:rPr>
          <w:rFonts w:ascii="微软雅黑" w:eastAsia="微软雅黑" w:hAnsi="微软雅黑" w:cs="微软雅黑"/>
          <w:b/>
          <w:bCs/>
          <w:color w:val="2D54A0"/>
          <w:spacing w:val="9"/>
          <w:sz w:val="59"/>
          <w:szCs w:val="59"/>
        </w:rPr>
        <w:t>2024年冲压件、挤压件行业</w:t>
      </w:r>
      <w:r>
        <w:rPr>
          <w:rFonts w:ascii="微软雅黑" w:eastAsia="微软雅黑" w:hAnsi="微软雅黑" w:cs="微软雅黑"/>
          <w:b/>
          <w:bCs/>
          <w:color w:val="2D54A0"/>
          <w:spacing w:val="8"/>
          <w:sz w:val="59"/>
          <w:szCs w:val="59"/>
        </w:rPr>
        <w:t>趋势报告</w:t>
      </w:r>
    </w:p>
    <w:p>
      <w:pPr>
        <w:spacing w:before="254" w:line="360" w:lineRule="auto"/>
        <w:ind w:left="273"/>
        <w:jc w:val="center"/>
        <w:outlineLvl w:val="0"/>
        <w:rPr>
          <w:rFonts w:ascii="微软雅黑" w:eastAsia="微软雅黑" w:hAnsi="微软雅黑" w:cs="微软雅黑"/>
          <w:b/>
          <w:bCs/>
          <w:color w:val="2D54A0"/>
          <w:spacing w:val="8"/>
          <w:sz w:val="59"/>
          <w:szCs w:val="59"/>
        </w:rPr>
      </w:pPr>
    </w:p>
    <w:p>
      <w:pPr>
        <w:spacing w:before="254" w:line="360" w:lineRule="auto"/>
        <w:ind w:left="273"/>
        <w:jc w:val="center"/>
        <w:outlineLvl w:val="0"/>
        <w:rPr>
          <w:rFonts w:ascii="微软雅黑" w:eastAsia="微软雅黑" w:hAnsi="微软雅黑" w:cs="微软雅黑"/>
          <w:b/>
          <w:bCs/>
          <w:color w:val="2D54A0"/>
          <w:spacing w:val="8"/>
          <w:sz w:val="59"/>
          <w:szCs w:val="59"/>
        </w:rPr>
      </w:pPr>
    </w:p>
    <w:p>
      <w:pPr>
        <w:spacing w:before="254" w:line="360" w:lineRule="auto"/>
        <w:ind w:left="273"/>
        <w:jc w:val="center"/>
        <w:outlineLvl w:val="0"/>
        <w:rPr>
          <w:rFonts w:ascii="微软雅黑" w:eastAsia="微软雅黑" w:hAnsi="微软雅黑" w:cs="微软雅黑"/>
          <w:b/>
          <w:bCs/>
          <w:color w:val="2D54A0"/>
          <w:spacing w:val="8"/>
          <w:sz w:val="59"/>
          <w:szCs w:val="59"/>
        </w:rPr>
      </w:pPr>
    </w:p>
    <w:p>
      <w:pPr>
        <w:spacing w:before="254" w:line="360" w:lineRule="auto"/>
        <w:ind w:left="273"/>
        <w:jc w:val="center"/>
        <w:outlineLvl w:val="0"/>
        <w:rPr>
          <w:rFonts w:ascii="微软雅黑" w:eastAsia="微软雅黑" w:hAnsi="微软雅黑" w:cs="微软雅黑"/>
          <w:b/>
          <w:bCs/>
          <w:color w:val="2D54A0"/>
          <w:spacing w:val="8"/>
          <w:sz w:val="59"/>
          <w:szCs w:val="59"/>
        </w:rPr>
      </w:pPr>
    </w:p>
    <w:p>
      <w:pPr>
        <w:spacing w:before="254" w:line="360" w:lineRule="auto"/>
        <w:ind w:left="273"/>
        <w:jc w:val="center"/>
        <w:outlineLvl w:val="0"/>
        <w:rPr>
          <w:rFonts w:ascii="微软雅黑" w:eastAsia="微软雅黑" w:hAnsi="微软雅黑" w:cs="微软雅黑" w:hint="default"/>
          <w:b/>
          <w:bCs/>
          <w:color w:val="2D54A0"/>
          <w:spacing w:val="8"/>
          <w:sz w:val="44"/>
          <w:szCs w:val="44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微软雅黑" w:eastAsia="微软雅黑" w:hAnsi="微软雅黑" w:cs="微软雅黑" w:hint="eastAsia"/>
          <w:b/>
          <w:bCs/>
          <w:color w:val="2D54A0"/>
          <w:spacing w:val="8"/>
          <w:sz w:val="44"/>
          <w:szCs w:val="44"/>
          <w:lang w:val="en-US" w:eastAsia="zh-CN"/>
        </w:rPr>
        <w:t>《2024年最新评估分析》</w:t>
      </w:r>
    </w:p>
    <w:p>
      <w:pPr>
        <w:spacing w:line="360" w:lineRule="auto"/>
        <w:jc w:val="center"/>
        <w:rPr>
          <w:rFonts w:ascii="微软雅黑" w:eastAsia="微软雅黑" w:hAnsi="微软雅黑" w:cs="微软雅黑" w:hint="eastAsia"/>
          <w:b/>
          <w:bCs w:val="0"/>
          <w:color w:val="2E54A1" w:themeColor="accent1" w:themeShade="BF"/>
          <w:sz w:val="40"/>
        </w:rPr>
      </w:pPr>
      <w:r>
        <w:rPr>
          <w:rFonts w:ascii="微软雅黑" w:eastAsia="微软雅黑" w:hAnsi="微软雅黑" w:cs="微软雅黑" w:hint="eastAsia"/>
          <w:b/>
          <w:bCs w:val="0"/>
          <w:color w:val="2E54A1" w:themeColor="accent1" w:themeShade="BF"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16313" w:history="1">
        <w:r>
          <w:rPr>
            <w:rFonts w:ascii="微软雅黑" w:eastAsia="微软雅黑" w:hAnsi="微软雅黑" w:cs="微软雅黑" w:hint="eastAsia"/>
            <w:color w:val="001CAC" w:themeColor="hyperlink" w:themeShade="BF"/>
            <w:lang w:eastAsia="zh-CN"/>
          </w:rPr>
          <w:t>前言</w:t>
        </w:r>
        <w:r>
          <w:tab/>
        </w:r>
        <w:r>
          <w:fldChar w:fldCharType="begin"/>
        </w:r>
        <w:r>
          <w:instrText xml:space="preserve"> PAGEREF _Toc16313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6423" w:history="1">
        <w:r>
          <w:rPr>
            <w:rFonts w:ascii="微软雅黑" w:eastAsia="微软雅黑" w:hAnsi="微软雅黑" w:cs="微软雅黑" w:hint="eastAsia"/>
            <w:color w:val="001CAC" w:themeColor="hyperlink" w:themeShade="BF"/>
            <w:szCs w:val="32"/>
            <w:lang w:eastAsia="zh-CN"/>
          </w:rPr>
          <w:t>一、环境与社会责任</w:t>
        </w:r>
        <w:r>
          <w:tab/>
        </w:r>
        <w:r>
          <w:fldChar w:fldCharType="begin"/>
        </w:r>
        <w:r>
          <w:instrText xml:space="preserve"> PAGEREF _Toc6423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824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(一)、环境影响评估</w:t>
        </w:r>
        <w:r>
          <w:tab/>
        </w:r>
        <w:r>
          <w:fldChar w:fldCharType="begin"/>
        </w:r>
        <w:r>
          <w:instrText xml:space="preserve"> PAGEREF _Toc31824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031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(二)、社会责任与可持续发展</w:t>
        </w:r>
        <w:r>
          <w:tab/>
        </w:r>
        <w:r>
          <w:fldChar w:fldCharType="begin"/>
        </w:r>
        <w:r>
          <w:instrText xml:space="preserve"> PAGEREF _Toc27031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8186" w:history="1">
        <w:r>
          <w:rPr>
            <w:rFonts w:ascii="微软雅黑" w:eastAsia="微软雅黑" w:hAnsi="微软雅黑" w:cs="微软雅黑" w:hint="eastAsia"/>
            <w:color w:val="001CAC" w:themeColor="hyperlink" w:themeShade="BF"/>
            <w:szCs w:val="32"/>
            <w:lang w:eastAsia="zh-CN"/>
          </w:rPr>
          <w:t>二、冲压件、挤压件行业人力资源管理策略</w:t>
        </w:r>
        <w:r>
          <w:tab/>
        </w:r>
        <w:r>
          <w:fldChar w:fldCharType="begin"/>
        </w:r>
        <w:r>
          <w:instrText xml:space="preserve"> PAGEREF _Toc28186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40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(一)、冲压件、挤压件行业人力资源管理原则</w:t>
        </w:r>
        <w:r>
          <w:tab/>
        </w:r>
        <w:r>
          <w:fldChar w:fldCharType="begin"/>
        </w:r>
        <w:r>
          <w:instrText xml:space="preserve"> PAGEREF _Toc2040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281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(二)、冲压件、挤压件行业劳动关系管理</w:t>
        </w:r>
        <w:r>
          <w:tab/>
        </w:r>
        <w:r>
          <w:fldChar w:fldCharType="begin"/>
        </w:r>
        <w:r>
          <w:instrText xml:space="preserve"> PAGEREF _Toc24281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732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(三)、冲压件、挤压件行业人员配置方案</w:t>
        </w:r>
        <w:r>
          <w:tab/>
        </w:r>
        <w:r>
          <w:fldChar w:fldCharType="begin"/>
        </w:r>
        <w:r>
          <w:instrText xml:space="preserve"> PAGEREF _Toc23732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416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(四)、冲压件、挤压件行业员工招聘方案</w:t>
        </w:r>
        <w:r>
          <w:tab/>
        </w:r>
        <w:r>
          <w:fldChar w:fldCharType="begin"/>
        </w:r>
        <w:r>
          <w:instrText xml:space="preserve"> PAGEREF _Toc19416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245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(五)、冲压件、挤压件行业绩效和薪酬管理方案</w:t>
        </w:r>
        <w:r>
          <w:tab/>
        </w:r>
        <w:r>
          <w:fldChar w:fldCharType="begin"/>
        </w:r>
        <w:r>
          <w:instrText xml:space="preserve"> PAGEREF _Toc13245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916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(六)、冲压件、挤压件行业员工福利管理方案</w:t>
        </w:r>
        <w:r>
          <w:tab/>
        </w:r>
        <w:r>
          <w:fldChar w:fldCharType="begin"/>
        </w:r>
        <w:r>
          <w:instrText xml:space="preserve"> PAGEREF _Toc19916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0037" w:history="1">
        <w:r>
          <w:rPr>
            <w:rFonts w:ascii="微软雅黑" w:eastAsia="微软雅黑" w:hAnsi="微软雅黑" w:cs="微软雅黑" w:hint="eastAsia"/>
            <w:color w:val="001CAC" w:themeColor="hyperlink" w:themeShade="BF"/>
            <w:szCs w:val="32"/>
            <w:lang w:eastAsia="zh-CN"/>
          </w:rPr>
          <w:t>三、项目技术流程</w:t>
        </w:r>
        <w:r>
          <w:tab/>
        </w:r>
        <w:r>
          <w:fldChar w:fldCharType="begin"/>
        </w:r>
        <w:r>
          <w:instrText xml:space="preserve"> PAGEREF _Toc30037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368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(一)、技术方案选择</w:t>
        </w:r>
        <w:r>
          <w:tab/>
        </w:r>
        <w:r>
          <w:fldChar w:fldCharType="begin"/>
        </w:r>
        <w:r>
          <w:instrText xml:space="preserve"> PAGEREF _Toc7368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767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(二)、设备选型方案</w:t>
        </w:r>
        <w:r>
          <w:tab/>
        </w:r>
        <w:r>
          <w:fldChar w:fldCharType="begin"/>
        </w:r>
        <w:r>
          <w:instrText xml:space="preserve"> PAGEREF _Toc3767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920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(三)、技术流程与工艺设计</w:t>
        </w:r>
        <w:r>
          <w:tab/>
        </w:r>
        <w:r>
          <w:fldChar w:fldCharType="begin"/>
        </w:r>
        <w:r>
          <w:instrText xml:space="preserve"> PAGEREF _Toc30920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0718" w:history="1">
        <w:r>
          <w:rPr>
            <w:rFonts w:ascii="微软雅黑" w:eastAsia="微软雅黑" w:hAnsi="微软雅黑" w:cs="微软雅黑" w:hint="eastAsia"/>
            <w:color w:val="001CAC" w:themeColor="hyperlink" w:themeShade="BF"/>
            <w:szCs w:val="32"/>
            <w:lang w:eastAsia="zh-CN"/>
          </w:rPr>
          <w:t>四、冲压件、挤压件行业运营管理及商业模式分析</w:t>
        </w:r>
        <w:r>
          <w:tab/>
        </w:r>
        <w:r>
          <w:fldChar w:fldCharType="begin"/>
        </w:r>
        <w:r>
          <w:instrText xml:space="preserve"> PAGEREF _Toc20718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311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(一)、冲压件、挤压件行业数字化发展方案</w:t>
        </w:r>
        <w:r>
          <w:tab/>
        </w:r>
        <w:r>
          <w:fldChar w:fldCharType="begin"/>
        </w:r>
        <w:r>
          <w:instrText xml:space="preserve"> PAGEREF _Toc17311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659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(二)、冲压件、挤压件行业新型运营方式</w:t>
        </w:r>
        <w:r>
          <w:tab/>
        </w:r>
        <w:r>
          <w:fldChar w:fldCharType="begin"/>
        </w:r>
        <w:r>
          <w:instrText xml:space="preserve"> PAGEREF _Toc32659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205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(三)、冲压件、挤压件行业风险管理</w:t>
        </w:r>
        <w:r>
          <w:tab/>
        </w:r>
        <w:r>
          <w:fldChar w:fldCharType="begin"/>
        </w:r>
        <w:r>
          <w:instrText xml:space="preserve"> PAGEREF _Toc16205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2090" w:history="1">
        <w:r>
          <w:rPr>
            <w:rFonts w:ascii="微软雅黑" w:eastAsia="微软雅黑" w:hAnsi="微软雅黑" w:cs="微软雅黑" w:hint="eastAsia"/>
            <w:color w:val="001CAC" w:themeColor="hyperlink" w:themeShade="BF"/>
            <w:szCs w:val="32"/>
            <w:lang w:eastAsia="zh-CN"/>
          </w:rPr>
          <w:t>五、冲压件、挤压件行业人才招聘与发展</w:t>
        </w:r>
        <w:r>
          <w:tab/>
        </w:r>
        <w:r>
          <w:fldChar w:fldCharType="begin"/>
        </w:r>
        <w:r>
          <w:instrText xml:space="preserve"> PAGEREF _Toc22090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366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(一)、人才需求分析</w:t>
        </w:r>
        <w:r>
          <w:tab/>
        </w:r>
        <w:r>
          <w:fldChar w:fldCharType="begin"/>
        </w:r>
        <w:r>
          <w:instrText xml:space="preserve"> PAGEREF _Toc15366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191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(二)、招聘计划与流程</w:t>
        </w:r>
        <w:r>
          <w:tab/>
        </w:r>
        <w:r>
          <w:fldChar w:fldCharType="begin"/>
        </w:r>
        <w:r>
          <w:instrText xml:space="preserve"> PAGEREF _Toc17191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027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(三)、员工培训与发展</w:t>
        </w:r>
        <w:r>
          <w:tab/>
        </w:r>
        <w:r>
          <w:fldChar w:fldCharType="begin"/>
        </w:r>
        <w:r>
          <w:instrText xml:space="preserve"> PAGEREF _Toc7027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780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(四)、绩效考核与激励</w:t>
        </w:r>
        <w:r>
          <w:tab/>
        </w:r>
        <w:r>
          <w:fldChar w:fldCharType="begin"/>
        </w:r>
        <w:r>
          <w:instrText xml:space="preserve"> PAGEREF _Toc17780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473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(五)、人才流动与留存</w:t>
        </w:r>
        <w:r>
          <w:tab/>
        </w:r>
        <w:r>
          <w:fldChar w:fldCharType="begin"/>
        </w:r>
        <w:r>
          <w:instrText xml:space="preserve"> PAGEREF _Toc31473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7020" w:history="1">
        <w:r>
          <w:rPr>
            <w:rFonts w:ascii="微软雅黑" w:eastAsia="微软雅黑" w:hAnsi="微软雅黑" w:cs="微软雅黑" w:hint="eastAsia"/>
            <w:color w:val="001CAC" w:themeColor="hyperlink" w:themeShade="BF"/>
            <w:szCs w:val="32"/>
            <w:lang w:eastAsia="zh-CN"/>
          </w:rPr>
          <w:t>六、冲压件、挤压件行业市场营销分析</w:t>
        </w:r>
        <w:r>
          <w:tab/>
        </w:r>
        <w:r>
          <w:fldChar w:fldCharType="begin"/>
        </w:r>
        <w:r>
          <w:instrText xml:space="preserve"> PAGEREF _Toc7020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436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(一)、冲压件、挤压件行业市场营销总体思路</w:t>
        </w:r>
        <w:r>
          <w:tab/>
        </w:r>
        <w:r>
          <w:fldChar w:fldCharType="begin"/>
        </w:r>
        <w:r>
          <w:instrText xml:space="preserve"> PAGEREF _Toc9436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472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(二)、冲压件、挤压件行业组织市场分析</w:t>
        </w:r>
        <w:r>
          <w:tab/>
        </w:r>
        <w:r>
          <w:fldChar w:fldCharType="begin"/>
        </w:r>
        <w:r>
          <w:instrText xml:space="preserve"> PAGEREF _Toc32472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540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(三)、冲压件、挤压件行业目标市场营销战略</w:t>
        </w:r>
        <w:r>
          <w:tab/>
        </w:r>
        <w:r>
          <w:fldChar w:fldCharType="begin"/>
        </w:r>
        <w:r>
          <w:instrText xml:space="preserve"> PAGEREF _Toc10540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614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(四)、冲压件、挤压件行业定价策略</w:t>
        </w:r>
        <w:r>
          <w:tab/>
        </w:r>
        <w:r>
          <w:fldChar w:fldCharType="begin"/>
        </w:r>
        <w:r>
          <w:instrText xml:space="preserve"> PAGEREF _Toc28614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359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(五)、冲压件、挤压件行业促销策略</w:t>
        </w:r>
        <w:r>
          <w:tab/>
        </w:r>
        <w:r>
          <w:fldChar w:fldCharType="begin"/>
        </w:r>
        <w:r>
          <w:instrText xml:space="preserve"> PAGEREF _Toc16359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830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(六)、冲压件、挤压件行业品牌策略</w:t>
        </w:r>
        <w:r>
          <w:tab/>
        </w:r>
        <w:r>
          <w:fldChar w:fldCharType="begin"/>
        </w:r>
        <w:r>
          <w:instrText xml:space="preserve"> PAGEREF _Toc17830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702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(七)、冲压件、挤压件行业关系营销</w:t>
        </w:r>
        <w:r>
          <w:tab/>
        </w:r>
        <w:r>
          <w:fldChar w:fldCharType="begin"/>
        </w:r>
        <w:r>
          <w:instrText xml:space="preserve"> PAGEREF _Toc27702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17036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(八)、冲压件、挤压件行业体验营销</w:t>
        </w:r>
        <w:r>
          <w:tab/>
        </w:r>
        <w:r>
          <w:fldChar w:fldCharType="begin"/>
        </w:r>
        <w:r>
          <w:instrText xml:space="preserve"> PAGEREF _Toc17036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750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(九)、冲压件、挤压件行业互联网营销</w:t>
        </w:r>
        <w:r>
          <w:tab/>
        </w:r>
        <w:r>
          <w:fldChar w:fldCharType="begin"/>
        </w:r>
        <w:r>
          <w:instrText xml:space="preserve"> PAGEREF _Toc19750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75" w:history="1">
        <w:r>
          <w:rPr>
            <w:rFonts w:ascii="微软雅黑" w:eastAsia="微软雅黑" w:hAnsi="微软雅黑" w:cs="微软雅黑" w:hint="eastAsia"/>
            <w:color w:val="001CAC" w:themeColor="hyperlink" w:themeShade="BF"/>
            <w:szCs w:val="32"/>
            <w:lang w:eastAsia="zh-CN"/>
          </w:rPr>
          <w:t>七、公司文化与社会责任</w:t>
        </w:r>
        <w:r>
          <w:tab/>
        </w:r>
        <w:r>
          <w:fldChar w:fldCharType="begin"/>
        </w:r>
        <w:r>
          <w:instrText xml:space="preserve"> PAGEREF _Toc375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627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(一)、公司文化建设</w:t>
        </w:r>
        <w:r>
          <w:tab/>
        </w:r>
        <w:r>
          <w:fldChar w:fldCharType="begin"/>
        </w:r>
        <w:r>
          <w:instrText xml:space="preserve"> PAGEREF _Toc12627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132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(二)、企业社会责任与可持续发展</w:t>
        </w:r>
        <w:r>
          <w:tab/>
        </w:r>
        <w:r>
          <w:fldChar w:fldCharType="begin"/>
        </w:r>
        <w:r>
          <w:instrText xml:space="preserve"> PAGEREF _Toc8132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7923" w:history="1">
        <w:r>
          <w:rPr>
            <w:rFonts w:ascii="微软雅黑" w:eastAsia="微软雅黑" w:hAnsi="微软雅黑" w:cs="微软雅黑" w:hint="eastAsia"/>
            <w:color w:val="001CAC" w:themeColor="hyperlink" w:themeShade="BF"/>
            <w:szCs w:val="32"/>
            <w:lang w:eastAsia="zh-CN"/>
          </w:rPr>
          <w:t>八、冲压件、挤压件行业项目管理与实施</w:t>
        </w:r>
        <w:r>
          <w:tab/>
        </w:r>
        <w:r>
          <w:fldChar w:fldCharType="begin"/>
        </w:r>
        <w:r>
          <w:instrText xml:space="preserve"> PAGEREF _Toc27923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203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(一)、项目进度安排</w:t>
        </w:r>
        <w:r>
          <w:tab/>
        </w:r>
        <w:r>
          <w:fldChar w:fldCharType="begin"/>
        </w:r>
        <w:r>
          <w:instrText xml:space="preserve"> PAGEREF _Toc17203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997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(二)、项目实施保障措施</w:t>
        </w:r>
        <w:r>
          <w:tab/>
        </w:r>
        <w:r>
          <w:fldChar w:fldCharType="begin"/>
        </w:r>
        <w:r>
          <w:instrText xml:space="preserve"> PAGEREF _Toc11997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926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(三)、项目风险分析与对策</w:t>
        </w:r>
        <w:r>
          <w:tab/>
        </w:r>
        <w:r>
          <w:fldChar w:fldCharType="begin"/>
        </w:r>
        <w:r>
          <w:instrText xml:space="preserve"> PAGEREF _Toc26926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1262" w:history="1">
        <w:r>
          <w:rPr>
            <w:rFonts w:ascii="微软雅黑" w:eastAsia="微软雅黑" w:hAnsi="微软雅黑" w:cs="微软雅黑" w:hint="eastAsia"/>
            <w:color w:val="001CAC" w:themeColor="hyperlink" w:themeShade="BF"/>
            <w:szCs w:val="32"/>
            <w:lang w:eastAsia="zh-CN"/>
          </w:rPr>
          <w:t>九、制度运行与优化</w:t>
        </w:r>
        <w:r>
          <w:tab/>
        </w:r>
        <w:r>
          <w:fldChar w:fldCharType="begin"/>
        </w:r>
        <w:r>
          <w:instrText xml:space="preserve"> PAGEREF _Toc11262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402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(一)、制度执行与监督</w:t>
        </w:r>
        <w:r>
          <w:tab/>
        </w:r>
        <w:r>
          <w:fldChar w:fldCharType="begin"/>
        </w:r>
        <w:r>
          <w:instrText xml:space="preserve"> PAGEREF _Toc4402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059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(二)、制度优化与更新</w:t>
        </w:r>
        <w:r>
          <w:tab/>
        </w:r>
        <w:r>
          <w:fldChar w:fldCharType="begin"/>
        </w:r>
        <w:r>
          <w:instrText xml:space="preserve"> PAGEREF _Toc4059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9093" w:history="1">
        <w:r>
          <w:rPr>
            <w:rFonts w:ascii="微软雅黑" w:eastAsia="微软雅黑" w:hAnsi="微软雅黑" w:cs="微软雅黑" w:hint="eastAsia"/>
            <w:color w:val="001CAC" w:themeColor="hyperlink" w:themeShade="BF"/>
            <w:szCs w:val="32"/>
            <w:lang w:eastAsia="zh-CN"/>
          </w:rPr>
          <w:t>十、质量与技术管理</w:t>
        </w:r>
        <w:r>
          <w:tab/>
        </w:r>
        <w:r>
          <w:fldChar w:fldCharType="begin"/>
        </w:r>
        <w:r>
          <w:instrText xml:space="preserve"> PAGEREF _Toc9093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826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(一)、质量管理体系建设</w:t>
        </w:r>
        <w:r>
          <w:tab/>
        </w:r>
        <w:r>
          <w:fldChar w:fldCharType="begin"/>
        </w:r>
        <w:r>
          <w:instrText xml:space="preserve"> PAGEREF _Toc10826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033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(二)、技术标准与创新</w:t>
        </w:r>
        <w:r>
          <w:tab/>
        </w:r>
        <w:r>
          <w:fldChar w:fldCharType="begin"/>
        </w:r>
        <w:r>
          <w:instrText xml:space="preserve"> PAGEREF _Toc16033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2213" w:history="1">
        <w:r>
          <w:rPr>
            <w:rFonts w:ascii="微软雅黑" w:eastAsia="微软雅黑" w:hAnsi="微软雅黑" w:cs="微软雅黑" w:hint="eastAsia"/>
            <w:color w:val="001CAC" w:themeColor="hyperlink" w:themeShade="BF"/>
            <w:szCs w:val="32"/>
            <w:lang w:eastAsia="zh-CN"/>
          </w:rPr>
          <w:t>十一、项目实施与进度安排</w:t>
        </w:r>
        <w:r>
          <w:tab/>
        </w:r>
        <w:r>
          <w:fldChar w:fldCharType="begin"/>
        </w:r>
        <w:r>
          <w:instrText xml:space="preserve"> PAGEREF _Toc32213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497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(一)、项目计划与时间节点</w:t>
        </w:r>
        <w:r>
          <w:tab/>
        </w:r>
        <w:r>
          <w:fldChar w:fldCharType="begin"/>
        </w:r>
        <w:r>
          <w:instrText xml:space="preserve"> PAGEREF _Toc10497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337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(二)、项目进度安排</w:t>
        </w:r>
        <w:r>
          <w:tab/>
        </w:r>
        <w:r>
          <w:fldChar w:fldCharType="begin"/>
        </w:r>
        <w:r>
          <w:instrText xml:space="preserve"> PAGEREF _Toc5337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032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(三)、风险管理与对策</w:t>
        </w:r>
        <w:r>
          <w:tab/>
        </w:r>
        <w:r>
          <w:fldChar w:fldCharType="begin"/>
        </w:r>
        <w:r>
          <w:instrText xml:space="preserve"> PAGEREF _Toc21032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1974" w:history="1">
        <w:r>
          <w:rPr>
            <w:rFonts w:ascii="微软雅黑" w:eastAsia="微软雅黑" w:hAnsi="微软雅黑" w:cs="微软雅黑" w:hint="eastAsia"/>
            <w:color w:val="001CAC" w:themeColor="hyperlink" w:themeShade="BF"/>
            <w:szCs w:val="32"/>
            <w:lang w:eastAsia="zh-CN"/>
          </w:rPr>
          <w:t>十二、项目运营与管理</w:t>
        </w:r>
        <w:r>
          <w:tab/>
        </w:r>
        <w:r>
          <w:fldChar w:fldCharType="begin"/>
        </w:r>
        <w:r>
          <w:instrText xml:space="preserve"> PAGEREF _Toc31974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888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(一)、运营模式选择</w:t>
        </w:r>
        <w:r>
          <w:tab/>
        </w:r>
        <w:r>
          <w:fldChar w:fldCharType="begin"/>
        </w:r>
        <w:r>
          <w:instrText xml:space="preserve"> PAGEREF _Toc25888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53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(二)、人力资源规划</w:t>
        </w:r>
        <w:r>
          <w:tab/>
        </w:r>
        <w:r>
          <w:fldChar w:fldCharType="begin"/>
        </w:r>
        <w:r>
          <w:instrText xml:space="preserve"> PAGEREF _Toc453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329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(三)、财务管理计划</w:t>
        </w:r>
        <w:r>
          <w:tab/>
        </w:r>
        <w:r>
          <w:fldChar w:fldCharType="begin"/>
        </w:r>
        <w:r>
          <w:instrText xml:space="preserve"> PAGEREF _Toc16329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986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(四)、供应链管理</w:t>
        </w:r>
        <w:r>
          <w:tab/>
        </w:r>
        <w:r>
          <w:fldChar w:fldCharType="begin"/>
        </w:r>
        <w:r>
          <w:instrText xml:space="preserve"> PAGEREF _Toc19986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r>
        <w:fldChar w:fldCharType="end"/>
      </w:r>
      <w:r>
        <w:br/>
      </w:r>
      <w: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8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https://d.book118.com/897124150061006032</w:t>
        </w:r>
      </w:hyperlink>
    </w:p>
    <w:p/>
    <w:sectPr>
      <w:headerReference w:type="default" r:id="rId9"/>
      <w:footerReference w:type="default" r:id="rId10"/>
      <w:type w:val="nextPage"/>
      <w:pgSz w:w="11906" w:h="16838"/>
      <w:pgMar w:top="1440" w:right="1800" w:bottom="1440" w:left="1800" w:header="851" w:footer="992" w:gutter="0"/>
      <w:pgNumType w:start="3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482775B3"/>
    <w:rsid w:val="02623C3C"/>
    <w:rsid w:val="03734037"/>
    <w:rsid w:val="13614867"/>
    <w:rsid w:val="324275A7"/>
    <w:rsid w:val="3DAC44EE"/>
    <w:rsid w:val="453746B4"/>
    <w:rsid w:val="482775B3"/>
    <w:rsid w:val="49C53810"/>
    <w:rsid w:val="4E155AC7"/>
    <w:rsid w:val="50930768"/>
    <w:rsid w:val="62A91464"/>
    <w:rsid w:val="692E1C42"/>
  </w:rsids>
  <w:docVars>
    <w:docVar w:name="commondata" w:val="eyJoZGlkIjoiYjEzZTI3MzIxYzUxM2E3Y2YyMDVhZDRkMWU5YjExZDgifQ=="/>
  </w:docVar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 w:qFormat="1"/>
    <w:lsdException w:name="toc 2" w:semiHidden="0" w:uiPriority="0" w:unhideWhenUsed="0" w:qFormat="1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 w:qFormat="1"/>
    <w:lsdException w:name="footer" w:semiHidden="0" w:uiPriority="0" w:unhideWhenUsed="0" w:qFormat="1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 w:qFormat="1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 w:qFormat="1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autoRedefine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autoRedefine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autoRedefine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autoRedefine/>
    <w:semiHidden/>
    <w:qFormat/>
  </w:style>
  <w:style w:type="table" w:default="1" w:styleId="TableNormal">
    <w:name w:val="Normal Table"/>
    <w:autoRedefine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autoRedefine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autoRedefine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  <w:autoRedefine/>
    <w:qFormat/>
  </w:style>
  <w:style w:type="paragraph" w:styleId="TOC2">
    <w:name w:val="toc 2"/>
    <w:basedOn w:val="Normal"/>
    <w:next w:val="Normal"/>
    <w:autoRedefine/>
    <w:qFormat/>
    <w:pPr>
      <w:ind w:left="420" w:leftChars="200"/>
    </w:pPr>
  </w:style>
  <w:style w:type="character" w:styleId="PageNumber">
    <w:name w:val="page number"/>
    <w:basedOn w:val="DefaultParagraphFont"/>
    <w:autoRedefine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3.xml" /><Relationship Id="rId11" Type="http://schemas.openxmlformats.org/officeDocument/2006/relationships/theme" Target="theme/theme1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yperlink" Target="https://d.book118.com/897124150061006032" TargetMode="External" /><Relationship Id="rId9" Type="http://schemas.openxmlformats.org/officeDocument/2006/relationships/header" Target="head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黄晨</dc:creator>
  <cp:lastModifiedBy>小海豹</cp:lastModifiedBy>
  <cp:revision>1</cp:revision>
  <dcterms:created xsi:type="dcterms:W3CDTF">2023-12-10T12:06:00Z</dcterms:created>
  <dcterms:modified xsi:type="dcterms:W3CDTF">2024-01-17T05:50:41Z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1E39AA5D4B7F4B19B7D16FD992F8235D_13</vt:lpwstr>
  </property>
  <property fmtid="{D5CDD505-2E9C-101B-9397-08002B2CF9AE}" pid="3" name="KSOProductBuildVer">
    <vt:lpwstr>2052-12.1.0.16120</vt:lpwstr>
  </property>
</Properties>
</file>