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keepLines/>
        <w:pageBreakBefore w:val="0"/>
        <w:widowControl w:val="0"/>
        <w:tabs>
          <w:tab w:val="left" w:pos="3499"/>
        </w:tabs>
        <w:kinsoku/>
        <w:wordWrap/>
        <w:overflowPunct/>
        <w:topLinePunct w:val="0"/>
        <w:bidi w:val="0"/>
        <w:adjustRightInd/>
        <w:snapToGrid/>
        <w:ind w:left="0" w:right="0" w:firstLine="0" w:leftChars="0" w:rightChars="0" w:firstLineChars="0"/>
        <w:jc w:val="center"/>
        <w:textAlignment w:val="auto"/>
        <w:rPr>
          <w:rFonts w:ascii="黑体" w:eastAsia="黑体" w:hAnsi="黑体" w:cs="黑体" w:hint="default"/>
          <w:b/>
          <w:bCs/>
          <w:color w:val="0000FF"/>
          <w:sz w:val="24"/>
          <w:vertAlign w:val="baseline"/>
        </w:rPr>
      </w:pPr>
      <w:r>
        <w:rPr>
          <w:rFonts w:ascii="黑体" w:eastAsia="黑体" w:hAnsi="黑体" w:cs="黑体" w:hint="eastAsia"/>
          <w:b/>
          <w:bCs/>
          <w:sz w:val="24"/>
          <w:szCs w:val="24"/>
          <w:vertAlign w:val="baseline"/>
          <w:lang w:val="en-US" w:eastAsia="zh-CN"/>
        </w:rPr>
        <w:t>安全管理体系之20：</w:t>
      </w:r>
      <w:r>
        <w:rPr>
          <w:rFonts w:ascii="黑体" w:eastAsia="黑体" w:hAnsi="黑体" w:cs="黑体" w:hint="default"/>
          <w:b/>
          <w:bCs/>
          <w:sz w:val="24"/>
          <w:szCs w:val="24"/>
          <w:vertAlign w:val="baseline"/>
          <w:lang w:val="en-US" w:eastAsia="zh-CN"/>
        </w:rPr>
        <w:t>”</w:t>
      </w:r>
      <w:r>
        <w:rPr>
          <w:rFonts w:ascii="黑体" w:eastAsia="黑体" w:hAnsi="黑体" w:cs="黑体" w:hint="eastAsia"/>
          <w:b/>
          <w:bCs/>
          <w:color w:val="0000FF"/>
          <w:sz w:val="24"/>
          <w:szCs w:val="24"/>
          <w:vertAlign w:val="baseline"/>
          <w:lang w:val="en-US" w:eastAsia="zh-CN"/>
        </w:rPr>
        <w:t>9.1监视、测量、分析和评价绩效</w:t>
      </w:r>
      <w:r>
        <w:rPr>
          <w:rFonts w:ascii="黑体" w:eastAsia="黑体" w:hAnsi="黑体" w:cs="黑体" w:hint="default"/>
          <w:b/>
          <w:bCs/>
          <w:color w:val="0000FF"/>
          <w:sz w:val="24"/>
          <w:szCs w:val="24"/>
          <w:vertAlign w:val="baseline"/>
          <w:lang w:val="en-US" w:eastAsia="zh-CN"/>
        </w:rPr>
        <w:t>”</w:t>
      </w:r>
    </w:p>
    <w:p>
      <w:pPr>
        <w:keepNext/>
        <w:keepLines/>
        <w:pageBreakBefore w:val="0"/>
        <w:widowControl w:val="0"/>
        <w:tabs>
          <w:tab w:val="left" w:pos="3499"/>
        </w:tabs>
        <w:kinsoku/>
        <w:wordWrap/>
        <w:overflowPunct/>
        <w:topLinePunct w:val="0"/>
        <w:bidi w:val="0"/>
        <w:adjustRightInd/>
        <w:snapToGrid/>
        <w:ind w:left="0" w:right="0" w:firstLine="0" w:leftChars="0" w:rightChars="0" w:firstLineChars="0"/>
        <w:jc w:val="center"/>
        <w:textAlignment w:val="auto"/>
        <w:rPr>
          <w:rFonts w:ascii="黑体" w:eastAsia="黑体" w:hAnsi="黑体" w:cs="黑体" w:hint="eastAsia"/>
          <w:b/>
          <w:bCs/>
          <w:color w:val="C00000"/>
          <w:sz w:val="24"/>
          <w:vertAlign w:val="baseline"/>
        </w:rPr>
      </w:pPr>
      <w:r>
        <w:rPr>
          <w:rFonts w:ascii="黑体" w:eastAsia="黑体" w:hAnsi="黑体" w:cs="黑体" w:hint="eastAsia"/>
          <w:b/>
          <w:bCs/>
          <w:sz w:val="24"/>
          <w:szCs w:val="24"/>
          <w:vertAlign w:val="baseline"/>
          <w:lang w:val="en-US" w:eastAsia="zh-CN"/>
        </w:rPr>
        <w:t>安全管理体系之20-2：</w:t>
      </w:r>
      <w:r>
        <w:rPr>
          <w:rFonts w:ascii="黑体" w:eastAsia="黑体" w:hAnsi="黑体" w:cs="黑体" w:hint="eastAsia"/>
          <w:b/>
          <w:bCs/>
          <w:color w:val="0000FF"/>
          <w:sz w:val="24"/>
          <w:szCs w:val="24"/>
          <w:vertAlign w:val="baseline"/>
          <w:lang w:val="en-US" w:eastAsia="zh-CN"/>
        </w:rPr>
        <w:t>“9.1.2合规性评价”</w:t>
      </w:r>
      <w:r>
        <w:rPr>
          <w:rFonts w:ascii="黑体" w:eastAsia="黑体" w:hAnsi="黑体" w:cs="黑体" w:hint="eastAsia"/>
          <w:b/>
          <w:bCs/>
          <w:color w:val="C00000"/>
          <w:sz w:val="24"/>
          <w:szCs w:val="24"/>
          <w:vertAlign w:val="baseline"/>
          <w:lang w:val="en-US" w:eastAsia="zh-CN"/>
        </w:rPr>
        <w:t>标准、流程、风险与合规全面解读</w:t>
      </w:r>
    </w:p>
    <w:p>
      <w:pPr>
        <w:keepNext/>
        <w:keepLines/>
        <w:pageBreakBefore w:val="0"/>
        <w:widowControl w:val="0"/>
        <w:tabs>
          <w:tab w:val="left" w:pos="3499"/>
        </w:tabs>
        <w:kinsoku/>
        <w:wordWrap/>
        <w:overflowPunct/>
        <w:topLinePunct w:val="0"/>
        <w:autoSpaceDE/>
        <w:autoSpaceDN/>
        <w:bidi w:val="0"/>
        <w:adjustRightInd/>
        <w:snapToGrid/>
        <w:spacing w:before="312" w:beforeLines="100" w:after="312" w:afterLines="100" w:line="360" w:lineRule="auto"/>
        <w:ind w:left="0" w:right="0" w:firstLine="0" w:leftChars="0" w:rightChars="0" w:firstLineChars="0"/>
        <w:jc w:val="center"/>
        <w:textAlignment w:val="auto"/>
        <w:rPr>
          <w:rFonts w:ascii="黑体" w:eastAsia="黑体" w:hAnsi="黑体" w:cs="黑体" w:hint="eastAsia"/>
          <w:b/>
          <w:bCs/>
          <w:color w:val="C00000"/>
          <w:szCs w:val="21"/>
          <w:vertAlign w:val="baseline"/>
        </w:rPr>
      </w:pPr>
      <w:r>
        <w:rPr>
          <w:rFonts w:ascii="黑体" w:eastAsia="黑体" w:hAnsi="黑体" w:cs="黑体" w:hint="eastAsia"/>
          <w:b/>
          <w:bCs/>
          <w:color w:val="C00000"/>
          <w:sz w:val="21"/>
          <w:szCs w:val="21"/>
          <w:vertAlign w:val="baseline"/>
          <w:lang w:val="en-US" w:eastAsia="zh-CN"/>
        </w:rPr>
        <w:t>第一部分：</w:t>
      </w:r>
      <w:r>
        <w:rPr>
          <w:rFonts w:ascii="黑体" w:eastAsia="黑体" w:hAnsi="黑体" w:cs="黑体" w:hint="eastAsia"/>
          <w:b/>
          <w:bCs/>
          <w:color w:val="0000FF"/>
          <w:sz w:val="21"/>
          <w:szCs w:val="21"/>
          <w:vertAlign w:val="baseline"/>
          <w:lang w:val="en-US" w:eastAsia="zh-CN"/>
        </w:rPr>
        <w:t>“9.1.2合规性评价”</w:t>
      </w:r>
      <w:r>
        <w:rPr>
          <w:rFonts w:ascii="黑体" w:eastAsia="黑体" w:hAnsi="黑体" w:cs="黑体" w:hint="eastAsia"/>
          <w:b/>
          <w:bCs/>
          <w:color w:val="C00000"/>
          <w:sz w:val="21"/>
          <w:szCs w:val="21"/>
          <w:vertAlign w:val="baseline"/>
          <w:lang w:val="en-US" w:eastAsia="zh-CN"/>
        </w:rPr>
        <w:t>标准解读</w:t>
      </w:r>
    </w:p>
    <w:p>
      <w:pPr>
        <w:pStyle w:val="a1"/>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firstLine="0" w:leftChars="0" w:rightChars="0" w:firstLineChars="0"/>
        <w:jc w:val="both"/>
        <w:textAlignment w:val="auto"/>
        <w:outlineLvl w:val="1"/>
        <w:rPr>
          <w:rFonts w:hint="default"/>
          <w:b/>
          <w:bCs/>
          <w:szCs w:val="21"/>
          <w:vertAlign w:val="baseline"/>
        </w:rPr>
      </w:pPr>
      <w:r>
        <w:rPr>
          <w:rFonts w:hint="eastAsia"/>
          <w:b/>
          <w:bCs/>
          <w:sz w:val="21"/>
          <w:szCs w:val="21"/>
          <w:vertAlign w:val="baseline"/>
          <w:lang w:val="en-US" w:eastAsia="zh-CN"/>
        </w:rPr>
        <w:t>过程预期结果（控制目标）</w:t>
      </w:r>
    </w:p>
    <w:p>
      <w:pPr>
        <w:pStyle w:val="a"/>
        <w:keepNext/>
        <w:keepLines/>
        <w:pageBreakBefore w:val="0"/>
        <w:widowControl w:val="0"/>
        <w:numPr>
          <w:ilvl w:val="0"/>
          <w:numId w:val="2"/>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kern w:val="0"/>
          <w:sz w:val="21"/>
          <w:szCs w:val="21"/>
          <w:lang w:val="en-US" w:eastAsia="zh-CN" w:bidi="ar-SA"/>
        </w:rPr>
        <w:t>定期评价组织的适用合规义务的符合性以履行合规义务的承诺，确保组织安全合规，避免因违规操作而引发的法律责任和经济损失；</w:t>
      </w:r>
    </w:p>
    <w:p>
      <w:pPr>
        <w:pStyle w:val="a"/>
        <w:keepNext/>
        <w:keepLines/>
        <w:pageBreakBefore w:val="0"/>
        <w:widowControl w:val="0"/>
        <w:numPr>
          <w:ilvl w:val="0"/>
          <w:numId w:val="2"/>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kern w:val="0"/>
          <w:sz w:val="21"/>
          <w:szCs w:val="21"/>
          <w:lang w:val="en-US" w:eastAsia="zh-CN" w:bidi="ar-SA"/>
        </w:rPr>
        <w:t>通过及时发现（排查）和纠正潜在的安全隐患，防范安全事故的发生。</w:t>
      </w:r>
    </w:p>
    <w:p>
      <w:pPr>
        <w:pStyle w:val="a1"/>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firstLine="0" w:leftChars="0" w:rightChars="0" w:firstLineChars="0"/>
        <w:jc w:val="both"/>
        <w:textAlignment w:val="auto"/>
        <w:outlineLvl w:val="1"/>
        <w:rPr>
          <w:rFonts w:hAnsi="黑体" w:cs="黑体" w:hint="eastAsia"/>
          <w:szCs w:val="21"/>
        </w:rPr>
      </w:pPr>
      <w:r>
        <w:rPr>
          <w:rFonts w:hAnsi="黑体" w:cs="黑体" w:hint="eastAsia"/>
          <w:b/>
          <w:bCs/>
          <w:color w:val="0000FF"/>
          <w:sz w:val="21"/>
          <w:szCs w:val="21"/>
          <w:vertAlign w:val="baseline"/>
          <w:lang w:val="en-US" w:eastAsia="zh-CN"/>
        </w:rPr>
        <w:t>“9.1.2合规性评价”</w:t>
      </w:r>
      <w:r>
        <w:rPr>
          <w:rFonts w:hint="eastAsia"/>
          <w:b/>
          <w:bCs/>
          <w:sz w:val="21"/>
          <w:szCs w:val="21"/>
          <w:vertAlign w:val="baseline"/>
          <w:lang w:val="en-US" w:eastAsia="zh-CN"/>
        </w:rPr>
        <w:t>条文理解与实施要点</w:t>
      </w:r>
    </w:p>
    <w:p>
      <w:pPr>
        <w:pStyle w:val="a2"/>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leftChars="0" w:rightChars="0"/>
        <w:textAlignment w:val="auto"/>
        <w:rPr>
          <w:rFonts w:asciiTheme="minorEastAsia" w:eastAsiaTheme="minorEastAsia" w:hAnsiTheme="minorEastAsia" w:cstheme="minorEastAsia" w:hint="eastAsia"/>
          <w:sz w:val="21"/>
          <w:szCs w:val="21"/>
        </w:rPr>
      </w:pPr>
      <w:r>
        <w:rPr>
          <w:rFonts w:hAnsi="黑体" w:cs="黑体" w:hint="eastAsia"/>
          <w:sz w:val="21"/>
          <w:szCs w:val="21"/>
          <w:lang w:val="en-US" w:eastAsia="zh-CN"/>
        </w:rPr>
        <w:t>有关</w:t>
      </w:r>
      <w:r>
        <w:rPr>
          <w:rFonts w:hAnsi="黑体" w:cs="黑体" w:hint="eastAsia"/>
          <w:b/>
          <w:bCs/>
          <w:color w:val="0000FF"/>
          <w:sz w:val="21"/>
          <w:szCs w:val="21"/>
          <w:vertAlign w:val="baseline"/>
          <w:lang w:val="en-US" w:eastAsia="zh-CN"/>
        </w:rPr>
        <w:t>合规性评价</w:t>
      </w:r>
      <w:r>
        <w:rPr>
          <w:rFonts w:hAnsi="黑体" w:cs="黑体" w:hint="eastAsia"/>
          <w:sz w:val="21"/>
          <w:szCs w:val="21"/>
          <w:lang w:val="en-US" w:eastAsia="zh-CN"/>
        </w:rPr>
        <w:t>术语及其理解</w:t>
      </w:r>
    </w:p>
    <w:p>
      <w:pPr>
        <w:pStyle w:val="a"/>
        <w:keepNext/>
        <w:keepLines/>
        <w:pageBreakBefore w:val="0"/>
        <w:widowControl w:val="0"/>
        <w:numPr>
          <w:ilvl w:val="0"/>
          <w:numId w:val="3"/>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Theme="minorEastAsia" w:hAnsiTheme="minorHAnsi" w:cstheme="minorBidi" w:hint="eastAsia"/>
          <w:b/>
          <w:bCs/>
          <w:szCs w:val="21"/>
        </w:rPr>
      </w:pPr>
      <w:r>
        <w:rPr>
          <w:rFonts w:ascii="宋体" w:eastAsiaTheme="minorEastAsia" w:hAnsiTheme="minorHAnsi" w:cstheme="minorBidi" w:hint="eastAsia"/>
          <w:b/>
          <w:bCs/>
          <w:sz w:val="21"/>
          <w:szCs w:val="21"/>
          <w:lang w:val="en-US" w:eastAsia="zh-CN"/>
        </w:rPr>
        <w:t>合规</w:t>
      </w:r>
    </w:p>
    <w:p>
      <w:pPr>
        <w:pStyle w:val="a0"/>
        <w:keepNext/>
        <w:keepLines/>
        <w:pageBreakBefore w:val="0"/>
        <w:widowControl w:val="0"/>
        <w:kinsoku/>
        <w:wordWrap/>
        <w:overflowPunct/>
        <w:topLinePunct w:val="0"/>
        <w:bidi w:val="0"/>
        <w:adjustRightInd/>
        <w:snapToGrid/>
        <w:spacing w:line="360" w:lineRule="auto"/>
        <w:ind w:left="0" w:right="0" w:firstLine="480" w:leftChars="0" w:rightChars="0"/>
        <w:textAlignment w:val="auto"/>
        <w:rPr>
          <w:rFonts w:hAnsi="宋体" w:hint="eastAsia"/>
          <w:szCs w:val="21"/>
        </w:rPr>
      </w:pPr>
      <w:r>
        <w:rPr>
          <w:rFonts w:ascii="宋体" w:hAnsi="宋体" w:hint="eastAsia"/>
          <w:sz w:val="21"/>
          <w:szCs w:val="21"/>
          <w:lang w:val="en-US" w:eastAsia="zh-CN"/>
        </w:rPr>
        <w:t>履行组织的全部合规义务。</w:t>
      </w:r>
    </w:p>
    <w:p>
      <w:pPr>
        <w:pStyle w:val="a"/>
        <w:keepNext/>
        <w:keepLines/>
        <w:pageBreakBefore w:val="0"/>
        <w:widowControl w:val="0"/>
        <w:numPr>
          <w:ilvl w:val="0"/>
          <w:numId w:val="3"/>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Theme="minorEastAsia" w:hAnsiTheme="minorHAnsi" w:cstheme="minorBidi" w:hint="eastAsia"/>
          <w:b/>
          <w:bCs/>
          <w:szCs w:val="21"/>
        </w:rPr>
      </w:pPr>
      <w:r>
        <w:rPr>
          <w:rFonts w:ascii="宋体" w:eastAsiaTheme="minorEastAsia" w:hAnsiTheme="minorHAnsi" w:cstheme="minorBidi" w:hint="eastAsia"/>
          <w:b/>
          <w:bCs/>
          <w:sz w:val="21"/>
          <w:szCs w:val="21"/>
          <w:lang w:val="en-US" w:eastAsia="zh-CN"/>
        </w:rPr>
        <w:t>不合规</w:t>
      </w:r>
    </w:p>
    <w:p>
      <w:pPr>
        <w:pStyle w:val="a0"/>
        <w:keepNext/>
        <w:keepLines/>
        <w:pageBreakBefore w:val="0"/>
        <w:widowControl w:val="0"/>
        <w:kinsoku/>
        <w:wordWrap/>
        <w:overflowPunct/>
        <w:topLinePunct w:val="0"/>
        <w:bidi w:val="0"/>
        <w:adjustRightInd/>
        <w:snapToGrid/>
        <w:spacing w:line="360" w:lineRule="auto"/>
        <w:ind w:left="0" w:right="0" w:firstLine="480" w:leftChars="0" w:rightChars="0"/>
        <w:textAlignment w:val="auto"/>
        <w:rPr>
          <w:rFonts w:hAnsi="宋体" w:hint="eastAsia"/>
          <w:szCs w:val="21"/>
        </w:rPr>
      </w:pPr>
      <w:r>
        <w:rPr>
          <w:rFonts w:ascii="宋体" w:hAnsi="宋体" w:hint="eastAsia"/>
          <w:sz w:val="21"/>
          <w:szCs w:val="21"/>
          <w:lang w:val="en-US" w:eastAsia="zh-CN"/>
        </w:rPr>
        <w:t>未履行合规义务。</w:t>
      </w:r>
    </w:p>
    <w:p>
      <w:pPr>
        <w:pStyle w:val="a"/>
        <w:keepNext/>
        <w:keepLines/>
        <w:pageBreakBefore w:val="0"/>
        <w:widowControl w:val="0"/>
        <w:numPr>
          <w:ilvl w:val="0"/>
          <w:numId w:val="3"/>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Theme="minorEastAsia" w:hAnsiTheme="minorHAnsi" w:cstheme="minorBidi" w:hint="eastAsia"/>
          <w:b/>
          <w:bCs/>
          <w:szCs w:val="21"/>
        </w:rPr>
      </w:pPr>
      <w:r>
        <w:rPr>
          <w:rFonts w:ascii="宋体" w:eastAsiaTheme="minorEastAsia" w:hAnsiTheme="minorHAnsi" w:cstheme="minorBidi" w:hint="eastAsia"/>
          <w:b/>
          <w:bCs/>
          <w:sz w:val="21"/>
          <w:szCs w:val="21"/>
          <w:lang w:val="en-US" w:eastAsia="zh-CN"/>
        </w:rPr>
        <w:t>合规风险</w:t>
      </w:r>
    </w:p>
    <w:p>
      <w:pPr>
        <w:pStyle w:val="a0"/>
        <w:keepNext/>
        <w:keepLines/>
        <w:pageBreakBefore w:val="0"/>
        <w:widowControl w:val="0"/>
        <w:kinsoku/>
        <w:wordWrap/>
        <w:overflowPunct/>
        <w:topLinePunct w:val="0"/>
        <w:bidi w:val="0"/>
        <w:adjustRightInd/>
        <w:snapToGrid/>
        <w:spacing w:line="360" w:lineRule="auto"/>
        <w:ind w:left="0" w:right="0" w:firstLine="480" w:leftChars="0" w:rightChars="0"/>
        <w:textAlignment w:val="auto"/>
        <w:rPr>
          <w:rFonts w:hAnsi="宋体" w:hint="eastAsia"/>
          <w:szCs w:val="21"/>
        </w:rPr>
      </w:pPr>
      <w:r>
        <w:rPr>
          <w:rFonts w:ascii="宋体" w:hAnsi="宋体" w:hint="eastAsia"/>
          <w:sz w:val="21"/>
          <w:szCs w:val="21"/>
          <w:lang w:val="en-US" w:eastAsia="zh-CN"/>
        </w:rPr>
        <w:t>不合规的作为或不作为导致的对于合规目标所造成的不确定性。</w:t>
      </w:r>
    </w:p>
    <w:p>
      <w:pPr>
        <w:pStyle w:val="a"/>
        <w:keepNext/>
        <w:keepLines/>
        <w:pageBreakBefore w:val="0"/>
        <w:widowControl w:val="0"/>
        <w:numPr>
          <w:ilvl w:val="0"/>
          <w:numId w:val="3"/>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Theme="minorEastAsia" w:hAnsiTheme="minorHAnsi" w:cstheme="minorBidi" w:hint="eastAsia"/>
          <w:b/>
          <w:bCs/>
          <w:szCs w:val="21"/>
        </w:rPr>
      </w:pPr>
      <w:r>
        <w:rPr>
          <w:rFonts w:ascii="宋体" w:eastAsiaTheme="minorEastAsia" w:hAnsiTheme="minorHAnsi" w:cstheme="minorBidi" w:hint="eastAsia"/>
          <w:b/>
          <w:bCs/>
          <w:sz w:val="21"/>
          <w:szCs w:val="21"/>
          <w:lang w:val="en-US" w:eastAsia="zh-CN"/>
        </w:rPr>
        <w:t>合规性评价</w:t>
      </w:r>
    </w:p>
    <w:p>
      <w:pPr>
        <w:pStyle w:val="a0"/>
        <w:keepNext/>
        <w:keepLines/>
        <w:pageBreakBefore w:val="0"/>
        <w:widowControl w:val="0"/>
        <w:kinsoku/>
        <w:wordWrap/>
        <w:overflowPunct/>
        <w:topLinePunct w:val="0"/>
        <w:bidi w:val="0"/>
        <w:adjustRightInd/>
        <w:snapToGrid/>
        <w:spacing w:line="360" w:lineRule="auto"/>
        <w:ind w:left="0" w:right="0" w:firstLine="480" w:leftChars="0" w:rightChars="0"/>
        <w:textAlignment w:val="auto"/>
        <w:rPr>
          <w:rFonts w:hAnsi="宋体" w:hint="eastAsia"/>
          <w:szCs w:val="21"/>
        </w:rPr>
      </w:pPr>
      <w:r>
        <w:rPr>
          <w:rFonts w:ascii="宋体" w:hAnsi="宋体" w:hint="eastAsia"/>
          <w:sz w:val="21"/>
          <w:szCs w:val="21"/>
          <w:lang w:val="en-US" w:eastAsia="zh-CN"/>
        </w:rPr>
        <w:t>对组织履行适用的合规义务程度进行评价。</w:t>
      </w:r>
    </w:p>
    <w:p>
      <w:pPr>
        <w:pStyle w:val="a2"/>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leftChars="0" w:rightChars="0"/>
        <w:textAlignment w:val="auto"/>
        <w:rPr>
          <w:rFonts w:hAnsi="黑体" w:cs="黑体" w:hint="eastAsia"/>
          <w:sz w:val="21"/>
          <w:szCs w:val="21"/>
          <w:lang w:val="en-US" w:eastAsia="zh-CN"/>
        </w:rPr>
      </w:pPr>
      <w:r>
        <w:rPr>
          <w:rFonts w:hAnsi="黑体" w:cs="黑体" w:hint="eastAsia"/>
          <w:sz w:val="21"/>
          <w:szCs w:val="21"/>
          <w:lang w:val="en-US" w:eastAsia="zh-CN"/>
        </w:rPr>
        <w:t>建立合规评评价过程</w:t>
      </w:r>
    </w:p>
    <w:p>
      <w:pPr>
        <w:pStyle w:val="a0"/>
        <w:keepNext/>
        <w:keepLines/>
        <w:pageBreakBefore w:val="0"/>
        <w:widowControl w:val="0"/>
        <w:kinsoku/>
        <w:wordWrap/>
        <w:overflowPunct/>
        <w:topLinePunct w:val="0"/>
        <w:bidi w:val="0"/>
        <w:adjustRightInd/>
        <w:snapToGrid/>
        <w:spacing w:line="360" w:lineRule="auto"/>
        <w:ind w:left="0" w:right="0" w:firstLine="480" w:leftChars="0" w:rightChars="0"/>
        <w:textAlignment w:val="auto"/>
        <w:rPr>
          <w:rFonts w:hAnsi="宋体" w:hint="eastAsia"/>
          <w:szCs w:val="21"/>
        </w:rPr>
      </w:pPr>
      <w:r>
        <w:rPr>
          <w:rFonts w:ascii="宋体" w:hAnsi="宋体" w:hint="eastAsia"/>
          <w:sz w:val="21"/>
          <w:szCs w:val="21"/>
          <w:lang w:val="en-US" w:eastAsia="zh-CN"/>
        </w:rPr>
        <w:t>组织应建立、实施和保持用于对合规义务(见6.1)的合规性进行评价的过程。</w:t>
      </w:r>
    </w:p>
    <w:p>
      <w:pPr>
        <w:pStyle w:val="a2"/>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leftChars="0" w:rightChars="0"/>
        <w:textAlignment w:val="auto"/>
        <w:rPr>
          <w:rFonts w:hAnsi="黑体" w:cs="黑体" w:hint="eastAsia"/>
          <w:sz w:val="21"/>
          <w:szCs w:val="21"/>
          <w:lang w:val="en-US" w:eastAsia="zh-CN"/>
        </w:rPr>
      </w:pPr>
      <w:r>
        <w:rPr>
          <w:rFonts w:hAnsi="黑体" w:cs="黑体" w:hint="eastAsia"/>
          <w:sz w:val="21"/>
          <w:szCs w:val="21"/>
          <w:lang w:val="en-US" w:eastAsia="zh-CN"/>
        </w:rPr>
        <w:t>实施合规性评价</w:t>
      </w:r>
    </w:p>
    <w:p>
      <w:pPr>
        <w:pStyle w:val="a3"/>
        <w:keepNext/>
        <w:keepLines/>
        <w:pageBreakBefore w:val="0"/>
        <w:widowControl w:val="0"/>
        <w:kinsoku/>
        <w:wordWrap/>
        <w:overflowPunct/>
        <w:topLinePunct w:val="0"/>
        <w:bidi w:val="0"/>
        <w:adjustRightInd/>
        <w:snapToGrid/>
        <w:spacing w:line="360" w:lineRule="auto"/>
        <w:ind w:left="0" w:right="0" w:leftChars="0" w:rightChars="0"/>
        <w:textAlignment w:val="auto"/>
        <w:rPr>
          <w:rFonts w:ascii="黑体" w:eastAsia="黑体" w:hAnsi="黑体" w:cs="黑体" w:hint="eastAsia"/>
          <w:sz w:val="21"/>
          <w:szCs w:val="21"/>
          <w:lang w:val="en-US" w:eastAsia="zh-CN"/>
        </w:rPr>
      </w:pPr>
      <w:r>
        <w:rPr>
          <w:rFonts w:ascii="黑体" w:eastAsia="黑体" w:hAnsi="黑体" w:cs="黑体" w:hint="eastAsia"/>
          <w:color w:val="000000" w:themeColor="text1"/>
          <w:spacing w:val="6"/>
          <w:sz w:val="21"/>
          <w:szCs w:val="21"/>
          <w:lang w:val="en-US" w:eastAsia="zh-CN"/>
          <w14:textFill>
            <w14:solidFill>
              <w14:schemeClr w14:val="tx1"/>
            </w14:solidFill>
          </w14:textFill>
        </w:rPr>
        <w:t>合规性评价的</w:t>
      </w:r>
      <w:r>
        <w:rPr>
          <w:rFonts w:ascii="黑体" w:eastAsia="黑体" w:hAnsi="黑体" w:cs="黑体" w:hint="eastAsia"/>
          <w:sz w:val="21"/>
          <w:szCs w:val="21"/>
          <w:lang w:val="en-US" w:eastAsia="zh-CN"/>
        </w:rPr>
        <w:t>频次和时机</w:t>
      </w:r>
    </w:p>
    <w:p>
      <w:pPr>
        <w:pStyle w:val="a"/>
        <w:keepNext/>
        <w:keepLines/>
        <w:pageBreakBefore w:val="0"/>
        <w:widowControl w:val="0"/>
        <w:numPr>
          <w:numId w:val="0"/>
        </w:numPr>
        <w:tabs>
          <w:tab w:val="left" w:pos="854"/>
          <w:tab w:val="left" w:pos="1669"/>
        </w:tabs>
        <w:kinsoku/>
        <w:wordWrap/>
        <w:overflowPunct/>
        <w:topLinePunct w:val="0"/>
        <w:autoSpaceDE/>
        <w:autoSpaceDN/>
        <w:bidi w:val="0"/>
        <w:adjustRightInd/>
        <w:snapToGrid/>
        <w:spacing w:line="360" w:lineRule="auto"/>
        <w:ind w:left="420" w:right="0" w:leftChars="200" w:rightChars="0"/>
        <w:textAlignment w:val="auto"/>
        <w:rPr>
          <w:rFonts w:eastAsia="宋体" w:hint="default"/>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对不同合规义务的定期评价的频次和时机可以有所不同，这取决于以下方面：</w:t>
      </w:r>
    </w:p>
    <w:p>
      <w:pPr>
        <w:pStyle w:val="a"/>
        <w:keepNext/>
        <w:keepLines/>
        <w:pageBreakBefore w:val="0"/>
        <w:widowControl w:val="0"/>
        <w:numPr>
          <w:ilvl w:val="0"/>
          <w:numId w:val="4"/>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hint="eastAsia"/>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合规义务的重要性及其变化；</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default"/>
          <w:color w:val="000000"/>
          <w:szCs w:val="21"/>
        </w:rPr>
      </w:pPr>
      <w:r>
        <w:rPr>
          <w:rFonts w:eastAsia="宋体" w:hAnsi="宋体" w:cs="宋体" w:hint="eastAsia"/>
          <w:color w:val="000000"/>
          <w:sz w:val="21"/>
          <w:szCs w:val="21"/>
          <w:lang w:val="en-US" w:eastAsia="zh-CN"/>
        </w:rPr>
        <w:t>重要性：某些合规义务对组织的运营和声誉具有重大影响，这些重要的合规义务可能需要更频繁的评价，以确保组织始终符合相关要求；</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变化性：合规义务可能会随着时间的推移而发生变化。对于那些经常更新或修改的合规义务，组织需要更频繁地进行评估，以便及时调整其合规策略和做法。</w:t>
      </w:r>
    </w:p>
    <w:p>
      <w:pPr>
        <w:pStyle w:val="a"/>
        <w:keepNext/>
        <w:keepLines/>
        <w:pageBreakBefore w:val="0"/>
        <w:widowControl w:val="0"/>
        <w:numPr>
          <w:ilvl w:val="0"/>
          <w:numId w:val="4"/>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hint="eastAsia"/>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运行状况变化；</w:t>
      </w:r>
    </w:p>
    <w:p>
      <w:pPr>
        <w:pStyle w:val="a0"/>
        <w:keepNext/>
        <w:keepLines/>
        <w:pageBreakBefore w:val="0"/>
        <w:widowControl w:val="0"/>
        <w:kinsoku/>
        <w:wordWrap/>
        <w:overflowPunct/>
        <w:topLinePunct w:val="0"/>
        <w:bidi w:val="0"/>
        <w:adjustRightInd/>
        <w:snapToGrid/>
        <w:spacing w:line="360" w:lineRule="auto"/>
        <w:ind w:left="0" w:right="0" w:firstLine="480" w:leftChars="0" w:rightChars="0"/>
        <w:textAlignment w:val="auto"/>
        <w:rPr>
          <w:rFonts w:eastAsia="宋体" w:hAnsi="宋体" w:cs="宋体" w:hint="eastAsia"/>
          <w:szCs w:val="21"/>
        </w:rPr>
        <w:sectPr>
          <w:headerReference w:type="default" r:id="rId5"/>
          <w:footerReference w:type="default" r:id="rId6"/>
          <w:pgSz w:w="11906" w:h="16838"/>
          <w:pgMar w:top="720" w:right="720" w:bottom="720" w:left="720" w:header="851" w:footer="992" w:gutter="0"/>
          <w:cols w:num="1" w:space="425"/>
          <w:docGrid w:type="lines" w:linePitch="312" w:charSpace="0"/>
        </w:sectPr>
      </w:pPr>
      <w:r>
        <w:rPr>
          <w:rFonts w:eastAsia="宋体" w:hAnsi="宋体" w:cs="宋体" w:hint="eastAsia"/>
          <w:sz w:val="21"/>
          <w:szCs w:val="21"/>
          <w:lang w:val="en-US" w:eastAsia="zh-CN"/>
        </w:rPr>
        <w:t>在组织运行状况发生以下重大变化时，应进行相应的合规评价：</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业务变化：当组织增加新的产品线、服务或市场，或者停止某些业务时，其运营流程和风险敞口可能会发生变化；</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组织结构及人员变化：包括管理层变动、部门重组、员工数量增减等变化，可能影响决策流程、职责分配和合规管理的有效性；</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技术变化：引入安全生产有关的新技术、新工艺、新设备和新材料，可能会带来运行风险的变化；</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安全设备设施状况变化：包括安全设备设施的完好程度、安全设备设施的更新改造情况等，直接关系到生产过程中的安全性；</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供应链变化：供应链中的合作伙伴更换、原材料来源变更或物流方式的调整，可能影响质量和安全标准；</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szCs w:val="21"/>
        </w:rPr>
      </w:pPr>
      <w:r>
        <w:rPr>
          <w:rFonts w:eastAsia="宋体" w:hAnsi="宋体" w:cs="宋体" w:hint="eastAsia"/>
          <w:color w:val="000000"/>
          <w:sz w:val="21"/>
          <w:szCs w:val="21"/>
          <w:lang w:val="en-US" w:eastAsia="zh-CN"/>
        </w:rPr>
        <w:t>事故和紧急情况：发生安全事故或其他紧急情况，需要组织迅速响应，并确保其响应措施符合相关法规和</w:t>
      </w:r>
      <w:r>
        <w:rPr>
          <w:rFonts w:ascii="宋体" w:eastAsia="宋体" w:hAnsi="宋体" w:cs="宋体" w:hint="eastAsia"/>
          <w:sz w:val="21"/>
          <w:szCs w:val="21"/>
          <w:lang w:val="en-US" w:eastAsia="zh-CN"/>
        </w:rPr>
        <w:t>标准。</w:t>
      </w:r>
    </w:p>
    <w:p>
      <w:pPr>
        <w:pStyle w:val="a"/>
        <w:keepNext/>
        <w:keepLines/>
        <w:pageBreakBefore w:val="0"/>
        <w:widowControl w:val="0"/>
        <w:numPr>
          <w:ilvl w:val="0"/>
          <w:numId w:val="4"/>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hint="eastAsia"/>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组织以往的合规绩效（包括以往的合规性评价情况）。</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如果组织在过去曾因违规而受到处罚或声誉受损，那么它可能需要更加严格和频繁的合规评价，以重建信任并避免未来的风险。</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szCs w:val="21"/>
        </w:rPr>
      </w:pPr>
      <w:r>
        <w:rPr>
          <w:rFonts w:eastAsia="宋体" w:hAnsi="宋体" w:cs="宋体" w:hint="eastAsia"/>
          <w:color w:val="000000"/>
          <w:sz w:val="21"/>
          <w:szCs w:val="21"/>
          <w:lang w:val="en-US" w:eastAsia="zh-CN"/>
        </w:rPr>
        <w:t>相反，如果组织具有良好的合规记录和健全的合规管理体系，那么它可能不需要过于频繁的评价，但仍需</w:t>
      </w:r>
      <w:r>
        <w:rPr>
          <w:rFonts w:ascii="宋体" w:eastAsia="宋体" w:hAnsi="宋体" w:cs="宋体" w:hint="eastAsia"/>
          <w:sz w:val="21"/>
          <w:szCs w:val="21"/>
          <w:lang w:val="en-US" w:eastAsia="zh-CN"/>
        </w:rPr>
        <w:t>保持警惕并定期评审其合规状况。</w:t>
      </w:r>
    </w:p>
    <w:p>
      <w:pPr>
        <w:pStyle w:val="a3"/>
        <w:keepNext/>
        <w:keepLines/>
        <w:pageBreakBefore w:val="0"/>
        <w:widowControl w:val="0"/>
        <w:kinsoku/>
        <w:wordWrap/>
        <w:overflowPunct/>
        <w:topLinePunct w:val="0"/>
        <w:bidi w:val="0"/>
        <w:adjustRightInd/>
        <w:snapToGrid/>
        <w:spacing w:line="360" w:lineRule="auto"/>
        <w:ind w:left="0" w:right="0" w:leftChars="0" w:rightChars="0"/>
        <w:textAlignment w:val="auto"/>
        <w:rPr>
          <w:rFonts w:ascii="黑体" w:eastAsia="黑体" w:hAnsi="黑体" w:cs="黑体" w:hint="eastAsia"/>
          <w:sz w:val="21"/>
          <w:szCs w:val="21"/>
          <w:lang w:val="en-US" w:eastAsia="zh-CN"/>
        </w:rPr>
      </w:pPr>
      <w:r>
        <w:rPr>
          <w:rFonts w:ascii="黑体" w:eastAsia="黑体" w:hAnsi="黑体" w:cs="黑体" w:hint="eastAsia"/>
          <w:color w:val="000000" w:themeColor="text1"/>
          <w:spacing w:val="6"/>
          <w:sz w:val="21"/>
          <w:szCs w:val="21"/>
          <w:lang w:val="en-US" w:eastAsia="zh-CN"/>
          <w14:textFill>
            <w14:solidFill>
              <w14:schemeClr w14:val="tx1"/>
            </w14:solidFill>
          </w14:textFill>
        </w:rPr>
        <w:t>合规性评价基本要求</w:t>
      </w:r>
    </w:p>
    <w:p>
      <w:pPr>
        <w:pStyle w:val="a"/>
        <w:keepNext/>
        <w:keepLines/>
        <w:pageBreakBefore w:val="0"/>
        <w:widowControl w:val="0"/>
        <w:numPr>
          <w:ilvl w:val="0"/>
          <w:numId w:val="6"/>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hint="default"/>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合规性评价应及时、准确，全面覆盖与生产经营活动相关的安全法律法规、行业规范；</w:t>
      </w:r>
    </w:p>
    <w:p>
      <w:pPr>
        <w:pStyle w:val="a"/>
        <w:keepNext/>
        <w:keepLines/>
        <w:pageBreakBefore w:val="0"/>
        <w:widowControl w:val="0"/>
        <w:numPr>
          <w:ilvl w:val="0"/>
          <w:numId w:val="6"/>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default"/>
          <w:color w:val="000000"/>
          <w:szCs w:val="21"/>
        </w:rPr>
      </w:pPr>
      <w:r>
        <w:rPr>
          <w:rFonts w:eastAsia="宋体" w:cs="宋体" w:hint="eastAsia"/>
          <w:color w:val="000000"/>
          <w:sz w:val="21"/>
          <w:szCs w:val="21"/>
          <w:lang w:val="en-US" w:eastAsia="zh-CN"/>
        </w:rPr>
        <w:t>可以开展</w:t>
      </w:r>
      <w:r>
        <w:rPr>
          <w:rFonts w:eastAsia="宋体" w:hint="eastAsia"/>
          <w:color w:val="000000" w:themeColor="text1"/>
          <w:spacing w:val="6"/>
          <w:sz w:val="21"/>
          <w:szCs w:val="21"/>
          <w:lang w:val="en-US" w:eastAsia="zh-CN"/>
          <w14:textFill>
            <w14:solidFill>
              <w14:schemeClr w14:val="tx1"/>
            </w14:solidFill>
          </w14:textFill>
        </w:rPr>
        <w:t>合规性</w:t>
      </w:r>
      <w:r>
        <w:rPr>
          <w:rFonts w:eastAsia="宋体" w:hAnsi="宋体" w:cs="宋体" w:hint="default"/>
          <w:color w:val="000000"/>
          <w:sz w:val="21"/>
          <w:szCs w:val="21"/>
          <w:lang w:val="en-US" w:eastAsia="zh-CN"/>
        </w:rPr>
        <w:t>综合评价</w:t>
      </w:r>
      <w:r>
        <w:rPr>
          <w:rFonts w:eastAsia="宋体" w:cs="宋体" w:hint="eastAsia"/>
          <w:color w:val="000000"/>
          <w:sz w:val="21"/>
          <w:szCs w:val="21"/>
          <w:lang w:val="en-US" w:eastAsia="zh-CN"/>
        </w:rPr>
        <w:t>和</w:t>
      </w:r>
      <w:r>
        <w:rPr>
          <w:rFonts w:eastAsia="宋体" w:hAnsi="宋体" w:cs="宋体" w:hint="default"/>
          <w:color w:val="000000"/>
          <w:sz w:val="21"/>
          <w:szCs w:val="21"/>
          <w:lang w:val="en-US" w:eastAsia="zh-CN"/>
        </w:rPr>
        <w:t>专项评价</w:t>
      </w:r>
      <w:r>
        <w:rPr>
          <w:rFonts w:eastAsia="宋体" w:cs="宋体" w:hint="eastAsia"/>
          <w:color w:val="000000"/>
          <w:sz w:val="21"/>
          <w:szCs w:val="21"/>
          <w:lang w:val="en-US" w:eastAsia="zh-CN"/>
        </w:rPr>
        <w:t>；</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default"/>
          <w:color w:val="000000"/>
          <w:szCs w:val="21"/>
        </w:rPr>
      </w:pPr>
      <w:r>
        <w:rPr>
          <w:rFonts w:eastAsia="宋体" w:hAnsi="宋体" w:cs="宋体" w:hint="default"/>
          <w:color w:val="000000"/>
          <w:sz w:val="21"/>
          <w:szCs w:val="21"/>
          <w:lang w:val="en-US" w:eastAsia="zh-CN"/>
        </w:rPr>
        <w:t>综合评价是对</w:t>
      </w:r>
      <w:r>
        <w:rPr>
          <w:rFonts w:eastAsia="宋体" w:hAnsi="宋体" w:cs="宋体" w:hint="eastAsia"/>
          <w:color w:val="000000"/>
          <w:sz w:val="21"/>
          <w:szCs w:val="21"/>
          <w:lang w:val="en-US" w:eastAsia="zh-CN"/>
        </w:rPr>
        <w:t>组织</w:t>
      </w:r>
      <w:r>
        <w:rPr>
          <w:rFonts w:eastAsia="宋体" w:hAnsi="宋体" w:cs="宋体" w:hint="default"/>
          <w:color w:val="000000"/>
          <w:sz w:val="21"/>
          <w:szCs w:val="21"/>
          <w:lang w:val="en-US" w:eastAsia="zh-CN"/>
        </w:rPr>
        <w:t>适用的所有合规义务进行全面、系统的评</w:t>
      </w:r>
      <w:r>
        <w:rPr>
          <w:rFonts w:eastAsia="宋体" w:hAnsi="宋体" w:cs="宋体" w:hint="eastAsia"/>
          <w:color w:val="000000"/>
          <w:sz w:val="21"/>
          <w:szCs w:val="21"/>
          <w:lang w:val="en-US" w:eastAsia="zh-CN"/>
        </w:rPr>
        <w:t>价</w:t>
      </w:r>
      <w:r>
        <w:rPr>
          <w:rFonts w:eastAsia="宋体" w:cs="宋体" w:hint="eastAsia"/>
          <w:color w:val="000000"/>
          <w:sz w:val="21"/>
          <w:szCs w:val="21"/>
          <w:lang w:val="en-US" w:eastAsia="zh-CN"/>
        </w:rPr>
        <w:t>；</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default"/>
          <w:color w:val="000000"/>
          <w:szCs w:val="21"/>
        </w:rPr>
      </w:pPr>
      <w:r>
        <w:rPr>
          <w:rFonts w:eastAsia="宋体" w:hAnsi="宋体" w:cs="宋体" w:hint="default"/>
          <w:color w:val="000000"/>
          <w:sz w:val="21"/>
          <w:szCs w:val="21"/>
          <w:lang w:val="en-US" w:eastAsia="zh-CN"/>
        </w:rPr>
        <w:t>专项评价是针对特定的合规义务或领域进行的深入评</w:t>
      </w:r>
      <w:r>
        <w:rPr>
          <w:rFonts w:eastAsia="宋体" w:cs="宋体" w:hint="eastAsia"/>
          <w:color w:val="000000"/>
          <w:sz w:val="21"/>
          <w:szCs w:val="21"/>
          <w:lang w:val="en-US" w:eastAsia="zh-CN"/>
        </w:rPr>
        <w:t>价。</w:t>
      </w:r>
    </w:p>
    <w:p>
      <w:pPr>
        <w:pStyle w:val="a"/>
        <w:keepNext/>
        <w:keepLines/>
        <w:pageBreakBefore w:val="0"/>
        <w:widowControl w:val="0"/>
        <w:numPr>
          <w:ilvl w:val="0"/>
          <w:numId w:val="6"/>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cs="宋体" w:hint="eastAsia"/>
          <w:color w:val="000000"/>
          <w:sz w:val="21"/>
          <w:szCs w:val="21"/>
          <w:lang w:val="en-US" w:eastAsia="zh-CN"/>
        </w:rPr>
        <w:t>组织应评价对组织选择遵守的要求的遵守情况。可以和对组织有义务遵守的要求的遵守情况一起进行评价，也可以分别进行评价；</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ascii="宋体" w:eastAsia="宋体" w:hAnsi="宋体" w:cs="宋体" w:hint="eastAsia"/>
          <w:color w:val="000000"/>
          <w:sz w:val="21"/>
          <w:szCs w:val="21"/>
          <w:lang w:val="en-US" w:eastAsia="zh-CN"/>
        </w:rPr>
        <w:t>合规义务可能来自于强制性要求(即合规要求</w:t>
      </w:r>
      <w:r>
        <w:rPr>
          <w:rFonts w:eastAsia="宋体" w:cs="宋体" w:hint="eastAsia"/>
          <w:color w:val="000000"/>
          <w:sz w:val="21"/>
          <w:szCs w:val="21"/>
          <w:lang w:val="en-US" w:eastAsia="zh-CN"/>
        </w:rPr>
        <w:t>，</w:t>
      </w:r>
      <w:r>
        <w:rPr>
          <w:rFonts w:eastAsia="宋体" w:hAnsi="宋体" w:cs="宋体" w:hint="eastAsia"/>
          <w:color w:val="000000"/>
          <w:sz w:val="21"/>
          <w:szCs w:val="21"/>
          <w:lang w:val="en-US" w:eastAsia="zh-CN"/>
        </w:rPr>
        <w:t>具有强制性</w:t>
      </w:r>
      <w:r>
        <w:rPr>
          <w:rFonts w:ascii="宋体" w:eastAsia="宋体" w:hAnsi="宋体" w:cs="宋体" w:hint="eastAsia"/>
          <w:color w:val="000000"/>
          <w:sz w:val="21"/>
          <w:szCs w:val="21"/>
          <w:lang w:val="en-US" w:eastAsia="zh-CN"/>
        </w:rPr>
        <w:t>)和或来自于自愿遵守的要求或承诺（即合规承诺)</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评价的全面性：组织在进行合规性评价时，应确保评价的全面性</w:t>
      </w:r>
      <w:r>
        <w:rPr>
          <w:rFonts w:eastAsia="宋体" w:cs="宋体" w:hint="eastAsia"/>
          <w:color w:val="000000"/>
          <w:sz w:val="21"/>
          <w:szCs w:val="21"/>
          <w:lang w:val="en-US" w:eastAsia="zh-CN"/>
        </w:rPr>
        <w:t>，对</w:t>
      </w:r>
      <w:r>
        <w:rPr>
          <w:rFonts w:ascii="宋体" w:eastAsia="宋体" w:hAnsi="宋体" w:cs="宋体" w:hint="eastAsia"/>
          <w:color w:val="000000"/>
          <w:sz w:val="21"/>
          <w:szCs w:val="21"/>
          <w:lang w:val="en-US" w:eastAsia="zh-CN"/>
        </w:rPr>
        <w:t>合规要求</w:t>
      </w:r>
      <w:r>
        <w:rPr>
          <w:rFonts w:eastAsia="宋体" w:cs="宋体" w:hint="eastAsia"/>
          <w:color w:val="000000"/>
          <w:sz w:val="21"/>
          <w:szCs w:val="21"/>
          <w:lang w:val="en-US" w:eastAsia="zh-CN"/>
        </w:rPr>
        <w:t>和</w:t>
      </w:r>
      <w:r>
        <w:rPr>
          <w:rFonts w:ascii="宋体" w:eastAsia="宋体" w:hAnsi="宋体" w:cs="宋体" w:hint="eastAsia"/>
          <w:color w:val="000000"/>
          <w:sz w:val="21"/>
          <w:szCs w:val="21"/>
          <w:lang w:val="en-US" w:eastAsia="zh-CN"/>
        </w:rPr>
        <w:t>合规承诺</w:t>
      </w:r>
      <w:r>
        <w:rPr>
          <w:rFonts w:eastAsia="宋体" w:cs="宋体" w:hint="eastAsia"/>
          <w:color w:val="000000"/>
          <w:sz w:val="21"/>
          <w:szCs w:val="21"/>
          <w:lang w:val="en-US" w:eastAsia="zh-CN"/>
        </w:rPr>
        <w:t>都应进行评价；</w:t>
      </w:r>
    </w:p>
    <w:p>
      <w:pPr>
        <w:pStyle w:val="a"/>
        <w:keepNext/>
        <w:keepLines/>
        <w:pageBreakBefore w:val="0"/>
        <w:widowControl w:val="0"/>
        <w:numPr>
          <w:ilvl w:val="0"/>
          <w:numId w:val="5"/>
        </w:numPr>
        <w:tabs>
          <w:tab w:val="left" w:pos="854"/>
        </w:tabs>
        <w:kinsoku/>
        <w:wordWrap/>
        <w:overflowPunct/>
        <w:topLinePunct w:val="0"/>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hAnsi="宋体" w:cs="宋体" w:hint="eastAsia"/>
          <w:color w:val="000000"/>
          <w:sz w:val="21"/>
          <w:szCs w:val="21"/>
          <w:lang w:val="en-US" w:eastAsia="zh-CN"/>
        </w:rPr>
        <w:t>评价方式的灵活性：组织可以根据实际情况选择将合规承诺的遵守情况与合规义务的遵守情况一起评价，也可以分别进行评价。一起评价可以简化流程，提高效率；分别评价则有助于更深入地分析各个领域的合规性。</w:t>
      </w:r>
    </w:p>
    <w:p>
      <w:pPr>
        <w:pStyle w:val="a3"/>
        <w:keepNext/>
        <w:keepLines/>
        <w:pageBreakBefore w:val="0"/>
        <w:widowControl w:val="0"/>
        <w:kinsoku/>
        <w:wordWrap/>
        <w:overflowPunct/>
        <w:topLinePunct w:val="0"/>
        <w:bidi w:val="0"/>
        <w:adjustRightInd/>
        <w:snapToGrid/>
        <w:spacing w:line="360" w:lineRule="auto"/>
        <w:ind w:left="0" w:right="0" w:leftChars="0" w:rightChars="0"/>
        <w:textAlignment w:val="auto"/>
        <w:rPr>
          <w:rFonts w:ascii="黑体" w:eastAsia="黑体" w:hAnsi="黑体" w:cs="黑体" w:hint="eastAsia"/>
          <w:sz w:val="21"/>
          <w:szCs w:val="21"/>
          <w:lang w:val="en-US" w:eastAsia="zh-CN"/>
        </w:rPr>
      </w:pPr>
      <w:r>
        <w:rPr>
          <w:rFonts w:ascii="黑体" w:eastAsia="黑体" w:hAnsi="黑体" w:cs="黑体" w:hint="eastAsia"/>
          <w:color w:val="000000" w:themeColor="text1"/>
          <w:spacing w:val="6"/>
          <w:sz w:val="21"/>
          <w:szCs w:val="21"/>
          <w:lang w:val="en-US" w:eastAsia="zh-CN"/>
          <w14:textFill>
            <w14:solidFill>
              <w14:schemeClr w14:val="tx1"/>
            </w14:solidFill>
          </w14:textFill>
        </w:rPr>
        <w:t>合规性评价方式</w:t>
      </w:r>
    </w:p>
    <w:p>
      <w:pPr>
        <w:pStyle w:val="a"/>
        <w:keepNext/>
        <w:keepLines/>
        <w:pageBreakBefore w:val="0"/>
        <w:widowControl w:val="0"/>
        <w:numPr>
          <w:numId w:val="0"/>
        </w:numPr>
        <w:tabs>
          <w:tab w:val="left" w:pos="854"/>
          <w:tab w:val="left" w:pos="1669"/>
        </w:tabs>
        <w:kinsoku/>
        <w:wordWrap/>
        <w:overflowPunct/>
        <w:topLinePunct w:val="0"/>
        <w:autoSpaceDE/>
        <w:autoSpaceDN/>
        <w:bidi w:val="0"/>
        <w:adjustRightInd/>
        <w:snapToGrid/>
        <w:spacing w:line="360" w:lineRule="auto"/>
        <w:ind w:left="420" w:right="0" w:leftChars="200" w:rightChars="0"/>
        <w:textAlignment w:val="auto"/>
        <w:rPr>
          <w:rFonts w:eastAsia="宋体" w:hint="eastAsia"/>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组织应通过下述过程进行合规性评价：</w:t>
      </w:r>
    </w:p>
    <w:p>
      <w:pPr>
        <w:pStyle w:val="a"/>
        <w:keepNext/>
        <w:keepLines/>
        <w:pageBreakBefore w:val="0"/>
        <w:widowControl w:val="0"/>
        <w:numPr>
          <w:ilvl w:val="0"/>
          <w:numId w:val="7"/>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eastAsia"/>
          <w:color w:val="000000"/>
          <w:szCs w:val="21"/>
        </w:rPr>
        <w:sectPr>
          <w:headerReference w:type="default" r:id="rId7"/>
          <w:footerReference w:type="default" r:id="rId8"/>
          <w:type w:val="nextPage"/>
          <w:pgSz w:w="11906" w:h="16838"/>
          <w:pgMar w:top="720" w:right="720" w:bottom="720" w:left="720" w:header="851" w:footer="992" w:gutter="0"/>
          <w:pgNumType w:start="2"/>
          <w:cols w:num="1" w:space="425"/>
          <w:titlePg w:val="0"/>
          <w:docGrid w:type="lines" w:linePitch="312" w:charSpace="0"/>
        </w:sectPr>
      </w:pPr>
      <w:r>
        <w:rPr>
          <w:rFonts w:eastAsia="宋体" w:cs="宋体" w:hint="eastAsia"/>
          <w:color w:val="000000"/>
          <w:sz w:val="21"/>
          <w:szCs w:val="21"/>
          <w:lang w:val="en-US" w:eastAsia="zh-CN"/>
        </w:rPr>
        <w:t>内、外部测量和监视的结果；</w:t>
      </w:r>
    </w:p>
    <w:p>
      <w:pPr>
        <w:pStyle w:val="a"/>
        <w:keepNext/>
        <w:keepLines/>
        <w:pageBreakBefore w:val="0"/>
        <w:widowControl w:val="0"/>
        <w:numPr>
          <w:ilvl w:val="0"/>
          <w:numId w:val="7"/>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cs="宋体" w:hint="eastAsia"/>
          <w:color w:val="000000"/>
          <w:sz w:val="21"/>
          <w:szCs w:val="21"/>
          <w:lang w:val="en-US" w:eastAsia="zh-CN"/>
        </w:rPr>
        <w:t>日常的监督检查；</w:t>
      </w:r>
    </w:p>
    <w:p>
      <w:pPr>
        <w:pStyle w:val="a"/>
        <w:keepNext/>
        <w:keepLines/>
        <w:pageBreakBefore w:val="0"/>
        <w:widowControl w:val="0"/>
        <w:numPr>
          <w:ilvl w:val="0"/>
          <w:numId w:val="7"/>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cs="宋体" w:hint="eastAsia"/>
          <w:color w:val="000000"/>
          <w:sz w:val="21"/>
          <w:szCs w:val="21"/>
          <w:lang w:val="en-US" w:eastAsia="zh-CN"/>
        </w:rPr>
        <w:t>文件评审；</w:t>
      </w:r>
    </w:p>
    <w:p>
      <w:pPr>
        <w:pStyle w:val="a"/>
        <w:keepNext/>
        <w:keepLines/>
        <w:pageBreakBefore w:val="0"/>
        <w:widowControl w:val="0"/>
        <w:numPr>
          <w:ilvl w:val="0"/>
          <w:numId w:val="7"/>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cs="宋体" w:hint="eastAsia"/>
          <w:color w:val="000000"/>
          <w:sz w:val="21"/>
          <w:szCs w:val="21"/>
          <w:lang w:val="en-US" w:eastAsia="zh-CN"/>
        </w:rPr>
        <w:t>审核；</w:t>
      </w:r>
    </w:p>
    <w:p>
      <w:pPr>
        <w:pStyle w:val="a"/>
        <w:keepNext/>
        <w:keepLines/>
        <w:pageBreakBefore w:val="0"/>
        <w:widowControl w:val="0"/>
        <w:numPr>
          <w:ilvl w:val="0"/>
          <w:numId w:val="7"/>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cs="宋体" w:hint="eastAsia"/>
          <w:color w:val="000000"/>
          <w:sz w:val="21"/>
          <w:szCs w:val="21"/>
          <w:lang w:val="en-US" w:eastAsia="zh-CN"/>
        </w:rPr>
        <w:t>管理评审；</w:t>
      </w:r>
    </w:p>
    <w:p>
      <w:pPr>
        <w:pStyle w:val="a"/>
        <w:keepNext/>
        <w:keepLines/>
        <w:pageBreakBefore w:val="0"/>
        <w:widowControl w:val="0"/>
        <w:numPr>
          <w:ilvl w:val="0"/>
          <w:numId w:val="7"/>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cs="宋体" w:hint="eastAsia"/>
          <w:color w:val="000000"/>
          <w:szCs w:val="21"/>
        </w:rPr>
      </w:pPr>
      <w:r>
        <w:rPr>
          <w:rFonts w:eastAsia="宋体" w:cs="宋体" w:hint="eastAsia"/>
          <w:color w:val="000000"/>
          <w:sz w:val="21"/>
          <w:szCs w:val="21"/>
          <w:lang w:val="en-US" w:eastAsia="zh-CN"/>
        </w:rPr>
        <w:t>对投诉情况的处理等。</w:t>
      </w:r>
    </w:p>
    <w:p>
      <w:pPr>
        <w:pStyle w:val="a2"/>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leftChars="0" w:rightChars="0"/>
        <w:textAlignment w:val="auto"/>
        <w:rPr>
          <w:rFonts w:hAnsi="黑体" w:cs="黑体" w:hint="eastAsia"/>
          <w:sz w:val="21"/>
          <w:szCs w:val="21"/>
          <w:lang w:val="en-US" w:eastAsia="zh-CN"/>
        </w:rPr>
      </w:pPr>
      <w:r>
        <w:rPr>
          <w:rFonts w:ascii="黑体" w:eastAsia="黑体" w:hAnsi="黑体" w:cs="黑体" w:hint="eastAsia"/>
          <w:color w:val="000000" w:themeColor="text1"/>
          <w:spacing w:val="6"/>
          <w:sz w:val="21"/>
          <w:szCs w:val="21"/>
          <w:lang w:val="en-US" w:eastAsia="zh-CN"/>
          <w14:textFill>
            <w14:solidFill>
              <w14:schemeClr w14:val="tx1"/>
            </w14:solidFill>
          </w14:textFill>
        </w:rPr>
        <w:t>合规性评价</w:t>
      </w:r>
      <w:r>
        <w:rPr>
          <w:rFonts w:hAnsi="黑体" w:cs="黑体" w:hint="eastAsia"/>
          <w:color w:val="000000" w:themeColor="text1"/>
          <w:spacing w:val="6"/>
          <w:sz w:val="21"/>
          <w:szCs w:val="21"/>
          <w:lang w:val="en-US" w:eastAsia="zh-CN"/>
          <w14:textFill>
            <w14:solidFill>
              <w14:schemeClr w14:val="tx1"/>
            </w14:solidFill>
          </w14:textFill>
        </w:rPr>
        <w:t>流程</w:t>
      </w:r>
    </w:p>
    <w:tbl>
      <w:tblPr>
        <w:tblStyle w:val="TableNormal"/>
        <w:tblW w:w="0" w:type="auto"/>
        <w:tblInd w:w="0" w:type="dxa"/>
        <w:tblBorders>
          <w:top w:val="single" w:sz="4" w:space="0" w:color="EFEFEF"/>
          <w:left w:val="single" w:sz="4" w:space="0" w:color="EFEFEF"/>
          <w:bottom w:val="single" w:sz="4" w:space="0" w:color="EFEFEF"/>
          <w:right w:val="single" w:sz="4" w:space="0" w:color="EFEFEF"/>
          <w:insideH w:val="none" w:sz="0" w:space="0" w:color="auto"/>
          <w:insideV w:val="none" w:sz="0" w:space="0" w:color="auto"/>
        </w:tblBorders>
        <w:shd w:val="clear" w:color="auto" w:fill="FDFDFE"/>
        <w:tblCellMar>
          <w:top w:w="0" w:type="dxa"/>
          <w:left w:w="0" w:type="dxa"/>
          <w:bottom w:w="0" w:type="dxa"/>
          <w:right w:w="0" w:type="dxa"/>
        </w:tblCellMar>
      </w:tblPr>
      <w:tblGrid>
        <w:gridCol w:w="700"/>
        <w:gridCol w:w="2537"/>
        <w:gridCol w:w="7349"/>
      </w:tblGrid>
      <w:tr>
        <w:tblPrEx>
          <w:tblW w:w="0" w:type="auto"/>
          <w:tblInd w:w="0" w:type="dxa"/>
          <w:tblBorders>
            <w:top w:val="single" w:sz="4" w:space="0" w:color="EFEFEF"/>
            <w:left w:val="single" w:sz="4" w:space="0" w:color="EFEFEF"/>
            <w:bottom w:val="single" w:sz="4" w:space="0" w:color="EFEFEF"/>
            <w:right w:val="single" w:sz="4" w:space="0" w:color="EFEFEF"/>
            <w:insideH w:val="none" w:sz="0" w:space="0" w:color="auto"/>
            <w:insideV w:val="none" w:sz="0" w:space="0" w:color="auto"/>
          </w:tblBorders>
          <w:shd w:val="clear" w:color="auto" w:fill="FDFDFE"/>
          <w:tblCellMar>
            <w:top w:w="0" w:type="dxa"/>
            <w:left w:w="0" w:type="dxa"/>
            <w:bottom w:w="0" w:type="dxa"/>
            <w:right w:w="0" w:type="dxa"/>
          </w:tblCellMar>
        </w:tblPrEx>
        <w:trPr>
          <w:tblHeader/>
        </w:trPr>
        <w:tc>
          <w:tcPr>
            <w:tcW w:w="700" w:type="dxa"/>
            <w:tcBorders>
              <w:top w:val="single" w:sz="4" w:space="0" w:color="000000"/>
              <w:left w:val="single" w:sz="4" w:space="0" w:color="000000"/>
              <w:bottom w:val="single" w:sz="4" w:space="0" w:color="000000"/>
              <w:right w:val="single" w:sz="4" w:space="0" w:color="000000"/>
              <w:tl2br w:val="nil"/>
            </w:tcBorders>
            <w:shd w:val="clear" w:color="auto" w:fill="FFFFFF"/>
            <w:tcMar>
              <w:top w:w="100" w:type="dxa"/>
              <w:left w:w="60" w:type="dxa"/>
              <w:bottom w:w="100" w:type="dxa"/>
              <w:right w:w="6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黑体" w:eastAsia="黑体" w:hAnsi="黑体" w:cs="黑体" w:hint="eastAsia"/>
                <w:b/>
                <w:bCs/>
                <w:i w:val="0"/>
                <w:iCs w:val="0"/>
                <w:caps w:val="0"/>
                <w:color w:val="000000"/>
                <w:spacing w:val="0"/>
                <w:szCs w:val="21"/>
              </w:rPr>
            </w:pPr>
            <w:r>
              <w:rPr>
                <w:rFonts w:ascii="黑体" w:eastAsia="黑体" w:hAnsi="黑体" w:cs="黑体" w:hint="eastAsia"/>
                <w:b/>
                <w:bCs/>
                <w:i w:val="0"/>
                <w:iCs w:val="0"/>
                <w:caps w:val="0"/>
                <w:color w:val="000000"/>
                <w:spacing w:val="0"/>
                <w:kern w:val="0"/>
                <w:sz w:val="21"/>
                <w:szCs w:val="21"/>
                <w:bdr w:val="none" w:sz="0" w:space="0" w:color="auto"/>
                <w:lang w:val="en-US" w:eastAsia="zh-CN" w:bidi="ar"/>
              </w:rPr>
              <w:t>序号</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60" w:type="dxa"/>
              <w:bottom w:w="100" w:type="dxa"/>
              <w:right w:w="6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黑体" w:eastAsia="黑体" w:hAnsi="黑体" w:cs="黑体" w:hint="eastAsia"/>
                <w:b/>
                <w:bCs/>
                <w:i w:val="0"/>
                <w:iCs w:val="0"/>
                <w:caps w:val="0"/>
                <w:color w:val="000000"/>
                <w:spacing w:val="0"/>
                <w:szCs w:val="21"/>
              </w:rPr>
            </w:pPr>
            <w:r>
              <w:rPr>
                <w:rFonts w:ascii="黑体" w:eastAsia="黑体" w:hAnsi="黑体" w:cs="黑体" w:hint="eastAsia"/>
                <w:b/>
                <w:bCs/>
                <w:i w:val="0"/>
                <w:iCs w:val="0"/>
                <w:caps w:val="0"/>
                <w:color w:val="000000"/>
                <w:spacing w:val="0"/>
                <w:kern w:val="0"/>
                <w:sz w:val="21"/>
                <w:szCs w:val="21"/>
                <w:bdr w:val="none" w:sz="0" w:space="0" w:color="auto"/>
                <w:lang w:val="en-US" w:eastAsia="zh-CN" w:bidi="ar"/>
              </w:rPr>
              <w:t>评价步骤</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60" w:type="dxa"/>
              <w:bottom w:w="100" w:type="dxa"/>
              <w:right w:w="6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黑体" w:eastAsia="黑体" w:hAnsi="黑体" w:cs="黑体" w:hint="eastAsia"/>
                <w:b/>
                <w:bCs/>
                <w:i w:val="0"/>
                <w:iCs w:val="0"/>
                <w:caps w:val="0"/>
                <w:color w:val="000000"/>
                <w:spacing w:val="0"/>
                <w:szCs w:val="21"/>
              </w:rPr>
            </w:pPr>
            <w:r>
              <w:rPr>
                <w:rFonts w:ascii="黑体" w:eastAsia="黑体" w:hAnsi="黑体" w:cs="黑体" w:hint="eastAsia"/>
                <w:b/>
                <w:bCs/>
                <w:i w:val="0"/>
                <w:iCs w:val="0"/>
                <w:caps w:val="0"/>
                <w:color w:val="000000"/>
                <w:spacing w:val="0"/>
                <w:kern w:val="0"/>
                <w:sz w:val="21"/>
                <w:szCs w:val="21"/>
                <w:lang w:val="en-US" w:eastAsia="zh-CN" w:bidi="ar"/>
              </w:rPr>
              <w:t>评价流程说明</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宋体" w:hAnsi="Segoe UI" w:cs="Segoe UI" w:hint="eastAsia"/>
                <w:b w:val="0"/>
                <w:i w:val="0"/>
                <w:iCs w:val="0"/>
                <w:caps w:val="0"/>
                <w:color w:val="000000"/>
                <w:spacing w:val="0"/>
                <w:szCs w:val="21"/>
              </w:rPr>
            </w:pPr>
            <w:r>
              <w:rPr>
                <w:rFonts w:ascii="Segoe UI" w:eastAsia="宋体" w:hAnsi="Segoe UI" w:cs="Segoe UI" w:hint="eastAsia"/>
                <w:b w:val="0"/>
                <w:i w:val="0"/>
                <w:iCs w:val="0"/>
                <w:caps w:val="0"/>
                <w:color w:val="000000"/>
                <w:spacing w:val="0"/>
                <w:sz w:val="21"/>
                <w:szCs w:val="21"/>
                <w:lang w:val="en-US" w:eastAsia="zh-CN"/>
              </w:rPr>
              <w:t>1</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制定合规性评价计划</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制定详细的合规性评价计划，包括评价的</w:t>
            </w: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目的、范围、</w:t>
            </w: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时间、人员、方法、标准等</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2</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制定</w:t>
            </w:r>
            <w:r>
              <w:rPr>
                <w:rFonts w:ascii="Segoe UI" w:eastAsia="Segoe UI" w:hAnsi="Segoe UI" w:cs="Segoe UI" w:hint="default"/>
                <w:b w:val="0"/>
                <w:i w:val="0"/>
                <w:iCs w:val="0"/>
                <w:caps w:val="0"/>
                <w:color w:val="000000"/>
                <w:spacing w:val="0"/>
                <w:kern w:val="0"/>
                <w:sz w:val="21"/>
                <w:szCs w:val="21"/>
                <w:lang w:val="en-US" w:eastAsia="zh-CN" w:bidi="ar"/>
              </w:rPr>
              <w:t>合规性评价</w:t>
            </w:r>
            <w:r>
              <w:rPr>
                <w:rFonts w:ascii="Segoe UI" w:eastAsia="Segoe UI" w:hAnsi="Segoe UI" w:cs="Segoe UI" w:hint="eastAsia"/>
                <w:b w:val="0"/>
                <w:i w:val="0"/>
                <w:iCs w:val="0"/>
                <w:caps w:val="0"/>
                <w:color w:val="000000"/>
                <w:spacing w:val="0"/>
                <w:kern w:val="0"/>
                <w:sz w:val="21"/>
                <w:szCs w:val="21"/>
                <w:lang w:val="en-US" w:eastAsia="zh-CN" w:bidi="ar"/>
              </w:rPr>
              <w:t>清单</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宋体" w:hAnsi="Segoe UI" w:cs="Segoe UI" w:hint="default"/>
                <w:b w:val="0"/>
                <w:i w:val="0"/>
                <w:iCs w:val="0"/>
                <w:caps w:val="0"/>
                <w:color w:val="000000"/>
                <w:spacing w:val="0"/>
                <w:kern w:val="0"/>
                <w:szCs w:val="21"/>
                <w:lang w:bidi="ar"/>
              </w:rPr>
            </w:pPr>
            <w:r>
              <w:rPr>
                <w:rFonts w:ascii="Segoe UI" w:eastAsia="Segoe UI" w:hAnsi="Segoe UI" w:cs="Segoe UI" w:hint="eastAsia"/>
                <w:b w:val="0"/>
                <w:i w:val="0"/>
                <w:iCs w:val="0"/>
                <w:caps w:val="0"/>
                <w:color w:val="000000"/>
                <w:spacing w:val="0"/>
                <w:kern w:val="0"/>
                <w:sz w:val="21"/>
                <w:szCs w:val="21"/>
                <w:lang w:val="en-US" w:eastAsia="zh-CN" w:bidi="ar"/>
              </w:rPr>
              <w:t>结合合规义务清单以及相关安全资料（如安全生产相关证照和许可证、</w:t>
            </w:r>
            <w:r>
              <w:rPr>
                <w:rFonts w:ascii="Segoe UI" w:eastAsia="Segoe UI" w:hAnsi="Segoe UI" w:cs="Segoe UI" w:hint="default"/>
                <w:b w:val="0"/>
                <w:i w:val="0"/>
                <w:iCs w:val="0"/>
                <w:caps w:val="0"/>
                <w:color w:val="000000"/>
                <w:spacing w:val="0"/>
                <w:kern w:val="0"/>
                <w:sz w:val="21"/>
                <w:szCs w:val="21"/>
                <w:lang w:val="en-US" w:eastAsia="zh-CN" w:bidi="ar"/>
              </w:rPr>
              <w:t>安全生产管理文件</w:t>
            </w:r>
            <w:r>
              <w:rPr>
                <w:rFonts w:ascii="Segoe UI" w:eastAsia="Segoe UI" w:hAnsi="Segoe UI" w:cs="Segoe UI" w:hint="eastAsia"/>
                <w:b w:val="0"/>
                <w:i w:val="0"/>
                <w:iCs w:val="0"/>
                <w:caps w:val="0"/>
                <w:color w:val="000000"/>
                <w:spacing w:val="0"/>
                <w:kern w:val="0"/>
                <w:sz w:val="21"/>
                <w:szCs w:val="21"/>
                <w:lang w:val="en-US" w:eastAsia="zh-CN" w:bidi="ar"/>
              </w:rPr>
              <w:t>和</w:t>
            </w:r>
            <w:r>
              <w:rPr>
                <w:rFonts w:ascii="Segoe UI" w:eastAsia="Segoe UI" w:hAnsi="Segoe UI" w:cs="Segoe UI" w:hint="default"/>
                <w:b w:val="0"/>
                <w:i w:val="0"/>
                <w:iCs w:val="0"/>
                <w:caps w:val="0"/>
                <w:color w:val="000000"/>
                <w:spacing w:val="0"/>
                <w:kern w:val="0"/>
                <w:sz w:val="21"/>
                <w:szCs w:val="21"/>
                <w:lang w:val="en-US" w:eastAsia="zh-CN" w:bidi="ar"/>
              </w:rPr>
              <w:t>记录</w:t>
            </w:r>
            <w:r>
              <w:rPr>
                <w:rFonts w:ascii="Segoe UI" w:eastAsia="Segoe UI" w:hAnsi="Segoe UI" w:cs="Segoe UI" w:hint="eastAsia"/>
                <w:b w:val="0"/>
                <w:i w:val="0"/>
                <w:iCs w:val="0"/>
                <w:caps w:val="0"/>
                <w:color w:val="000000"/>
                <w:spacing w:val="0"/>
                <w:kern w:val="0"/>
                <w:sz w:val="21"/>
                <w:szCs w:val="21"/>
                <w:lang w:val="en-US" w:eastAsia="zh-CN" w:bidi="ar"/>
              </w:rPr>
              <w:t>、安全生产设施设备相关资料、安全生产相关人员的资质证书以及以往的安全生产检查和评价报告、审核结果等）</w:t>
            </w:r>
            <w:r>
              <w:rPr>
                <w:rFonts w:ascii="Segoe UI" w:eastAsia="Segoe UI" w:hAnsi="Segoe UI" w:cs="Segoe UI"/>
                <w:i w:val="0"/>
                <w:iCs w:val="0"/>
                <w:caps w:val="0"/>
                <w:spacing w:val="0"/>
                <w:sz w:val="21"/>
                <w:szCs w:val="21"/>
                <w:shd w:val="clear" w:color="auto" w:fill="FFFFFF"/>
              </w:rPr>
              <w:t>制定评价指标</w:t>
            </w:r>
            <w:r>
              <w:rPr>
                <w:rFonts w:ascii="Segoe UI" w:eastAsia="宋体" w:hAnsi="Segoe UI" w:cs="Segoe UI" w:hint="eastAsia"/>
                <w:i w:val="0"/>
                <w:iCs w:val="0"/>
                <w:caps w:val="0"/>
                <w:spacing w:val="0"/>
                <w:sz w:val="21"/>
                <w:szCs w:val="21"/>
                <w:shd w:val="clear" w:color="auto" w:fill="FFFFFF"/>
                <w:lang w:val="en-US" w:eastAsia="zh-CN"/>
              </w:rPr>
              <w:t>并细化评价内容，整理成表格或清单的形式</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宋体" w:hAnsi="Segoe UI" w:cs="Segoe UI" w:hint="eastAsia"/>
                <w:b w:val="0"/>
                <w:i w:val="0"/>
                <w:iCs w:val="0"/>
                <w:caps w:val="0"/>
                <w:color w:val="000000"/>
                <w:spacing w:val="0"/>
                <w:szCs w:val="21"/>
              </w:rPr>
            </w:pPr>
            <w:r>
              <w:rPr>
                <w:rFonts w:ascii="Segoe UI" w:eastAsia="宋体" w:hAnsi="Segoe UI" w:cs="Segoe UI" w:hint="eastAsia"/>
                <w:b w:val="0"/>
                <w:i w:val="0"/>
                <w:iCs w:val="0"/>
                <w:caps w:val="0"/>
                <w:color w:val="000000"/>
                <w:spacing w:val="0"/>
                <w:sz w:val="21"/>
                <w:szCs w:val="21"/>
                <w:lang w:val="en-US" w:eastAsia="zh-CN"/>
              </w:rPr>
              <w:t>3</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实施</w:t>
            </w: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实地调研和</w:t>
            </w: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现场检查</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kern w:val="0"/>
                <w:szCs w:val="21"/>
                <w:lang w:bidi="ar"/>
              </w:rPr>
            </w:pPr>
            <w:r>
              <w:rPr>
                <w:rFonts w:ascii="Segoe UI" w:eastAsia="Segoe UI" w:hAnsi="Segoe UI" w:cs="Segoe UI" w:hint="default"/>
                <w:b w:val="0"/>
                <w:i w:val="0"/>
                <w:iCs w:val="0"/>
                <w:caps w:val="0"/>
                <w:color w:val="000000"/>
                <w:spacing w:val="0"/>
                <w:kern w:val="0"/>
                <w:sz w:val="21"/>
                <w:szCs w:val="21"/>
                <w:lang w:val="en-US" w:eastAsia="zh-CN" w:bidi="ar"/>
              </w:rPr>
              <w:t>对</w:t>
            </w:r>
            <w:r>
              <w:rPr>
                <w:rFonts w:ascii="Segoe UI" w:eastAsia="Segoe UI" w:hAnsi="Segoe UI" w:cs="Segoe UI" w:hint="eastAsia"/>
                <w:b w:val="0"/>
                <w:i w:val="0"/>
                <w:iCs w:val="0"/>
                <w:caps w:val="0"/>
                <w:color w:val="000000"/>
                <w:spacing w:val="0"/>
                <w:kern w:val="0"/>
                <w:sz w:val="21"/>
                <w:szCs w:val="21"/>
                <w:lang w:val="en-US" w:eastAsia="zh-CN" w:bidi="ar"/>
              </w:rPr>
              <w:t>组织</w:t>
            </w:r>
            <w:r>
              <w:rPr>
                <w:rFonts w:ascii="Segoe UI" w:eastAsia="Segoe UI" w:hAnsi="Segoe UI" w:cs="Segoe UI" w:hint="default"/>
                <w:b w:val="0"/>
                <w:i w:val="0"/>
                <w:iCs w:val="0"/>
                <w:caps w:val="0"/>
                <w:color w:val="000000"/>
                <w:spacing w:val="0"/>
                <w:kern w:val="0"/>
                <w:sz w:val="21"/>
                <w:szCs w:val="21"/>
                <w:lang w:val="en-US" w:eastAsia="zh-CN" w:bidi="ar"/>
              </w:rPr>
              <w:t>的安全生产现场进行实地检查，记录检查情况，发现潜在的不合规问题</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宋体" w:hAnsi="Segoe UI" w:cs="Segoe UI" w:hint="eastAsia"/>
                <w:b w:val="0"/>
                <w:i w:val="0"/>
                <w:iCs w:val="0"/>
                <w:caps w:val="0"/>
                <w:color w:val="000000"/>
                <w:spacing w:val="0"/>
                <w:szCs w:val="21"/>
              </w:rPr>
            </w:pPr>
            <w:r>
              <w:rPr>
                <w:rFonts w:ascii="Segoe UI" w:eastAsia="宋体" w:hAnsi="Segoe UI" w:cs="Segoe UI" w:hint="eastAsia"/>
                <w:b w:val="0"/>
                <w:i w:val="0"/>
                <w:iCs w:val="0"/>
                <w:caps w:val="0"/>
                <w:color w:val="000000"/>
                <w:spacing w:val="0"/>
                <w:sz w:val="21"/>
                <w:szCs w:val="21"/>
                <w:lang w:val="en-US" w:eastAsia="zh-CN"/>
              </w:rPr>
              <w:t>4</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文件与记录</w:t>
            </w: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审核</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szCs w:val="21"/>
              </w:rPr>
            </w:pPr>
            <w:r>
              <w:rPr>
                <w:rFonts w:ascii="Segoe UI" w:eastAsia="Segoe UI" w:hAnsi="Segoe UI" w:cs="Segoe UI" w:hint="eastAsia"/>
                <w:b w:val="0"/>
                <w:i w:val="0"/>
                <w:iCs w:val="0"/>
                <w:caps w:val="0"/>
                <w:color w:val="000000"/>
                <w:spacing w:val="0"/>
                <w:kern w:val="0"/>
                <w:sz w:val="21"/>
                <w:szCs w:val="21"/>
                <w:lang w:val="en-US" w:eastAsia="zh-CN" w:bidi="ar"/>
              </w:rPr>
              <w:t>审核</w:t>
            </w: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安全生产相关的文件、记录、报告等，验证其合规性</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宋体" w:hAnsi="Segoe UI" w:cs="Segoe UI" w:hint="eastAsia"/>
                <w:b w:val="0"/>
                <w:i w:val="0"/>
                <w:iCs w:val="0"/>
                <w:caps w:val="0"/>
                <w:color w:val="000000"/>
                <w:spacing w:val="0"/>
                <w:szCs w:val="21"/>
              </w:rPr>
            </w:pPr>
            <w:r>
              <w:rPr>
                <w:rFonts w:ascii="Segoe UI" w:eastAsia="宋体" w:hAnsi="Segoe UI" w:cs="Segoe UI" w:hint="eastAsia"/>
                <w:b w:val="0"/>
                <w:i w:val="0"/>
                <w:iCs w:val="0"/>
                <w:caps w:val="0"/>
                <w:color w:val="000000"/>
                <w:spacing w:val="0"/>
                <w:sz w:val="21"/>
                <w:szCs w:val="21"/>
                <w:lang w:val="en-US" w:eastAsia="zh-CN"/>
              </w:rPr>
              <w:t>5</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访谈与问卷调查</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通过访谈员工、管理人员或进行问卷调查，了解安全生产管理和操作层面的合规性情况</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宋体" w:hAnsi="Segoe UI" w:cs="Segoe UI" w:hint="eastAsia"/>
                <w:b w:val="0"/>
                <w:i w:val="0"/>
                <w:iCs w:val="0"/>
                <w:caps w:val="0"/>
                <w:color w:val="000000"/>
                <w:spacing w:val="0"/>
                <w:szCs w:val="21"/>
              </w:rPr>
            </w:pPr>
            <w:r>
              <w:rPr>
                <w:rFonts w:ascii="Segoe UI" w:eastAsia="宋体" w:hAnsi="Segoe UI" w:cs="Segoe UI" w:hint="eastAsia"/>
                <w:b w:val="0"/>
                <w:i w:val="0"/>
                <w:iCs w:val="0"/>
                <w:caps w:val="0"/>
                <w:color w:val="000000"/>
                <w:spacing w:val="0"/>
                <w:sz w:val="21"/>
                <w:szCs w:val="21"/>
                <w:lang w:val="en-US" w:eastAsia="zh-CN"/>
              </w:rPr>
              <w:t>6</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汇总与</w:t>
            </w:r>
            <w:r>
              <w:rPr>
                <w:rFonts w:ascii="Segoe UI" w:eastAsia="Segoe UI" w:hAnsi="Segoe UI" w:cs="Segoe UI"/>
                <w:i w:val="0"/>
                <w:iCs w:val="0"/>
                <w:caps w:val="0"/>
                <w:spacing w:val="0"/>
                <w:sz w:val="21"/>
                <w:szCs w:val="21"/>
                <w:shd w:val="clear" w:color="auto" w:fill="FFFFFF"/>
              </w:rPr>
              <w:t>进行合规性评价</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汇总现场检查、文件审查、访谈等各方面的信息，对</w:t>
            </w: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组织</w:t>
            </w: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的安全生产合规性进行评价</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宋体" w:hAnsi="Segoe UI" w:cs="Segoe UI" w:hint="eastAsia"/>
                <w:b w:val="0"/>
                <w:i w:val="0"/>
                <w:iCs w:val="0"/>
                <w:caps w:val="0"/>
                <w:color w:val="000000"/>
                <w:spacing w:val="0"/>
                <w:szCs w:val="21"/>
              </w:rPr>
            </w:pPr>
            <w:r>
              <w:rPr>
                <w:rFonts w:ascii="Segoe UI" w:eastAsia="宋体" w:hAnsi="Segoe UI" w:cs="Segoe UI" w:hint="eastAsia"/>
                <w:b w:val="0"/>
                <w:i w:val="0"/>
                <w:iCs w:val="0"/>
                <w:caps w:val="0"/>
                <w:color w:val="000000"/>
                <w:spacing w:val="0"/>
                <w:sz w:val="21"/>
                <w:szCs w:val="21"/>
                <w:lang w:val="en-US" w:eastAsia="zh-CN"/>
              </w:rPr>
              <w:t>7</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编写</w:t>
            </w:r>
            <w:r>
              <w:rPr>
                <w:rFonts w:ascii="Segoe UI" w:eastAsia="Segoe UI" w:hAnsi="Segoe UI" w:cs="Segoe UI" w:hint="default"/>
                <w:b w:val="0"/>
                <w:i w:val="0"/>
                <w:iCs w:val="0"/>
                <w:caps w:val="0"/>
                <w:color w:val="000000"/>
                <w:spacing w:val="0"/>
                <w:kern w:val="0"/>
                <w:sz w:val="21"/>
                <w:szCs w:val="21"/>
                <w:lang w:val="en-US" w:eastAsia="zh-CN" w:bidi="ar"/>
              </w:rPr>
              <w:t>合规性</w:t>
            </w: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评价报告</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szCs w:val="21"/>
              </w:rPr>
            </w:pPr>
            <w:r>
              <w:rPr>
                <w:rFonts w:ascii="Segoe UI" w:eastAsia="Segoe UI" w:hAnsi="Segoe UI" w:cs="Segoe UI" w:hint="default"/>
                <w:b w:val="0"/>
                <w:i w:val="0"/>
                <w:iCs w:val="0"/>
                <w:caps w:val="0"/>
                <w:color w:val="000000"/>
                <w:spacing w:val="0"/>
                <w:kern w:val="0"/>
                <w:sz w:val="21"/>
                <w:szCs w:val="21"/>
                <w:bdr w:val="none" w:sz="0" w:space="0" w:color="auto"/>
                <w:lang w:val="en-US" w:eastAsia="zh-CN" w:bidi="ar"/>
              </w:rPr>
              <w:t>编写合规性评价报告，详细阐述评价过程、发现的问题、改进建议等</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8</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i w:val="0"/>
                <w:iCs w:val="0"/>
                <w:caps w:val="0"/>
                <w:spacing w:val="0"/>
                <w:sz w:val="21"/>
                <w:szCs w:val="21"/>
                <w:shd w:val="clear" w:color="auto" w:fill="FFFFFF"/>
              </w:rPr>
              <w:t>制定整改方案</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i w:val="0"/>
                <w:iCs w:val="0"/>
                <w:caps w:val="0"/>
                <w:spacing w:val="0"/>
                <w:sz w:val="21"/>
                <w:szCs w:val="21"/>
                <w:shd w:val="clear" w:color="auto" w:fill="FFFFFF"/>
              </w:rPr>
              <w:t>根据评价结果，制定整改方案，明确整改措施、责任人、时间节点等，确保问题得到及时解决</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hint="eastAsia"/>
                <w:b w:val="0"/>
                <w:i w:val="0"/>
                <w:iCs w:val="0"/>
                <w:caps w:val="0"/>
                <w:color w:val="000000"/>
                <w:spacing w:val="0"/>
                <w:kern w:val="0"/>
                <w:sz w:val="21"/>
                <w:szCs w:val="21"/>
                <w:bdr w:val="none" w:sz="0" w:space="0" w:color="auto"/>
                <w:lang w:val="en-US" w:eastAsia="zh-CN" w:bidi="ar"/>
              </w:rPr>
              <w:t>9</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i w:val="0"/>
                <w:iCs w:val="0"/>
                <w:caps w:val="0"/>
                <w:spacing w:val="0"/>
                <w:sz w:val="21"/>
                <w:szCs w:val="21"/>
                <w:shd w:val="clear" w:color="auto" w:fill="FFFFFF"/>
              </w:rPr>
              <w:t>实施整改措施</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kern w:val="0"/>
                <w:szCs w:val="21"/>
                <w:bdr w:val="none" w:sz="0" w:space="0" w:color="auto"/>
                <w:lang w:bidi="ar"/>
              </w:rPr>
            </w:pPr>
            <w:r>
              <w:rPr>
                <w:rFonts w:ascii="Segoe UI" w:eastAsia="Segoe UI" w:hAnsi="Segoe UI" w:cs="Segoe UI"/>
                <w:i w:val="0"/>
                <w:iCs w:val="0"/>
                <w:caps w:val="0"/>
                <w:spacing w:val="0"/>
                <w:sz w:val="21"/>
                <w:szCs w:val="21"/>
                <w:shd w:val="clear" w:color="auto" w:fill="FFFFFF"/>
              </w:rPr>
              <w:t>按照整改方案的要求，逐项实施整改措施，确保问题得到有效解决</w:t>
            </w:r>
          </w:p>
        </w:tc>
      </w:tr>
      <w:tr>
        <w:tblPrEx>
          <w:tblW w:w="0" w:type="auto"/>
          <w:tblInd w:w="0" w:type="dxa"/>
          <w:shd w:val="clear" w:color="auto" w:fill="FDFDFE"/>
          <w:tblCellMar>
            <w:top w:w="0" w:type="dxa"/>
            <w:left w:w="0" w:type="dxa"/>
            <w:bottom w:w="0" w:type="dxa"/>
            <w:right w:w="0" w:type="dxa"/>
          </w:tblCellMar>
        </w:tblPrEx>
        <w:tc>
          <w:tcPr>
            <w:tcW w:w="70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宋体" w:hAnsi="Segoe UI" w:cs="Segoe UI" w:hint="default"/>
                <w:b w:val="0"/>
                <w:i w:val="0"/>
                <w:iCs w:val="0"/>
                <w:caps w:val="0"/>
                <w:color w:val="000000"/>
                <w:spacing w:val="0"/>
                <w:szCs w:val="21"/>
              </w:rPr>
            </w:pPr>
            <w:r>
              <w:rPr>
                <w:rFonts w:ascii="Segoe UI" w:eastAsia="宋体" w:hAnsi="Segoe UI" w:cs="Segoe UI" w:hint="eastAsia"/>
                <w:b w:val="0"/>
                <w:i w:val="0"/>
                <w:iCs w:val="0"/>
                <w:caps w:val="0"/>
                <w:color w:val="000000"/>
                <w:spacing w:val="0"/>
                <w:sz w:val="21"/>
                <w:szCs w:val="21"/>
                <w:lang w:val="en-US" w:eastAsia="zh-CN"/>
              </w:rPr>
              <w:t>10</w:t>
            </w:r>
          </w:p>
        </w:tc>
        <w:tc>
          <w:tcPr>
            <w:tcW w:w="2537"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center"/>
              <w:rPr>
                <w:rFonts w:ascii="Segoe UI" w:eastAsia="Segoe UI" w:hAnsi="Segoe UI" w:cs="Segoe UI" w:hint="default"/>
                <w:b w:val="0"/>
                <w:i w:val="0"/>
                <w:iCs w:val="0"/>
                <w:caps w:val="0"/>
                <w:color w:val="000000"/>
                <w:spacing w:val="0"/>
                <w:szCs w:val="21"/>
              </w:rPr>
            </w:pPr>
            <w:r>
              <w:rPr>
                <w:rFonts w:ascii="Segoe UI" w:eastAsia="Segoe UI" w:hAnsi="Segoe UI" w:cs="Segoe UI"/>
                <w:i w:val="0"/>
                <w:iCs w:val="0"/>
                <w:caps w:val="0"/>
                <w:spacing w:val="0"/>
                <w:sz w:val="21"/>
                <w:szCs w:val="21"/>
                <w:shd w:val="clear" w:color="auto" w:fill="FFFFFF"/>
              </w:rPr>
              <w:t>定期复查和监督</w:t>
            </w:r>
          </w:p>
        </w:tc>
        <w:tc>
          <w:tcPr>
            <w:tcW w:w="7349"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vAlign w:val="center"/>
          </w:tcPr>
          <w:p>
            <w:pPr>
              <w:keepNext/>
              <w:keepLines/>
              <w:pageBreakBefore w:val="0"/>
              <w:widowControl w:val="0"/>
              <w:suppressLineNumbers w:val="0"/>
              <w:kinsoku/>
              <w:wordWrap/>
              <w:overflowPunct/>
              <w:topLinePunct w:val="0"/>
              <w:bidi w:val="0"/>
              <w:adjustRightInd/>
              <w:snapToGrid/>
              <w:spacing w:before="0" w:beforeAutospacing="0" w:after="0" w:afterAutospacing="0" w:line="18" w:lineRule="atLeast"/>
              <w:ind w:left="0" w:right="0" w:firstLine="0" w:leftChars="0" w:rightChars="0" w:firstLineChars="0"/>
              <w:jc w:val="both"/>
              <w:rPr>
                <w:rFonts w:ascii="Segoe UI" w:eastAsia="Segoe UI" w:hAnsi="Segoe UI" w:cs="Segoe UI" w:hint="default"/>
                <w:b w:val="0"/>
                <w:i w:val="0"/>
                <w:iCs w:val="0"/>
                <w:caps w:val="0"/>
                <w:color w:val="000000"/>
                <w:spacing w:val="0"/>
                <w:szCs w:val="21"/>
              </w:rPr>
            </w:pPr>
            <w:r>
              <w:rPr>
                <w:rFonts w:ascii="Segoe UI" w:eastAsia="Segoe UI" w:hAnsi="Segoe UI" w:cs="Segoe UI"/>
                <w:i w:val="0"/>
                <w:iCs w:val="0"/>
                <w:caps w:val="0"/>
                <w:spacing w:val="0"/>
                <w:sz w:val="21"/>
                <w:szCs w:val="21"/>
                <w:shd w:val="clear" w:color="auto" w:fill="FFFFFF"/>
              </w:rPr>
              <w:t>定期对整改情况进行复查和监督，确保整改措施的有效性和持续性</w:t>
            </w:r>
          </w:p>
        </w:tc>
      </w:tr>
    </w:tbl>
    <w:p>
      <w:pPr>
        <w:pStyle w:val="a0"/>
        <w:keepNext/>
        <w:keepLines/>
        <w:pageBreakBefore w:val="0"/>
        <w:widowControl w:val="0"/>
        <w:kinsoku/>
        <w:wordWrap/>
        <w:overflowPunct/>
        <w:topLinePunct w:val="0"/>
        <w:bidi w:val="0"/>
        <w:adjustRightInd/>
        <w:snapToGrid/>
        <w:rPr>
          <w:rFonts w:hint="eastAsia"/>
        </w:rPr>
      </w:pPr>
    </w:p>
    <w:p>
      <w:pPr>
        <w:pStyle w:val="a2"/>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leftChars="0" w:rightChars="0"/>
        <w:textAlignment w:val="auto"/>
        <w:rPr>
          <w:rFonts w:hAnsi="黑体" w:cs="黑体" w:hint="eastAsia"/>
          <w:sz w:val="21"/>
          <w:szCs w:val="21"/>
          <w:lang w:val="en-US" w:eastAsia="zh-CN"/>
        </w:rPr>
      </w:pPr>
      <w:r>
        <w:rPr>
          <w:rFonts w:hAnsi="黑体" w:cs="黑体" w:hint="eastAsia"/>
          <w:sz w:val="21"/>
          <w:szCs w:val="21"/>
          <w:lang w:val="en-US" w:eastAsia="zh-CN"/>
        </w:rPr>
        <w:t>不合规的处理</w:t>
      </w:r>
    </w:p>
    <w:p>
      <w:pPr>
        <w:pStyle w:val="a"/>
        <w:keepNext/>
        <w:keepLines/>
        <w:pageBreakBefore w:val="0"/>
        <w:widowControl w:val="0"/>
        <w:numPr>
          <w:ilvl w:val="0"/>
          <w:numId w:val="8"/>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hint="eastAsia"/>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所有不合规事项得到及时记录、报告和处置。适当时,组织应当按照有关相关方的要求与其沟通或向其报告未满足合规义务的情况；</w:t>
      </w:r>
    </w:p>
    <w:p>
      <w:pPr>
        <w:pStyle w:val="a"/>
        <w:keepNext/>
        <w:keepLines/>
        <w:pageBreakBefore w:val="0"/>
        <w:widowControl w:val="0"/>
        <w:numPr>
          <w:ilvl w:val="0"/>
          <w:numId w:val="8"/>
        </w:numPr>
        <w:tabs>
          <w:tab w:val="left" w:pos="854"/>
          <w:tab w:val="left" w:pos="1669"/>
        </w:tabs>
        <w:kinsoku/>
        <w:wordWrap/>
        <w:overflowPunct/>
        <w:topLinePunct w:val="0"/>
        <w:autoSpaceDE/>
        <w:autoSpaceDN/>
        <w:bidi w:val="0"/>
        <w:adjustRightInd/>
        <w:snapToGrid/>
        <w:spacing w:line="360" w:lineRule="auto"/>
        <w:ind w:left="0" w:right="0" w:firstLine="420" w:leftChars="0" w:rightChars="0" w:firstLineChars="200"/>
        <w:textAlignment w:val="auto"/>
        <w:rPr>
          <w:rFonts w:eastAsia="宋体" w:hint="eastAsia"/>
          <w:color w:val="000000" w:themeColor="text1"/>
          <w:spacing w:val="6"/>
          <w:szCs w:val="21"/>
          <w14:textFill>
            <w14:solidFill>
              <w14:schemeClr w14:val="tx1"/>
            </w14:solidFill>
          </w14:textFill>
        </w:rPr>
      </w:pPr>
      <w:r>
        <w:rPr>
          <w:rFonts w:eastAsia="宋体" w:hint="eastAsia"/>
          <w:color w:val="000000" w:themeColor="text1"/>
          <w:spacing w:val="6"/>
          <w:sz w:val="21"/>
          <w:szCs w:val="21"/>
          <w:lang w:val="en-US" w:eastAsia="zh-CN"/>
          <w14:textFill>
            <w14:solidFill>
              <w14:schemeClr w14:val="tx1"/>
            </w14:solidFill>
          </w14:textFill>
        </w:rPr>
        <w:t>对不合规的情况应进行原因分析，针对性地制定和实施改进措施，跟踪措施实施效果(见10.2)；</w:t>
      </w:r>
    </w:p>
    <w:p>
      <w:pPr>
        <w:pStyle w:val="a2"/>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leftChars="0" w:rightChars="0"/>
        <w:textAlignment w:val="auto"/>
        <w:rPr>
          <w:rFonts w:hAnsi="黑体" w:cs="黑体" w:hint="eastAsia"/>
          <w:sz w:val="21"/>
          <w:szCs w:val="21"/>
          <w:lang w:val="en-US" w:eastAsia="zh-CN"/>
        </w:rPr>
      </w:pPr>
      <w:r>
        <w:rPr>
          <w:rFonts w:hAnsi="黑体" w:cs="黑体" w:hint="eastAsia"/>
          <w:sz w:val="21"/>
          <w:szCs w:val="21"/>
          <w:lang w:val="en-US" w:eastAsia="zh-CN"/>
        </w:rPr>
        <w:t>保持对其合规状况的认识和理解</w:t>
      </w:r>
    </w:p>
    <w:p>
      <w:pPr>
        <w:pStyle w:val="a0"/>
        <w:keepNext/>
        <w:keepLines/>
        <w:pageBreakBefore w:val="0"/>
        <w:widowControl w:val="0"/>
        <w:kinsoku/>
        <w:wordWrap/>
        <w:overflowPunct/>
        <w:topLinePunct w:val="0"/>
        <w:bidi w:val="0"/>
        <w:adjustRightInd/>
        <w:snapToGrid/>
        <w:spacing w:line="360" w:lineRule="auto"/>
        <w:ind w:left="0" w:right="0" w:firstLine="480" w:leftChars="0" w:rightChars="0"/>
        <w:textAlignment w:val="auto"/>
        <w:rPr>
          <w:rFonts w:hAnsi="宋体" w:hint="eastAsia"/>
          <w:szCs w:val="21"/>
        </w:rPr>
        <w:sectPr>
          <w:headerReference w:type="default" r:id="rId9"/>
          <w:footerReference w:type="default" r:id="rId10"/>
          <w:type w:val="nextPage"/>
          <w:pgSz w:w="11906" w:h="16838"/>
          <w:pgMar w:top="720" w:right="720" w:bottom="720" w:left="720" w:header="851" w:footer="992" w:gutter="0"/>
          <w:pgNumType w:start="3"/>
          <w:cols w:num="1" w:space="425"/>
          <w:titlePg w:val="0"/>
          <w:docGrid w:type="lines" w:linePitch="312" w:charSpace="0"/>
        </w:sectPr>
      </w:pPr>
      <w:r>
        <w:rPr>
          <w:rFonts w:ascii="宋体" w:hAnsi="宋体" w:hint="eastAsia"/>
          <w:sz w:val="21"/>
          <w:szCs w:val="21"/>
          <w:lang w:val="en-US" w:eastAsia="zh-CN"/>
        </w:rPr>
        <w:t>组织可以使用多种方法保持对其合规状况的认识和理解</w:t>
      </w:r>
      <w:r>
        <w:rPr>
          <w:rFonts w:hAnsi="宋体" w:hint="eastAsia"/>
          <w:sz w:val="21"/>
          <w:szCs w:val="21"/>
          <w:lang w:val="en-US" w:eastAsia="zh-CN"/>
        </w:rPr>
        <w:t>：</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法律法规跟踪与更新：</w:t>
      </w:r>
      <w:r>
        <w:rPr>
          <w:rFonts w:asciiTheme="minorEastAsia" w:eastAsiaTheme="minorEastAsia" w:hAnsiTheme="minorEastAsia" w:cstheme="minorEastAsia" w:hint="eastAsia"/>
          <w:kern w:val="0"/>
          <w:sz w:val="21"/>
          <w:szCs w:val="21"/>
          <w:lang w:val="en-US" w:eastAsia="zh-CN" w:bidi="ar-SA"/>
        </w:rPr>
        <w:t>建立法律法规跟踪机制，及时获取、更新并解读与安全生产相关的法律法规、行业标准和政策要求，并把这些法律法规中对组织所适用的实质性合规义务解析出来；</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b w:val="0"/>
          <w:bCs w:val="0"/>
          <w:kern w:val="0"/>
          <w:szCs w:val="21"/>
        </w:rPr>
      </w:pPr>
      <w:r>
        <w:rPr>
          <w:rFonts w:asciiTheme="minorEastAsia" w:eastAsiaTheme="minorEastAsia" w:hAnsiTheme="minorEastAsia" w:cstheme="minorEastAsia" w:hint="eastAsia"/>
          <w:b/>
          <w:bCs/>
          <w:kern w:val="0"/>
          <w:sz w:val="21"/>
          <w:szCs w:val="21"/>
          <w:lang w:val="en-US" w:eastAsia="zh-CN" w:bidi="ar-SA"/>
        </w:rPr>
        <w:t>定期进行合规性评价：</w:t>
      </w:r>
      <w:r>
        <w:rPr>
          <w:rFonts w:asciiTheme="minorEastAsia" w:eastAsiaTheme="minorEastAsia" w:hAnsiTheme="minorEastAsia" w:cstheme="minorEastAsia" w:hint="eastAsia"/>
          <w:b w:val="0"/>
          <w:bCs w:val="0"/>
          <w:kern w:val="0"/>
          <w:sz w:val="21"/>
          <w:szCs w:val="21"/>
          <w:lang w:val="en-US" w:eastAsia="zh-CN" w:bidi="ar-SA"/>
        </w:rPr>
        <w:t>这是了解组织合规状况的重要手段，定期对组织的合规状况进行（法定）自查和审核，确保持续符合法规要求；</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专业的法律顾问或合规专家合作：</w:t>
      </w:r>
      <w:r>
        <w:rPr>
          <w:rFonts w:asciiTheme="minorEastAsia" w:eastAsiaTheme="minorEastAsia" w:hAnsiTheme="minorEastAsia" w:cstheme="minorEastAsia" w:hint="eastAsia"/>
          <w:kern w:val="0"/>
          <w:sz w:val="21"/>
          <w:szCs w:val="21"/>
          <w:lang w:val="en-US" w:eastAsia="zh-CN" w:bidi="ar-SA"/>
        </w:rPr>
        <w:t>实时法律咨询，帮助识别潜在的合规风险，以确保组织的行为合规；</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进行合规培训教育：</w:t>
      </w:r>
      <w:r>
        <w:rPr>
          <w:rFonts w:asciiTheme="minorEastAsia" w:eastAsiaTheme="minorEastAsia" w:hAnsiTheme="minorEastAsia" w:cstheme="minorEastAsia" w:hint="eastAsia"/>
          <w:kern w:val="0"/>
          <w:sz w:val="21"/>
          <w:szCs w:val="21"/>
          <w:lang w:val="en-US" w:eastAsia="zh-CN" w:bidi="ar-SA"/>
        </w:rPr>
        <w:t>定期组织员工进行合规培训，提高员工对合规要求的认识和理解，确保员工行为符合规定；</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建立合规报告机制：</w:t>
      </w:r>
      <w:r>
        <w:rPr>
          <w:rFonts w:asciiTheme="minorEastAsia" w:eastAsiaTheme="minorEastAsia" w:hAnsiTheme="minorEastAsia" w:cstheme="minorEastAsia" w:hint="eastAsia"/>
          <w:kern w:val="0"/>
          <w:sz w:val="21"/>
          <w:szCs w:val="21"/>
          <w:lang w:val="en-US" w:eastAsia="zh-CN" w:bidi="ar-SA"/>
        </w:rPr>
        <w:t>建立合规报告渠道和机制，鼓励员工主动举报违规行为，保护举报人的合法权益；</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合规风险评估：</w:t>
      </w:r>
      <w:r>
        <w:rPr>
          <w:rFonts w:asciiTheme="minorEastAsia" w:eastAsiaTheme="minorEastAsia" w:hAnsiTheme="minorEastAsia" w:cstheme="minorEastAsia" w:hint="eastAsia"/>
          <w:kern w:val="0"/>
          <w:sz w:val="21"/>
          <w:szCs w:val="21"/>
          <w:lang w:val="en-US" w:eastAsia="zh-CN" w:bidi="ar-SA"/>
        </w:rPr>
        <w:t>定期进行合规性风险评估，识别和评估可能存在的合规性风险，及时采取措施进行纠正和改进；</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进行定期自查（包括法定自查）和自评：</w:t>
      </w:r>
      <w:r>
        <w:rPr>
          <w:rFonts w:asciiTheme="minorEastAsia" w:eastAsiaTheme="minorEastAsia" w:hAnsiTheme="minorEastAsia" w:cstheme="minorEastAsia" w:hint="eastAsia"/>
          <w:kern w:val="0"/>
          <w:sz w:val="21"/>
          <w:szCs w:val="21"/>
          <w:lang w:val="en-US" w:eastAsia="zh-CN" w:bidi="ar-SA"/>
        </w:rPr>
        <w:t>定期开展自查和自评工作，对组织的合规情况进行全面监督检查，找出存在的问题并及时整改；</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定期进行合规性审核：</w:t>
      </w:r>
      <w:r>
        <w:rPr>
          <w:rFonts w:asciiTheme="minorEastAsia" w:eastAsiaTheme="minorEastAsia" w:hAnsiTheme="minorEastAsia" w:cstheme="minorEastAsia" w:hint="eastAsia"/>
          <w:kern w:val="0"/>
          <w:sz w:val="21"/>
          <w:szCs w:val="21"/>
          <w:lang w:val="en-US" w:eastAsia="zh-CN" w:bidi="ar-SA"/>
        </w:rPr>
        <w:t>通过内部或外部专业机构的审核，对组织的各项合规性进行全面评估，及时发现问题并采取纠正措施；</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同业交流和对标：</w:t>
      </w:r>
      <w:r>
        <w:rPr>
          <w:rFonts w:asciiTheme="minorEastAsia" w:eastAsiaTheme="minorEastAsia" w:hAnsiTheme="minorEastAsia" w:cstheme="minorEastAsia" w:hint="eastAsia"/>
          <w:kern w:val="0"/>
          <w:sz w:val="21"/>
          <w:szCs w:val="21"/>
          <w:lang w:val="en-US" w:eastAsia="zh-CN" w:bidi="ar-SA"/>
        </w:rPr>
        <w:t>积极参与相关行业的合规培训和研讨会议，了解最新的法律法规和行业标准，及时调整组织的合规策略，与同行业的其他组织不断地进行交流以做好对标等工作，从而不断地把合规管理当中的最佳实践给吸纳进组织；</w:t>
      </w:r>
    </w:p>
    <w:p>
      <w:pPr>
        <w:pStyle w:val="a"/>
        <w:keepNext/>
        <w:keepLines/>
        <w:pageBreakBefore w:val="0"/>
        <w:widowControl w:val="0"/>
        <w:numPr>
          <w:ilvl w:val="0"/>
          <w:numId w:val="9"/>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kern w:val="0"/>
          <w:szCs w:val="21"/>
        </w:rPr>
      </w:pPr>
      <w:r>
        <w:rPr>
          <w:rFonts w:asciiTheme="minorEastAsia" w:eastAsiaTheme="minorEastAsia" w:hAnsiTheme="minorEastAsia" w:cstheme="minorEastAsia" w:hint="eastAsia"/>
          <w:b/>
          <w:bCs/>
          <w:kern w:val="0"/>
          <w:sz w:val="21"/>
          <w:szCs w:val="21"/>
          <w:lang w:val="en-US" w:eastAsia="zh-CN" w:bidi="ar-SA"/>
        </w:rPr>
        <w:t>合规文化建设：</w:t>
      </w:r>
      <w:r>
        <w:rPr>
          <w:rFonts w:asciiTheme="minorEastAsia" w:eastAsiaTheme="minorEastAsia" w:hAnsiTheme="minorEastAsia" w:cstheme="minorEastAsia" w:hint="eastAsia"/>
          <w:kern w:val="0"/>
          <w:sz w:val="21"/>
          <w:szCs w:val="21"/>
          <w:lang w:val="en-US" w:eastAsia="zh-CN" w:bidi="ar-SA"/>
        </w:rPr>
        <w:t>在组织内部倡导和培育合规文化，强调合规的重要性，使合规成为组织的核心价值观之一。通过领导层的示范作用、员工的行为规范、激励机制等手段，推动合规文化的深入人心。</w:t>
      </w:r>
    </w:p>
    <w:p>
      <w:pPr>
        <w:pStyle w:val="a2"/>
        <w:keepNext/>
        <w:keepLines/>
        <w:pageBreakBefore w:val="0"/>
        <w:widowControl w:val="0"/>
        <w:kinsoku/>
        <w:wordWrap/>
        <w:overflowPunct/>
        <w:topLinePunct w:val="0"/>
        <w:autoSpaceDE/>
        <w:autoSpaceDN/>
        <w:bidi w:val="0"/>
        <w:adjustRightInd/>
        <w:snapToGrid/>
        <w:spacing w:before="0" w:beforeLines="0" w:after="0" w:afterLines="0" w:line="360" w:lineRule="auto"/>
        <w:ind w:left="0" w:right="0" w:leftChars="0" w:rightChars="0"/>
        <w:textAlignment w:val="auto"/>
        <w:rPr>
          <w:rFonts w:hAnsi="黑体" w:cs="黑体" w:hint="eastAsia"/>
          <w:sz w:val="21"/>
          <w:szCs w:val="21"/>
          <w:lang w:val="en-US" w:eastAsia="zh-CN"/>
        </w:rPr>
      </w:pPr>
      <w:r>
        <w:rPr>
          <w:rFonts w:hAnsi="黑体" w:cs="黑体" w:hint="eastAsia"/>
          <w:sz w:val="21"/>
          <w:szCs w:val="21"/>
          <w:lang w:val="en-US" w:eastAsia="zh-CN"/>
        </w:rPr>
        <w:t>保留合规性评价结果的成文信息</w:t>
      </w:r>
    </w:p>
    <w:p>
      <w:pPr>
        <w:pStyle w:val="a"/>
        <w:keepNext/>
        <w:keepLines/>
        <w:pageBreakBefore w:val="0"/>
        <w:widowControl w:val="0"/>
        <w:numPr>
          <w:ilvl w:val="0"/>
          <w:numId w:val="10"/>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b w:val="0"/>
          <w:bCs w:val="0"/>
          <w:kern w:val="0"/>
          <w:szCs w:val="21"/>
        </w:rPr>
      </w:pPr>
      <w:r>
        <w:rPr>
          <w:rFonts w:asciiTheme="minorEastAsia" w:eastAsiaTheme="minorEastAsia" w:hAnsiTheme="minorEastAsia" w:cstheme="minorEastAsia" w:hint="eastAsia"/>
          <w:b w:val="0"/>
          <w:bCs w:val="0"/>
          <w:kern w:val="0"/>
          <w:sz w:val="21"/>
          <w:szCs w:val="21"/>
          <w:lang w:val="en-US" w:eastAsia="zh-CN" w:bidi="ar-SA"/>
        </w:rPr>
        <w:t>合规性评价的计划或安排；</w:t>
      </w:r>
    </w:p>
    <w:p>
      <w:pPr>
        <w:pStyle w:val="a"/>
        <w:keepNext/>
        <w:keepLines/>
        <w:pageBreakBefore w:val="0"/>
        <w:widowControl w:val="0"/>
        <w:numPr>
          <w:ilvl w:val="0"/>
          <w:numId w:val="10"/>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b w:val="0"/>
          <w:bCs w:val="0"/>
          <w:kern w:val="0"/>
          <w:szCs w:val="21"/>
        </w:rPr>
      </w:pPr>
      <w:r>
        <w:rPr>
          <w:rFonts w:asciiTheme="minorEastAsia" w:eastAsiaTheme="minorEastAsia" w:hAnsiTheme="minorEastAsia" w:cstheme="minorEastAsia" w:hint="eastAsia"/>
          <w:b w:val="0"/>
          <w:bCs w:val="0"/>
          <w:kern w:val="0"/>
          <w:sz w:val="21"/>
          <w:szCs w:val="21"/>
          <w:lang w:val="en-US" w:eastAsia="zh-CN" w:bidi="ar-SA"/>
        </w:rPr>
        <w:t>合规性评价的结果；</w:t>
      </w:r>
    </w:p>
    <w:p>
      <w:pPr>
        <w:pStyle w:val="a"/>
        <w:keepNext/>
        <w:keepLines/>
        <w:pageBreakBefore w:val="0"/>
        <w:widowControl w:val="0"/>
        <w:numPr>
          <w:ilvl w:val="0"/>
          <w:numId w:val="10"/>
        </w:numPr>
        <w:tabs>
          <w:tab w:val="clear" w:pos="312"/>
          <w:tab w:val="left" w:pos="854"/>
        </w:tabs>
        <w:kinsoku/>
        <w:wordWrap/>
        <w:overflowPunct/>
        <w:topLinePunct w:val="0"/>
        <w:autoSpaceDE/>
        <w:autoSpaceDN/>
        <w:bidi w:val="0"/>
        <w:adjustRightInd/>
        <w:snapToGrid/>
        <w:spacing w:line="360" w:lineRule="auto"/>
        <w:ind w:left="0" w:right="0" w:firstLine="420" w:leftChars="0" w:rightChars="0" w:firstLineChars="200"/>
        <w:textAlignment w:val="auto"/>
        <w:rPr>
          <w:rFonts w:asciiTheme="minorEastAsia" w:eastAsiaTheme="minorEastAsia" w:hAnsiTheme="minorEastAsia" w:cstheme="minorEastAsia" w:hint="eastAsia"/>
          <w:b w:val="0"/>
          <w:bCs w:val="0"/>
          <w:kern w:val="0"/>
          <w:szCs w:val="21"/>
        </w:rPr>
      </w:pPr>
      <w:r>
        <w:rPr>
          <w:rFonts w:asciiTheme="minorEastAsia" w:eastAsiaTheme="minorEastAsia" w:hAnsiTheme="minorEastAsia" w:cstheme="minorEastAsia" w:hint="eastAsia"/>
          <w:b w:val="0"/>
          <w:bCs w:val="0"/>
          <w:kern w:val="0"/>
          <w:sz w:val="21"/>
          <w:szCs w:val="21"/>
          <w:lang w:val="en-US" w:eastAsia="zh-CN" w:bidi="ar-SA"/>
        </w:rPr>
        <w:t>针对合规性评价结果采取的相应措施。</w:t>
      </w:r>
    </w:p>
    <w:p>
      <w:pPr>
        <w:keepNext/>
        <w:keepLines/>
        <w:pageBreakBefore w:val="0"/>
        <w:widowControl w:val="0"/>
        <w:kinsoku/>
        <w:wordWrap/>
        <w:overflowPunct/>
        <w:topLinePunct w:val="0"/>
        <w:bidi w:val="0"/>
        <w:adjustRightInd/>
        <w:snapToGrid/>
        <w:textAlignment w:val="auto"/>
        <w:rPr>
          <w:rFonts w:hint="eastAsia"/>
          <w:vertAlign w:val="baseline"/>
        </w:rPr>
      </w:pPr>
    </w:p>
    <w:p>
      <w:pPr>
        <w:keepNext/>
        <w:keepLines/>
        <w:pageBreakBefore w:val="0"/>
        <w:widowControl w:val="0"/>
        <w:kinsoku/>
        <w:wordWrap/>
        <w:overflowPunct/>
        <w:topLinePunct w:val="0"/>
        <w:bidi w:val="0"/>
        <w:adjustRightInd/>
        <w:snapToGrid/>
        <w:textAlignment w:val="auto"/>
        <w:rPr>
          <w:rFonts w:hint="eastAsia"/>
          <w:sz w:val="24"/>
          <w:vertAlign w:val="baseline"/>
        </w:rPr>
        <w:sectPr>
          <w:headerReference w:type="default" r:id="rId11"/>
          <w:footerReference w:type="default" r:id="rId12"/>
          <w:type w:val="nextPage"/>
          <w:pgSz w:w="11906" w:h="16838"/>
          <w:pgMar w:top="720" w:right="720" w:bottom="720" w:left="720" w:header="851" w:footer="992" w:gutter="0"/>
          <w:pgNumType w:start="4"/>
          <w:cols w:num="1" w:space="425"/>
          <w:titlePg w:val="0"/>
          <w:docGrid w:type="lines" w:linePitch="312" w:charSpace="0"/>
        </w:sectPr>
      </w:pPr>
    </w:p>
    <w:p>
      <w:pPr>
        <w:keepNext/>
        <w:keepLines/>
        <w:pageBreakBefore w:val="0"/>
        <w:widowControl w:val="0"/>
        <w:tabs>
          <w:tab w:val="left" w:pos="3499"/>
        </w:tabs>
        <w:kinsoku/>
        <w:wordWrap/>
        <w:overflowPunct/>
        <w:topLinePunct w:val="0"/>
        <w:autoSpaceDE/>
        <w:autoSpaceDN/>
        <w:bidi w:val="0"/>
        <w:adjustRightInd/>
        <w:snapToGrid/>
        <w:spacing w:line="360" w:lineRule="auto"/>
        <w:ind w:left="0" w:right="0" w:firstLine="0" w:leftChars="0" w:rightChars="0" w:firstLineChars="0"/>
        <w:jc w:val="center"/>
        <w:textAlignment w:val="auto"/>
        <w:rPr>
          <w:rFonts w:hint="eastAsia"/>
          <w:vertAlign w:val="baseline"/>
        </w:rPr>
      </w:pPr>
      <w:r>
        <w:rPr>
          <w:rFonts w:ascii="黑体" w:eastAsia="黑体" w:hAnsi="黑体" w:cs="黑体" w:hint="eastAsia"/>
          <w:b/>
          <w:bCs/>
          <w:color w:val="C00000"/>
          <w:sz w:val="21"/>
          <w:szCs w:val="21"/>
          <w:vertAlign w:val="baseline"/>
          <w:lang w:val="en-US" w:eastAsia="zh-CN"/>
        </w:rPr>
        <w:t>第二部分：</w:t>
      </w:r>
      <w:r>
        <w:rPr>
          <w:rFonts w:ascii="黑体" w:eastAsia="黑体" w:hAnsi="黑体" w:cs="黑体" w:hint="eastAsia"/>
          <w:b/>
          <w:bCs/>
          <w:color w:val="0000FF"/>
          <w:sz w:val="21"/>
          <w:szCs w:val="21"/>
          <w:vertAlign w:val="baseline"/>
          <w:lang w:val="en-US" w:eastAsia="zh-CN"/>
        </w:rPr>
        <w:t>“9.1.2合规性评价”</w:t>
      </w:r>
      <w:r>
        <w:rPr>
          <w:rFonts w:ascii="黑体" w:eastAsia="黑体" w:hAnsi="黑体" w:cs="黑体" w:hint="eastAsia"/>
          <w:b/>
          <w:bCs/>
          <w:color w:val="C00000"/>
          <w:sz w:val="21"/>
          <w:szCs w:val="21"/>
          <w:vertAlign w:val="baseline"/>
          <w:lang w:val="en-US" w:eastAsia="zh-CN"/>
        </w:rPr>
        <w:t>流程分析与实施</w:t>
      </w:r>
    </w:p>
    <w:tbl>
      <w:tblPr>
        <w:tblStyle w:val="TableGrid0"/>
        <w:tblW w:w="15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84"/>
        <w:gridCol w:w="7140"/>
        <w:gridCol w:w="451"/>
        <w:gridCol w:w="1650"/>
        <w:gridCol w:w="2213"/>
        <w:gridCol w:w="2150"/>
        <w:gridCol w:w="63"/>
      </w:tblGrid>
      <w:tr>
        <w:tblPrEx>
          <w:tblW w:w="15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84" w:type="dxa"/>
          </w:tcPr>
          <w:p>
            <w:pPr>
              <w:keepNext/>
              <w:keepLines/>
              <w:pageBreakBefore w:val="0"/>
              <w:widowControl w:val="0"/>
              <w:kinsoku/>
              <w:wordWrap/>
              <w:overflowPunct/>
              <w:topLinePunct w:val="0"/>
              <w:bidi w:val="0"/>
              <w:adjustRightInd/>
              <w:snapToGrid/>
              <w:ind w:left="0" w:right="0" w:firstLine="0" w:leftChars="0" w:rightChars="0" w:firstLineChars="0"/>
              <w:jc w:val="center"/>
              <w:textAlignment w:val="auto"/>
              <w:rPr>
                <w:rFonts w:hint="default"/>
                <w:b/>
                <w:bCs/>
                <w:vertAlign w:val="baseline"/>
              </w:rPr>
            </w:pPr>
            <w:r>
              <w:rPr>
                <w:rFonts w:hint="eastAsia"/>
                <w:b/>
                <w:bCs/>
                <w:vertAlign w:val="baseline"/>
                <w:lang w:val="en-US" w:eastAsia="zh-CN"/>
              </w:rPr>
              <w:t>过程输入</w:t>
            </w:r>
          </w:p>
        </w:tc>
        <w:tc>
          <w:tcPr>
            <w:tcW w:w="7591" w:type="dxa"/>
            <w:gridSpan w:val="2"/>
          </w:tcPr>
          <w:p>
            <w:pPr>
              <w:keepNext/>
              <w:keepLines/>
              <w:pageBreakBefore w:val="0"/>
              <w:widowControl w:val="0"/>
              <w:kinsoku/>
              <w:wordWrap/>
              <w:overflowPunct/>
              <w:topLinePunct w:val="0"/>
              <w:bidi w:val="0"/>
              <w:adjustRightInd/>
              <w:snapToGrid/>
              <w:ind w:left="0" w:right="0" w:firstLine="0" w:leftChars="0" w:rightChars="0" w:firstLineChars="0"/>
              <w:jc w:val="center"/>
              <w:textAlignment w:val="auto"/>
              <w:rPr>
                <w:rFonts w:hint="default"/>
                <w:b/>
                <w:bCs/>
                <w:vertAlign w:val="baseline"/>
              </w:rPr>
            </w:pPr>
            <w:r>
              <w:rPr>
                <w:rFonts w:hint="eastAsia"/>
                <w:b/>
                <w:bCs/>
                <w:vertAlign w:val="baseline"/>
                <w:lang w:val="en-US" w:eastAsia="zh-CN"/>
              </w:rPr>
              <w:t>活动（工作流程图）</w:t>
            </w:r>
          </w:p>
        </w:tc>
        <w:tc>
          <w:tcPr>
            <w:tcW w:w="1650" w:type="dxa"/>
          </w:tcPr>
          <w:p>
            <w:pPr>
              <w:keepNext/>
              <w:keepLines/>
              <w:pageBreakBefore w:val="0"/>
              <w:widowControl w:val="0"/>
              <w:kinsoku/>
              <w:wordWrap/>
              <w:overflowPunct/>
              <w:topLinePunct w:val="0"/>
              <w:bidi w:val="0"/>
              <w:adjustRightInd/>
              <w:snapToGrid/>
              <w:ind w:left="0" w:right="0" w:firstLine="0" w:leftChars="0" w:rightChars="0" w:firstLineChars="0"/>
              <w:jc w:val="center"/>
              <w:textAlignment w:val="auto"/>
              <w:rPr>
                <w:rFonts w:hint="default"/>
                <w:b/>
                <w:bCs/>
                <w:vertAlign w:val="baseline"/>
              </w:rPr>
            </w:pPr>
            <w:r>
              <w:rPr>
                <w:rFonts w:hint="eastAsia"/>
                <w:b/>
                <w:bCs/>
                <w:vertAlign w:val="baseline"/>
                <w:lang w:val="en-US" w:eastAsia="zh-CN"/>
              </w:rPr>
              <w:t>过程输出</w:t>
            </w:r>
          </w:p>
        </w:tc>
        <w:tc>
          <w:tcPr>
            <w:tcW w:w="2213" w:type="dxa"/>
            <w:vAlign w:val="center"/>
          </w:tcPr>
          <w:p>
            <w:pPr>
              <w:keepNext/>
              <w:keepLines/>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hint="default"/>
                <w:b/>
                <w:bCs/>
                <w:vertAlign w:val="baseline"/>
              </w:rPr>
            </w:pPr>
            <w:r>
              <w:rPr>
                <w:rFonts w:hint="eastAsia"/>
                <w:b/>
                <w:bCs/>
                <w:sz w:val="21"/>
                <w:szCs w:val="21"/>
                <w:vertAlign w:val="baseline"/>
                <w:lang w:val="en-US" w:eastAsia="zh-CN"/>
              </w:rPr>
              <w:t>技术、工具和方法</w:t>
            </w:r>
          </w:p>
        </w:tc>
        <w:tc>
          <w:tcPr>
            <w:tcW w:w="2213" w:type="dxa"/>
            <w:gridSpan w:val="2"/>
            <w:vAlign w:val="center"/>
          </w:tcPr>
          <w:p>
            <w:pPr>
              <w:keepNext/>
              <w:keepLines/>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hint="default"/>
                <w:b/>
                <w:bCs/>
                <w:vertAlign w:val="baseline"/>
              </w:rPr>
            </w:pPr>
            <w:r>
              <w:rPr>
                <w:rFonts w:hint="eastAsia"/>
                <w:b/>
                <w:bCs/>
                <w:color w:val="000000"/>
                <w:spacing w:val="-6"/>
                <w:sz w:val="21"/>
                <w:szCs w:val="21"/>
              </w:rPr>
              <w:t>绩效控制和检查点</w:t>
            </w:r>
          </w:p>
        </w:tc>
      </w:tr>
      <w:tr>
        <w:tblPrEx>
          <w:tblW w:w="15351" w:type="dxa"/>
          <w:jc w:val="center"/>
          <w:tblLayout w:type="fixed"/>
          <w:tblCellMar>
            <w:top w:w="0" w:type="dxa"/>
            <w:left w:w="108" w:type="dxa"/>
            <w:bottom w:w="0" w:type="dxa"/>
            <w:right w:w="108" w:type="dxa"/>
          </w:tblCellMar>
        </w:tblPrEx>
        <w:trPr>
          <w:trHeight w:val="11736"/>
          <w:jc w:val="center"/>
        </w:trPr>
        <w:tc>
          <w:tcPr>
            <w:tcW w:w="1684" w:type="dxa"/>
            <w:vAlign w:val="center"/>
          </w:tcPr>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vertAlign w:val="baseline"/>
                <w:lang w:val="en-US" w:eastAsia="zh-CN"/>
              </w:rPr>
              <w:t>活动、产品或服务及其规模、类型和复杂程度</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asciiTheme="minorEastAsia" w:hAnsiTheme="minorEastAsia" w:cstheme="minorEastAsia" w:hint="eastAsia"/>
                <w:sz w:val="21"/>
                <w:szCs w:val="21"/>
                <w:lang w:val="en-US" w:eastAsia="zh-CN"/>
              </w:rPr>
              <w:t>合规义</w:t>
            </w:r>
            <w:r>
              <w:rPr>
                <w:rFonts w:hint="eastAsia"/>
                <w:vertAlign w:val="baseline"/>
                <w:lang w:val="en-US" w:eastAsia="zh-CN"/>
              </w:rPr>
              <w:t>务</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vertAlign w:val="baseline"/>
                <w:lang w:val="en-US" w:eastAsia="zh-CN"/>
              </w:rPr>
              <w:t>合规（法律）风险清单</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vertAlign w:val="baseline"/>
                <w:lang w:val="en-US" w:eastAsia="zh-CN"/>
              </w:rPr>
              <w:t>合规性</w:t>
            </w:r>
            <w:r>
              <w:rPr>
                <w:rFonts w:hint="default"/>
                <w:vertAlign w:val="baseline"/>
                <w:lang w:val="en-US" w:eastAsia="zh-CN"/>
              </w:rPr>
              <w:t>评价计划</w:t>
            </w:r>
            <w:r>
              <w:rPr>
                <w:rFonts w:hint="eastAsia"/>
                <w:vertAlign w:val="baseline"/>
                <w:lang w:val="en-US" w:eastAsia="zh-CN"/>
              </w:rPr>
              <w:t>或方案</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default"/>
                <w:vertAlign w:val="baseline"/>
              </w:rPr>
            </w:pPr>
            <w:r>
              <w:rPr>
                <w:rFonts w:hint="eastAsia"/>
                <w:vertAlign w:val="baseline"/>
                <w:lang w:val="en-US" w:eastAsia="zh-CN"/>
              </w:rPr>
              <w:t>重点合规领域、环节和岗位清单</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default"/>
                <w:vertAlign w:val="baseline"/>
              </w:rPr>
            </w:pPr>
            <w:r>
              <w:rPr>
                <w:rFonts w:hint="eastAsia"/>
                <w:vertAlign w:val="baseline"/>
                <w:lang w:val="en-US" w:eastAsia="zh-CN"/>
              </w:rPr>
              <w:t>检</w:t>
            </w:r>
            <w:r>
              <w:rPr>
                <w:rFonts w:hint="default"/>
                <w:vertAlign w:val="baseline"/>
                <w:lang w:val="en-US" w:eastAsia="zh-CN"/>
              </w:rPr>
              <w:t>查表、调查问卷、风险评估表</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default"/>
                <w:vertAlign w:val="baseline"/>
              </w:rPr>
            </w:pPr>
            <w:r>
              <w:rPr>
                <w:rFonts w:hint="default"/>
                <w:vertAlign w:val="baseline"/>
                <w:lang w:val="en-US" w:eastAsia="zh-CN"/>
              </w:rPr>
              <w:t>运行控制的实际效果</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rFonts w:hint="default"/>
                <w:vertAlign w:val="baseline"/>
              </w:rPr>
            </w:pPr>
            <w:r>
              <w:rPr>
                <w:rFonts w:hint="default"/>
                <w:vertAlign w:val="baseline"/>
                <w:lang w:val="en-US" w:eastAsia="zh-CN"/>
              </w:rPr>
              <w:t>测量和监视的结果</w:t>
            </w:r>
            <w:r>
              <w:rPr>
                <w:rFonts w:hint="eastAsia"/>
                <w:vertAlign w:val="baseline"/>
                <w:lang w:val="en-US" w:eastAsia="zh-CN"/>
              </w:rPr>
              <w:t>（包括内、外部测量和监视的结果、日常的监督检查结果、文件评审结果、审核结果、管理评审输出、对投诉或举报的处理结果）</w:t>
            </w:r>
          </w:p>
          <w:p>
            <w:pPr>
              <w:keepNext/>
              <w:keepLines/>
              <w:pageBreakBefore w:val="0"/>
              <w:widowControl w:val="0"/>
              <w:numPr>
                <w:ilvl w:val="0"/>
                <w:numId w:val="11"/>
              </w:numPr>
              <w:kinsoku/>
              <w:wordWrap/>
              <w:overflowPunct/>
              <w:topLinePunct w:val="0"/>
              <w:autoSpaceDE/>
              <w:autoSpaceDN/>
              <w:bidi w:val="0"/>
              <w:adjustRightInd/>
              <w:snapToGrid/>
              <w:spacing w:line="360" w:lineRule="exact"/>
              <w:ind w:left="0" w:firstLine="0" w:leftChars="0" w:firstLineChars="0"/>
              <w:jc w:val="both"/>
              <w:textAlignment w:val="auto"/>
              <w:rPr>
                <w:vertAlign w:val="baseline"/>
              </w:rPr>
            </w:pPr>
            <w:r>
              <w:rPr>
                <w:rFonts w:hint="default"/>
                <w:vertAlign w:val="baseline"/>
                <w:lang w:val="en-US" w:eastAsia="zh-CN"/>
              </w:rPr>
              <w:t>来自相关方的有关信息</w:t>
            </w:r>
          </w:p>
        </w:tc>
        <w:tc>
          <w:tcPr>
            <w:tcW w:w="7591" w:type="dxa"/>
            <w:gridSpan w:val="2"/>
          </w:tcPr>
          <w:p>
            <w:pPr>
              <w:keepNext/>
              <w:keepLines/>
              <w:pageBreakBefore w:val="0"/>
              <w:widowControl w:val="0"/>
              <w:kinsoku/>
              <w:wordWrap/>
              <w:overflowPunct/>
              <w:topLinePunct w:val="0"/>
              <w:bidi w:val="0"/>
              <w:adjustRightInd/>
              <w:snapToGrid/>
              <w:textAlignment w:val="auto"/>
              <w:rPr>
                <w:vertAlign w:val="baseline"/>
              </w:rPr>
            </w:pPr>
            <w:r>
              <w:rPr>
                <w:vertAlign w:val="baselin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5.5pt;height:834pt" o:ole="" coordsize="21600,21600" o:preferrelative="t" filled="f" stroked="f">
                  <v:imagedata r:id="rId13" o:title=""/>
                  <o:lock v:ext="edit" aspectratio="f"/>
                  <w10:anchorlock/>
                </v:shape>
                <o:OLEObject Type="Embed" ProgID="Visio.Drawing.15" ShapeID="_x0000_i1025" DrawAspect="Content" ObjectID="_1468075725" r:id="rId14"/>
              </w:object>
            </w:r>
          </w:p>
        </w:tc>
        <w:tc>
          <w:tcPr>
            <w:tcW w:w="1650" w:type="dxa"/>
            <w:vAlign w:val="center"/>
          </w:tcPr>
          <w:p>
            <w:pPr>
              <w:keepNext/>
              <w:keepLines/>
              <w:pageBreakBefore w:val="0"/>
              <w:widowControl w:val="0"/>
              <w:numPr>
                <w:ilvl w:val="0"/>
                <w:numId w:val="12"/>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合规性评价的计划或安排</w:t>
            </w:r>
          </w:p>
          <w:p>
            <w:pPr>
              <w:keepNext/>
              <w:keepLines/>
              <w:pageBreakBefore w:val="0"/>
              <w:widowControl w:val="0"/>
              <w:numPr>
                <w:ilvl w:val="0"/>
                <w:numId w:val="12"/>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合规性评价记录、合规性评价的结果</w:t>
            </w:r>
          </w:p>
          <w:p>
            <w:pPr>
              <w:keepNext/>
              <w:keepLines/>
              <w:pageBreakBefore w:val="0"/>
              <w:widowControl w:val="0"/>
              <w:numPr>
                <w:ilvl w:val="0"/>
                <w:numId w:val="12"/>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合规性评价报告</w:t>
            </w:r>
          </w:p>
          <w:p>
            <w:pPr>
              <w:keepNext/>
              <w:keepLines/>
              <w:pageBreakBefore w:val="0"/>
              <w:widowControl w:val="0"/>
              <w:numPr>
                <w:ilvl w:val="0"/>
                <w:numId w:val="12"/>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合规（法律）风险清单</w:t>
            </w:r>
          </w:p>
          <w:p>
            <w:pPr>
              <w:keepNext/>
              <w:keepLines/>
              <w:pageBreakBefore w:val="0"/>
              <w:widowControl w:val="0"/>
              <w:numPr>
                <w:ilvl w:val="0"/>
                <w:numId w:val="12"/>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不合规改进建议</w:t>
            </w:r>
          </w:p>
          <w:p>
            <w:pPr>
              <w:keepNext/>
              <w:keepLines/>
              <w:pageBreakBefore w:val="0"/>
              <w:widowControl w:val="0"/>
              <w:numPr>
                <w:ilvl w:val="0"/>
                <w:numId w:val="12"/>
              </w:numPr>
              <w:kinsoku/>
              <w:wordWrap/>
              <w:overflowPunct/>
              <w:topLinePunct w:val="0"/>
              <w:autoSpaceDE/>
              <w:autoSpaceDN/>
              <w:bidi w:val="0"/>
              <w:adjustRightInd/>
              <w:snapToGrid/>
              <w:spacing w:line="360" w:lineRule="exact"/>
              <w:ind w:left="0" w:firstLine="0" w:leftChars="0" w:firstLineChars="0"/>
              <w:jc w:val="both"/>
              <w:textAlignment w:val="auto"/>
              <w:rPr>
                <w:vertAlign w:val="baseline"/>
              </w:rPr>
            </w:pPr>
            <w:r>
              <w:rPr>
                <w:rFonts w:asciiTheme="minorEastAsia" w:hAnsiTheme="minorEastAsia" w:cstheme="minorEastAsia" w:hint="eastAsia"/>
                <w:sz w:val="21"/>
                <w:szCs w:val="21"/>
                <w:lang w:val="en-US" w:eastAsia="zh-CN"/>
              </w:rPr>
              <w:t>针对合规性评价结果采取的相应措施</w:t>
            </w:r>
          </w:p>
        </w:tc>
        <w:tc>
          <w:tcPr>
            <w:tcW w:w="2213" w:type="dxa"/>
            <w:vAlign w:val="center"/>
          </w:tcPr>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直接观察或访谈</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内、外部测量和监视的结果</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日常或例行监督检查、监管机构检查结果</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监视和测量结果的分析</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对合规义务的分析</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文件评审</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对事件和风险评价记录的评审</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内部审核结果</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管理评审</w:t>
            </w:r>
          </w:p>
          <w:p>
            <w:pPr>
              <w:keepNext/>
              <w:keepLines/>
              <w:pageBreakBefore w:val="0"/>
              <w:widowControl w:val="0"/>
              <w:numPr>
                <w:ilvl w:val="0"/>
                <w:numId w:val="13"/>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vertAlign w:val="baseline"/>
                <w:lang w:val="en-US" w:eastAsia="zh-CN"/>
              </w:rPr>
              <w:t>对投诉和举报情况的处理等</w:t>
            </w:r>
          </w:p>
        </w:tc>
        <w:tc>
          <w:tcPr>
            <w:tcW w:w="2213" w:type="dxa"/>
            <w:gridSpan w:val="2"/>
            <w:vAlign w:val="center"/>
          </w:tcPr>
          <w:p>
            <w:pPr>
              <w:keepNext/>
              <w:keepLines/>
              <w:pageBreakBefore w:val="0"/>
              <w:widowControl w:val="0"/>
              <w:numPr>
                <w:ilvl w:val="0"/>
                <w:numId w:val="14"/>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color w:val="000000"/>
                <w:spacing w:val="-6"/>
                <w:szCs w:val="21"/>
                <w:lang w:eastAsia="zh-CN"/>
              </w:rPr>
              <w:t>合规违规事件发生率</w:t>
            </w:r>
          </w:p>
          <w:p>
            <w:pPr>
              <w:keepNext/>
              <w:keepLines/>
              <w:pageBreakBefore w:val="0"/>
              <w:widowControl w:val="0"/>
              <w:numPr>
                <w:ilvl w:val="0"/>
                <w:numId w:val="14"/>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color w:val="000000"/>
                <w:spacing w:val="-6"/>
                <w:szCs w:val="21"/>
                <w:lang w:eastAsia="zh-CN"/>
              </w:rPr>
              <w:t>合规整改及时率</w:t>
            </w:r>
          </w:p>
          <w:p>
            <w:pPr>
              <w:keepNext/>
              <w:keepLines/>
              <w:pageBreakBefore w:val="0"/>
              <w:widowControl w:val="0"/>
              <w:numPr>
                <w:ilvl w:val="0"/>
                <w:numId w:val="14"/>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color w:val="000000"/>
                <w:spacing w:val="-6"/>
                <w:szCs w:val="21"/>
                <w:lang w:eastAsia="zh-CN"/>
              </w:rPr>
              <w:t>外部合规审核通过率</w:t>
            </w:r>
          </w:p>
          <w:p>
            <w:pPr>
              <w:keepNext/>
              <w:keepLines/>
              <w:pageBreakBefore w:val="0"/>
              <w:widowControl w:val="0"/>
              <w:numPr>
                <w:ilvl w:val="0"/>
                <w:numId w:val="14"/>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color w:val="000000"/>
                <w:spacing w:val="-6"/>
                <w:szCs w:val="21"/>
                <w:lang w:eastAsia="zh-CN"/>
              </w:rPr>
              <w:t>重大违法违规行为发生情况</w:t>
            </w:r>
          </w:p>
          <w:p>
            <w:pPr>
              <w:keepNext/>
              <w:keepLines/>
              <w:pageBreakBefore w:val="0"/>
              <w:widowControl w:val="0"/>
              <w:numPr>
                <w:ilvl w:val="0"/>
                <w:numId w:val="14"/>
              </w:numPr>
              <w:kinsoku/>
              <w:wordWrap/>
              <w:overflowPunct/>
              <w:topLinePunct w:val="0"/>
              <w:autoSpaceDE/>
              <w:autoSpaceDN/>
              <w:bidi w:val="0"/>
              <w:adjustRightInd/>
              <w:snapToGrid/>
              <w:spacing w:line="360" w:lineRule="exact"/>
              <w:ind w:left="0" w:firstLine="0" w:leftChars="0" w:firstLineChars="0"/>
              <w:jc w:val="both"/>
              <w:textAlignment w:val="auto"/>
              <w:rPr>
                <w:rFonts w:hint="eastAsia"/>
                <w:vertAlign w:val="baseline"/>
              </w:rPr>
            </w:pPr>
            <w:r>
              <w:rPr>
                <w:rFonts w:hint="eastAsia"/>
                <w:b w:val="0"/>
                <w:bCs w:val="0"/>
                <w:color w:val="000000"/>
                <w:spacing w:val="-6"/>
                <w:szCs w:val="21"/>
                <w:lang w:val="en-US" w:eastAsia="zh-CN"/>
              </w:rPr>
              <w:t>.</w:t>
            </w:r>
            <w:r>
              <w:rPr>
                <w:rFonts w:hint="eastAsia"/>
                <w:b w:val="0"/>
                <w:bCs w:val="0"/>
                <w:color w:val="000000"/>
                <w:spacing w:val="-6"/>
                <w:szCs w:val="21"/>
                <w:lang w:eastAsia="zh-CN"/>
              </w:rPr>
              <w:t>因不合规行为或事项被监管处罚情况</w:t>
            </w:r>
          </w:p>
        </w:tc>
      </w:tr>
      <w:tr>
        <w:tblPrEx>
          <w:tblW w:w="15351" w:type="dxa"/>
          <w:jc w:val="center"/>
          <w:tblLayout w:type="fixed"/>
          <w:tblCellMar>
            <w:top w:w="0" w:type="dxa"/>
            <w:left w:w="108" w:type="dxa"/>
            <w:bottom w:w="0" w:type="dxa"/>
            <w:right w:w="108" w:type="dxa"/>
          </w:tblCellMar>
        </w:tblPrEx>
        <w:trPr>
          <w:trHeight w:val="200"/>
          <w:jc w:val="center"/>
        </w:trPr>
        <w:tc>
          <w:tcPr>
            <w:tcW w:w="15351" w:type="dxa"/>
            <w:gridSpan w:val="7"/>
            <w:vAlign w:val="center"/>
          </w:tcPr>
          <w:p>
            <w:pPr>
              <w:keepNext/>
              <w:keepLines/>
              <w:pageBreakBefore w:val="0"/>
              <w:widowControl w:val="0"/>
              <w:numPr>
                <w:ilvl w:val="0"/>
                <w:numId w:val="0"/>
              </w:numPr>
              <w:tabs>
                <w:tab w:val="left" w:pos="0"/>
              </w:tabs>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Theme="minorEastAsia" w:hAnsiTheme="minorEastAsia" w:cstheme="minorEastAsia" w:hint="eastAsia"/>
                <w:color w:val="000000" w:themeColor="text1"/>
                <w:szCs w:val="21"/>
                <w14:textFill>
                  <w14:solidFill>
                    <w14:schemeClr w14:val="tx1"/>
                  </w14:solidFill>
                </w14:textFill>
              </w:rPr>
            </w:pPr>
            <w:r>
              <w:rPr>
                <w:rFonts w:hint="eastAsia"/>
                <w:color w:val="0000FF"/>
                <w:u w:val="single"/>
                <w:vertAlign w:val="baseline"/>
                <w:lang w:val="en-US" w:eastAsia="zh-CN"/>
              </w:rPr>
              <w:t>“9.1.2合规性评价”</w:t>
            </w:r>
            <w:r>
              <w:rPr>
                <w:rFonts w:hint="eastAsia"/>
                <w:b/>
                <w:bCs/>
                <w:vertAlign w:val="baseline"/>
                <w:lang w:val="en-US" w:eastAsia="zh-CN"/>
              </w:rPr>
              <w:t>需保持和保留成文信息：</w:t>
            </w:r>
          </w:p>
        </w:tc>
      </w:tr>
      <w:tr>
        <w:tblPrEx>
          <w:tblW w:w="15351" w:type="dxa"/>
          <w:jc w:val="center"/>
          <w:tblLayout w:type="fixed"/>
          <w:tblCellMar>
            <w:top w:w="0" w:type="dxa"/>
            <w:left w:w="108" w:type="dxa"/>
            <w:bottom w:w="0" w:type="dxa"/>
            <w:right w:w="108" w:type="dxa"/>
          </w:tblCellMar>
        </w:tblPrEx>
        <w:trPr>
          <w:gridAfter w:val="1"/>
          <w:wAfter w:w="63" w:type="dxa"/>
          <w:trHeight w:val="200"/>
          <w:jc w:val="center"/>
        </w:trPr>
        <w:tc>
          <w:tcPr>
            <w:tcW w:w="8824" w:type="dxa"/>
            <w:gridSpan w:val="2"/>
            <w:vAlign w:val="center"/>
          </w:tcPr>
          <w:p>
            <w:pPr>
              <w:keepNext/>
              <w:keepLines/>
              <w:pageBreakBefore w:val="0"/>
              <w:widowControl w:val="0"/>
              <w:numPr>
                <w:ilvl w:val="0"/>
                <w:numId w:val="0"/>
              </w:numPr>
              <w:tabs>
                <w:tab w:val="left" w:pos="0"/>
              </w:tabs>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Theme="minorEastAsia" w:hAnsiTheme="minorEastAsia" w:cstheme="minorEastAsia" w:hint="default"/>
                <w:color w:val="000000" w:themeColor="text1"/>
                <w:szCs w:val="21"/>
                <w14:textFill>
                  <w14:solidFill>
                    <w14:schemeClr w14:val="tx1"/>
                  </w14:solidFill>
                </w14:textFill>
              </w:rPr>
            </w:pPr>
            <w:r>
              <w:rPr>
                <w:rFonts w:hint="eastAsia"/>
                <w:b/>
                <w:bCs/>
                <w:vertAlign w:val="baseline"/>
                <w:lang w:val="en-US" w:eastAsia="zh-CN"/>
              </w:rPr>
              <w:t>需保持的成文信息（文件）</w:t>
            </w:r>
          </w:p>
        </w:tc>
        <w:tc>
          <w:tcPr>
            <w:tcW w:w="6464" w:type="dxa"/>
            <w:gridSpan w:val="4"/>
            <w:vAlign w:val="center"/>
          </w:tcPr>
          <w:p>
            <w:pPr>
              <w:keepNext/>
              <w:keepLines/>
              <w:pageBreakBefore w:val="0"/>
              <w:widowControl w:val="0"/>
              <w:numPr>
                <w:ilvl w:val="0"/>
                <w:numId w:val="0"/>
              </w:numPr>
              <w:tabs>
                <w:tab w:val="left" w:pos="0"/>
              </w:tabs>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Theme="minorEastAsia" w:hAnsiTheme="minorEastAsia" w:cstheme="minorEastAsia" w:hint="default"/>
                <w:color w:val="000000" w:themeColor="text1"/>
                <w:szCs w:val="21"/>
                <w14:textFill>
                  <w14:solidFill>
                    <w14:schemeClr w14:val="tx1"/>
                  </w14:solidFill>
                </w14:textFill>
              </w:rPr>
            </w:pPr>
            <w:r>
              <w:rPr>
                <w:rFonts w:hint="eastAsia"/>
                <w:b/>
                <w:bCs/>
                <w:vertAlign w:val="baseline"/>
                <w:lang w:val="en-US" w:eastAsia="zh-CN"/>
              </w:rPr>
              <w:t>需保留成文信息（记录或证据性材料）</w:t>
            </w:r>
          </w:p>
        </w:tc>
      </w:tr>
      <w:tr>
        <w:tblPrEx>
          <w:tblW w:w="15351" w:type="dxa"/>
          <w:jc w:val="center"/>
          <w:tblLayout w:type="fixed"/>
          <w:tblCellMar>
            <w:top w:w="0" w:type="dxa"/>
            <w:left w:w="108" w:type="dxa"/>
            <w:bottom w:w="0" w:type="dxa"/>
            <w:right w:w="108" w:type="dxa"/>
          </w:tblCellMar>
        </w:tblPrEx>
        <w:trPr>
          <w:gridAfter w:val="1"/>
          <w:wAfter w:w="63" w:type="dxa"/>
          <w:trHeight w:val="200"/>
          <w:jc w:val="center"/>
        </w:trPr>
        <w:tc>
          <w:tcPr>
            <w:tcW w:w="8824" w:type="dxa"/>
            <w:gridSpan w:val="2"/>
            <w:vAlign w:val="center"/>
          </w:tcPr>
          <w:p>
            <w:pPr>
              <w:keepNext/>
              <w:keepLines/>
              <w:pageBreakBefore w:val="0"/>
              <w:widowControl w:val="0"/>
              <w:numPr>
                <w:ilvl w:val="0"/>
                <w:numId w:val="15"/>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color w:val="000000" w:themeColor="text1"/>
                <w:spacing w:val="-4"/>
                <w:szCs w:val="21"/>
                <w14:textFill>
                  <w14:solidFill>
                    <w14:schemeClr w14:val="tx1"/>
                  </w14:solidFill>
                </w14:textFill>
              </w:rPr>
            </w:pPr>
            <w:r>
              <w:rPr>
                <w:rFonts w:asciiTheme="minorEastAsia" w:eastAsiaTheme="minorEastAsia" w:hAnsiTheme="minorEastAsia" w:cstheme="minorEastAsia" w:hint="eastAsia"/>
                <w:b/>
                <w:bCs/>
                <w:color w:val="C00000"/>
                <w:sz w:val="21"/>
                <w:szCs w:val="21"/>
                <w:lang w:val="en-US" w:eastAsia="zh-CN"/>
              </w:rPr>
              <w:t>合规管理控制程序</w:t>
            </w:r>
            <w:r>
              <w:rPr>
                <w:rFonts w:asciiTheme="minorEastAsia" w:eastAsiaTheme="minorEastAsia" w:hAnsiTheme="minorEastAsia" w:cstheme="minorEastAsia" w:hint="eastAsia"/>
                <w:color w:val="000000" w:themeColor="text1"/>
                <w:spacing w:val="-4"/>
                <w:sz w:val="21"/>
                <w:szCs w:val="21"/>
                <w:lang w:val="en-US" w:eastAsia="zh-CN"/>
                <w14:textFill>
                  <w14:solidFill>
                    <w14:schemeClr w14:val="tx1"/>
                  </w14:solidFill>
                </w14:textFill>
              </w:rPr>
              <w:t>（包括合规义务确定、合规性评价）</w:t>
            </w:r>
          </w:p>
        </w:tc>
        <w:tc>
          <w:tcPr>
            <w:tcW w:w="6464" w:type="dxa"/>
            <w:gridSpan w:val="4"/>
            <w:vAlign w:val="center"/>
          </w:tcPr>
          <w:p>
            <w:pPr>
              <w:keepNext/>
              <w:keepLines/>
              <w:pageBreakBefore w:val="0"/>
              <w:widowControl w:val="0"/>
              <w:numPr>
                <w:ilvl w:val="0"/>
                <w:numId w:val="16"/>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color w:val="000000" w:themeColor="text1"/>
                <w:spacing w:val="-4"/>
                <w:szCs w:val="21"/>
                <w14:textFill>
                  <w14:solidFill>
                    <w14:schemeClr w14:val="tx1"/>
                  </w14:solidFill>
                </w14:textFill>
              </w:rPr>
            </w:pPr>
            <w:r>
              <w:rPr>
                <w:rFonts w:asciiTheme="minorEastAsia" w:eastAsiaTheme="minorEastAsia" w:hAnsiTheme="minorEastAsia" w:cstheme="minorEastAsia" w:hint="eastAsia"/>
                <w:color w:val="000000" w:themeColor="text1"/>
                <w:spacing w:val="-4"/>
                <w:sz w:val="21"/>
                <w:szCs w:val="21"/>
                <w:lang w:val="en-US" w:eastAsia="zh-CN"/>
                <w14:textFill>
                  <w14:solidFill>
                    <w14:schemeClr w14:val="tx1"/>
                  </w14:solidFill>
                </w14:textFill>
              </w:rPr>
              <w:t>合规义务清单</w:t>
            </w:r>
          </w:p>
          <w:p>
            <w:pPr>
              <w:keepNext/>
              <w:keepLines/>
              <w:pageBreakBefore w:val="0"/>
              <w:widowControl w:val="0"/>
              <w:numPr>
                <w:ilvl w:val="0"/>
                <w:numId w:val="16"/>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color w:val="000000" w:themeColor="text1"/>
                <w:spacing w:val="-4"/>
                <w:szCs w:val="21"/>
                <w14:textFill>
                  <w14:solidFill>
                    <w14:schemeClr w14:val="tx1"/>
                  </w14:solidFill>
                </w14:textFill>
              </w:rPr>
            </w:pPr>
            <w:r>
              <w:rPr>
                <w:rFonts w:asciiTheme="minorEastAsia" w:eastAsiaTheme="minorEastAsia" w:hAnsiTheme="minorEastAsia" w:cstheme="minorEastAsia" w:hint="eastAsia"/>
                <w:color w:val="000000" w:themeColor="text1"/>
                <w:spacing w:val="-4"/>
                <w:sz w:val="21"/>
                <w:szCs w:val="21"/>
                <w:lang w:val="en-US" w:eastAsia="zh-CN"/>
                <w14:textFill>
                  <w14:solidFill>
                    <w14:schemeClr w14:val="tx1"/>
                  </w14:solidFill>
                </w14:textFill>
              </w:rPr>
              <w:t>保持对合规状况的认识和理解记录（如合规培训/合规沟通/合规咨询/合规审查/合规检查/合规尽职调查/不合规报告或举报等记录）</w:t>
            </w:r>
          </w:p>
          <w:p>
            <w:pPr>
              <w:keepNext/>
              <w:keepLines/>
              <w:pageBreakBefore w:val="0"/>
              <w:widowControl w:val="0"/>
              <w:numPr>
                <w:ilvl w:val="0"/>
                <w:numId w:val="16"/>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color w:val="000000" w:themeColor="text1"/>
                <w:spacing w:val="-4"/>
                <w:szCs w:val="21"/>
                <w14:textFill>
                  <w14:solidFill>
                    <w14:schemeClr w14:val="tx1"/>
                  </w14:solidFill>
                </w14:textFill>
              </w:rPr>
            </w:pPr>
            <w:r>
              <w:rPr>
                <w:rFonts w:asciiTheme="minorEastAsia" w:eastAsiaTheme="minorEastAsia" w:hAnsiTheme="minorEastAsia" w:cstheme="minorEastAsia" w:hint="eastAsia"/>
                <w:color w:val="000000" w:themeColor="text1"/>
                <w:spacing w:val="-4"/>
                <w:sz w:val="21"/>
                <w:szCs w:val="21"/>
                <w:lang w:val="en-US" w:eastAsia="zh-CN"/>
                <w14:textFill>
                  <w14:solidFill>
                    <w14:schemeClr w14:val="tx1"/>
                  </w14:solidFill>
                </w14:textFill>
              </w:rPr>
              <w:t>合规性评价记录表</w:t>
            </w:r>
          </w:p>
          <w:p>
            <w:pPr>
              <w:keepNext/>
              <w:keepLines/>
              <w:pageBreakBefore w:val="0"/>
              <w:widowControl w:val="0"/>
              <w:numPr>
                <w:ilvl w:val="0"/>
                <w:numId w:val="16"/>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color w:val="000000" w:themeColor="text1"/>
                <w:spacing w:val="-4"/>
                <w:szCs w:val="21"/>
                <w14:textFill>
                  <w14:solidFill>
                    <w14:schemeClr w14:val="tx1"/>
                  </w14:solidFill>
                </w14:textFill>
              </w:rPr>
            </w:pPr>
            <w:r>
              <w:rPr>
                <w:rFonts w:asciiTheme="minorEastAsia" w:eastAsiaTheme="minorEastAsia" w:hAnsiTheme="minorEastAsia" w:cstheme="minorEastAsia" w:hint="eastAsia"/>
                <w:color w:val="000000" w:themeColor="text1"/>
                <w:spacing w:val="-4"/>
                <w:sz w:val="21"/>
                <w:szCs w:val="21"/>
                <w:lang w:val="en-US" w:eastAsia="zh-CN"/>
                <w14:textFill>
                  <w14:solidFill>
                    <w14:schemeClr w14:val="tx1"/>
                  </w14:solidFill>
                </w14:textFill>
              </w:rPr>
              <w:t>合规性评价报告</w:t>
            </w:r>
          </w:p>
          <w:p>
            <w:pPr>
              <w:keepNext/>
              <w:keepLines/>
              <w:pageBreakBefore w:val="0"/>
              <w:widowControl w:val="0"/>
              <w:numPr>
                <w:ilvl w:val="0"/>
                <w:numId w:val="16"/>
              </w:numPr>
              <w:kinsoku/>
              <w:wordWrap/>
              <w:overflowPunct/>
              <w:topLinePunct w:val="0"/>
              <w:autoSpaceDE/>
              <w:autoSpaceDN/>
              <w:bidi w:val="0"/>
              <w:adjustRightInd/>
              <w:snapToGrid/>
              <w:spacing w:line="360" w:lineRule="exact"/>
              <w:ind w:left="0" w:firstLine="0" w:leftChars="0" w:firstLineChars="0"/>
              <w:jc w:val="both"/>
              <w:textAlignment w:val="auto"/>
              <w:rPr>
                <w:rFonts w:asciiTheme="minorEastAsia" w:hAnsiTheme="minorEastAsia" w:cstheme="minorEastAsia" w:hint="eastAsia"/>
                <w:color w:val="000000" w:themeColor="text1"/>
                <w:szCs w:val="21"/>
                <w14:textFill>
                  <w14:solidFill>
                    <w14:schemeClr w14:val="tx1"/>
                  </w14:solidFill>
                </w14:textFill>
              </w:rPr>
            </w:pPr>
            <w:r>
              <w:rPr>
                <w:rFonts w:asciiTheme="minorEastAsia" w:eastAsiaTheme="minorEastAsia" w:hAnsiTheme="minorEastAsia" w:cstheme="minorEastAsia" w:hint="eastAsia"/>
                <w:color w:val="000000" w:themeColor="text1"/>
                <w:spacing w:val="-4"/>
                <w:sz w:val="21"/>
                <w:szCs w:val="21"/>
                <w:lang w:val="en-US" w:eastAsia="zh-CN"/>
                <w14:textFill>
                  <w14:solidFill>
                    <w14:schemeClr w14:val="tx1"/>
                  </w14:solidFill>
                </w14:textFill>
              </w:rPr>
              <w:t>不合规采取措施的记录</w:t>
            </w:r>
          </w:p>
        </w:tc>
      </w:tr>
    </w:tbl>
    <w:p>
      <w:pPr>
        <w:keepNext/>
        <w:keepLines/>
        <w:pageBreakBefore w:val="0"/>
        <w:widowControl w:val="0"/>
        <w:kinsoku/>
        <w:wordWrap/>
        <w:overflowPunct/>
        <w:topLinePunct w:val="0"/>
        <w:bidi w:val="0"/>
        <w:adjustRightInd/>
        <w:snapToGrid/>
        <w:textAlignment w:val="auto"/>
        <w:sectPr>
          <w:headerReference w:type="default" r:id="rId15"/>
          <w:footerReference w:type="default" r:id="rId16"/>
          <w:pgSz w:w="16838" w:h="23811"/>
          <w:pgMar w:top="720" w:right="720" w:bottom="720" w:left="720" w:header="851" w:footer="992" w:gutter="0"/>
          <w:pgNumType w:start="5"/>
          <w:cols w:num="1" w:space="425"/>
          <w:docGrid w:type="lines" w:linePitch="312" w:charSpace="0"/>
        </w:sectPr>
      </w:pPr>
    </w:p>
    <w:p>
      <w:pPr>
        <w:keepNext/>
        <w:keepLines/>
        <w:pageBreakBefore w:val="0"/>
        <w:widowControl w:val="0"/>
        <w:tabs>
          <w:tab w:val="left" w:pos="3499"/>
        </w:tabs>
        <w:kinsoku/>
        <w:wordWrap/>
        <w:overflowPunct/>
        <w:topLinePunct w:val="0"/>
        <w:autoSpaceDE/>
        <w:autoSpaceDN/>
        <w:bidi w:val="0"/>
        <w:adjustRightInd/>
        <w:snapToGrid/>
        <w:spacing w:before="312" w:beforeLines="100" w:line="360" w:lineRule="auto"/>
        <w:ind w:left="0" w:right="0" w:firstLine="0" w:leftChars="0" w:rightChars="0" w:firstLineChars="0"/>
        <w:jc w:val="center"/>
        <w:textAlignment w:val="auto"/>
        <w:rPr>
          <w:rFonts w:ascii="黑体" w:eastAsia="黑体" w:hAnsi="黑体" w:cs="黑体" w:hint="eastAsia"/>
          <w:b/>
          <w:bCs/>
          <w:color w:val="C00000"/>
          <w:szCs w:val="21"/>
          <w:vertAlign w:val="baseline"/>
        </w:rPr>
      </w:pPr>
      <w:r>
        <w:rPr>
          <w:rFonts w:ascii="黑体" w:eastAsia="黑体" w:hAnsi="黑体" w:cs="黑体" w:hint="eastAsia"/>
          <w:b/>
          <w:bCs/>
          <w:color w:val="C00000"/>
          <w:sz w:val="21"/>
          <w:szCs w:val="21"/>
          <w:vertAlign w:val="baseline"/>
          <w:lang w:val="en-US" w:eastAsia="zh-CN"/>
        </w:rPr>
        <w:t>第三部分：</w:t>
      </w:r>
      <w:r>
        <w:rPr>
          <w:rFonts w:ascii="黑体" w:eastAsia="黑体" w:hAnsi="黑体" w:cs="黑体" w:hint="eastAsia"/>
          <w:b/>
          <w:bCs/>
          <w:color w:val="0000FF"/>
          <w:sz w:val="21"/>
          <w:szCs w:val="21"/>
          <w:vertAlign w:val="baseline"/>
          <w:lang w:val="en-US" w:eastAsia="zh-CN"/>
        </w:rPr>
        <w:t>“9.1.2合规性评价”</w:t>
      </w:r>
      <w:r>
        <w:rPr>
          <w:rFonts w:ascii="黑体" w:eastAsia="黑体" w:hAnsi="黑体" w:cs="黑体" w:hint="eastAsia"/>
          <w:b/>
          <w:bCs/>
          <w:color w:val="C00000"/>
          <w:sz w:val="21"/>
          <w:szCs w:val="21"/>
          <w:vertAlign w:val="baseline"/>
          <w:lang w:val="en-US" w:eastAsia="zh-CN"/>
        </w:rPr>
        <w:t>风险识别与描述</w:t>
      </w:r>
    </w:p>
    <w:tbl>
      <w:tblPr>
        <w:tblStyle w:val="TableNormal"/>
        <w:tblW w:w="22587"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1219"/>
        <w:gridCol w:w="1850"/>
        <w:gridCol w:w="1250"/>
        <w:gridCol w:w="2984"/>
        <w:gridCol w:w="4016"/>
        <w:gridCol w:w="4817"/>
        <w:gridCol w:w="6451"/>
      </w:tblGrid>
      <w:tr>
        <w:tblPrEx>
          <w:tblW w:w="22587"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Ex>
        <w:trPr>
          <w:cantSplit/>
          <w:trHeight w:val="363"/>
          <w:tblHeader/>
          <w:jc w:val="right"/>
        </w:trPr>
        <w:tc>
          <w:tcPr>
            <w:tcW w:w="4319" w:type="dxa"/>
            <w:gridSpan w:val="3"/>
            <w:tcBorders>
              <w:top w:val="single" w:sz="4" w:space="0" w:color="000000"/>
              <w:left w:val="single" w:sz="4" w:space="0" w:color="000000"/>
              <w:bottom w:val="single" w:sz="4" w:space="0" w:color="000000"/>
              <w:right w:val="single" w:sz="4" w:space="0" w:color="000000"/>
              <w:tl2br w:val="nil"/>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rPr>
                <w:rFonts w:ascii="黑体" w:eastAsia="黑体" w:hAnsi="黑体" w:cs="黑体" w:hint="eastAsia"/>
                <w:b/>
                <w:bCs/>
                <w:i w:val="0"/>
                <w:iCs w:val="0"/>
                <w:color w:val="000000"/>
                <w:kern w:val="0"/>
                <w:szCs w:val="21"/>
                <w:u w:val="none"/>
                <w:lang w:bidi="ar"/>
              </w:rPr>
            </w:pPr>
            <w:r>
              <w:rPr>
                <w:rFonts w:ascii="黑体" w:eastAsia="黑体" w:hAnsi="黑体" w:cs="黑体" w:hint="eastAsia"/>
                <w:b/>
                <w:bCs/>
                <w:i w:val="0"/>
                <w:iCs w:val="0"/>
                <w:color w:val="000000"/>
                <w:kern w:val="0"/>
                <w:sz w:val="21"/>
                <w:szCs w:val="21"/>
                <w:u w:val="none"/>
                <w:lang w:val="en-US" w:eastAsia="zh-CN" w:bidi="ar"/>
              </w:rPr>
              <w:t>风险点</w:t>
            </w:r>
          </w:p>
        </w:tc>
        <w:tc>
          <w:tcPr>
            <w:tcW w:w="1826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rPr>
                <w:rFonts w:ascii="黑体" w:eastAsia="黑体" w:hAnsi="黑体" w:cs="黑体" w:hint="eastAsia"/>
                <w:b/>
                <w:bCs/>
                <w:i w:val="0"/>
                <w:iCs w:val="0"/>
                <w:color w:val="000000"/>
                <w:szCs w:val="21"/>
                <w:u w:val="none"/>
              </w:rPr>
            </w:pPr>
            <w:r>
              <w:rPr>
                <w:rFonts w:ascii="黑体" w:eastAsia="黑体" w:hAnsi="黑体" w:cs="黑体" w:hint="eastAsia"/>
                <w:b/>
                <w:bCs/>
                <w:i w:val="0"/>
                <w:iCs w:val="0"/>
                <w:color w:val="000000"/>
                <w:kern w:val="0"/>
                <w:sz w:val="21"/>
                <w:szCs w:val="21"/>
                <w:u w:val="none"/>
                <w:lang w:val="en-US" w:eastAsia="zh-CN" w:bidi="ar"/>
              </w:rPr>
              <w:t>风险描述</w:t>
            </w:r>
          </w:p>
        </w:tc>
      </w:tr>
      <w:tr>
        <w:tblPrEx>
          <w:tblW w:w="22587" w:type="dxa"/>
          <w:jc w:val="right"/>
          <w:shd w:val="clear" w:color="auto" w:fill="auto"/>
          <w:tblCellMar>
            <w:top w:w="0" w:type="dxa"/>
            <w:left w:w="108" w:type="dxa"/>
            <w:bottom w:w="0" w:type="dxa"/>
            <w:right w:w="108" w:type="dxa"/>
          </w:tblCellMar>
        </w:tblPrEx>
        <w:trPr>
          <w:cantSplit/>
          <w:trHeight w:val="363"/>
          <w:tblHeader/>
          <w:jc w:val="right"/>
        </w:trPr>
        <w:tc>
          <w:tcPr>
            <w:tcW w:w="1219"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suppressLineNumbers w:val="0"/>
              <w:kinsoku/>
              <w:wordWrap/>
              <w:overflowPunct/>
              <w:topLinePunct w:val="0"/>
              <w:autoSpaceDE/>
              <w:autoSpaceDN/>
              <w:bidi w:val="0"/>
              <w:adjustRightInd/>
              <w:snapToGrid/>
              <w:spacing w:line="400" w:lineRule="exact"/>
              <w:ind w:left="0" w:right="0" w:firstLine="0" w:leftChars="0" w:rightChars="0" w:firstLineChars="0"/>
              <w:jc w:val="center"/>
              <w:textAlignment w:val="center"/>
              <w:rPr>
                <w:rFonts w:ascii="黑体" w:eastAsia="黑体" w:hAnsi="黑体" w:cs="黑体" w:hint="eastAsia"/>
                <w:b/>
                <w:bCs/>
                <w:i w:val="0"/>
                <w:iCs w:val="0"/>
                <w:color w:val="000000"/>
                <w:szCs w:val="21"/>
                <w:u w:val="none"/>
              </w:rPr>
            </w:pPr>
            <w:r>
              <w:rPr>
                <w:rFonts w:ascii="黑体" w:eastAsia="黑体" w:hAnsi="黑体" w:cs="黑体" w:hint="eastAsia"/>
                <w:b/>
                <w:bCs/>
                <w:i w:val="0"/>
                <w:iCs w:val="0"/>
                <w:color w:val="000000"/>
                <w:kern w:val="0"/>
                <w:sz w:val="21"/>
                <w:szCs w:val="21"/>
                <w:u w:val="none"/>
                <w:lang w:val="en-US" w:eastAsia="zh-CN" w:bidi="ar"/>
              </w:rPr>
              <w:t>一级流程</w:t>
            </w:r>
          </w:p>
        </w:tc>
        <w:tc>
          <w:tcPr>
            <w:tcW w:w="1850"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suppressLineNumbers w:val="0"/>
              <w:kinsoku/>
              <w:wordWrap/>
              <w:overflowPunct/>
              <w:topLinePunct w:val="0"/>
              <w:autoSpaceDE/>
              <w:autoSpaceDN/>
              <w:bidi w:val="0"/>
              <w:adjustRightInd/>
              <w:snapToGrid/>
              <w:spacing w:line="400" w:lineRule="exact"/>
              <w:ind w:left="0" w:right="0" w:firstLine="0" w:leftChars="0" w:rightChars="0" w:firstLineChars="0"/>
              <w:jc w:val="center"/>
              <w:textAlignment w:val="center"/>
              <w:rPr>
                <w:rFonts w:ascii="黑体" w:eastAsia="黑体" w:hAnsi="黑体" w:cs="黑体" w:hint="eastAsia"/>
                <w:b/>
                <w:bCs/>
                <w:i w:val="0"/>
                <w:iCs w:val="0"/>
                <w:color w:val="000000"/>
                <w:szCs w:val="21"/>
                <w:u w:val="none"/>
              </w:rPr>
            </w:pPr>
            <w:r>
              <w:rPr>
                <w:rFonts w:ascii="黑体" w:eastAsia="黑体" w:hAnsi="黑体" w:cs="黑体" w:hint="eastAsia"/>
                <w:b/>
                <w:bCs/>
                <w:i w:val="0"/>
                <w:iCs w:val="0"/>
                <w:color w:val="000000"/>
                <w:kern w:val="0"/>
                <w:sz w:val="21"/>
                <w:szCs w:val="21"/>
                <w:u w:val="none"/>
                <w:lang w:val="en-US" w:eastAsia="zh-CN" w:bidi="ar"/>
              </w:rPr>
              <w:t>二级流程</w:t>
            </w:r>
          </w:p>
        </w:tc>
        <w:tc>
          <w:tcPr>
            <w:tcW w:w="1250"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suppressLineNumbers w:val="0"/>
              <w:kinsoku/>
              <w:wordWrap/>
              <w:overflowPunct/>
              <w:topLinePunct w:val="0"/>
              <w:autoSpaceDE/>
              <w:autoSpaceDN/>
              <w:bidi w:val="0"/>
              <w:adjustRightInd/>
              <w:snapToGrid/>
              <w:spacing w:line="400" w:lineRule="exact"/>
              <w:ind w:left="0" w:right="0" w:firstLine="0" w:leftChars="0" w:rightChars="0" w:firstLineChars="0"/>
              <w:jc w:val="center"/>
              <w:textAlignment w:val="center"/>
              <w:rPr>
                <w:rFonts w:ascii="黑体" w:eastAsia="黑体" w:hAnsi="黑体" w:cs="黑体" w:hint="eastAsia"/>
                <w:b/>
                <w:bCs/>
                <w:i w:val="0"/>
                <w:iCs w:val="0"/>
                <w:color w:val="000000"/>
                <w:kern w:val="0"/>
                <w:szCs w:val="21"/>
                <w:u w:val="none"/>
                <w:lang w:bidi="ar"/>
              </w:rPr>
            </w:pPr>
            <w:r>
              <w:rPr>
                <w:rFonts w:ascii="黑体" w:eastAsia="黑体" w:hAnsi="黑体" w:cs="黑体" w:hint="eastAsia"/>
                <w:b/>
                <w:bCs/>
                <w:i w:val="0"/>
                <w:iCs w:val="0"/>
                <w:color w:val="000000"/>
                <w:kern w:val="0"/>
                <w:sz w:val="21"/>
                <w:szCs w:val="21"/>
                <w:u w:val="none"/>
                <w:lang w:val="en-US" w:eastAsia="zh-CN" w:bidi="ar"/>
              </w:rPr>
              <w:t>三级流程</w:t>
            </w: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i w:val="0"/>
                <w:iCs w:val="0"/>
                <w:color w:val="000000"/>
                <w:kern w:val="0"/>
                <w:szCs w:val="21"/>
                <w:u w:val="none"/>
                <w:lang w:bidi="ar"/>
              </w:rPr>
            </w:pPr>
            <w:r>
              <w:rPr>
                <w:rFonts w:ascii="黑体" w:eastAsia="黑体" w:hAnsi="黑体" w:cs="黑体" w:hint="eastAsia"/>
                <w:b/>
                <w:bCs/>
                <w:color w:val="000000"/>
                <w:sz w:val="21"/>
                <w:szCs w:val="21"/>
              </w:rPr>
              <w:t>风险源</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i w:val="0"/>
                <w:iCs w:val="0"/>
                <w:color w:val="000000"/>
                <w:szCs w:val="21"/>
                <w:u w:val="none"/>
              </w:rPr>
            </w:pPr>
            <w:r>
              <w:rPr>
                <w:rFonts w:ascii="黑体" w:eastAsia="黑体" w:hAnsi="黑体" w:cs="黑体" w:hint="eastAsia"/>
                <w:b/>
                <w:bCs/>
                <w:color w:val="000000"/>
                <w:sz w:val="21"/>
                <w:szCs w:val="21"/>
                <w:lang w:val="en-US" w:eastAsia="zh-CN"/>
              </w:rPr>
              <w:t>风险成因</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i w:val="0"/>
                <w:iCs w:val="0"/>
                <w:color w:val="000000"/>
                <w:kern w:val="0"/>
                <w:szCs w:val="21"/>
                <w:u w:val="none"/>
                <w:lang w:bidi="ar"/>
              </w:rPr>
            </w:pPr>
            <w:r>
              <w:rPr>
                <w:rFonts w:ascii="黑体" w:eastAsia="黑体" w:hAnsi="黑体" w:cs="黑体" w:hint="eastAsia"/>
                <w:b/>
                <w:bCs/>
                <w:color w:val="000000"/>
                <w:sz w:val="21"/>
                <w:szCs w:val="21"/>
                <w:lang w:val="en-US" w:eastAsia="zh-CN"/>
              </w:rPr>
              <w:t>致险情景（风险表现形式）</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i w:val="0"/>
                <w:iCs w:val="0"/>
                <w:color w:val="000000"/>
                <w:kern w:val="0"/>
                <w:szCs w:val="21"/>
                <w:u w:val="none"/>
                <w:lang w:bidi="ar"/>
              </w:rPr>
            </w:pPr>
            <w:r>
              <w:rPr>
                <w:rFonts w:ascii="黑体" w:eastAsia="黑体" w:hAnsi="黑体" w:cs="黑体" w:hint="eastAsia"/>
                <w:b/>
                <w:bCs/>
                <w:i w:val="0"/>
                <w:iCs w:val="0"/>
                <w:smallCaps w:val="0"/>
                <w:strike w:val="0"/>
                <w:color w:val="000000"/>
                <w:spacing w:val="0"/>
                <w:w w:val="100"/>
                <w:position w:val="0"/>
                <w:sz w:val="21"/>
                <w:szCs w:val="21"/>
                <w:lang w:val="en-US" w:eastAsia="zh-CN"/>
              </w:rPr>
              <w:t>风险可能导致的</w:t>
            </w:r>
            <w:r>
              <w:rPr>
                <w:rFonts w:ascii="黑体" w:eastAsia="黑体" w:hAnsi="黑体" w:cs="黑体" w:hint="eastAsia"/>
                <w:b/>
                <w:bCs/>
                <w:i w:val="0"/>
                <w:iCs w:val="0"/>
                <w:smallCaps w:val="0"/>
                <w:strike w:val="0"/>
                <w:color w:val="000000"/>
                <w:spacing w:val="0"/>
                <w:w w:val="100"/>
                <w:position w:val="0"/>
                <w:sz w:val="21"/>
                <w:szCs w:val="21"/>
                <w:lang w:val="en-US" w:eastAsia="en-US"/>
              </w:rPr>
              <w:t>后果</w:t>
            </w:r>
            <w:r>
              <w:rPr>
                <w:rFonts w:ascii="黑体" w:eastAsia="黑体" w:hAnsi="黑体" w:cs="黑体" w:hint="eastAsia"/>
                <w:b/>
                <w:bCs/>
                <w:i w:val="0"/>
                <w:iCs w:val="0"/>
                <w:smallCaps w:val="0"/>
                <w:strike w:val="0"/>
                <w:color w:val="000000"/>
                <w:spacing w:val="0"/>
                <w:w w:val="100"/>
                <w:position w:val="0"/>
                <w:sz w:val="21"/>
                <w:szCs w:val="21"/>
                <w:lang w:val="en-US" w:eastAsia="zh-CN"/>
              </w:rPr>
              <w:t>（</w:t>
            </w:r>
            <w:r>
              <w:rPr>
                <w:rFonts w:ascii="黑体" w:eastAsia="黑体" w:hAnsi="黑体" w:cs="黑体" w:hint="eastAsia"/>
                <w:b/>
                <w:bCs/>
                <w:i w:val="0"/>
                <w:iCs w:val="0"/>
                <w:smallCaps w:val="0"/>
                <w:strike w:val="0"/>
                <w:color w:val="000000"/>
                <w:spacing w:val="0"/>
                <w:w w:val="100"/>
                <w:position w:val="0"/>
                <w:sz w:val="21"/>
                <w:szCs w:val="21"/>
                <w:lang w:val="en-US" w:eastAsia="en-US"/>
              </w:rPr>
              <w:t>对</w:t>
            </w:r>
            <w:r>
              <w:rPr>
                <w:rFonts w:ascii="黑体" w:eastAsia="黑体" w:hAnsi="黑体" w:cs="黑体" w:hint="eastAsia"/>
                <w:b/>
                <w:bCs/>
                <w:i w:val="0"/>
                <w:iCs w:val="0"/>
                <w:smallCaps w:val="0"/>
                <w:strike w:val="0"/>
                <w:color w:val="000000"/>
                <w:spacing w:val="0"/>
                <w:w w:val="100"/>
                <w:position w:val="0"/>
                <w:sz w:val="21"/>
                <w:szCs w:val="21"/>
                <w:lang w:val="en-US" w:eastAsia="zh-CN"/>
              </w:rPr>
              <w:t>实现安全</w:t>
            </w:r>
            <w:r>
              <w:rPr>
                <w:rFonts w:ascii="黑体" w:eastAsia="黑体" w:hAnsi="黑体" w:cs="黑体" w:hint="eastAsia"/>
                <w:b/>
                <w:bCs/>
                <w:i w:val="0"/>
                <w:iCs w:val="0"/>
                <w:smallCaps w:val="0"/>
                <w:strike w:val="0"/>
                <w:color w:val="000000"/>
                <w:spacing w:val="0"/>
                <w:w w:val="100"/>
                <w:position w:val="0"/>
                <w:sz w:val="21"/>
                <w:szCs w:val="21"/>
                <w:lang w:val="en-US" w:eastAsia="en-US"/>
              </w:rPr>
              <w:t>目标的影响</w:t>
            </w:r>
            <w:r>
              <w:rPr>
                <w:rFonts w:ascii="黑体" w:eastAsia="黑体" w:hAnsi="黑体" w:cs="黑体" w:hint="eastAsia"/>
                <w:b/>
                <w:bCs/>
                <w:i w:val="0"/>
                <w:iCs w:val="0"/>
                <w:smallCaps w:val="0"/>
                <w:strike w:val="0"/>
                <w:color w:val="000000"/>
                <w:spacing w:val="0"/>
                <w:w w:val="100"/>
                <w:position w:val="0"/>
                <w:sz w:val="21"/>
                <w:szCs w:val="21"/>
                <w:lang w:val="en-US" w:eastAsia="zh-CN"/>
              </w:rPr>
              <w:t>）</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建立</w:t>
            </w:r>
            <w:r>
              <w:rPr>
                <w:rFonts w:ascii="宋体" w:hAnsi="宋体" w:cstheme="minorBidi" w:hint="eastAsia"/>
                <w:b w:val="0"/>
                <w:color w:val="000000"/>
                <w:kern w:val="2"/>
                <w:sz w:val="21"/>
                <w:szCs w:val="21"/>
                <w:lang w:val="en-US" w:eastAsia="zh-CN" w:bidi="ar-SA"/>
              </w:rPr>
              <w:t>合规评评价</w:t>
            </w:r>
            <w:r>
              <w:rPr>
                <w:rFonts w:ascii="宋体" w:hAnsi="宋体" w:eastAsiaTheme="minorEastAsia" w:cstheme="minorBidi" w:hint="default"/>
                <w:b w:val="0"/>
                <w:color w:val="000000"/>
                <w:kern w:val="2"/>
                <w:sz w:val="21"/>
                <w:szCs w:val="21"/>
                <w:lang w:val="en-US" w:eastAsia="zh-CN" w:bidi="ar-SA"/>
              </w:rPr>
              <w:t>过程</w:t>
            </w:r>
          </w:p>
        </w:tc>
        <w:tc>
          <w:tcPr>
            <w:tcW w:w="18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评价程序不健全</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组织未建立完整、系统的合规性评价程序</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评价过程中存在漏洞或偏见，无法全面、客观地评价合规性</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组织可能误判合规状况，导致未能及时发现和纠正合规风险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职责不明确</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组织未明确规定合规性评价的职责</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无人负责或多人负责导致工作重复或遗漏</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合规性评价无法有效进行，可能错过重要的合规问题，增加违规风险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实施合规性评价</w:t>
            </w:r>
          </w:p>
        </w:tc>
        <w:tc>
          <w:tcPr>
            <w:tcW w:w="18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合规性评价未开展</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缺乏合规意识或管理机制</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组织未进行定期的合规性评价，无法提供证据</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组织可能违反法律法规，面临法律处罚和声誉损失</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评价频次不足</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组织未能按照合理的频次进行合规性评价</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合规性评价间隔过长，无法及时发现和解决合规问题</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合规风险可能逐渐累积，最终导致严重的合规事故或法律纠纷</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合规性评价方法不当</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缺乏专业知识或培训</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组织采用的合规性评价方法不适合其规模、类型和复杂程度</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评价方法过于简单或复杂，无法准确识别合规风险</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合规性评价流于形式，避重就轻，缺乏证据支持</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合规性评价结果不准确</w:t>
            </w:r>
            <w:r>
              <w:rPr>
                <w:rFonts w:ascii="宋体" w:hAnsi="宋体" w:cstheme="minorBidi" w:hint="eastAsia"/>
                <w:b w:val="0"/>
                <w:color w:val="000000"/>
                <w:kern w:val="2"/>
                <w:sz w:val="21"/>
                <w:szCs w:val="21"/>
                <w:lang w:val="en-US" w:eastAsia="zh-CN" w:bidi="ar-SA"/>
              </w:rPr>
              <w:t>或</w:t>
            </w:r>
            <w:r>
              <w:rPr>
                <w:rFonts w:ascii="宋体" w:hAnsi="宋体" w:eastAsiaTheme="minorEastAsia" w:cstheme="minorBidi" w:hint="default"/>
                <w:b w:val="0"/>
                <w:color w:val="000000"/>
                <w:kern w:val="2"/>
                <w:sz w:val="21"/>
                <w:szCs w:val="21"/>
                <w:lang w:val="en-US" w:eastAsia="zh-CN" w:bidi="ar-SA"/>
              </w:rPr>
              <w:t>不可靠</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可能导致对合规状况的误判，增加违规风险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合规性评价范围不全面</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覆盖不全</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对合规义务理解不足</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组织未将所有相关的法律法规和其他要求纳入评价范围</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仅对部分合规义务进行评价，忽略其他要求或承诺</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遗漏了重要的合规要求</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合规性评价结果不全面，遗漏重要合规风险</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组织可能因未遵守遗漏的法律法规而受到处罚，</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合规义务识别不足</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缺乏有效的合规义务识别机制</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未能充分识别和理解所有适用的合规义务</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可能导致违反法律法规或行业标准，面临法律或业务风险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资源不足</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人力、物力或时间匮乏</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无法充分执行合规性评价</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合规性评价结果可能不准确，无法有效指导组织决策和行动</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忽视以往评价情况</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组织在进行合规性评价时未考虑以往的评价情况和结果</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重复评价已解决的问题或忽视已识别的风险</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浪费资源在重复评价上，同时可能忽视新的或已变化的合规风险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评价过程存在漏洞</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疏忽或管理不善</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某些不合规行为未被及时发现和纠正</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组织可能持续存在合规风险，面临潜在的法律和业务损失</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合规性评价跟进不及时</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对合规义务变化缺乏敏感性</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未能及时跟进合规义务的变化并进行评价</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评价结果可能不符合最新的合规要求，导致违规风险增加</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评价方法不科学</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使用不适当或过于主观的评价方法</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影响合规性评价结果的客观性和准确性</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合规风险可能被误判或低估，导致决策失误和潜在损失</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不合规的处理</w:t>
            </w:r>
          </w:p>
        </w:tc>
        <w:tc>
          <w:tcPr>
            <w:tcW w:w="18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应对措施不适当</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对合规性评价发现的问题处理不当</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采取的应对措施无法有效降低风险</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合规问题可能持续存在或恶化，对组织造成不利影响</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不合规情况处理不当</w:t>
            </w:r>
            <w:r>
              <w:rPr>
                <w:rFonts w:ascii="宋体" w:hAnsi="宋体" w:cstheme="minorBidi" w:hint="eastAsia"/>
                <w:b w:val="0"/>
                <w:color w:val="000000"/>
                <w:kern w:val="2"/>
                <w:sz w:val="21"/>
                <w:szCs w:val="21"/>
                <w:lang w:val="en-US" w:eastAsia="zh-CN" w:bidi="ar-SA"/>
              </w:rPr>
              <w:t>或</w:t>
            </w:r>
            <w:r>
              <w:rPr>
                <w:rFonts w:ascii="宋体" w:hAnsi="宋体" w:eastAsiaTheme="minorEastAsia" w:cstheme="minorBidi" w:hint="default"/>
                <w:b w:val="0"/>
                <w:color w:val="000000"/>
                <w:kern w:val="2"/>
                <w:sz w:val="21"/>
                <w:szCs w:val="21"/>
                <w:lang w:val="en-US" w:eastAsia="zh-CN" w:bidi="ar-SA"/>
              </w:rPr>
              <w:t>未及时纠正</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对发现的不合规行为反应迟缓或处理不当</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组织对发现的不合规情况未进行原因分析或未制定实施有效的纠正和预防措施</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未及时采取纠正和纠正措施以消除不合规行为</w:t>
            </w:r>
            <w:r>
              <w:rPr>
                <w:rFonts w:ascii="宋体" w:hAnsi="宋体" w:cstheme="minorBidi" w:hint="eastAsia"/>
                <w:b w:val="0"/>
                <w:color w:val="000000"/>
                <w:kern w:val="2"/>
                <w:sz w:val="21"/>
                <w:szCs w:val="21"/>
                <w:lang w:val="en-US" w:eastAsia="zh-CN" w:bidi="ar-SA"/>
              </w:rPr>
              <w:t>，</w:t>
            </w:r>
            <w:r>
              <w:rPr>
                <w:rFonts w:ascii="宋体" w:hAnsi="宋体" w:eastAsiaTheme="minorEastAsia" w:cstheme="minorBidi" w:hint="default"/>
                <w:b w:val="0"/>
                <w:color w:val="000000"/>
                <w:kern w:val="2"/>
                <w:sz w:val="21"/>
                <w:szCs w:val="21"/>
                <w:lang w:val="en-US" w:eastAsia="zh-CN" w:bidi="ar-SA"/>
              </w:rPr>
              <w:t>不合规问题持续存在或反复出现，无法得到根本解决</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组织可能因持续违规而受到更严重的法律处罚，声誉和运营受到长期影响</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措施跟踪不足</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组织对实施的纠正措施未进行有效跟踪和验证</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措施执行不到位或无效，无法确保问题得到真正解决</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合规风险仍然存在，组织可能面临持续的法律和运营风险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未持续监控和改进</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缺乏有效的监控和改进机制</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对已识别的不合规事项或风险未进行持续监控和改进</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不合规问题可能重复出现，增加组织的风险和成本</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after="0" w:line="360" w:lineRule="auto"/>
              <w:jc w:val="both"/>
              <w:textAlignment w:val="auto"/>
              <w:rPr>
                <w:rFonts w:ascii="宋体" w:hAnsi="宋体" w:hint="default"/>
                <w:b w:val="0"/>
                <w:color w:val="000000"/>
                <w:szCs w:val="21"/>
              </w:rPr>
            </w:pPr>
          </w:p>
        </w:tc>
        <w:tc>
          <w:tcPr>
            <w:tcW w:w="1850"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法律法规信息获取不全</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缺乏有效的跟踪机制</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新法规出台或旧法规修订未知晓</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组织可能因违反新法规而受到处罚，影响正常运营</w:t>
            </w:r>
          </w:p>
        </w:tc>
      </w:tr>
    </w:tbl>
    <w:p>
      <w:pPr>
        <w:sectPr>
          <w:headerReference w:type="default" r:id="rId17"/>
          <w:footerReference w:type="default" r:id="rId18"/>
          <w:pgSz w:w="23811" w:h="16838" w:orient="landscape"/>
          <w:pgMar w:top="720" w:right="720" w:bottom="720" w:left="720" w:header="851" w:footer="992" w:gutter="0"/>
          <w:pgNumType w:start="6"/>
          <w:cols w:num="1" w:space="425"/>
          <w:docGrid w:type="lines" w:linePitch="312" w:charSpace="0"/>
        </w:sectPr>
      </w:pPr>
    </w:p>
    <w:tbl>
      <w:tblPr>
        <w:tblStyle w:val="TableNormal"/>
        <w:tblW w:w="22587"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1219"/>
        <w:gridCol w:w="1850"/>
        <w:gridCol w:w="1250"/>
        <w:gridCol w:w="2984"/>
        <w:gridCol w:w="4016"/>
        <w:gridCol w:w="4817"/>
        <w:gridCol w:w="6451"/>
      </w:tblGrid>
      <w:tr>
        <w:tblPrEx>
          <w:tblW w:w="22587"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Ex>
        <w:trPr>
          <w:cantSplit/>
          <w:trHeight w:val="452"/>
          <w:jc w:val="right"/>
        </w:trPr>
        <w:tc>
          <w:tcPr>
            <w:tcW w:w="1219"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before="0"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保持对其合规状况的认识和理解</w:t>
            </w:r>
          </w:p>
        </w:tc>
        <w:tc>
          <w:tcPr>
            <w:tcW w:w="1850" w:type="dxa"/>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1250" w:type="dxa"/>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val="restart"/>
            <w:tcBorders>
              <w:top w:val="single" w:sz="4" w:space="0" w:color="000000"/>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eastAsia"/>
                <w:b w:val="0"/>
                <w:color w:val="000000"/>
                <w:kern w:val="2"/>
                <w:sz w:val="21"/>
                <w:szCs w:val="21"/>
                <w:lang w:val="en-US" w:eastAsia="zh-CN" w:bidi="ar-SA"/>
              </w:rPr>
              <w:t>合规</w:t>
            </w:r>
            <w:r>
              <w:rPr>
                <w:rFonts w:ascii="宋体" w:hAnsi="宋体" w:eastAsiaTheme="minorEastAsia" w:cstheme="minorBidi" w:hint="default"/>
                <w:b w:val="0"/>
                <w:color w:val="000000"/>
                <w:kern w:val="2"/>
                <w:sz w:val="21"/>
                <w:szCs w:val="21"/>
                <w:lang w:val="en-US" w:eastAsia="zh-CN" w:bidi="ar-SA"/>
              </w:rPr>
              <w:t>咨询不及时</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与顾问或专家沟通不畅</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遇到合规问题时无法快速获得支持</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组织可能因处理不当而面临法律风险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合规知识理解不足</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缺乏深入学习和理解</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对合规状况的知识和理解不够，照搬照套他人做法</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组织可能无法适应自身特定的合规要求，导致潜在违规风险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合规培训教育不足</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缺乏定期培训计划</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员工对合规要求不了解</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员工行为可能违反法规，导致组织受到处罚</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合规报告渠道不畅</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机制设计不合理或宣传不足</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员工发现违规行为但无法有效报告</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违规行为可能持续存在，加大组织风险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合规风险评估不准确</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评估方法和数据有限</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未能准确识别潜在合规风险</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组织可能因未知风险而遭受损失</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定期自查和自评不深入</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缺乏有效的自查工具和方法</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未能发现存在的合规问题</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问题可能持续存在，影响组织合规性</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合规性审核不独立</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审核人员缺乏独立性或专业性</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审核结果可能受到干扰或误导</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组织可能因错误的审核结果而错过改进机会</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eastAsia"/>
                <w:b w:val="0"/>
                <w:color w:val="000000"/>
                <w:kern w:val="2"/>
                <w:sz w:val="21"/>
                <w:szCs w:val="21"/>
                <w:lang w:val="en-US" w:eastAsia="zh-CN" w:bidi="ar-SA"/>
              </w:rPr>
              <w:t>合规行业</w:t>
            </w:r>
            <w:r>
              <w:rPr>
                <w:rFonts w:ascii="宋体" w:hAnsi="宋体" w:eastAsiaTheme="minorEastAsia" w:cstheme="minorBidi" w:hint="default"/>
                <w:b w:val="0"/>
                <w:color w:val="000000"/>
                <w:kern w:val="2"/>
                <w:sz w:val="21"/>
                <w:szCs w:val="21"/>
                <w:lang w:val="en-US" w:eastAsia="zh-CN" w:bidi="ar-SA"/>
              </w:rPr>
              <w:t>信息获取有限</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缺乏与同业的交流渠道</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无法及时了解行业最新合规动态</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组织可能因信息滞后而落后于行业标准</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8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vMerge/>
            <w:tcBorders>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合规文化建设不</w:t>
            </w:r>
            <w:r>
              <w:rPr>
                <w:rFonts w:ascii="宋体" w:hAnsi="宋体" w:eastAsiaTheme="minorEastAsia" w:cstheme="minorBidi" w:hint="eastAsia"/>
                <w:b w:val="0"/>
                <w:color w:val="000000"/>
                <w:kern w:val="2"/>
                <w:sz w:val="21"/>
                <w:szCs w:val="21"/>
                <w:lang w:val="en-US" w:eastAsia="zh-CN" w:bidi="ar-SA"/>
              </w:rPr>
              <w:t>力</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缺乏有效的文化宣导手段</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员工对合规文化不认同或不重视</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合规行为无法得到全员支持，增加违规风险</w:t>
            </w:r>
          </w:p>
        </w:tc>
      </w:tr>
      <w:tr>
        <w:tblPrEx>
          <w:tblW w:w="22587" w:type="dxa"/>
          <w:jc w:val="right"/>
          <w:shd w:val="clear" w:color="auto" w:fill="auto"/>
          <w:tblCellMar>
            <w:top w:w="0" w:type="dxa"/>
            <w:left w:w="108" w:type="dxa"/>
            <w:bottom w:w="0" w:type="dxa"/>
            <w:right w:w="108" w:type="dxa"/>
          </w:tblCellMar>
        </w:tblPrEx>
        <w:trPr>
          <w:cantSplit/>
          <w:trHeight w:val="452"/>
          <w:jc w:val="right"/>
        </w:trPr>
        <w:tc>
          <w:tcPr>
            <w:tcW w:w="1219"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保留合规性评价结果的成文信息</w:t>
            </w:r>
          </w:p>
        </w:tc>
        <w:tc>
          <w:tcPr>
            <w:tcW w:w="1850"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p>
        </w:tc>
        <w:tc>
          <w:tcPr>
            <w:tcW w:w="1250"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bidi w:val="0"/>
              <w:adjustRightInd/>
              <w:snapToGrid/>
              <w:spacing w:line="360" w:lineRule="auto"/>
              <w:textAlignment w:val="auto"/>
              <w:rPr>
                <w:rFonts w:asciiTheme="minorEastAsia" w:hAnsiTheme="minorEastAsia" w:cstheme="minorEastAsia" w:hint="eastAsia"/>
                <w:b w:val="0"/>
                <w:color w:val="000000"/>
                <w:szCs w:val="21"/>
              </w:rPr>
            </w:pPr>
          </w:p>
        </w:tc>
        <w:tc>
          <w:tcPr>
            <w:tcW w:w="2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评价结果记录不完整</w:t>
            </w:r>
          </w:p>
        </w:tc>
        <w:tc>
          <w:tcPr>
            <w:tcW w:w="4016"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组织未能完整记录合规性评价的结果</w:t>
            </w:r>
          </w:p>
        </w:tc>
        <w:tc>
          <w:tcPr>
            <w:tcW w:w="4817"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在后续审计或检查时无法提供充分的合规性证据</w:t>
            </w:r>
          </w:p>
        </w:tc>
        <w:tc>
          <w:tcPr>
            <w:tcW w:w="6451"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wordWrap/>
              <w:overflowPunct/>
              <w:topLinePunct w:val="0"/>
              <w:autoSpaceDE/>
              <w:autoSpaceDN/>
              <w:bidi w:val="0"/>
              <w:adjustRightInd/>
              <w:snapToGrid/>
              <w:spacing w:line="360" w:lineRule="auto"/>
              <w:jc w:val="both"/>
              <w:textAlignment w:val="auto"/>
              <w:rPr>
                <w:rFonts w:ascii="宋体" w:hAnsi="宋体" w:hint="default"/>
                <w:b w:val="0"/>
                <w:color w:val="000000"/>
                <w:szCs w:val="21"/>
              </w:rPr>
            </w:pPr>
            <w:r>
              <w:rPr>
                <w:rFonts w:ascii="宋体" w:hAnsi="宋体" w:eastAsiaTheme="minorEastAsia" w:cstheme="minorBidi" w:hint="default"/>
                <w:b w:val="0"/>
                <w:color w:val="000000"/>
                <w:kern w:val="2"/>
                <w:sz w:val="21"/>
                <w:szCs w:val="21"/>
                <w:lang w:val="en-US" w:eastAsia="zh-CN" w:bidi="ar-SA"/>
              </w:rPr>
              <w:t>组织可能因无法证明合规性而受到质疑或处罚，影响信誉和业务发展</w:t>
            </w:r>
          </w:p>
        </w:tc>
      </w:tr>
    </w:tbl>
    <w:p>
      <w:pPr>
        <w:keepNext/>
        <w:keepLines/>
        <w:pageBreakBefore w:val="0"/>
        <w:widowControl w:val="0"/>
        <w:kinsoku/>
        <w:wordWrap/>
        <w:overflowPunct/>
        <w:topLinePunct w:val="0"/>
        <w:bidi w:val="0"/>
        <w:adjustRightInd/>
        <w:snapToGrid/>
        <w:textAlignment w:val="auto"/>
      </w:pPr>
    </w:p>
    <w:p>
      <w:pPr>
        <w:keepNext/>
        <w:keepLines/>
        <w:pageBreakBefore w:val="0"/>
        <w:widowControl w:val="0"/>
        <w:kinsoku/>
        <w:wordWrap/>
        <w:overflowPunct/>
        <w:topLinePunct w:val="0"/>
        <w:bidi w:val="0"/>
        <w:adjustRightInd/>
        <w:snapToGrid/>
        <w:textAlignment w:val="auto"/>
        <w:sectPr>
          <w:headerReference w:type="default" r:id="rId19"/>
          <w:footerReference w:type="default" r:id="rId20"/>
          <w:type w:val="nextPage"/>
          <w:pgSz w:w="23811" w:h="16838" w:orient="landscape"/>
          <w:pgMar w:top="720" w:right="720" w:bottom="720" w:left="720" w:header="851" w:footer="992" w:gutter="0"/>
          <w:pgNumType w:start="7"/>
          <w:cols w:num="1" w:space="425"/>
          <w:titlePg w:val="0"/>
          <w:docGrid w:type="lines" w:linePitch="312" w:charSpace="0"/>
        </w:sectPr>
      </w:pPr>
    </w:p>
    <w:p>
      <w:pPr>
        <w:keepNext/>
        <w:keepLines/>
        <w:pageBreakBefore w:val="0"/>
        <w:widowControl w:val="0"/>
        <w:kinsoku w:val="0"/>
        <w:wordWrap/>
        <w:overflowPunct/>
        <w:topLinePunct w:val="0"/>
        <w:autoSpaceDE w:val="0"/>
        <w:autoSpaceDN w:val="0"/>
        <w:bidi w:val="0"/>
        <w:adjustRightInd w:val="0"/>
        <w:snapToGrid w:val="0"/>
        <w:spacing w:before="63" w:line="360" w:lineRule="exact"/>
        <w:ind w:left="0" w:right="0" w:firstLine="0" w:leftChars="0" w:rightChars="0" w:firstLineChars="0"/>
        <w:jc w:val="center"/>
        <w:textAlignment w:val="baseline"/>
        <w:rPr>
          <w:rFonts w:ascii="黑体" w:eastAsia="黑体" w:hAnsi="黑体" w:cs="黑体" w:hint="eastAsia"/>
          <w:b/>
          <w:bCs/>
          <w:spacing w:val="-3"/>
          <w:szCs w:val="21"/>
        </w:rPr>
      </w:pPr>
      <w:r>
        <w:rPr>
          <w:rFonts w:ascii="黑体" w:eastAsia="黑体" w:hAnsi="黑体" w:cs="黑体" w:hint="eastAsia"/>
          <w:b/>
          <w:bCs/>
          <w:spacing w:val="-3"/>
          <w:sz w:val="21"/>
          <w:szCs w:val="21"/>
          <w:lang w:val="en-US" w:eastAsia="zh-CN"/>
        </w:rPr>
        <w:t>附件A：</w:t>
      </w:r>
      <w:r>
        <w:rPr>
          <w:rFonts w:ascii="黑体" w:eastAsia="黑体" w:hAnsi="黑体" w:cs="黑体" w:hint="eastAsia"/>
          <w:b/>
          <w:bCs/>
          <w:spacing w:val="-3"/>
          <w:sz w:val="21"/>
          <w:szCs w:val="21"/>
        </w:rPr>
        <w:t>安全生产常见违法行为清单</w:t>
      </w:r>
      <w:r>
        <w:rPr>
          <w:rFonts w:ascii="黑体" w:eastAsia="黑体" w:hAnsi="黑体" w:cs="黑体" w:hint="eastAsia"/>
          <w:b/>
          <w:bCs/>
          <w:spacing w:val="-3"/>
          <w:sz w:val="21"/>
          <w:szCs w:val="21"/>
          <w:lang w:val="en-US" w:eastAsia="zh-CN"/>
        </w:rPr>
        <w:t>(</w:t>
      </w:r>
      <w:r>
        <w:rPr>
          <w:b/>
          <w:bCs/>
          <w:spacing w:val="-2"/>
          <w:sz w:val="21"/>
          <w:szCs w:val="21"/>
        </w:rPr>
        <w:t>通用类</w:t>
      </w:r>
      <w:r>
        <w:rPr>
          <w:rFonts w:ascii="黑体" w:eastAsia="黑体" w:hAnsi="黑体" w:cs="黑体" w:hint="eastAsia"/>
          <w:b/>
          <w:bCs/>
          <w:spacing w:val="-3"/>
          <w:sz w:val="21"/>
          <w:szCs w:val="21"/>
          <w:lang w:val="en-US" w:eastAsia="zh-CN"/>
        </w:rPr>
        <w:t>)</w:t>
      </w:r>
    </w:p>
    <w:tbl>
      <w:tblPr>
        <w:tblStyle w:val="TableNormal00"/>
        <w:tblW w:w="24082"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0" w:type="dxa"/>
          <w:left w:w="0" w:type="dxa"/>
          <w:bottom w:w="0" w:type="dxa"/>
          <w:right w:w="0" w:type="dxa"/>
        </w:tblCellMar>
      </w:tblPr>
      <w:tblGrid>
        <w:gridCol w:w="467"/>
        <w:gridCol w:w="3984"/>
        <w:gridCol w:w="7433"/>
        <w:gridCol w:w="12198"/>
      </w:tblGrid>
      <w:tr>
        <w:tblPrEx>
          <w:tblW w:w="24082"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0" w:type="dxa"/>
            <w:left w:w="0" w:type="dxa"/>
            <w:bottom w:w="0" w:type="dxa"/>
            <w:right w:w="0" w:type="dxa"/>
          </w:tblCellMar>
        </w:tblPrEx>
        <w:trPr>
          <w:cantSplit/>
          <w:trHeight w:val="363"/>
          <w:tblHeader/>
          <w:jc w:val="center"/>
        </w:trPr>
        <w:tc>
          <w:tcPr>
            <w:tcW w:w="467" w:type="dxa"/>
            <w:tcBorders>
              <w:top w:val="single" w:sz="4" w:space="0" w:color="000000"/>
              <w:left w:val="single" w:sz="4" w:space="0" w:color="000000"/>
              <w:bottom w:val="single" w:sz="4" w:space="0" w:color="000000"/>
              <w:right w:val="single" w:sz="4" w:space="0" w:color="000000"/>
              <w:tl2br w:val="nil"/>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before="63" w:line="360" w:lineRule="exact"/>
              <w:ind w:left="0" w:right="0" w:firstLine="0" w:leftChars="0" w:rightChars="0" w:firstLineChars="0"/>
              <w:jc w:val="center"/>
              <w:textAlignment w:val="baseline"/>
              <w:rPr>
                <w:rFonts w:ascii="黑体" w:eastAsia="黑体" w:hAnsi="黑体" w:cs="黑体" w:hint="eastAsia"/>
                <w:b/>
                <w:bCs/>
                <w:szCs w:val="21"/>
              </w:rPr>
            </w:pPr>
            <w:bookmarkStart w:id="0" w:name="_GoBack"/>
            <w:r>
              <w:rPr>
                <w:rFonts w:ascii="黑体" w:eastAsia="黑体" w:hAnsi="黑体" w:cs="黑体" w:hint="eastAsia"/>
                <w:b/>
                <w:bCs/>
                <w:sz w:val="21"/>
                <w:szCs w:val="21"/>
                <w:lang w:val="en-US" w:eastAsia="zh-CN"/>
              </w:rPr>
              <w:t>序号</w:t>
            </w: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before="63" w:line="360" w:lineRule="exact"/>
              <w:ind w:left="0" w:right="0" w:firstLine="0" w:leftChars="0" w:rightChars="0" w:firstLineChars="0"/>
              <w:jc w:val="center"/>
              <w:textAlignment w:val="baseline"/>
              <w:rPr>
                <w:rFonts w:ascii="黑体" w:eastAsia="黑体" w:hAnsi="黑体" w:cs="黑体" w:hint="eastAsia"/>
                <w:b/>
                <w:bCs/>
                <w:szCs w:val="21"/>
              </w:rPr>
            </w:pPr>
            <w:r>
              <w:rPr>
                <w:rFonts w:ascii="黑体" w:eastAsia="黑体" w:hAnsi="黑体" w:cs="黑体" w:hint="eastAsia"/>
                <w:b/>
                <w:bCs/>
                <w:spacing w:val="-1"/>
                <w:sz w:val="21"/>
                <w:szCs w:val="21"/>
              </w:rPr>
              <w:t>违法行为名称</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before="63" w:line="360" w:lineRule="exact"/>
              <w:ind w:left="0" w:right="0" w:firstLine="0" w:leftChars="0" w:rightChars="0" w:firstLineChars="0"/>
              <w:jc w:val="center"/>
              <w:textAlignment w:val="baseline"/>
              <w:rPr>
                <w:rFonts w:ascii="黑体" w:eastAsia="黑体" w:hAnsi="黑体" w:cs="黑体" w:hint="eastAsia"/>
                <w:b/>
                <w:bCs/>
                <w:szCs w:val="21"/>
              </w:rPr>
            </w:pPr>
            <w:r>
              <w:rPr>
                <w:rFonts w:ascii="黑体" w:eastAsia="黑体" w:hAnsi="黑体" w:cs="黑体" w:hint="eastAsia"/>
                <w:b/>
                <w:bCs/>
                <w:spacing w:val="-2"/>
                <w:sz w:val="21"/>
                <w:szCs w:val="21"/>
              </w:rPr>
              <w:t>常见违法行为表现</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before="63" w:line="360" w:lineRule="exact"/>
              <w:ind w:left="0" w:right="0" w:firstLine="0" w:leftChars="0" w:rightChars="0" w:firstLineChars="0"/>
              <w:jc w:val="center"/>
              <w:textAlignment w:val="baseline"/>
              <w:rPr>
                <w:rFonts w:ascii="黑体" w:eastAsia="黑体" w:hAnsi="黑体" w:cs="黑体" w:hint="eastAsia"/>
                <w:b/>
                <w:bCs/>
                <w:szCs w:val="21"/>
              </w:rPr>
            </w:pPr>
            <w:r>
              <w:rPr>
                <w:rFonts w:ascii="黑体" w:eastAsia="黑体" w:hAnsi="黑体" w:cs="黑体" w:hint="eastAsia"/>
                <w:b/>
                <w:bCs/>
                <w:spacing w:val="-2"/>
                <w:sz w:val="21"/>
                <w:szCs w:val="21"/>
              </w:rPr>
              <w:t>法律法规依据</w:t>
            </w:r>
          </w:p>
        </w:tc>
      </w:tr>
      <w:bookmarkEnd w:id="0"/>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6" w:right="47" w:firstLine="1"/>
              <w:jc w:val="both"/>
              <w:textAlignment w:val="baseline"/>
              <w:rPr>
                <w:rFonts w:asciiTheme="minorEastAsia" w:eastAsiaTheme="minorEastAsia" w:hAnsiTheme="minorEastAsia" w:cstheme="minorEastAsia" w:hint="eastAsia"/>
                <w:b w:val="0"/>
                <w:sz w:val="21"/>
                <w:szCs w:val="21"/>
              </w:rPr>
            </w:pPr>
            <w:bookmarkStart w:id="1" w:name="bookmark2"/>
            <w:bookmarkEnd w:id="1"/>
            <w:r>
              <w:rPr>
                <w:rFonts w:asciiTheme="minorEastAsia" w:eastAsiaTheme="minorEastAsia" w:hAnsiTheme="minorEastAsia" w:cstheme="minorEastAsia" w:hint="eastAsia"/>
                <w:b w:val="0"/>
                <w:spacing w:val="16"/>
                <w:sz w:val="21"/>
                <w:szCs w:val="21"/>
              </w:rPr>
              <w:t>生产经营单位未按照规定设置安全生产管理机构或者配备安全生</w:t>
            </w:r>
            <w:r>
              <w:rPr>
                <w:rFonts w:asciiTheme="minorEastAsia" w:eastAsiaTheme="minorEastAsia" w:hAnsiTheme="minorEastAsia" w:cstheme="minorEastAsia" w:hint="eastAsia"/>
                <w:b w:val="0"/>
                <w:spacing w:val="-1"/>
                <w:sz w:val="21"/>
                <w:szCs w:val="21"/>
              </w:rPr>
              <w:t>产管理人员</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9" w:right="47" w:firstLine="1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7"/>
                <w:sz w:val="21"/>
                <w:szCs w:val="21"/>
              </w:rPr>
              <w:t>1.高危企业未设置安全管理机构或</w:t>
            </w:r>
            <w:r>
              <w:rPr>
                <w:rFonts w:asciiTheme="minorEastAsia" w:eastAsiaTheme="minorEastAsia" w:hAnsiTheme="minorEastAsia" w:cstheme="minorEastAsia" w:hint="eastAsia"/>
                <w:b w:val="0"/>
                <w:spacing w:val="-1"/>
                <w:sz w:val="21"/>
                <w:szCs w:val="21"/>
              </w:rPr>
              <w:t>者未配备专职安全管理人员；</w:t>
            </w:r>
          </w:p>
          <w:p>
            <w:pPr>
              <w:pStyle w:val="TableText"/>
              <w:keepNext/>
              <w:keepLines/>
              <w:pageBreakBefore w:val="0"/>
              <w:widowControl w:val="0"/>
              <w:kinsoku w:val="0"/>
              <w:wordWrap/>
              <w:overflowPunct/>
              <w:topLinePunct w:val="0"/>
              <w:autoSpaceDE w:val="0"/>
              <w:autoSpaceDN w:val="0"/>
              <w:bidi w:val="0"/>
              <w:adjustRightInd w:val="0"/>
              <w:snapToGrid w:val="0"/>
              <w:spacing w:before="6" w:line="360" w:lineRule="exact"/>
              <w:ind w:left="58" w:right="47" w:firstLine="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z w:val="21"/>
                <w:szCs w:val="21"/>
              </w:rPr>
              <w:t>2.非高危企业从业人员100人以下</w:t>
            </w:r>
            <w:r>
              <w:rPr>
                <w:rFonts w:asciiTheme="minorEastAsia" w:eastAsiaTheme="minorEastAsia" w:hAnsiTheme="minorEastAsia" w:cstheme="minorEastAsia" w:hint="eastAsia"/>
                <w:b w:val="0"/>
                <w:spacing w:val="-5"/>
                <w:sz w:val="21"/>
                <w:szCs w:val="21"/>
              </w:rPr>
              <w:t>的，未配备专职或者兼职的安全管理</w:t>
            </w:r>
            <w:r>
              <w:rPr>
                <w:rFonts w:asciiTheme="minorEastAsia" w:eastAsiaTheme="minorEastAsia" w:hAnsiTheme="minorEastAsia" w:cstheme="minorEastAsia" w:hint="eastAsia"/>
                <w:b w:val="0"/>
                <w:spacing w:val="-9"/>
                <w:sz w:val="21"/>
                <w:szCs w:val="21"/>
              </w:rPr>
              <w:t>人员，从业人员100人以上的未配备</w:t>
            </w:r>
            <w:r>
              <w:rPr>
                <w:rFonts w:asciiTheme="minorEastAsia" w:eastAsiaTheme="minorEastAsia" w:hAnsiTheme="minorEastAsia" w:cstheme="minorEastAsia" w:hint="eastAsia"/>
                <w:b w:val="0"/>
                <w:spacing w:val="-1"/>
                <w:sz w:val="21"/>
                <w:szCs w:val="21"/>
              </w:rPr>
              <w:t>专职安全管理人员；</w:t>
            </w:r>
          </w:p>
          <w:p>
            <w:pPr>
              <w:pStyle w:val="TableText"/>
              <w:keepNext/>
              <w:keepLines/>
              <w:pageBreakBefore w:val="0"/>
              <w:widowControl w:val="0"/>
              <w:kinsoku w:val="0"/>
              <w:wordWrap/>
              <w:overflowPunct/>
              <w:topLinePunct w:val="0"/>
              <w:autoSpaceDE w:val="0"/>
              <w:autoSpaceDN w:val="0"/>
              <w:bidi w:val="0"/>
              <w:adjustRightInd w:val="0"/>
              <w:snapToGrid w:val="0"/>
              <w:spacing w:before="10" w:line="360" w:lineRule="exact"/>
              <w:ind w:left="74" w:right="47" w:hanging="1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z w:val="21"/>
                <w:szCs w:val="21"/>
              </w:rPr>
              <w:t>3.非高危企业从业人员300人以上</w:t>
            </w:r>
            <w:r>
              <w:rPr>
                <w:rFonts w:asciiTheme="minorEastAsia" w:eastAsiaTheme="minorEastAsia" w:hAnsiTheme="minorEastAsia" w:cstheme="minorEastAsia" w:hint="eastAsia"/>
                <w:b w:val="0"/>
                <w:spacing w:val="-3"/>
                <w:sz w:val="21"/>
                <w:szCs w:val="21"/>
              </w:rPr>
              <w:t>的未设置安全生产管理机构。</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70" w:line="360" w:lineRule="exact"/>
              <w:ind w:left="57" w:right="51" w:firstLine="37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1.【法律】《中华人民共和国安全生产法》第二十四条矿山、金属冶炼、建筑施工、</w:t>
            </w:r>
            <w:r>
              <w:rPr>
                <w:rFonts w:asciiTheme="minorEastAsia" w:eastAsiaTheme="minorEastAsia" w:hAnsiTheme="minorEastAsia" w:cstheme="minorEastAsia" w:hint="eastAsia"/>
                <w:b w:val="0"/>
                <w:spacing w:val="-5"/>
                <w:sz w:val="21"/>
                <w:szCs w:val="21"/>
              </w:rPr>
              <w:t>运输</w:t>
            </w:r>
            <w:r>
              <w:rPr>
                <w:rFonts w:asciiTheme="minorEastAsia" w:eastAsiaTheme="minorEastAsia" w:hAnsiTheme="minorEastAsia" w:cstheme="minorEastAsia" w:hint="eastAsia"/>
                <w:b w:val="0"/>
                <w:spacing w:val="-2"/>
                <w:sz w:val="21"/>
                <w:szCs w:val="21"/>
              </w:rPr>
              <w:t>单位和危险物品的生产、经营、储存、装卸单位，应当设置安全生产管理机构或者配备专职安</w:t>
            </w:r>
            <w:r>
              <w:rPr>
                <w:rFonts w:asciiTheme="minorEastAsia" w:eastAsiaTheme="minorEastAsia" w:hAnsiTheme="minorEastAsia" w:cstheme="minorEastAsia" w:hint="eastAsia"/>
                <w:b w:val="0"/>
                <w:spacing w:val="-4"/>
                <w:sz w:val="21"/>
                <w:szCs w:val="21"/>
              </w:rPr>
              <w:t>全生产管理人员。</w:t>
            </w:r>
          </w:p>
          <w:p>
            <w:pPr>
              <w:pStyle w:val="TableText"/>
              <w:keepNext/>
              <w:keepLines/>
              <w:pageBreakBefore w:val="0"/>
              <w:widowControl w:val="0"/>
              <w:kinsoku w:val="0"/>
              <w:wordWrap/>
              <w:overflowPunct/>
              <w:topLinePunct w:val="0"/>
              <w:autoSpaceDE w:val="0"/>
              <w:autoSpaceDN w:val="0"/>
              <w:bidi w:val="0"/>
              <w:adjustRightInd w:val="0"/>
              <w:snapToGrid w:val="0"/>
              <w:spacing w:before="67" w:line="360" w:lineRule="exact"/>
              <w:ind w:left="57" w:right="51" w:firstLine="36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前款规定以外的其他生产经营单位，从业人员超过一百人的，应当设置安全生产管理机构</w:t>
            </w:r>
            <w:r>
              <w:rPr>
                <w:rFonts w:asciiTheme="minorEastAsia" w:eastAsiaTheme="minorEastAsia" w:hAnsiTheme="minorEastAsia" w:cstheme="minorEastAsia" w:hint="eastAsia"/>
                <w:b w:val="0"/>
                <w:spacing w:val="1"/>
                <w:sz w:val="21"/>
                <w:szCs w:val="21"/>
              </w:rPr>
              <w:t>或者配备专职安全生产管理人员；从业人员在一百人以</w:t>
            </w:r>
            <w:r>
              <w:rPr>
                <w:rFonts w:asciiTheme="minorEastAsia" w:eastAsiaTheme="minorEastAsia" w:hAnsiTheme="minorEastAsia" w:cstheme="minorEastAsia" w:hint="eastAsia"/>
                <w:b w:val="0"/>
                <w:sz w:val="21"/>
                <w:szCs w:val="21"/>
              </w:rPr>
              <w:t>下的，应当配备专职或者兼职的安全生</w:t>
            </w:r>
            <w:r>
              <w:rPr>
                <w:rFonts w:asciiTheme="minorEastAsia" w:eastAsiaTheme="minorEastAsia" w:hAnsiTheme="minorEastAsia" w:cstheme="minorEastAsia" w:hint="eastAsia"/>
                <w:b w:val="0"/>
                <w:spacing w:val="-5"/>
                <w:sz w:val="21"/>
                <w:szCs w:val="21"/>
              </w:rPr>
              <w:t>产管理人员。</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6" w:right="47" w:firstLine="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生产经营单位未按照规定配备注册安全工程师从事安全生产管理</w:t>
            </w:r>
            <w:r>
              <w:rPr>
                <w:rFonts w:asciiTheme="minorEastAsia" w:eastAsiaTheme="minorEastAsia" w:hAnsiTheme="minorEastAsia" w:cstheme="minorEastAsia" w:hint="eastAsia"/>
                <w:b w:val="0"/>
                <w:spacing w:val="-2"/>
                <w:sz w:val="21"/>
                <w:szCs w:val="21"/>
              </w:rPr>
              <w:t>工作</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60" w:right="49" w:firstLine="1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1.从业人员100人以上的高危企业</w:t>
            </w:r>
            <w:r>
              <w:rPr>
                <w:rFonts w:asciiTheme="minorEastAsia" w:eastAsiaTheme="minorEastAsia" w:hAnsiTheme="minorEastAsia" w:cstheme="minorEastAsia" w:hint="eastAsia"/>
                <w:b w:val="0"/>
                <w:spacing w:val="-3"/>
                <w:sz w:val="21"/>
                <w:szCs w:val="21"/>
              </w:rPr>
              <w:t>未按规定配备注册安全工程师；</w:t>
            </w:r>
          </w:p>
          <w:p>
            <w:pPr>
              <w:pStyle w:val="TableText"/>
              <w:keepNext/>
              <w:keepLines/>
              <w:pageBreakBefore w:val="0"/>
              <w:widowControl w:val="0"/>
              <w:kinsoku w:val="0"/>
              <w:wordWrap/>
              <w:overflowPunct/>
              <w:topLinePunct w:val="0"/>
              <w:autoSpaceDE w:val="0"/>
              <w:autoSpaceDN w:val="0"/>
              <w:bidi w:val="0"/>
              <w:adjustRightInd w:val="0"/>
              <w:snapToGrid w:val="0"/>
              <w:spacing w:before="8" w:line="360" w:lineRule="exact"/>
              <w:ind w:left="56" w:right="49" w:firstLine="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2.从业人员300人以上的非高危企</w:t>
            </w:r>
            <w:r>
              <w:rPr>
                <w:rFonts w:asciiTheme="minorEastAsia" w:eastAsiaTheme="minorEastAsia" w:hAnsiTheme="minorEastAsia" w:cstheme="minorEastAsia" w:hint="eastAsia"/>
                <w:b w:val="0"/>
                <w:spacing w:val="-1"/>
                <w:sz w:val="21"/>
                <w:szCs w:val="21"/>
              </w:rPr>
              <w:t>业未按规定配备注册安全工程师；</w:t>
            </w:r>
          </w:p>
          <w:p>
            <w:pPr>
              <w:pStyle w:val="TableText"/>
              <w:keepNext/>
              <w:keepLines/>
              <w:pageBreakBefore w:val="0"/>
              <w:widowControl w:val="0"/>
              <w:kinsoku w:val="0"/>
              <w:wordWrap/>
              <w:overflowPunct/>
              <w:topLinePunct w:val="0"/>
              <w:autoSpaceDE w:val="0"/>
              <w:autoSpaceDN w:val="0"/>
              <w:bidi w:val="0"/>
              <w:adjustRightInd w:val="0"/>
              <w:snapToGrid w:val="0"/>
              <w:spacing w:before="7" w:line="360" w:lineRule="exact"/>
              <w:ind w:left="58" w:right="45" w:firstLine="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3.高危、非高危企业配备的注册安全</w:t>
            </w:r>
            <w:r>
              <w:rPr>
                <w:rFonts w:asciiTheme="minorEastAsia" w:eastAsiaTheme="minorEastAsia" w:hAnsiTheme="minorEastAsia" w:cstheme="minorEastAsia" w:hint="eastAsia"/>
                <w:b w:val="0"/>
                <w:spacing w:val="-8"/>
                <w:sz w:val="21"/>
                <w:szCs w:val="21"/>
              </w:rPr>
              <w:t>工程师数量不足或者属于兼职，未在</w:t>
            </w:r>
            <w:r>
              <w:rPr>
                <w:rFonts w:asciiTheme="minorEastAsia" w:eastAsiaTheme="minorEastAsia" w:hAnsiTheme="minorEastAsia" w:cstheme="minorEastAsia" w:hint="eastAsia"/>
                <w:b w:val="0"/>
                <w:spacing w:val="-1"/>
                <w:sz w:val="21"/>
                <w:szCs w:val="21"/>
              </w:rPr>
              <w:t>本单位注册执业。</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46" w:line="360" w:lineRule="exact"/>
              <w:ind w:left="59" w:right="47" w:firstLine="43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1.【法律】《中华人民共和国安全生产法》第二十七条第三款危险物品的</w:t>
            </w:r>
            <w:r>
              <w:rPr>
                <w:rFonts w:asciiTheme="minorEastAsia" w:eastAsiaTheme="minorEastAsia" w:hAnsiTheme="minorEastAsia" w:cstheme="minorEastAsia" w:hint="eastAsia"/>
                <w:b w:val="0"/>
                <w:spacing w:val="2"/>
                <w:sz w:val="21"/>
                <w:szCs w:val="21"/>
              </w:rPr>
              <w:t>生产、储存、装卸单位以及矿山、金属冶炼单位</w:t>
            </w:r>
            <w:r>
              <w:rPr>
                <w:rFonts w:asciiTheme="minorEastAsia" w:eastAsiaTheme="minorEastAsia" w:hAnsiTheme="minorEastAsia" w:cstheme="minorEastAsia" w:hint="eastAsia"/>
                <w:b w:val="0"/>
                <w:spacing w:val="1"/>
                <w:sz w:val="21"/>
                <w:szCs w:val="21"/>
              </w:rPr>
              <w:t>应当有注册安全工程师从事安全生产管理工作。鼓励其他生产经营单位聘用注册安全工程师从事安全生产管理工作。注册安全工程师按专业分类管理，具体办法由国务院人力资源和社会保障部</w:t>
            </w:r>
            <w:r>
              <w:rPr>
                <w:rFonts w:asciiTheme="minorEastAsia" w:eastAsiaTheme="minorEastAsia" w:hAnsiTheme="minorEastAsia" w:cstheme="minorEastAsia" w:hint="eastAsia"/>
                <w:b w:val="0"/>
                <w:spacing w:val="-1"/>
                <w:sz w:val="21"/>
                <w:szCs w:val="21"/>
              </w:rPr>
              <w:t>门、国务院应急管理部门会同国务院有关部门制定。</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7" w:right="4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生产经营单位主要负责人未履行法定的安全生产</w:t>
            </w:r>
            <w:r>
              <w:rPr>
                <w:rFonts w:asciiTheme="minorEastAsia" w:eastAsiaTheme="minorEastAsia" w:hAnsiTheme="minorEastAsia" w:cstheme="minorEastAsia" w:hint="eastAsia"/>
                <w:b w:val="0"/>
                <w:spacing w:val="-2"/>
                <w:sz w:val="21"/>
                <w:szCs w:val="21"/>
              </w:rPr>
              <w:t>管理职责</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12" w:line="360" w:lineRule="exact"/>
              <w:ind w:left="57" w:right="32" w:firstLine="1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7"/>
                <w:sz w:val="21"/>
                <w:szCs w:val="21"/>
              </w:rPr>
              <w:t>1.生产经营单位的主要负责人未建</w:t>
            </w:r>
            <w:r>
              <w:rPr>
                <w:rFonts w:asciiTheme="minorEastAsia" w:eastAsiaTheme="minorEastAsia" w:hAnsiTheme="minorEastAsia" w:cstheme="minorEastAsia" w:hint="eastAsia"/>
                <w:b w:val="0"/>
                <w:spacing w:val="9"/>
                <w:sz w:val="21"/>
                <w:szCs w:val="21"/>
              </w:rPr>
              <w:t>立健全并落实本单位全员安全生产</w:t>
            </w:r>
            <w:r>
              <w:rPr>
                <w:rFonts w:asciiTheme="minorEastAsia" w:eastAsiaTheme="minorEastAsia" w:hAnsiTheme="minorEastAsia" w:cstheme="minorEastAsia" w:hint="eastAsia"/>
                <w:b w:val="0"/>
                <w:spacing w:val="-4"/>
                <w:sz w:val="21"/>
                <w:szCs w:val="21"/>
              </w:rPr>
              <w:t>责任制，加强安全生产标准化建设；</w:t>
            </w:r>
            <w:r>
              <w:rPr>
                <w:rFonts w:asciiTheme="minorEastAsia" w:eastAsiaTheme="minorEastAsia" w:hAnsiTheme="minorEastAsia" w:cstheme="minorEastAsia" w:hint="eastAsia"/>
                <w:b w:val="0"/>
                <w:spacing w:val="8"/>
                <w:sz w:val="21"/>
                <w:szCs w:val="21"/>
              </w:rPr>
              <w:t>2.生产经营单位的主要负责人未组</w:t>
            </w:r>
            <w:r>
              <w:rPr>
                <w:rFonts w:asciiTheme="minorEastAsia" w:eastAsiaTheme="minorEastAsia" w:hAnsiTheme="minorEastAsia" w:cstheme="minorEastAsia" w:hint="eastAsia"/>
                <w:b w:val="0"/>
                <w:spacing w:val="9"/>
                <w:sz w:val="21"/>
                <w:szCs w:val="21"/>
              </w:rPr>
              <w:t>织制定并实施本单位安全生产规章</w:t>
            </w:r>
            <w:r>
              <w:rPr>
                <w:rFonts w:asciiTheme="minorEastAsia" w:eastAsiaTheme="minorEastAsia" w:hAnsiTheme="minorEastAsia" w:cstheme="minorEastAsia" w:hint="eastAsia"/>
                <w:b w:val="0"/>
                <w:spacing w:val="-1"/>
                <w:sz w:val="21"/>
                <w:szCs w:val="21"/>
              </w:rPr>
              <w:t>制度和操作规程；</w:t>
            </w:r>
          </w:p>
          <w:p>
            <w:pPr>
              <w:pStyle w:val="TableText"/>
              <w:keepNext/>
              <w:keepLines/>
              <w:pageBreakBefore w:val="0"/>
              <w:widowControl w:val="0"/>
              <w:kinsoku w:val="0"/>
              <w:wordWrap/>
              <w:overflowPunct/>
              <w:topLinePunct w:val="0"/>
              <w:autoSpaceDE w:val="0"/>
              <w:autoSpaceDN w:val="0"/>
              <w:bidi w:val="0"/>
              <w:adjustRightInd w:val="0"/>
              <w:snapToGrid w:val="0"/>
              <w:spacing w:before="3" w:line="360" w:lineRule="exact"/>
              <w:ind w:left="58" w:right="47" w:firstLine="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3.生产经营单位的主要负责人未组</w:t>
            </w:r>
            <w:r>
              <w:rPr>
                <w:rFonts w:asciiTheme="minorEastAsia" w:eastAsiaTheme="minorEastAsia" w:hAnsiTheme="minorEastAsia" w:cstheme="minorEastAsia" w:hint="eastAsia"/>
                <w:b w:val="0"/>
                <w:spacing w:val="9"/>
                <w:sz w:val="21"/>
                <w:szCs w:val="21"/>
              </w:rPr>
              <w:t>织制定并实施本单位安全生产教育</w:t>
            </w:r>
            <w:r>
              <w:rPr>
                <w:rFonts w:asciiTheme="minorEastAsia" w:eastAsiaTheme="minorEastAsia" w:hAnsiTheme="minorEastAsia" w:cstheme="minorEastAsia" w:hint="eastAsia"/>
                <w:b w:val="0"/>
                <w:spacing w:val="-1"/>
                <w:sz w:val="21"/>
                <w:szCs w:val="21"/>
              </w:rPr>
              <w:t>和培训计划；</w:t>
            </w:r>
          </w:p>
          <w:p>
            <w:pPr>
              <w:pStyle w:val="TableText"/>
              <w:keepNext/>
              <w:keepLines/>
              <w:pageBreakBefore w:val="0"/>
              <w:widowControl w:val="0"/>
              <w:kinsoku w:val="0"/>
              <w:wordWrap/>
              <w:overflowPunct/>
              <w:topLinePunct w:val="0"/>
              <w:autoSpaceDE w:val="0"/>
              <w:autoSpaceDN w:val="0"/>
              <w:bidi w:val="0"/>
              <w:adjustRightInd w:val="0"/>
              <w:snapToGrid w:val="0"/>
              <w:spacing w:line="360" w:lineRule="exact"/>
              <w:ind w:left="56" w:right="26"/>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4.生产经营单位的主要负责人未保</w:t>
            </w:r>
            <w:r>
              <w:rPr>
                <w:rFonts w:asciiTheme="minorEastAsia" w:eastAsiaTheme="minorEastAsia" w:hAnsiTheme="minorEastAsia" w:cstheme="minorEastAsia" w:hint="eastAsia"/>
                <w:b w:val="0"/>
                <w:spacing w:val="-4"/>
                <w:sz w:val="21"/>
                <w:szCs w:val="21"/>
              </w:rPr>
              <w:t>证本单位安全生产投入的有效实施；</w:t>
            </w:r>
            <w:r>
              <w:rPr>
                <w:rFonts w:asciiTheme="minorEastAsia" w:eastAsiaTheme="minorEastAsia" w:hAnsiTheme="minorEastAsia" w:cstheme="minorEastAsia" w:hint="eastAsia"/>
                <w:b w:val="0"/>
                <w:spacing w:val="8"/>
                <w:sz w:val="21"/>
                <w:szCs w:val="21"/>
              </w:rPr>
              <w:t>5.生产经营单位的主要负责人未组</w:t>
            </w:r>
            <w:r>
              <w:rPr>
                <w:rFonts w:asciiTheme="minorEastAsia" w:eastAsiaTheme="minorEastAsia" w:hAnsiTheme="minorEastAsia" w:cstheme="minorEastAsia" w:hint="eastAsia"/>
                <w:b w:val="0"/>
                <w:spacing w:val="9"/>
                <w:sz w:val="21"/>
                <w:szCs w:val="21"/>
              </w:rPr>
              <w:t>织建立并落实安全风险分级管控和</w:t>
            </w:r>
            <w:r>
              <w:rPr>
                <w:rFonts w:asciiTheme="minorEastAsia" w:eastAsiaTheme="minorEastAsia" w:hAnsiTheme="minorEastAsia" w:cstheme="minorEastAsia" w:hint="eastAsia"/>
                <w:b w:val="0"/>
                <w:spacing w:val="-5"/>
                <w:sz w:val="21"/>
                <w:szCs w:val="21"/>
              </w:rPr>
              <w:t>隐患排查治理双重预防工作机制，未</w:t>
            </w:r>
            <w:r>
              <w:rPr>
                <w:rFonts w:asciiTheme="minorEastAsia" w:eastAsiaTheme="minorEastAsia" w:hAnsiTheme="minorEastAsia" w:cstheme="minorEastAsia" w:hint="eastAsia"/>
                <w:b w:val="0"/>
                <w:spacing w:val="-4"/>
                <w:sz w:val="21"/>
                <w:szCs w:val="21"/>
              </w:rPr>
              <w:t>督促、检查本单位的安全生产工作，</w:t>
            </w:r>
            <w:r>
              <w:rPr>
                <w:rFonts w:asciiTheme="minorEastAsia" w:eastAsiaTheme="minorEastAsia" w:hAnsiTheme="minorEastAsia" w:cstheme="minorEastAsia" w:hint="eastAsia"/>
                <w:b w:val="0"/>
                <w:spacing w:val="-3"/>
                <w:sz w:val="21"/>
                <w:szCs w:val="21"/>
              </w:rPr>
              <w:t>及时消除生产安全事故隐患；</w:t>
            </w:r>
          </w:p>
          <w:p>
            <w:pPr>
              <w:pStyle w:val="TableText"/>
              <w:keepNext/>
              <w:keepLines/>
              <w:pageBreakBefore w:val="0"/>
              <w:widowControl w:val="0"/>
              <w:kinsoku w:val="0"/>
              <w:wordWrap/>
              <w:overflowPunct/>
              <w:topLinePunct w:val="0"/>
              <w:autoSpaceDE w:val="0"/>
              <w:autoSpaceDN w:val="0"/>
              <w:bidi w:val="0"/>
              <w:adjustRightInd w:val="0"/>
              <w:snapToGrid w:val="0"/>
              <w:spacing w:before="3" w:line="360" w:lineRule="exact"/>
              <w:ind w:left="60" w:right="47" w:hanging="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6.生产经营单位的主要负责人未组</w:t>
            </w:r>
            <w:r>
              <w:rPr>
                <w:rFonts w:asciiTheme="minorEastAsia" w:eastAsiaTheme="minorEastAsia" w:hAnsiTheme="minorEastAsia" w:cstheme="minorEastAsia" w:hint="eastAsia"/>
                <w:b w:val="0"/>
                <w:spacing w:val="9"/>
                <w:sz w:val="21"/>
                <w:szCs w:val="21"/>
              </w:rPr>
              <w:t>织制定并实施本单位的生产安全事</w:t>
            </w:r>
            <w:r>
              <w:rPr>
                <w:rFonts w:asciiTheme="minorEastAsia" w:eastAsiaTheme="minorEastAsia" w:hAnsiTheme="minorEastAsia" w:cstheme="minorEastAsia" w:hint="eastAsia"/>
                <w:b w:val="0"/>
                <w:spacing w:val="-1"/>
                <w:sz w:val="21"/>
                <w:szCs w:val="21"/>
              </w:rPr>
              <w:t>故应急救援预案；</w:t>
            </w:r>
          </w:p>
          <w:p>
            <w:pPr>
              <w:pStyle w:val="TableText"/>
              <w:keepNext/>
              <w:keepLines/>
              <w:pageBreakBefore w:val="0"/>
              <w:widowControl w:val="0"/>
              <w:kinsoku w:val="0"/>
              <w:wordWrap/>
              <w:overflowPunct/>
              <w:topLinePunct w:val="0"/>
              <w:autoSpaceDE w:val="0"/>
              <w:autoSpaceDN w:val="0"/>
              <w:bidi w:val="0"/>
              <w:adjustRightInd w:val="0"/>
              <w:snapToGrid w:val="0"/>
              <w:spacing w:line="360" w:lineRule="exact"/>
              <w:ind w:left="66" w:right="47" w:hanging="4"/>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7.生产经营单位的主要负责人未及</w:t>
            </w:r>
            <w:r>
              <w:rPr>
                <w:rFonts w:asciiTheme="minorEastAsia" w:eastAsiaTheme="minorEastAsia" w:hAnsiTheme="minorEastAsia" w:cstheme="minorEastAsia" w:hint="eastAsia"/>
                <w:b w:val="0"/>
                <w:spacing w:val="-2"/>
                <w:sz w:val="21"/>
                <w:szCs w:val="21"/>
              </w:rPr>
              <w:t>时、如实报告生产安全事故；</w:t>
            </w:r>
          </w:p>
          <w:p>
            <w:pPr>
              <w:pStyle w:val="TableText"/>
              <w:keepNext/>
              <w:keepLines/>
              <w:pageBreakBefore w:val="0"/>
              <w:widowControl w:val="0"/>
              <w:kinsoku w:val="0"/>
              <w:wordWrap/>
              <w:overflowPunct/>
              <w:topLinePunct w:val="0"/>
              <w:autoSpaceDE w:val="0"/>
              <w:autoSpaceDN w:val="0"/>
              <w:bidi w:val="0"/>
              <w:adjustRightInd w:val="0"/>
              <w:snapToGrid w:val="0"/>
              <w:spacing w:before="4" w:line="360" w:lineRule="exact"/>
              <w:ind w:left="59" w:right="47" w:hanging="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8.生产经营单位的主要负责人未确定分管安全生产的负责人或者安全</w:t>
            </w:r>
            <w:r>
              <w:rPr>
                <w:rFonts w:asciiTheme="minorEastAsia" w:eastAsiaTheme="minorEastAsia" w:hAnsiTheme="minorEastAsia" w:cstheme="minorEastAsia" w:hint="eastAsia"/>
                <w:b w:val="0"/>
                <w:spacing w:val="-5"/>
                <w:sz w:val="21"/>
                <w:szCs w:val="21"/>
              </w:rPr>
              <w:t>总监、主要技术负责人、其他相关负</w:t>
            </w:r>
            <w:r>
              <w:rPr>
                <w:rFonts w:asciiTheme="minorEastAsia" w:eastAsiaTheme="minorEastAsia" w:hAnsiTheme="minorEastAsia" w:cstheme="minorEastAsia" w:hint="eastAsia"/>
                <w:b w:val="0"/>
                <w:spacing w:val="-1"/>
                <w:sz w:val="21"/>
                <w:szCs w:val="21"/>
              </w:rPr>
              <w:t>责人的安全管理职责；</w:t>
            </w:r>
          </w:p>
          <w:p>
            <w:pPr>
              <w:pStyle w:val="TableText"/>
              <w:keepNext/>
              <w:keepLines/>
              <w:pageBreakBefore w:val="0"/>
              <w:widowControl w:val="0"/>
              <w:kinsoku w:val="0"/>
              <w:wordWrap/>
              <w:overflowPunct/>
              <w:topLinePunct w:val="0"/>
              <w:autoSpaceDE w:val="0"/>
              <w:autoSpaceDN w:val="0"/>
              <w:bidi w:val="0"/>
              <w:adjustRightInd w:val="0"/>
              <w:snapToGrid w:val="0"/>
              <w:spacing w:before="1" w:line="360" w:lineRule="exact"/>
              <w:ind w:left="57" w:right="3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9.生产经营单位的主要负责人未明</w:t>
            </w:r>
            <w:r>
              <w:rPr>
                <w:rFonts w:asciiTheme="minorEastAsia" w:eastAsiaTheme="minorEastAsia" w:hAnsiTheme="minorEastAsia" w:cstheme="minorEastAsia" w:hint="eastAsia"/>
                <w:b w:val="0"/>
                <w:spacing w:val="9"/>
                <w:sz w:val="21"/>
                <w:szCs w:val="21"/>
              </w:rPr>
              <w:t>确本单位技术管理机构的安全生产</w:t>
            </w:r>
            <w:r>
              <w:rPr>
                <w:rFonts w:asciiTheme="minorEastAsia" w:eastAsiaTheme="minorEastAsia" w:hAnsiTheme="minorEastAsia" w:cstheme="minorEastAsia" w:hint="eastAsia"/>
                <w:b w:val="0"/>
                <w:spacing w:val="-4"/>
                <w:sz w:val="21"/>
                <w:szCs w:val="21"/>
              </w:rPr>
              <w:t>技术保障职能并配备安全技术人员；</w:t>
            </w:r>
            <w:r>
              <w:rPr>
                <w:rFonts w:asciiTheme="minorEastAsia" w:eastAsiaTheme="minorEastAsia" w:hAnsiTheme="minorEastAsia" w:cstheme="minorEastAsia" w:hint="eastAsia"/>
                <w:b w:val="0"/>
                <w:spacing w:val="2"/>
                <w:sz w:val="21"/>
                <w:szCs w:val="21"/>
              </w:rPr>
              <w:t>10.生产经营单位的主要负责人未定</w:t>
            </w:r>
            <w:r>
              <w:rPr>
                <w:rFonts w:asciiTheme="minorEastAsia" w:eastAsiaTheme="minorEastAsia" w:hAnsiTheme="minorEastAsia" w:cstheme="minorEastAsia" w:hint="eastAsia"/>
                <w:b w:val="0"/>
                <w:spacing w:val="-1"/>
                <w:sz w:val="21"/>
                <w:szCs w:val="21"/>
              </w:rPr>
              <w:t>期研究安全生产工作。</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9" w:right="45" w:firstLine="540"/>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1.【法律】《中华人民共和国安全生产法》第二十一条生产经营单位的主</w:t>
            </w:r>
            <w:r>
              <w:rPr>
                <w:rFonts w:asciiTheme="minorEastAsia" w:eastAsiaTheme="minorEastAsia" w:hAnsiTheme="minorEastAsia" w:cstheme="minorEastAsia" w:hint="eastAsia"/>
                <w:b w:val="0"/>
                <w:spacing w:val="-1"/>
                <w:sz w:val="21"/>
                <w:szCs w:val="21"/>
              </w:rPr>
              <w:t>要负责人对本单位安全生产工作负有下列职责：</w:t>
            </w:r>
          </w:p>
          <w:p>
            <w:pPr>
              <w:pStyle w:val="TableText"/>
              <w:keepNext/>
              <w:keepLines/>
              <w:pageBreakBefore w:val="0"/>
              <w:widowControl w:val="0"/>
              <w:kinsoku w:val="0"/>
              <w:wordWrap/>
              <w:overflowPunct/>
              <w:topLinePunct w:val="0"/>
              <w:autoSpaceDE w:val="0"/>
              <w:autoSpaceDN w:val="0"/>
              <w:bidi w:val="0"/>
              <w:adjustRightInd w:val="0"/>
              <w:snapToGrid w:val="0"/>
              <w:spacing w:before="31" w:line="360" w:lineRule="exact"/>
              <w:ind w:left="62" w:right="58" w:firstLine="42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（一）建立健全并落实本单位全员安全生产责任制，加强安全生产标准化建</w:t>
            </w:r>
            <w:r>
              <w:rPr>
                <w:rFonts w:asciiTheme="minorEastAsia" w:eastAsiaTheme="minorEastAsia" w:hAnsiTheme="minorEastAsia" w:cstheme="minorEastAsia" w:hint="eastAsia"/>
                <w:b w:val="0"/>
                <w:spacing w:val="-6"/>
                <w:sz w:val="21"/>
                <w:szCs w:val="21"/>
              </w:rPr>
              <w:t>设；</w:t>
            </w:r>
          </w:p>
          <w:p>
            <w:pPr>
              <w:pStyle w:val="TableText"/>
              <w:keepNext/>
              <w:keepLines/>
              <w:pageBreakBefore w:val="0"/>
              <w:widowControl w:val="0"/>
              <w:kinsoku w:val="0"/>
              <w:wordWrap/>
              <w:overflowPunct/>
              <w:topLinePunct w:val="0"/>
              <w:autoSpaceDE w:val="0"/>
              <w:autoSpaceDN w:val="0"/>
              <w:bidi w:val="0"/>
              <w:adjustRightInd w:val="0"/>
              <w:snapToGrid w:val="0"/>
              <w:spacing w:before="25"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（二）组织制定并实施本单位安全生产规章制度和操作规程；</w:t>
            </w:r>
          </w:p>
          <w:p>
            <w:pPr>
              <w:pStyle w:val="TableText"/>
              <w:keepNext/>
              <w:keepLines/>
              <w:pageBreakBefore w:val="0"/>
              <w:widowControl w:val="0"/>
              <w:kinsoku w:val="0"/>
              <w:wordWrap/>
              <w:overflowPunct/>
              <w:topLinePunct w:val="0"/>
              <w:autoSpaceDE w:val="0"/>
              <w:autoSpaceDN w:val="0"/>
              <w:bidi w:val="0"/>
              <w:adjustRightInd w:val="0"/>
              <w:snapToGrid w:val="0"/>
              <w:spacing w:before="30"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（三）组织制定并实施本单位安全生产教育和培训计划；</w:t>
            </w:r>
          </w:p>
          <w:p>
            <w:pPr>
              <w:pStyle w:val="TableText"/>
              <w:keepNext/>
              <w:keepLines/>
              <w:pageBreakBefore w:val="0"/>
              <w:widowControl w:val="0"/>
              <w:kinsoku w:val="0"/>
              <w:wordWrap/>
              <w:overflowPunct/>
              <w:topLinePunct w:val="0"/>
              <w:autoSpaceDE w:val="0"/>
              <w:autoSpaceDN w:val="0"/>
              <w:bidi w:val="0"/>
              <w:adjustRightInd w:val="0"/>
              <w:snapToGrid w:val="0"/>
              <w:spacing w:before="31"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（四）保证本单位安全生产投入的有效实施；</w:t>
            </w:r>
          </w:p>
          <w:p>
            <w:pPr>
              <w:pStyle w:val="TableText"/>
              <w:keepNext/>
              <w:keepLines/>
              <w:pageBreakBefore w:val="0"/>
              <w:widowControl w:val="0"/>
              <w:kinsoku w:val="0"/>
              <w:wordWrap/>
              <w:overflowPunct/>
              <w:topLinePunct w:val="0"/>
              <w:autoSpaceDE w:val="0"/>
              <w:autoSpaceDN w:val="0"/>
              <w:bidi w:val="0"/>
              <w:adjustRightInd w:val="0"/>
              <w:snapToGrid w:val="0"/>
              <w:spacing w:before="29" w:line="360" w:lineRule="exact"/>
              <w:ind w:left="63" w:firstLine="42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（五）组织建立并落实安全风险分级管控和隐患排查治理</w:t>
            </w:r>
            <w:r>
              <w:rPr>
                <w:rFonts w:asciiTheme="minorEastAsia" w:eastAsiaTheme="minorEastAsia" w:hAnsiTheme="minorEastAsia" w:cstheme="minorEastAsia" w:hint="eastAsia"/>
                <w:b w:val="0"/>
                <w:spacing w:val="-4"/>
                <w:sz w:val="21"/>
                <w:szCs w:val="21"/>
              </w:rPr>
              <w:t>双重预防工作机制，督促、检查本单位的安全生产工作，及时消除生产安全事故隐患；</w:t>
            </w:r>
          </w:p>
          <w:p>
            <w:pPr>
              <w:pStyle w:val="TableText"/>
              <w:keepNext/>
              <w:keepLines/>
              <w:pageBreakBefore w:val="0"/>
              <w:widowControl w:val="0"/>
              <w:kinsoku w:val="0"/>
              <w:wordWrap/>
              <w:overflowPunct/>
              <w:topLinePunct w:val="0"/>
              <w:autoSpaceDE w:val="0"/>
              <w:autoSpaceDN w:val="0"/>
              <w:bidi w:val="0"/>
              <w:adjustRightInd w:val="0"/>
              <w:snapToGrid w:val="0"/>
              <w:spacing w:before="31"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（六）组织制定并实施本单位的生产安全事故应急救援预案；</w:t>
            </w:r>
          </w:p>
          <w:p>
            <w:pPr>
              <w:pStyle w:val="TableText"/>
              <w:keepNext/>
              <w:keepLines/>
              <w:pageBreakBefore w:val="0"/>
              <w:widowControl w:val="0"/>
              <w:kinsoku w:val="0"/>
              <w:wordWrap/>
              <w:overflowPunct/>
              <w:topLinePunct w:val="0"/>
              <w:autoSpaceDE w:val="0"/>
              <w:autoSpaceDN w:val="0"/>
              <w:bidi w:val="0"/>
              <w:adjustRightInd w:val="0"/>
              <w:snapToGrid w:val="0"/>
              <w:spacing w:before="28"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6"/>
                <w:sz w:val="21"/>
                <w:szCs w:val="21"/>
              </w:rPr>
              <w:t>（七）及时、如实报告生产安全事故。</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6" w:right="47" w:firstLine="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生产经营单位的其他负责人和安全生产管理人员未履行法定的安</w:t>
            </w:r>
            <w:r>
              <w:rPr>
                <w:rFonts w:asciiTheme="minorEastAsia" w:eastAsiaTheme="minorEastAsia" w:hAnsiTheme="minorEastAsia" w:cstheme="minorEastAsia" w:hint="eastAsia"/>
                <w:b w:val="0"/>
                <w:spacing w:val="-1"/>
                <w:sz w:val="21"/>
                <w:szCs w:val="21"/>
              </w:rPr>
              <w:t>全生产管理职责</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9" w:right="49"/>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9"/>
                <w:sz w:val="21"/>
                <w:szCs w:val="21"/>
              </w:rPr>
              <w:t>生产经营单位的安全生产管理机构</w:t>
            </w:r>
            <w:r>
              <w:rPr>
                <w:rFonts w:asciiTheme="minorEastAsia" w:eastAsiaTheme="minorEastAsia" w:hAnsiTheme="minorEastAsia" w:cstheme="minorEastAsia" w:hint="eastAsia"/>
                <w:b w:val="0"/>
                <w:spacing w:val="-1"/>
                <w:sz w:val="21"/>
                <w:szCs w:val="21"/>
              </w:rPr>
              <w:t>或安全管理人员未履行以下职责：</w:t>
            </w:r>
          </w:p>
          <w:p>
            <w:pPr>
              <w:pStyle w:val="TableText"/>
              <w:keepNext/>
              <w:keepLines/>
              <w:pageBreakBefore w:val="0"/>
              <w:widowControl w:val="0"/>
              <w:kinsoku w:val="0"/>
              <w:wordWrap/>
              <w:overflowPunct/>
              <w:topLinePunct w:val="0"/>
              <w:autoSpaceDE w:val="0"/>
              <w:autoSpaceDN w:val="0"/>
              <w:bidi w:val="0"/>
              <w:adjustRightInd w:val="0"/>
              <w:snapToGrid w:val="0"/>
              <w:spacing w:before="8" w:line="360" w:lineRule="exact"/>
              <w:ind w:left="58" w:right="47" w:firstLine="14"/>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7"/>
                <w:sz w:val="21"/>
                <w:szCs w:val="21"/>
              </w:rPr>
              <w:t>1.未参与拟订本单位安全生产规章</w:t>
            </w:r>
            <w:r>
              <w:rPr>
                <w:rFonts w:asciiTheme="minorEastAsia" w:eastAsiaTheme="minorEastAsia" w:hAnsiTheme="minorEastAsia" w:cstheme="minorEastAsia" w:hint="eastAsia"/>
                <w:b w:val="0"/>
                <w:spacing w:val="-5"/>
                <w:sz w:val="21"/>
                <w:szCs w:val="21"/>
              </w:rPr>
              <w:t>制度、操作规程和生产安全事故应急</w:t>
            </w:r>
            <w:r>
              <w:rPr>
                <w:rFonts w:asciiTheme="minorEastAsia" w:eastAsiaTheme="minorEastAsia" w:hAnsiTheme="minorEastAsia" w:cstheme="minorEastAsia" w:hint="eastAsia"/>
                <w:b w:val="0"/>
                <w:spacing w:val="-7"/>
                <w:sz w:val="21"/>
                <w:szCs w:val="21"/>
              </w:rPr>
              <w:t>救援预案；</w:t>
            </w:r>
          </w:p>
          <w:p>
            <w:pPr>
              <w:pStyle w:val="TableText"/>
              <w:keepNext/>
              <w:keepLines/>
              <w:pageBreakBefore w:val="0"/>
              <w:widowControl w:val="0"/>
              <w:kinsoku w:val="0"/>
              <w:wordWrap/>
              <w:overflowPunct/>
              <w:topLinePunct w:val="0"/>
              <w:autoSpaceDE w:val="0"/>
              <w:autoSpaceDN w:val="0"/>
              <w:bidi w:val="0"/>
              <w:adjustRightInd w:val="0"/>
              <w:snapToGrid w:val="0"/>
              <w:spacing w:before="9" w:line="360" w:lineRule="exact"/>
              <w:ind w:left="59" w:right="4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2.未参与本单位安全生产教育和培</w:t>
            </w:r>
            <w:r>
              <w:rPr>
                <w:rFonts w:asciiTheme="minorEastAsia" w:eastAsiaTheme="minorEastAsia" w:hAnsiTheme="minorEastAsia" w:cstheme="minorEastAsia" w:hint="eastAsia"/>
                <w:b w:val="0"/>
                <w:spacing w:val="-5"/>
                <w:sz w:val="21"/>
                <w:szCs w:val="21"/>
              </w:rPr>
              <w:t>训，如实记录安全生产教育和培训情</w:t>
            </w:r>
            <w:r>
              <w:rPr>
                <w:rFonts w:asciiTheme="minorEastAsia" w:eastAsiaTheme="minorEastAsia" w:hAnsiTheme="minorEastAsia" w:cstheme="minorEastAsia" w:hint="eastAsia"/>
                <w:b w:val="0"/>
                <w:spacing w:val="-15"/>
                <w:sz w:val="21"/>
                <w:szCs w:val="21"/>
              </w:rPr>
              <w:t>况；</w:t>
            </w:r>
          </w:p>
          <w:p>
            <w:pPr>
              <w:pStyle w:val="TableText"/>
              <w:keepNext/>
              <w:keepLines/>
              <w:pageBreakBefore w:val="0"/>
              <w:widowControl w:val="0"/>
              <w:kinsoku w:val="0"/>
              <w:wordWrap/>
              <w:overflowPunct/>
              <w:topLinePunct w:val="0"/>
              <w:autoSpaceDE w:val="0"/>
              <w:autoSpaceDN w:val="0"/>
              <w:bidi w:val="0"/>
              <w:adjustRightInd w:val="0"/>
              <w:snapToGrid w:val="0"/>
              <w:spacing w:before="7" w:line="360" w:lineRule="exact"/>
              <w:ind w:left="56" w:right="44" w:firstLine="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3.未开展危险源辨识和评估，督促落</w:t>
            </w:r>
            <w:r>
              <w:rPr>
                <w:rFonts w:asciiTheme="minorEastAsia" w:eastAsiaTheme="minorEastAsia" w:hAnsiTheme="minorEastAsia" w:cstheme="minorEastAsia" w:hint="eastAsia"/>
                <w:b w:val="0"/>
                <w:spacing w:val="9"/>
                <w:sz w:val="21"/>
                <w:szCs w:val="21"/>
              </w:rPr>
              <w:t>实本单位重大危险源的安全管理措</w:t>
            </w:r>
            <w:r>
              <w:rPr>
                <w:rFonts w:asciiTheme="minorEastAsia" w:eastAsiaTheme="minorEastAsia" w:hAnsiTheme="minorEastAsia" w:cstheme="minorEastAsia" w:hint="eastAsia"/>
                <w:b w:val="0"/>
                <w:spacing w:val="-14"/>
                <w:sz w:val="21"/>
                <w:szCs w:val="21"/>
              </w:rPr>
              <w:t>施；</w:t>
            </w:r>
          </w:p>
          <w:p>
            <w:pPr>
              <w:pStyle w:val="TableText"/>
              <w:keepNext/>
              <w:keepLines/>
              <w:pageBreakBefore w:val="0"/>
              <w:widowControl w:val="0"/>
              <w:kinsoku w:val="0"/>
              <w:wordWrap/>
              <w:overflowPunct/>
              <w:topLinePunct w:val="0"/>
              <w:autoSpaceDE w:val="0"/>
              <w:autoSpaceDN w:val="0"/>
              <w:bidi w:val="0"/>
              <w:adjustRightInd w:val="0"/>
              <w:snapToGrid w:val="0"/>
              <w:spacing w:before="6" w:line="360" w:lineRule="exact"/>
              <w:ind w:left="57" w:right="47" w:hanging="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4.未组织或者参与本单位应急救援</w:t>
            </w:r>
            <w:r>
              <w:rPr>
                <w:rFonts w:asciiTheme="minorEastAsia" w:eastAsiaTheme="minorEastAsia" w:hAnsiTheme="minorEastAsia" w:cstheme="minorEastAsia" w:hint="eastAsia"/>
                <w:b w:val="0"/>
                <w:spacing w:val="-13"/>
                <w:sz w:val="21"/>
                <w:szCs w:val="21"/>
              </w:rPr>
              <w:t>演练；</w:t>
            </w:r>
          </w:p>
          <w:p>
            <w:pPr>
              <w:pStyle w:val="TableText"/>
              <w:keepNext/>
              <w:keepLines/>
              <w:pageBreakBefore w:val="0"/>
              <w:widowControl w:val="0"/>
              <w:kinsoku w:val="0"/>
              <w:wordWrap/>
              <w:overflowPunct/>
              <w:topLinePunct w:val="0"/>
              <w:autoSpaceDE w:val="0"/>
              <w:autoSpaceDN w:val="0"/>
              <w:bidi w:val="0"/>
              <w:adjustRightInd w:val="0"/>
              <w:snapToGrid w:val="0"/>
              <w:spacing w:before="7" w:line="360" w:lineRule="exact"/>
              <w:ind w:left="74" w:right="44" w:hanging="1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5.未及时排查生产安全事故隐患，提</w:t>
            </w:r>
            <w:r>
              <w:rPr>
                <w:rFonts w:asciiTheme="minorEastAsia" w:eastAsiaTheme="minorEastAsia" w:hAnsiTheme="minorEastAsia" w:cstheme="minorEastAsia" w:hint="eastAsia"/>
                <w:b w:val="0"/>
                <w:spacing w:val="-4"/>
                <w:sz w:val="21"/>
                <w:szCs w:val="21"/>
              </w:rPr>
              <w:t>出改进安全生产管理的建议；</w:t>
            </w:r>
          </w:p>
          <w:p>
            <w:pPr>
              <w:pStyle w:val="TableText"/>
              <w:keepNext/>
              <w:keepLines/>
              <w:pageBreakBefore w:val="0"/>
              <w:widowControl w:val="0"/>
              <w:kinsoku w:val="0"/>
              <w:wordWrap/>
              <w:overflowPunct/>
              <w:topLinePunct w:val="0"/>
              <w:autoSpaceDE w:val="0"/>
              <w:autoSpaceDN w:val="0"/>
              <w:bidi w:val="0"/>
              <w:adjustRightInd w:val="0"/>
              <w:snapToGrid w:val="0"/>
              <w:spacing w:before="11" w:line="360" w:lineRule="exact"/>
              <w:ind w:left="58" w:right="4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6.未制止和纠正违章指挥、强令冒险</w:t>
            </w:r>
            <w:r>
              <w:rPr>
                <w:rFonts w:asciiTheme="minorEastAsia" w:eastAsiaTheme="minorEastAsia" w:hAnsiTheme="minorEastAsia" w:cstheme="minorEastAsia" w:hint="eastAsia"/>
                <w:b w:val="0"/>
                <w:spacing w:val="-3"/>
                <w:sz w:val="21"/>
                <w:szCs w:val="21"/>
              </w:rPr>
              <w:t>作业、违反操作规程的行为；</w:t>
            </w:r>
          </w:p>
          <w:p>
            <w:pPr>
              <w:pStyle w:val="TableText"/>
              <w:keepNext/>
              <w:keepLines/>
              <w:pageBreakBefore w:val="0"/>
              <w:widowControl w:val="0"/>
              <w:kinsoku w:val="0"/>
              <w:wordWrap/>
              <w:overflowPunct/>
              <w:topLinePunct w:val="0"/>
              <w:autoSpaceDE w:val="0"/>
              <w:autoSpaceDN w:val="0"/>
              <w:bidi w:val="0"/>
              <w:adjustRightInd w:val="0"/>
              <w:snapToGrid w:val="0"/>
              <w:spacing w:before="8" w:line="360" w:lineRule="exact"/>
              <w:ind w:left="57" w:right="50" w:firstLine="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8"/>
                <w:sz w:val="21"/>
                <w:szCs w:val="21"/>
              </w:rPr>
              <w:t>7.未督促落实本单位安全生产整改</w:t>
            </w:r>
            <w:r>
              <w:rPr>
                <w:rFonts w:asciiTheme="minorEastAsia" w:eastAsiaTheme="minorEastAsia" w:hAnsiTheme="minorEastAsia" w:cstheme="minorEastAsia" w:hint="eastAsia"/>
                <w:b w:val="0"/>
                <w:spacing w:val="-8"/>
                <w:sz w:val="21"/>
                <w:szCs w:val="21"/>
              </w:rPr>
              <w:t>措施。</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8" w:right="44" w:firstLine="41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【法律】《中华人民共和国安全生产法》第二十五条生产经营单位的安全生</w:t>
            </w:r>
            <w:r>
              <w:rPr>
                <w:rFonts w:asciiTheme="minorEastAsia" w:eastAsiaTheme="minorEastAsia" w:hAnsiTheme="minorEastAsia" w:cstheme="minorEastAsia" w:hint="eastAsia"/>
                <w:b w:val="0"/>
                <w:spacing w:val="-1"/>
                <w:sz w:val="21"/>
                <w:szCs w:val="21"/>
              </w:rPr>
              <w:t>产管理机构以及安全生产管理人员履行下列职责：</w:t>
            </w:r>
          </w:p>
          <w:p>
            <w:pPr>
              <w:pStyle w:val="TableText"/>
              <w:keepNext/>
              <w:keepLines/>
              <w:pageBreakBefore w:val="0"/>
              <w:widowControl w:val="0"/>
              <w:kinsoku w:val="0"/>
              <w:wordWrap/>
              <w:overflowPunct/>
              <w:topLinePunct w:val="0"/>
              <w:autoSpaceDE w:val="0"/>
              <w:autoSpaceDN w:val="0"/>
              <w:bidi w:val="0"/>
              <w:adjustRightInd w:val="0"/>
              <w:snapToGrid w:val="0"/>
              <w:spacing w:before="30" w:line="360" w:lineRule="exact"/>
              <w:ind w:left="62" w:right="58" w:firstLine="42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（一）组织或者参与拟订本单位安全生产规章制度、操作规程和生产安全事</w:t>
            </w:r>
            <w:r>
              <w:rPr>
                <w:rFonts w:asciiTheme="minorEastAsia" w:eastAsiaTheme="minorEastAsia" w:hAnsiTheme="minorEastAsia" w:cstheme="minorEastAsia" w:hint="eastAsia"/>
                <w:b w:val="0"/>
                <w:spacing w:val="-1"/>
                <w:sz w:val="21"/>
                <w:szCs w:val="21"/>
              </w:rPr>
              <w:t>故应急救援预案；</w:t>
            </w:r>
          </w:p>
          <w:p>
            <w:pPr>
              <w:pStyle w:val="TableText"/>
              <w:keepNext/>
              <w:keepLines/>
              <w:pageBreakBefore w:val="0"/>
              <w:widowControl w:val="0"/>
              <w:kinsoku w:val="0"/>
              <w:wordWrap/>
              <w:overflowPunct/>
              <w:topLinePunct w:val="0"/>
              <w:autoSpaceDE w:val="0"/>
              <w:autoSpaceDN w:val="0"/>
              <w:bidi w:val="0"/>
              <w:adjustRightInd w:val="0"/>
              <w:snapToGrid w:val="0"/>
              <w:spacing w:before="28" w:line="360" w:lineRule="exact"/>
              <w:ind w:left="59" w:right="66" w:firstLine="42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（二）组织或者参与本单位安全生产教育和培训，如实记录安全生产教育和</w:t>
            </w:r>
            <w:r>
              <w:rPr>
                <w:rFonts w:asciiTheme="minorEastAsia" w:eastAsiaTheme="minorEastAsia" w:hAnsiTheme="minorEastAsia" w:cstheme="minorEastAsia" w:hint="eastAsia"/>
                <w:b w:val="0"/>
                <w:spacing w:val="-7"/>
                <w:sz w:val="21"/>
                <w:szCs w:val="21"/>
              </w:rPr>
              <w:t>培训情况；</w:t>
            </w:r>
          </w:p>
          <w:p>
            <w:pPr>
              <w:pStyle w:val="TableText"/>
              <w:keepNext/>
              <w:keepLines/>
              <w:pageBreakBefore w:val="0"/>
              <w:widowControl w:val="0"/>
              <w:kinsoku w:val="0"/>
              <w:wordWrap/>
              <w:overflowPunct/>
              <w:topLinePunct w:val="0"/>
              <w:autoSpaceDE w:val="0"/>
              <w:autoSpaceDN w:val="0"/>
              <w:bidi w:val="0"/>
              <w:adjustRightInd w:val="0"/>
              <w:snapToGrid w:val="0"/>
              <w:spacing w:before="29" w:line="360" w:lineRule="exact"/>
              <w:ind w:left="58" w:right="56" w:firstLine="426"/>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（三）组织开展危险源辨识和评估，督促落实本单位重大危险源的安全管理</w:t>
            </w:r>
            <w:r>
              <w:rPr>
                <w:rFonts w:asciiTheme="minorEastAsia" w:eastAsiaTheme="minorEastAsia" w:hAnsiTheme="minorEastAsia" w:cstheme="minorEastAsia" w:hint="eastAsia"/>
                <w:b w:val="0"/>
                <w:spacing w:val="-12"/>
                <w:sz w:val="21"/>
                <w:szCs w:val="21"/>
              </w:rPr>
              <w:t>措施；</w:t>
            </w:r>
          </w:p>
          <w:p>
            <w:pPr>
              <w:pStyle w:val="TableText"/>
              <w:keepNext/>
              <w:keepLines/>
              <w:pageBreakBefore w:val="0"/>
              <w:widowControl w:val="0"/>
              <w:kinsoku w:val="0"/>
              <w:wordWrap/>
              <w:overflowPunct/>
              <w:topLinePunct w:val="0"/>
              <w:autoSpaceDE w:val="0"/>
              <w:autoSpaceDN w:val="0"/>
              <w:bidi w:val="0"/>
              <w:adjustRightInd w:val="0"/>
              <w:snapToGrid w:val="0"/>
              <w:spacing w:before="28"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（四）组织或者参与本单位应急救援演练；</w:t>
            </w:r>
          </w:p>
          <w:p>
            <w:pPr>
              <w:pStyle w:val="TableText"/>
              <w:keepNext/>
              <w:keepLines/>
              <w:pageBreakBefore w:val="0"/>
              <w:widowControl w:val="0"/>
              <w:kinsoku w:val="0"/>
              <w:wordWrap/>
              <w:overflowPunct/>
              <w:topLinePunct w:val="0"/>
              <w:autoSpaceDE w:val="0"/>
              <w:autoSpaceDN w:val="0"/>
              <w:bidi w:val="0"/>
              <w:adjustRightInd w:val="0"/>
              <w:snapToGrid w:val="0"/>
              <w:spacing w:before="29" w:line="360" w:lineRule="exact"/>
              <w:ind w:left="63" w:right="47" w:firstLine="42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（五）检查本单位的安全生产状况，及时排查生产安全事故隐患，提出改进</w:t>
            </w:r>
            <w:r>
              <w:rPr>
                <w:rFonts w:asciiTheme="minorEastAsia" w:eastAsiaTheme="minorEastAsia" w:hAnsiTheme="minorEastAsia" w:cstheme="minorEastAsia" w:hint="eastAsia"/>
                <w:b w:val="0"/>
                <w:spacing w:val="-1"/>
                <w:sz w:val="21"/>
                <w:szCs w:val="21"/>
              </w:rPr>
              <w:t>安全生产管理的建议；</w:t>
            </w:r>
          </w:p>
          <w:p>
            <w:pPr>
              <w:pStyle w:val="TableText"/>
              <w:keepNext/>
              <w:keepLines/>
              <w:pageBreakBefore w:val="0"/>
              <w:widowControl w:val="0"/>
              <w:kinsoku w:val="0"/>
              <w:wordWrap/>
              <w:overflowPunct/>
              <w:topLinePunct w:val="0"/>
              <w:autoSpaceDE w:val="0"/>
              <w:autoSpaceDN w:val="0"/>
              <w:bidi w:val="0"/>
              <w:adjustRightInd w:val="0"/>
              <w:snapToGrid w:val="0"/>
              <w:spacing w:before="30"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（六）制止和纠正违章指挥、强令冒险作业、违反操作规程的行</w:t>
            </w:r>
            <w:r>
              <w:rPr>
                <w:rFonts w:asciiTheme="minorEastAsia" w:eastAsiaTheme="minorEastAsia" w:hAnsiTheme="minorEastAsia" w:cstheme="minorEastAsia" w:hint="eastAsia"/>
                <w:b w:val="0"/>
                <w:spacing w:val="-4"/>
                <w:sz w:val="21"/>
                <w:szCs w:val="21"/>
              </w:rPr>
              <w:t>为；</w:t>
            </w:r>
          </w:p>
          <w:p>
            <w:pPr>
              <w:pStyle w:val="TableText"/>
              <w:keepNext/>
              <w:keepLines/>
              <w:pageBreakBefore w:val="0"/>
              <w:widowControl w:val="0"/>
              <w:kinsoku w:val="0"/>
              <w:wordWrap/>
              <w:overflowPunct/>
              <w:topLinePunct w:val="0"/>
              <w:autoSpaceDE w:val="0"/>
              <w:autoSpaceDN w:val="0"/>
              <w:bidi w:val="0"/>
              <w:adjustRightInd w:val="0"/>
              <w:snapToGrid w:val="0"/>
              <w:spacing w:before="30" w:line="360" w:lineRule="exact"/>
              <w:ind w:left="48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6"/>
                <w:sz w:val="21"/>
                <w:szCs w:val="21"/>
              </w:rPr>
              <w:t>（七）督促落实本单位安全生产整改措施。</w:t>
            </w:r>
          </w:p>
        </w:tc>
      </w:tr>
    </w:tbl>
    <w:p>
      <w:pPr>
        <w:sectPr>
          <w:headerReference w:type="default" r:id="rId21"/>
          <w:footerReference w:type="default" r:id="rId22"/>
          <w:pgSz w:w="25512" w:h="16838" w:orient="landscape"/>
          <w:pgMar w:top="720" w:right="720" w:bottom="720" w:left="720" w:header="851" w:footer="992" w:gutter="0"/>
          <w:pgNumType w:start="8"/>
          <w:cols w:num="1" w:space="0"/>
          <w:rtlGutter w:val="0"/>
          <w:docGrid w:type="lines" w:linePitch="312" w:charSpace="0"/>
        </w:sectPr>
      </w:pPr>
    </w:p>
    <w:tbl>
      <w:tblPr>
        <w:tblStyle w:val="TableNormal01"/>
        <w:tblW w:w="24082"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0" w:type="dxa"/>
          <w:left w:w="0" w:type="dxa"/>
          <w:bottom w:w="0" w:type="dxa"/>
          <w:right w:w="0" w:type="dxa"/>
        </w:tblCellMar>
      </w:tblPr>
      <w:tblGrid>
        <w:gridCol w:w="467"/>
        <w:gridCol w:w="3984"/>
        <w:gridCol w:w="7433"/>
        <w:gridCol w:w="12198"/>
      </w:tblGrid>
      <w:tr>
        <w:tblPrEx>
          <w:tblW w:w="24082"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7" w:right="4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生产经营单位未按规定开展安全生产标准化建设</w:t>
            </w:r>
            <w:r>
              <w:rPr>
                <w:rFonts w:asciiTheme="minorEastAsia" w:eastAsiaTheme="minorEastAsia" w:hAnsiTheme="minorEastAsia" w:cstheme="minorEastAsia" w:hint="eastAsia"/>
                <w:b w:val="0"/>
                <w:spacing w:val="-2"/>
                <w:sz w:val="21"/>
                <w:szCs w:val="21"/>
              </w:rPr>
              <w:t>活动</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6" w:right="47"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9"/>
                <w:sz w:val="21"/>
                <w:szCs w:val="21"/>
              </w:rPr>
              <w:t>生产经营单位未按规定开展以岗位</w:t>
            </w:r>
            <w:r>
              <w:rPr>
                <w:rFonts w:asciiTheme="minorEastAsia" w:eastAsiaTheme="minorEastAsia" w:hAnsiTheme="minorEastAsia" w:cstheme="minorEastAsia" w:hint="eastAsia"/>
                <w:b w:val="0"/>
                <w:spacing w:val="-5"/>
                <w:sz w:val="21"/>
                <w:szCs w:val="21"/>
              </w:rPr>
              <w:t>达标、专业达标和企业达标为主要内</w:t>
            </w:r>
            <w:r>
              <w:rPr>
                <w:rFonts w:asciiTheme="minorEastAsia" w:eastAsiaTheme="minorEastAsia" w:hAnsiTheme="minorEastAsia" w:cstheme="minorEastAsia" w:hint="eastAsia"/>
                <w:b w:val="0"/>
                <w:spacing w:val="-1"/>
                <w:sz w:val="21"/>
                <w:szCs w:val="21"/>
              </w:rPr>
              <w:t>容的安全生产标准化建设。</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r>
              <w:rPr>
                <w:rFonts w:asciiTheme="minorEastAsia" w:eastAsiaTheme="minorEastAsia" w:hAnsiTheme="minorEastAsia" w:cstheme="minorEastAsia" w:hint="eastAsia"/>
                <w:b w:val="0"/>
                <w:spacing w:val="-4"/>
                <w:sz w:val="21"/>
                <w:szCs w:val="21"/>
              </w:rPr>
              <w:t>【法律】《中华人民共和国安全生产法》</w:t>
            </w:r>
          </w:p>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5" w:firstLine="414"/>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z w:val="21"/>
                <w:szCs w:val="21"/>
              </w:rPr>
              <w:t>第四条【生产经营单位基本义务】　生产经营单位必须遵守本法和其他有关安全生产的法律、法规，加强安全生产管理，加强安全生产标准化、信息化建设</w:t>
            </w:r>
          </w:p>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5" w:firstLine="414"/>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z w:val="21"/>
                <w:szCs w:val="21"/>
              </w:rPr>
              <w:t>第二十一条【生产经营单位的主要负责人的职责】　生产经营单位的主要负责人对本单位安全生产工作负有下列职责:建立健全并落实本单位全员安全生产责任制，加强安全生产标准化建设；</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6"/>
                <w:w w:val="98"/>
                <w:sz w:val="21"/>
                <w:szCs w:val="21"/>
              </w:rPr>
              <w:t>生产、经营、储存、</w:t>
            </w:r>
            <w:r>
              <w:rPr>
                <w:rFonts w:asciiTheme="minorEastAsia" w:eastAsiaTheme="minorEastAsia" w:hAnsiTheme="minorEastAsia" w:cstheme="minorEastAsia" w:hint="eastAsia"/>
                <w:b w:val="0"/>
                <w:spacing w:val="13"/>
                <w:sz w:val="21"/>
                <w:szCs w:val="21"/>
              </w:rPr>
              <w:t>使用危险物品未建立专门安全管</w:t>
            </w:r>
            <w:r>
              <w:rPr>
                <w:rFonts w:asciiTheme="minorEastAsia" w:eastAsiaTheme="minorEastAsia" w:hAnsiTheme="minorEastAsia" w:cstheme="minorEastAsia" w:hint="eastAsia"/>
                <w:b w:val="0"/>
                <w:spacing w:val="-15"/>
                <w:sz w:val="21"/>
                <w:szCs w:val="21"/>
              </w:rPr>
              <w:t>理制度、未采取可</w:t>
            </w:r>
            <w:r>
              <w:rPr>
                <w:rFonts w:asciiTheme="minorEastAsia" w:eastAsiaTheme="minorEastAsia" w:hAnsiTheme="minorEastAsia" w:cstheme="minorEastAsia" w:hint="eastAsia"/>
                <w:b w:val="0"/>
                <w:spacing w:val="-4"/>
                <w:sz w:val="21"/>
                <w:szCs w:val="21"/>
              </w:rPr>
              <w:t>靠的安全措施</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33" w:line="360" w:lineRule="exact"/>
              <w:ind w:left="56" w:right="11" w:firstLine="16"/>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1.生产经营单位生产、经营、运输、</w:t>
            </w:r>
            <w:r>
              <w:rPr>
                <w:rFonts w:asciiTheme="minorEastAsia" w:eastAsiaTheme="minorEastAsia" w:hAnsiTheme="minorEastAsia" w:cstheme="minorEastAsia" w:hint="eastAsia"/>
                <w:b w:val="0"/>
                <w:spacing w:val="-5"/>
                <w:sz w:val="21"/>
                <w:szCs w:val="21"/>
              </w:rPr>
              <w:t>储存、使用易燃易爆物品（油漆、稀料、汽油、柴油、乙炔、丙烷等危险</w:t>
            </w:r>
            <w:r>
              <w:rPr>
                <w:rFonts w:asciiTheme="minorEastAsia" w:eastAsiaTheme="minorEastAsia" w:hAnsiTheme="minorEastAsia" w:cstheme="minorEastAsia" w:hint="eastAsia"/>
                <w:b w:val="0"/>
                <w:spacing w:val="-8"/>
                <w:sz w:val="21"/>
                <w:szCs w:val="21"/>
              </w:rPr>
              <w:t>化学品）、放射性物品等危险物品，</w:t>
            </w:r>
            <w:r>
              <w:rPr>
                <w:rFonts w:asciiTheme="minorEastAsia" w:eastAsiaTheme="minorEastAsia" w:hAnsiTheme="minorEastAsia" w:cstheme="minorEastAsia" w:hint="eastAsia"/>
                <w:b w:val="0"/>
                <w:spacing w:val="-1"/>
                <w:sz w:val="21"/>
                <w:szCs w:val="21"/>
              </w:rPr>
              <w:t>未建立专门的安全管理制度；</w:t>
            </w:r>
          </w:p>
          <w:p>
            <w:pPr>
              <w:pStyle w:val="TableText"/>
              <w:keepNext/>
              <w:keepLines/>
              <w:pageBreakBefore w:val="0"/>
              <w:widowControl w:val="0"/>
              <w:kinsoku w:val="0"/>
              <w:wordWrap/>
              <w:overflowPunct/>
              <w:topLinePunct w:val="0"/>
              <w:autoSpaceDE w:val="0"/>
              <w:autoSpaceDN w:val="0"/>
              <w:bidi w:val="0"/>
              <w:adjustRightInd w:val="0"/>
              <w:snapToGrid w:val="0"/>
              <w:spacing w:before="6" w:line="360" w:lineRule="exact"/>
              <w:ind w:left="56" w:right="11" w:firstLine="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2.生产经营单位生产、经营、运输、</w:t>
            </w:r>
            <w:r>
              <w:rPr>
                <w:rFonts w:asciiTheme="minorEastAsia" w:eastAsiaTheme="minorEastAsia" w:hAnsiTheme="minorEastAsia" w:cstheme="minorEastAsia" w:hint="eastAsia"/>
                <w:b w:val="0"/>
                <w:spacing w:val="-5"/>
                <w:sz w:val="21"/>
                <w:szCs w:val="21"/>
              </w:rPr>
              <w:t>储存、使用易燃易爆物品（油漆、稀料、汽油、柴油、乙炔、丙烷等危险</w:t>
            </w:r>
            <w:r>
              <w:rPr>
                <w:rFonts w:asciiTheme="minorEastAsia" w:eastAsiaTheme="minorEastAsia" w:hAnsiTheme="minorEastAsia" w:cstheme="minorEastAsia" w:hint="eastAsia"/>
                <w:b w:val="0"/>
                <w:spacing w:val="-3"/>
                <w:sz w:val="21"/>
                <w:szCs w:val="21"/>
              </w:rPr>
              <w:t>化学品）、放射性物品等危险物品，</w:t>
            </w:r>
            <w:r>
              <w:rPr>
                <w:rFonts w:asciiTheme="minorEastAsia" w:eastAsiaTheme="minorEastAsia" w:hAnsiTheme="minorEastAsia" w:cstheme="minorEastAsia" w:hint="eastAsia"/>
                <w:b w:val="0"/>
                <w:spacing w:val="-1"/>
                <w:sz w:val="21"/>
                <w:szCs w:val="21"/>
              </w:rPr>
              <w:t>未采取可靠的安全措施；</w:t>
            </w:r>
          </w:p>
          <w:p>
            <w:pPr>
              <w:pStyle w:val="TableText"/>
              <w:keepNext/>
              <w:keepLines/>
              <w:pageBreakBefore w:val="0"/>
              <w:widowControl w:val="0"/>
              <w:kinsoku w:val="0"/>
              <w:wordWrap/>
              <w:overflowPunct/>
              <w:topLinePunct w:val="0"/>
              <w:autoSpaceDE w:val="0"/>
              <w:autoSpaceDN w:val="0"/>
              <w:bidi w:val="0"/>
              <w:adjustRightInd w:val="0"/>
              <w:snapToGrid w:val="0"/>
              <w:spacing w:before="12" w:line="360" w:lineRule="exact"/>
              <w:ind w:left="56" w:right="11" w:firstLine="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3.生产经营单位生产、经营、运输、</w:t>
            </w:r>
            <w:r>
              <w:rPr>
                <w:rFonts w:asciiTheme="minorEastAsia" w:eastAsiaTheme="minorEastAsia" w:hAnsiTheme="minorEastAsia" w:cstheme="minorEastAsia" w:hint="eastAsia"/>
                <w:b w:val="0"/>
                <w:spacing w:val="-5"/>
                <w:sz w:val="21"/>
                <w:szCs w:val="21"/>
              </w:rPr>
              <w:t>储存、使用易燃易爆物品（油漆、稀料、汽油、柴油、乙炔、丙烷等危险</w:t>
            </w:r>
            <w:r>
              <w:rPr>
                <w:rFonts w:asciiTheme="minorEastAsia" w:eastAsiaTheme="minorEastAsia" w:hAnsiTheme="minorEastAsia" w:cstheme="minorEastAsia" w:hint="eastAsia"/>
                <w:b w:val="0"/>
                <w:spacing w:val="-8"/>
                <w:sz w:val="21"/>
                <w:szCs w:val="21"/>
              </w:rPr>
              <w:t>化学品）、放射性物品等危险物品，</w:t>
            </w:r>
            <w:r>
              <w:rPr>
                <w:rFonts w:asciiTheme="minorEastAsia" w:eastAsiaTheme="minorEastAsia" w:hAnsiTheme="minorEastAsia" w:cstheme="minorEastAsia" w:hint="eastAsia"/>
                <w:b w:val="0"/>
                <w:spacing w:val="-5"/>
                <w:sz w:val="21"/>
                <w:szCs w:val="21"/>
              </w:rPr>
              <w:t>未建立专门的安全管理制度，也未采</w:t>
            </w:r>
            <w:r>
              <w:rPr>
                <w:rFonts w:asciiTheme="minorEastAsia" w:eastAsiaTheme="minorEastAsia" w:hAnsiTheme="minorEastAsia" w:cstheme="minorEastAsia" w:hint="eastAsia"/>
                <w:b w:val="0"/>
                <w:spacing w:val="-1"/>
                <w:sz w:val="21"/>
                <w:szCs w:val="21"/>
              </w:rPr>
              <w:t>取可靠的安全措施。</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8" w:right="44" w:firstLine="41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【法律】《中华人民共和国安全生产法》第三十九条第二款生产经营单位生</w:t>
            </w:r>
            <w:r>
              <w:rPr>
                <w:rFonts w:asciiTheme="minorEastAsia" w:eastAsiaTheme="minorEastAsia" w:hAnsiTheme="minorEastAsia" w:cstheme="minorEastAsia" w:hint="eastAsia"/>
                <w:b w:val="0"/>
                <w:spacing w:val="1"/>
                <w:sz w:val="21"/>
                <w:szCs w:val="21"/>
              </w:rPr>
              <w:t>产、经营、运输、储存、使用危险物品或者处置废弃危险物品，必须执行有关法</w:t>
            </w:r>
            <w:r>
              <w:rPr>
                <w:rFonts w:asciiTheme="minorEastAsia" w:eastAsiaTheme="minorEastAsia" w:hAnsiTheme="minorEastAsia" w:cstheme="minorEastAsia" w:hint="eastAsia"/>
                <w:b w:val="0"/>
                <w:spacing w:val="-1"/>
                <w:sz w:val="21"/>
                <w:szCs w:val="21"/>
              </w:rPr>
              <w:t>律、法规和国家标准或者行业标准，建立专</w:t>
            </w:r>
            <w:r>
              <w:rPr>
                <w:rFonts w:asciiTheme="minorEastAsia" w:eastAsiaTheme="minorEastAsia" w:hAnsiTheme="minorEastAsia" w:cstheme="minorEastAsia" w:hint="eastAsia"/>
                <w:b w:val="0"/>
                <w:spacing w:val="-2"/>
                <w:sz w:val="21"/>
                <w:szCs w:val="21"/>
              </w:rPr>
              <w:t>门的安全管理制度，采取可靠的安全</w:t>
            </w:r>
            <w:r>
              <w:rPr>
                <w:rFonts w:asciiTheme="minorEastAsia" w:eastAsiaTheme="minorEastAsia" w:hAnsiTheme="minorEastAsia" w:cstheme="minorEastAsia" w:hint="eastAsia"/>
                <w:b w:val="0"/>
                <w:spacing w:val="-5"/>
                <w:sz w:val="21"/>
                <w:szCs w:val="21"/>
              </w:rPr>
              <w:t>措施，接受有关主管部门依法实施的监督管理。</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7" w:right="4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生产经营单位未按规定使用安全</w:t>
            </w:r>
            <w:r>
              <w:rPr>
                <w:rFonts w:asciiTheme="minorEastAsia" w:eastAsiaTheme="minorEastAsia" w:hAnsiTheme="minorEastAsia" w:cstheme="minorEastAsia" w:hint="eastAsia"/>
                <w:b w:val="0"/>
                <w:spacing w:val="-2"/>
                <w:sz w:val="21"/>
                <w:szCs w:val="21"/>
              </w:rPr>
              <w:t>生产资金投入</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9"/>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生产经营单位存在：</w:t>
            </w:r>
          </w:p>
          <w:p>
            <w:pPr>
              <w:pStyle w:val="TableText"/>
              <w:keepNext/>
              <w:keepLines/>
              <w:pageBreakBefore w:val="0"/>
              <w:widowControl w:val="0"/>
              <w:kinsoku w:val="0"/>
              <w:wordWrap/>
              <w:overflowPunct/>
              <w:topLinePunct w:val="0"/>
              <w:autoSpaceDE w:val="0"/>
              <w:autoSpaceDN w:val="0"/>
              <w:bidi w:val="0"/>
              <w:adjustRightInd w:val="0"/>
              <w:snapToGrid w:val="0"/>
              <w:spacing w:before="29" w:line="360" w:lineRule="exact"/>
              <w:ind w:left="7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1.挪用安全生产资金投入；</w:t>
            </w:r>
          </w:p>
          <w:p>
            <w:pPr>
              <w:pStyle w:val="TableText"/>
              <w:keepNext/>
              <w:keepLines/>
              <w:pageBreakBefore w:val="0"/>
              <w:widowControl w:val="0"/>
              <w:kinsoku w:val="0"/>
              <w:wordWrap/>
              <w:overflowPunct/>
              <w:topLinePunct w:val="0"/>
              <w:autoSpaceDE w:val="0"/>
              <w:autoSpaceDN w:val="0"/>
              <w:bidi w:val="0"/>
              <w:adjustRightInd w:val="0"/>
              <w:snapToGrid w:val="0"/>
              <w:spacing w:before="27" w:line="360" w:lineRule="exact"/>
              <w:ind w:left="57"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7"/>
                <w:sz w:val="21"/>
                <w:szCs w:val="21"/>
              </w:rPr>
              <w:t>2.将除安全设施设备、应急物资、应急演练、安全咨询评估、安全防护用品、安全宣传培训、安全设施设备检测、安全责任保险等与安全生产直接相关的资金支出以外的，非安全生产</w:t>
            </w:r>
            <w:r>
              <w:rPr>
                <w:rFonts w:asciiTheme="minorEastAsia" w:eastAsiaTheme="minorEastAsia" w:hAnsiTheme="minorEastAsia" w:cstheme="minorEastAsia" w:hint="eastAsia"/>
                <w:b w:val="0"/>
                <w:spacing w:val="-2"/>
                <w:sz w:val="21"/>
                <w:szCs w:val="21"/>
              </w:rPr>
              <w:t>直接相关支出（如环保检测、环保、</w:t>
            </w:r>
            <w:r>
              <w:rPr>
                <w:rFonts w:asciiTheme="minorEastAsia" w:eastAsiaTheme="minorEastAsia" w:hAnsiTheme="minorEastAsia" w:cstheme="minorEastAsia" w:hint="eastAsia"/>
                <w:b w:val="0"/>
                <w:spacing w:val="-4"/>
                <w:sz w:val="21"/>
                <w:szCs w:val="21"/>
              </w:rPr>
              <w:t>卫生、质量认证、排污费、水电费、</w:t>
            </w:r>
            <w:r>
              <w:rPr>
                <w:rFonts w:asciiTheme="minorEastAsia" w:eastAsiaTheme="minorEastAsia" w:hAnsiTheme="minorEastAsia" w:cstheme="minorEastAsia" w:hint="eastAsia"/>
                <w:b w:val="0"/>
                <w:spacing w:val="-14"/>
                <w:sz w:val="21"/>
                <w:szCs w:val="21"/>
              </w:rPr>
              <w:t>职业危害检测、职工体检、健康疗养、</w:t>
            </w:r>
            <w:r>
              <w:rPr>
                <w:rFonts w:asciiTheme="minorEastAsia" w:eastAsiaTheme="minorEastAsia" w:hAnsiTheme="minorEastAsia" w:cstheme="minorEastAsia" w:hint="eastAsia"/>
                <w:b w:val="0"/>
                <w:spacing w:val="6"/>
                <w:sz w:val="21"/>
                <w:szCs w:val="21"/>
              </w:rPr>
              <w:t>职工养老医疗保险、职工工资奖金</w:t>
            </w:r>
            <w:r>
              <w:rPr>
                <w:rFonts w:asciiTheme="minorEastAsia" w:eastAsiaTheme="minorEastAsia" w:hAnsiTheme="minorEastAsia" w:cstheme="minorEastAsia" w:hint="eastAsia"/>
                <w:b w:val="0"/>
                <w:spacing w:val="-7"/>
                <w:sz w:val="21"/>
                <w:szCs w:val="21"/>
              </w:rPr>
              <w:t>等）列入安全生产资金支出涉及任意</w:t>
            </w:r>
            <w:r>
              <w:rPr>
                <w:rFonts w:asciiTheme="minorEastAsia" w:eastAsiaTheme="minorEastAsia" w:hAnsiTheme="minorEastAsia" w:cstheme="minorEastAsia" w:hint="eastAsia"/>
                <w:b w:val="0"/>
                <w:spacing w:val="-3"/>
                <w:sz w:val="21"/>
                <w:szCs w:val="21"/>
              </w:rPr>
              <w:t>一项或者多项的。</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45" w:line="360" w:lineRule="exact"/>
              <w:ind w:left="61" w:right="48" w:firstLine="43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1.【法律】《中华人民共和国安全生产法》第二十三条生产经营单位应当具</w:t>
            </w:r>
            <w:r>
              <w:rPr>
                <w:rFonts w:asciiTheme="minorEastAsia" w:eastAsiaTheme="minorEastAsia" w:hAnsiTheme="minorEastAsia" w:cstheme="minorEastAsia" w:hint="eastAsia"/>
                <w:b w:val="0"/>
                <w:spacing w:val="2"/>
                <w:sz w:val="21"/>
                <w:szCs w:val="21"/>
              </w:rPr>
              <w:t>备的安全生产条件所必需的资金投入，由生</w:t>
            </w:r>
            <w:r>
              <w:rPr>
                <w:rFonts w:asciiTheme="minorEastAsia" w:eastAsiaTheme="minorEastAsia" w:hAnsiTheme="minorEastAsia" w:cstheme="minorEastAsia" w:hint="eastAsia"/>
                <w:b w:val="0"/>
                <w:spacing w:val="1"/>
                <w:sz w:val="21"/>
                <w:szCs w:val="21"/>
              </w:rPr>
              <w:t>产经营单位的决策机构、主要负责人或者个人经营的投资人予以保证，并对由于安全生产所必需的资金投入不足导致</w:t>
            </w:r>
            <w:r>
              <w:rPr>
                <w:rFonts w:asciiTheme="minorEastAsia" w:eastAsiaTheme="minorEastAsia" w:hAnsiTheme="minorEastAsia" w:cstheme="minorEastAsia" w:hint="eastAsia"/>
                <w:b w:val="0"/>
                <w:spacing w:val="-1"/>
                <w:sz w:val="21"/>
                <w:szCs w:val="21"/>
              </w:rPr>
              <w:t>的后果承担责任。</w:t>
            </w:r>
          </w:p>
          <w:p>
            <w:pPr>
              <w:pStyle w:val="TableText"/>
              <w:keepNext/>
              <w:keepLines/>
              <w:pageBreakBefore w:val="0"/>
              <w:widowControl w:val="0"/>
              <w:kinsoku w:val="0"/>
              <w:wordWrap/>
              <w:overflowPunct/>
              <w:topLinePunct w:val="0"/>
              <w:autoSpaceDE w:val="0"/>
              <w:autoSpaceDN w:val="0"/>
              <w:bidi w:val="0"/>
              <w:adjustRightInd w:val="0"/>
              <w:snapToGrid w:val="0"/>
              <w:spacing w:before="28" w:line="360" w:lineRule="exact"/>
              <w:ind w:left="58" w:right="49" w:firstLine="42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有关生产经营单位应当按照规定提取和使用安全生产费用，专门用于改善安</w:t>
            </w:r>
            <w:r>
              <w:rPr>
                <w:rFonts w:asciiTheme="minorEastAsia" w:eastAsiaTheme="minorEastAsia" w:hAnsiTheme="minorEastAsia" w:cstheme="minorEastAsia" w:hint="eastAsia"/>
                <w:b w:val="0"/>
                <w:spacing w:val="1"/>
                <w:sz w:val="21"/>
                <w:szCs w:val="21"/>
              </w:rPr>
              <w:t>全生产条件。安全生产费用在成本中据实列支。安全生产费用提取、使用和监督管理的具体办法由国务院财政部门会同国务院应急管理部门征求国务院有关部门</w:t>
            </w:r>
            <w:r>
              <w:rPr>
                <w:rFonts w:asciiTheme="minorEastAsia" w:eastAsiaTheme="minorEastAsia" w:hAnsiTheme="minorEastAsia" w:cstheme="minorEastAsia" w:hint="eastAsia"/>
                <w:b w:val="0"/>
                <w:spacing w:val="-1"/>
                <w:sz w:val="21"/>
                <w:szCs w:val="21"/>
              </w:rPr>
              <w:t>意见后制定。</w:t>
            </w:r>
          </w:p>
          <w:p>
            <w:pPr>
              <w:pStyle w:val="TableText"/>
              <w:keepNext/>
              <w:keepLines/>
              <w:pageBreakBefore w:val="0"/>
              <w:widowControl w:val="0"/>
              <w:kinsoku w:val="0"/>
              <w:wordWrap/>
              <w:overflowPunct/>
              <w:topLinePunct w:val="0"/>
              <w:autoSpaceDE w:val="0"/>
              <w:autoSpaceDN w:val="0"/>
              <w:bidi w:val="0"/>
              <w:adjustRightInd w:val="0"/>
              <w:snapToGrid w:val="0"/>
              <w:spacing w:before="27" w:line="360" w:lineRule="exact"/>
              <w:ind w:left="57" w:right="55" w:firstLine="422"/>
              <w:jc w:val="both"/>
              <w:textAlignment w:val="baseline"/>
              <w:rPr>
                <w:rFonts w:asciiTheme="minorEastAsia" w:eastAsiaTheme="minorEastAsia" w:hAnsiTheme="minorEastAsia" w:cstheme="minorEastAsia" w:hint="eastAsia"/>
                <w:b w:val="0"/>
                <w:sz w:val="21"/>
                <w:szCs w:val="21"/>
              </w:rPr>
            </w:pP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6" w:right="46" w:firstLine="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生产经营单位将</w:t>
            </w:r>
            <w:r>
              <w:rPr>
                <w:rFonts w:asciiTheme="minorEastAsia" w:eastAsiaTheme="minorEastAsia" w:hAnsiTheme="minorEastAsia" w:cstheme="minorEastAsia" w:hint="eastAsia"/>
                <w:b w:val="0"/>
                <w:spacing w:val="-12"/>
                <w:sz w:val="21"/>
                <w:szCs w:val="21"/>
              </w:rPr>
              <w:t>生产经营项目、场所、设备发包或者</w:t>
            </w:r>
            <w:r>
              <w:rPr>
                <w:rFonts w:asciiTheme="minorEastAsia" w:eastAsiaTheme="minorEastAsia" w:hAnsiTheme="minorEastAsia" w:cstheme="minorEastAsia" w:hint="eastAsia"/>
                <w:b w:val="0"/>
                <w:spacing w:val="16"/>
                <w:sz w:val="21"/>
                <w:szCs w:val="21"/>
              </w:rPr>
              <w:t>出租给不具备安全生产条件或者相应资质的单位</w:t>
            </w:r>
            <w:r>
              <w:rPr>
                <w:rFonts w:asciiTheme="minorEastAsia" w:eastAsiaTheme="minorEastAsia" w:hAnsiTheme="minorEastAsia" w:cstheme="minorEastAsia" w:hint="eastAsia"/>
                <w:b w:val="0"/>
                <w:spacing w:val="-2"/>
                <w:sz w:val="21"/>
                <w:szCs w:val="21"/>
              </w:rPr>
              <w:t>或者个人</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291" w:line="360" w:lineRule="exact"/>
              <w:ind w:left="57" w:right="26" w:firstLine="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9"/>
                <w:sz w:val="21"/>
                <w:szCs w:val="21"/>
              </w:rPr>
              <w:t>生产经营单位将生产经营项目、场</w:t>
            </w:r>
            <w:r>
              <w:rPr>
                <w:rFonts w:asciiTheme="minorEastAsia" w:eastAsiaTheme="minorEastAsia" w:hAnsiTheme="minorEastAsia" w:cstheme="minorEastAsia" w:hint="eastAsia"/>
                <w:b w:val="0"/>
                <w:spacing w:val="-5"/>
                <w:sz w:val="21"/>
                <w:szCs w:val="21"/>
              </w:rPr>
              <w:t>所、设备发包或者出租给不具备安全</w:t>
            </w:r>
            <w:r>
              <w:rPr>
                <w:rFonts w:asciiTheme="minorEastAsia" w:eastAsiaTheme="minorEastAsia" w:hAnsiTheme="minorEastAsia" w:cstheme="minorEastAsia" w:hint="eastAsia"/>
                <w:b w:val="0"/>
                <w:spacing w:val="9"/>
                <w:sz w:val="21"/>
                <w:szCs w:val="21"/>
              </w:rPr>
              <w:t>生产条件或者相应资质的单位或者</w:t>
            </w:r>
            <w:r>
              <w:rPr>
                <w:rFonts w:asciiTheme="minorEastAsia" w:eastAsiaTheme="minorEastAsia" w:hAnsiTheme="minorEastAsia" w:cstheme="minorEastAsia" w:hint="eastAsia"/>
                <w:b w:val="0"/>
                <w:spacing w:val="-5"/>
                <w:sz w:val="21"/>
                <w:szCs w:val="21"/>
              </w:rPr>
              <w:t>个人。（例如将仓库出租给无危化品</w:t>
            </w:r>
            <w:r>
              <w:rPr>
                <w:rFonts w:asciiTheme="minorEastAsia" w:eastAsiaTheme="minorEastAsia" w:hAnsiTheme="minorEastAsia" w:cstheme="minorEastAsia" w:hint="eastAsia"/>
                <w:b w:val="0"/>
                <w:spacing w:val="9"/>
                <w:sz w:val="21"/>
                <w:szCs w:val="21"/>
              </w:rPr>
              <w:t>带储存经营许可证的单位或个人从</w:t>
            </w:r>
            <w:r>
              <w:rPr>
                <w:rFonts w:asciiTheme="minorEastAsia" w:eastAsiaTheme="minorEastAsia" w:hAnsiTheme="minorEastAsia" w:cstheme="minorEastAsia" w:hint="eastAsia"/>
                <w:b w:val="0"/>
                <w:spacing w:val="-5"/>
                <w:sz w:val="21"/>
                <w:szCs w:val="21"/>
              </w:rPr>
              <w:t>事危化品储存、经营；将厂房出租给</w:t>
            </w:r>
            <w:r>
              <w:rPr>
                <w:rFonts w:asciiTheme="minorEastAsia" w:eastAsiaTheme="minorEastAsia" w:hAnsiTheme="minorEastAsia" w:cstheme="minorEastAsia" w:hint="eastAsia"/>
                <w:b w:val="0"/>
                <w:spacing w:val="-4"/>
                <w:sz w:val="21"/>
                <w:szCs w:val="21"/>
              </w:rPr>
              <w:t>无危化品生产许可证的单位或个人，</w:t>
            </w:r>
            <w:r>
              <w:rPr>
                <w:rFonts w:asciiTheme="minorEastAsia" w:eastAsiaTheme="minorEastAsia" w:hAnsiTheme="minorEastAsia" w:cstheme="minorEastAsia" w:hint="eastAsia"/>
                <w:b w:val="0"/>
                <w:spacing w:val="-5"/>
                <w:sz w:val="21"/>
                <w:szCs w:val="21"/>
              </w:rPr>
              <w:t>从事危化品生产；将设备安装工程发包给无安装工程施工资质的单位，进</w:t>
            </w:r>
            <w:r>
              <w:rPr>
                <w:rFonts w:asciiTheme="minorEastAsia" w:eastAsiaTheme="minorEastAsia" w:hAnsiTheme="minorEastAsia" w:cstheme="minorEastAsia" w:hint="eastAsia"/>
                <w:b w:val="0"/>
                <w:spacing w:val="-1"/>
                <w:sz w:val="21"/>
                <w:szCs w:val="21"/>
              </w:rPr>
              <w:t>行安装施工的等）</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8" w:right="44" w:firstLine="41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【法律】《中华人民共和国安全生产法》第四十九条生产经营单位不得将生</w:t>
            </w:r>
            <w:r>
              <w:rPr>
                <w:rFonts w:asciiTheme="minorEastAsia" w:eastAsiaTheme="minorEastAsia" w:hAnsiTheme="minorEastAsia" w:cstheme="minorEastAsia" w:hint="eastAsia"/>
                <w:b w:val="0"/>
                <w:spacing w:val="1"/>
                <w:sz w:val="21"/>
                <w:szCs w:val="21"/>
              </w:rPr>
              <w:t>产经营项目、场所、设备发包或者出租给不具备安全生产条件或者相应资质的单</w:t>
            </w:r>
            <w:r>
              <w:rPr>
                <w:rFonts w:asciiTheme="minorEastAsia" w:eastAsiaTheme="minorEastAsia" w:hAnsiTheme="minorEastAsia" w:cstheme="minorEastAsia" w:hint="eastAsia"/>
                <w:b w:val="0"/>
                <w:spacing w:val="-1"/>
                <w:sz w:val="21"/>
                <w:szCs w:val="21"/>
              </w:rPr>
              <w:t>位或者个人。</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160" w:line="360" w:lineRule="exact"/>
              <w:ind w:left="56" w:firstLine="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5"/>
                <w:sz w:val="21"/>
                <w:szCs w:val="21"/>
              </w:rPr>
              <w:t>生产经营单位未</w:t>
            </w:r>
            <w:r>
              <w:rPr>
                <w:rFonts w:asciiTheme="minorEastAsia" w:eastAsiaTheme="minorEastAsia" w:hAnsiTheme="minorEastAsia" w:cstheme="minorEastAsia" w:hint="eastAsia"/>
                <w:b w:val="0"/>
                <w:spacing w:val="-12"/>
                <w:sz w:val="21"/>
                <w:szCs w:val="21"/>
              </w:rPr>
              <w:t>与承包单位、承租</w:t>
            </w:r>
            <w:r>
              <w:rPr>
                <w:rFonts w:asciiTheme="minorEastAsia" w:eastAsiaTheme="minorEastAsia" w:hAnsiTheme="minorEastAsia" w:cstheme="minorEastAsia" w:hint="eastAsia"/>
                <w:b w:val="0"/>
                <w:spacing w:val="16"/>
                <w:sz w:val="21"/>
                <w:szCs w:val="21"/>
              </w:rPr>
              <w:t>单位签订专门的安全生产管理协议或者未在合同中明确各自的安</w:t>
            </w:r>
            <w:r>
              <w:rPr>
                <w:rFonts w:asciiTheme="minorEastAsia" w:eastAsiaTheme="minorEastAsia" w:hAnsiTheme="minorEastAsia" w:cstheme="minorEastAsia" w:hint="eastAsia"/>
                <w:b w:val="0"/>
                <w:spacing w:val="-6"/>
                <w:sz w:val="21"/>
                <w:szCs w:val="21"/>
              </w:rPr>
              <w:t>全生产管理职责，</w:t>
            </w:r>
            <w:r>
              <w:rPr>
                <w:rFonts w:asciiTheme="minorEastAsia" w:eastAsiaTheme="minorEastAsia" w:hAnsiTheme="minorEastAsia" w:cstheme="minorEastAsia" w:hint="eastAsia"/>
                <w:b w:val="0"/>
                <w:spacing w:val="16"/>
                <w:sz w:val="21"/>
                <w:szCs w:val="21"/>
              </w:rPr>
              <w:t>或者未对承包单</w:t>
            </w:r>
            <w:r>
              <w:rPr>
                <w:rFonts w:asciiTheme="minorEastAsia" w:eastAsiaTheme="minorEastAsia" w:hAnsiTheme="minorEastAsia" w:cstheme="minorEastAsia" w:hint="eastAsia"/>
                <w:b w:val="0"/>
                <w:spacing w:val="-12"/>
                <w:sz w:val="21"/>
                <w:szCs w:val="21"/>
              </w:rPr>
              <w:t>位、承租单位的安</w:t>
            </w:r>
            <w:r>
              <w:rPr>
                <w:rFonts w:asciiTheme="minorEastAsia" w:eastAsiaTheme="minorEastAsia" w:hAnsiTheme="minorEastAsia" w:cstheme="minorEastAsia" w:hint="eastAsia"/>
                <w:b w:val="0"/>
                <w:spacing w:val="-6"/>
                <w:sz w:val="21"/>
                <w:szCs w:val="21"/>
              </w:rPr>
              <w:t>全生产统一协调、</w:t>
            </w:r>
            <w:r>
              <w:rPr>
                <w:rFonts w:asciiTheme="minorEastAsia" w:eastAsiaTheme="minorEastAsia" w:hAnsiTheme="minorEastAsia" w:cstheme="minorEastAsia" w:hint="eastAsia"/>
                <w:b w:val="0"/>
                <w:spacing w:val="-2"/>
                <w:sz w:val="21"/>
                <w:szCs w:val="21"/>
              </w:rPr>
              <w:t>管理</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33" w:line="360" w:lineRule="exact"/>
              <w:ind w:left="57" w:firstLine="1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6"/>
                <w:sz w:val="21"/>
                <w:szCs w:val="21"/>
              </w:rPr>
              <w:t>1.未与承包单位、承租单位签订专门</w:t>
            </w:r>
            <w:r>
              <w:rPr>
                <w:rFonts w:asciiTheme="minorEastAsia" w:eastAsiaTheme="minorEastAsia" w:hAnsiTheme="minorEastAsia" w:cstheme="minorEastAsia" w:hint="eastAsia"/>
                <w:b w:val="0"/>
                <w:spacing w:val="8"/>
                <w:sz w:val="21"/>
                <w:szCs w:val="21"/>
              </w:rPr>
              <w:t>的安全生产管理协议或者未在承包</w:t>
            </w:r>
            <w:r>
              <w:rPr>
                <w:rFonts w:asciiTheme="minorEastAsia" w:eastAsiaTheme="minorEastAsia" w:hAnsiTheme="minorEastAsia" w:cstheme="minorEastAsia" w:hint="eastAsia"/>
                <w:b w:val="0"/>
                <w:spacing w:val="-6"/>
                <w:sz w:val="21"/>
                <w:szCs w:val="21"/>
              </w:rPr>
              <w:t>合同、租赁合同中明确各自的安全生</w:t>
            </w:r>
            <w:r>
              <w:rPr>
                <w:rFonts w:asciiTheme="minorEastAsia" w:eastAsiaTheme="minorEastAsia" w:hAnsiTheme="minorEastAsia" w:cstheme="minorEastAsia" w:hint="eastAsia"/>
                <w:b w:val="0"/>
                <w:spacing w:val="-3"/>
                <w:sz w:val="21"/>
                <w:szCs w:val="21"/>
              </w:rPr>
              <w:t>产管理职责的</w:t>
            </w:r>
            <w:r>
              <w:rPr>
                <w:rFonts w:asciiTheme="minorEastAsia" w:eastAsiaTheme="minorEastAsia" w:hAnsiTheme="minorEastAsia" w:cstheme="minorEastAsia" w:hint="eastAsia"/>
                <w:b w:val="0"/>
                <w:spacing w:val="-41"/>
                <w:w w:val="74"/>
                <w:sz w:val="21"/>
                <w:szCs w:val="21"/>
              </w:rPr>
              <w:t>；（</w:t>
            </w:r>
            <w:r>
              <w:rPr>
                <w:rFonts w:asciiTheme="minorEastAsia" w:eastAsiaTheme="minorEastAsia" w:hAnsiTheme="minorEastAsia" w:cstheme="minorEastAsia" w:hint="eastAsia"/>
                <w:b w:val="0"/>
                <w:spacing w:val="-3"/>
                <w:sz w:val="21"/>
                <w:szCs w:val="21"/>
              </w:rPr>
              <w:t>未签订协议或合同；</w:t>
            </w:r>
            <w:r>
              <w:rPr>
                <w:rFonts w:asciiTheme="minorEastAsia" w:eastAsiaTheme="minorEastAsia" w:hAnsiTheme="minorEastAsia" w:cstheme="minorEastAsia" w:hint="eastAsia"/>
                <w:b w:val="0"/>
                <w:spacing w:val="-6"/>
                <w:sz w:val="21"/>
                <w:szCs w:val="21"/>
              </w:rPr>
              <w:t>签订了协议或合同，只约定了单方的</w:t>
            </w:r>
            <w:r>
              <w:rPr>
                <w:rFonts w:asciiTheme="minorEastAsia" w:eastAsiaTheme="minorEastAsia" w:hAnsiTheme="minorEastAsia" w:cstheme="minorEastAsia" w:hint="eastAsia"/>
                <w:b w:val="0"/>
                <w:spacing w:val="-11"/>
                <w:sz w:val="21"/>
                <w:szCs w:val="21"/>
              </w:rPr>
              <w:t>职责，未明确双方职责）</w:t>
            </w:r>
          </w:p>
          <w:p>
            <w:pPr>
              <w:pStyle w:val="TableText"/>
              <w:keepNext/>
              <w:keepLines/>
              <w:pageBreakBefore w:val="0"/>
              <w:widowControl w:val="0"/>
              <w:kinsoku w:val="0"/>
              <w:wordWrap/>
              <w:overflowPunct/>
              <w:topLinePunct w:val="0"/>
              <w:autoSpaceDE w:val="0"/>
              <w:autoSpaceDN w:val="0"/>
              <w:bidi w:val="0"/>
              <w:adjustRightInd w:val="0"/>
              <w:snapToGrid w:val="0"/>
              <w:spacing w:before="9" w:line="360" w:lineRule="exact"/>
              <w:ind w:left="56" w:right="47" w:firstLine="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2.未对承包单位、承租单位的安全生产统一协调、管理的。（对承包、承</w:t>
            </w:r>
            <w:r>
              <w:rPr>
                <w:rFonts w:asciiTheme="minorEastAsia" w:eastAsiaTheme="minorEastAsia" w:hAnsiTheme="minorEastAsia" w:cstheme="minorEastAsia" w:hint="eastAsia"/>
                <w:b w:val="0"/>
                <w:spacing w:val="9"/>
                <w:sz w:val="21"/>
                <w:szCs w:val="21"/>
              </w:rPr>
              <w:t>租的单位从事特种作业人员的证件</w:t>
            </w:r>
            <w:r>
              <w:rPr>
                <w:rFonts w:asciiTheme="minorEastAsia" w:eastAsiaTheme="minorEastAsia" w:hAnsiTheme="minorEastAsia" w:cstheme="minorEastAsia" w:hint="eastAsia"/>
                <w:b w:val="0"/>
                <w:spacing w:val="-5"/>
                <w:sz w:val="21"/>
                <w:szCs w:val="21"/>
              </w:rPr>
              <w:t>未查验，未对承包、承租单位危险作</w:t>
            </w:r>
            <w:r>
              <w:rPr>
                <w:rFonts w:asciiTheme="minorEastAsia" w:eastAsiaTheme="minorEastAsia" w:hAnsiTheme="minorEastAsia" w:cstheme="minorEastAsia" w:hint="eastAsia"/>
                <w:b w:val="0"/>
                <w:spacing w:val="-1"/>
                <w:sz w:val="21"/>
                <w:szCs w:val="21"/>
              </w:rPr>
              <w:t>业现场进行监督检查等）</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7" w:right="37" w:firstLine="41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4"/>
                <w:sz w:val="21"/>
                <w:szCs w:val="21"/>
              </w:rPr>
              <w:t>【法律】《中华人民共和国安全生产法》第四十九条第二款生产经营项目、</w:t>
            </w:r>
            <w:r>
              <w:rPr>
                <w:rFonts w:asciiTheme="minorEastAsia" w:eastAsiaTheme="minorEastAsia" w:hAnsiTheme="minorEastAsia" w:cstheme="minorEastAsia" w:hint="eastAsia"/>
                <w:b w:val="0"/>
                <w:spacing w:val="2"/>
                <w:sz w:val="21"/>
                <w:szCs w:val="21"/>
              </w:rPr>
              <w:t>场所发包或者出租给其他单位的，生产经营单位应当与</w:t>
            </w:r>
            <w:r>
              <w:rPr>
                <w:rFonts w:asciiTheme="minorEastAsia" w:eastAsiaTheme="minorEastAsia" w:hAnsiTheme="minorEastAsia" w:cstheme="minorEastAsia" w:hint="eastAsia"/>
                <w:b w:val="0"/>
                <w:spacing w:val="1"/>
                <w:sz w:val="21"/>
                <w:szCs w:val="21"/>
              </w:rPr>
              <w:t>承包单位、承租单位签订</w:t>
            </w:r>
            <w:r>
              <w:rPr>
                <w:rFonts w:asciiTheme="minorEastAsia" w:eastAsiaTheme="minorEastAsia" w:hAnsiTheme="minorEastAsia" w:cstheme="minorEastAsia" w:hint="eastAsia"/>
                <w:b w:val="0"/>
                <w:spacing w:val="-1"/>
                <w:sz w:val="21"/>
                <w:szCs w:val="21"/>
              </w:rPr>
              <w:t>专门的安全生产管理协议，或者在承包合同、</w:t>
            </w:r>
            <w:r>
              <w:rPr>
                <w:rFonts w:asciiTheme="minorEastAsia" w:eastAsiaTheme="minorEastAsia" w:hAnsiTheme="minorEastAsia" w:cstheme="minorEastAsia" w:hint="eastAsia"/>
                <w:b w:val="0"/>
                <w:spacing w:val="-2"/>
                <w:sz w:val="21"/>
                <w:szCs w:val="21"/>
              </w:rPr>
              <w:t>租赁合同中约定各自的安全生产管</w:t>
            </w:r>
            <w:r>
              <w:rPr>
                <w:rFonts w:asciiTheme="minorEastAsia" w:eastAsiaTheme="minorEastAsia" w:hAnsiTheme="minorEastAsia" w:cstheme="minorEastAsia" w:hint="eastAsia"/>
                <w:b w:val="0"/>
                <w:spacing w:val="1"/>
                <w:sz w:val="21"/>
                <w:szCs w:val="21"/>
              </w:rPr>
              <w:t>理职责；生产经营单位对承包单位、承租单位的安全生产工作统一协调、管理，</w:t>
            </w:r>
            <w:r>
              <w:rPr>
                <w:rFonts w:asciiTheme="minorEastAsia" w:eastAsiaTheme="minorEastAsia" w:hAnsiTheme="minorEastAsia" w:cstheme="minorEastAsia" w:hint="eastAsia"/>
                <w:b w:val="0"/>
                <w:spacing w:val="-4"/>
                <w:sz w:val="21"/>
                <w:szCs w:val="21"/>
              </w:rPr>
              <w:t>定期进行安全检查，发现安全问题的，应当及时督促整改。</w:t>
            </w:r>
          </w:p>
        </w:tc>
      </w:tr>
    </w:tbl>
    <w:p>
      <w:pPr>
        <w:sectPr>
          <w:headerReference w:type="default" r:id="rId23"/>
          <w:footerReference w:type="default" r:id="rId24"/>
          <w:type w:val="nextPage"/>
          <w:pgSz w:w="25512" w:h="16838" w:orient="landscape"/>
          <w:pgMar w:top="720" w:right="720" w:bottom="720" w:left="720" w:header="851" w:footer="992" w:gutter="0"/>
          <w:pgNumType w:start="9"/>
          <w:cols w:num="1" w:space="0"/>
          <w:titlePg w:val="0"/>
          <w:rtlGutter w:val="0"/>
          <w:docGrid w:type="lines" w:linePitch="312" w:charSpace="0"/>
        </w:sectPr>
      </w:pPr>
    </w:p>
    <w:tbl>
      <w:tblPr>
        <w:tblStyle w:val="TableNormal02"/>
        <w:tblW w:w="24082"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0" w:type="dxa"/>
          <w:left w:w="0" w:type="dxa"/>
          <w:bottom w:w="0" w:type="dxa"/>
          <w:right w:w="0" w:type="dxa"/>
        </w:tblCellMar>
      </w:tblPr>
      <w:tblGrid>
        <w:gridCol w:w="467"/>
        <w:gridCol w:w="3984"/>
        <w:gridCol w:w="7433"/>
        <w:gridCol w:w="12198"/>
      </w:tblGrid>
      <w:tr>
        <w:tblPrEx>
          <w:tblW w:w="24082"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5" w:right="46"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生产经营单位未</w:t>
            </w:r>
            <w:r>
              <w:rPr>
                <w:rFonts w:asciiTheme="minorEastAsia" w:eastAsiaTheme="minorEastAsia" w:hAnsiTheme="minorEastAsia" w:cstheme="minorEastAsia" w:hint="eastAsia"/>
                <w:b w:val="0"/>
                <w:spacing w:val="17"/>
                <w:sz w:val="21"/>
                <w:szCs w:val="21"/>
              </w:rPr>
              <w:t>在有较大危险因素的生产经营场</w:t>
            </w:r>
            <w:r>
              <w:rPr>
                <w:rFonts w:asciiTheme="minorEastAsia" w:eastAsiaTheme="minorEastAsia" w:hAnsiTheme="minorEastAsia" w:cstheme="minorEastAsia" w:hint="eastAsia"/>
                <w:b w:val="0"/>
                <w:spacing w:val="-12"/>
                <w:sz w:val="21"/>
                <w:szCs w:val="21"/>
              </w:rPr>
              <w:t>所和有关设施、设</w:t>
            </w:r>
            <w:r>
              <w:rPr>
                <w:rFonts w:asciiTheme="minorEastAsia" w:eastAsiaTheme="minorEastAsia" w:hAnsiTheme="minorEastAsia" w:cstheme="minorEastAsia" w:hint="eastAsia"/>
                <w:b w:val="0"/>
                <w:spacing w:val="17"/>
                <w:sz w:val="21"/>
                <w:szCs w:val="21"/>
              </w:rPr>
              <w:t>备上设置明显的</w:t>
            </w:r>
            <w:r>
              <w:rPr>
                <w:rFonts w:asciiTheme="minorEastAsia" w:eastAsiaTheme="minorEastAsia" w:hAnsiTheme="minorEastAsia" w:cstheme="minorEastAsia" w:hint="eastAsia"/>
                <w:b w:val="0"/>
                <w:spacing w:val="-1"/>
                <w:sz w:val="21"/>
                <w:szCs w:val="21"/>
              </w:rPr>
              <w:t>安全警示标志</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125" w:line="360" w:lineRule="exact"/>
              <w:ind w:left="56"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6"/>
                <w:sz w:val="21"/>
                <w:szCs w:val="21"/>
              </w:rPr>
              <w:t>生产或储存危险化学品的单位、冶</w:t>
            </w:r>
            <w:r>
              <w:rPr>
                <w:rFonts w:asciiTheme="minorEastAsia" w:eastAsiaTheme="minorEastAsia" w:hAnsiTheme="minorEastAsia" w:cstheme="minorEastAsia" w:hint="eastAsia"/>
                <w:b w:val="0"/>
                <w:spacing w:val="-14"/>
                <w:sz w:val="21"/>
                <w:szCs w:val="21"/>
              </w:rPr>
              <w:t>金、有色、建材、机械、轻工、纺织、</w:t>
            </w:r>
            <w:r>
              <w:rPr>
                <w:rFonts w:asciiTheme="minorEastAsia" w:eastAsiaTheme="minorEastAsia" w:hAnsiTheme="minorEastAsia" w:cstheme="minorEastAsia" w:hint="eastAsia"/>
                <w:b w:val="0"/>
                <w:spacing w:val="-7"/>
                <w:sz w:val="21"/>
                <w:szCs w:val="21"/>
              </w:rPr>
              <w:t>烟草、商贸等一般工商贸生产经营单</w:t>
            </w:r>
            <w:r>
              <w:rPr>
                <w:rFonts w:asciiTheme="minorEastAsia" w:eastAsiaTheme="minorEastAsia" w:hAnsiTheme="minorEastAsia" w:cstheme="minorEastAsia" w:hint="eastAsia"/>
                <w:b w:val="0"/>
                <w:spacing w:val="-12"/>
                <w:sz w:val="21"/>
                <w:szCs w:val="21"/>
              </w:rPr>
              <w:t>位、粉尘涉爆、涉氨制冷企业，未在</w:t>
            </w:r>
            <w:r>
              <w:rPr>
                <w:rFonts w:asciiTheme="minorEastAsia" w:eastAsiaTheme="minorEastAsia" w:hAnsiTheme="minorEastAsia" w:cstheme="minorEastAsia" w:hint="eastAsia"/>
                <w:b w:val="0"/>
                <w:spacing w:val="-14"/>
                <w:sz w:val="21"/>
                <w:szCs w:val="21"/>
              </w:rPr>
              <w:t>具有机械伤害、物体打击、高温灼伤、</w:t>
            </w:r>
            <w:r>
              <w:rPr>
                <w:rFonts w:asciiTheme="minorEastAsia" w:eastAsiaTheme="minorEastAsia" w:hAnsiTheme="minorEastAsia" w:cstheme="minorEastAsia" w:hint="eastAsia"/>
                <w:b w:val="0"/>
                <w:spacing w:val="-4"/>
                <w:sz w:val="21"/>
                <w:szCs w:val="21"/>
              </w:rPr>
              <w:t>低温冻伤、中毒窒息、火灾、爆炸、</w:t>
            </w:r>
            <w:r>
              <w:rPr>
                <w:rFonts w:asciiTheme="minorEastAsia" w:eastAsiaTheme="minorEastAsia" w:hAnsiTheme="minorEastAsia" w:cstheme="minorEastAsia" w:hint="eastAsia"/>
                <w:b w:val="0"/>
                <w:spacing w:val="-7"/>
                <w:sz w:val="21"/>
                <w:szCs w:val="21"/>
              </w:rPr>
              <w:t>触电、高处坠落、淹溺等较大危险因素的作业场所、工艺、设施设备和岗</w:t>
            </w:r>
            <w:r>
              <w:rPr>
                <w:rFonts w:asciiTheme="minorEastAsia" w:eastAsiaTheme="minorEastAsia" w:hAnsiTheme="minorEastAsia" w:cstheme="minorEastAsia" w:hint="eastAsia"/>
                <w:b w:val="0"/>
                <w:spacing w:val="-4"/>
                <w:sz w:val="21"/>
                <w:szCs w:val="21"/>
              </w:rPr>
              <w:t>位设置明显的安全警示标志。</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262" w:line="360" w:lineRule="exact"/>
              <w:ind w:left="59" w:firstLine="43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1.【法律】《中华人民共和国安全生产法》第三十五条生产经营单位应当在</w:t>
            </w:r>
            <w:r>
              <w:rPr>
                <w:rFonts w:asciiTheme="minorEastAsia" w:eastAsiaTheme="minorEastAsia" w:hAnsiTheme="minorEastAsia" w:cstheme="minorEastAsia" w:hint="eastAsia"/>
                <w:b w:val="0"/>
                <w:spacing w:val="-5"/>
                <w:sz w:val="21"/>
                <w:szCs w:val="21"/>
              </w:rPr>
              <w:t>有较大危险因素的生产经营场所和有关设施、设备上，设置明显的安全警示标志。</w:t>
            </w:r>
          </w:p>
          <w:p>
            <w:pPr>
              <w:pStyle w:val="TableText"/>
              <w:keepNext/>
              <w:keepLines/>
              <w:pageBreakBefore w:val="0"/>
              <w:widowControl w:val="0"/>
              <w:kinsoku w:val="0"/>
              <w:wordWrap/>
              <w:overflowPunct/>
              <w:topLinePunct w:val="0"/>
              <w:autoSpaceDE w:val="0"/>
              <w:autoSpaceDN w:val="0"/>
              <w:bidi w:val="0"/>
              <w:adjustRightInd w:val="0"/>
              <w:snapToGrid w:val="0"/>
              <w:spacing w:before="29" w:line="360" w:lineRule="exact"/>
              <w:ind w:left="62" w:right="47" w:firstLine="419"/>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2.【行政法规】《危险化学品安全管理条</w:t>
            </w:r>
            <w:r>
              <w:rPr>
                <w:rFonts w:asciiTheme="minorEastAsia" w:eastAsiaTheme="minorEastAsia" w:hAnsiTheme="minorEastAsia" w:cstheme="minorEastAsia" w:hint="eastAsia"/>
                <w:b w:val="0"/>
                <w:spacing w:val="-2"/>
                <w:sz w:val="21"/>
                <w:szCs w:val="21"/>
              </w:rPr>
              <w:t>例》第二十条第二款生产、储存危险化学品的单位，应当在其作业场所和安全设施、设备上设置明显的安全警示标</w:t>
            </w:r>
            <w:r>
              <w:rPr>
                <w:rFonts w:asciiTheme="minorEastAsia" w:eastAsiaTheme="minorEastAsia" w:hAnsiTheme="minorEastAsia" w:cstheme="minorEastAsia" w:hint="eastAsia"/>
                <w:b w:val="0"/>
                <w:spacing w:val="-6"/>
                <w:sz w:val="21"/>
                <w:szCs w:val="21"/>
              </w:rPr>
              <w:t>志。</w:t>
            </w:r>
          </w:p>
          <w:p>
            <w:pPr>
              <w:pStyle w:val="TableText"/>
              <w:keepNext/>
              <w:keepLines/>
              <w:pageBreakBefore w:val="0"/>
              <w:widowControl w:val="0"/>
              <w:kinsoku w:val="0"/>
              <w:wordWrap/>
              <w:overflowPunct/>
              <w:topLinePunct w:val="0"/>
              <w:autoSpaceDE w:val="0"/>
              <w:autoSpaceDN w:val="0"/>
              <w:bidi w:val="0"/>
              <w:adjustRightInd w:val="0"/>
              <w:snapToGrid w:val="0"/>
              <w:spacing w:before="17" w:line="360" w:lineRule="exact"/>
              <w:ind w:left="57" w:right="47" w:firstLine="42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3.【部委规章】《工贸企业粉尘防爆安全规定》第十一条第一款粉尘涉爆企</w:t>
            </w:r>
            <w:r>
              <w:rPr>
                <w:rFonts w:asciiTheme="minorEastAsia" w:eastAsiaTheme="minorEastAsia" w:hAnsiTheme="minorEastAsia" w:cstheme="minorEastAsia" w:hint="eastAsia"/>
                <w:b w:val="0"/>
                <w:spacing w:val="2"/>
                <w:sz w:val="21"/>
                <w:szCs w:val="21"/>
              </w:rPr>
              <w:t>业应当在粉尘爆炸较大危险因素的工艺、场</w:t>
            </w:r>
            <w:r>
              <w:rPr>
                <w:rFonts w:asciiTheme="minorEastAsia" w:eastAsiaTheme="minorEastAsia" w:hAnsiTheme="minorEastAsia" w:cstheme="minorEastAsia" w:hint="eastAsia"/>
                <w:b w:val="0"/>
                <w:spacing w:val="1"/>
                <w:sz w:val="21"/>
                <w:szCs w:val="21"/>
              </w:rPr>
              <w:t>所、设施设备和岗位，设置安全警示</w:t>
            </w:r>
            <w:r>
              <w:rPr>
                <w:rFonts w:asciiTheme="minorEastAsia" w:eastAsiaTheme="minorEastAsia" w:hAnsiTheme="minorEastAsia" w:cstheme="minorEastAsia" w:hint="eastAsia"/>
                <w:b w:val="0"/>
                <w:spacing w:val="-8"/>
                <w:sz w:val="21"/>
                <w:szCs w:val="21"/>
              </w:rPr>
              <w:t>标志。</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7" w:firstLine="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6"/>
                <w:sz w:val="21"/>
                <w:szCs w:val="21"/>
              </w:rPr>
              <w:t>安全设备的安装、</w:t>
            </w:r>
            <w:r>
              <w:rPr>
                <w:rFonts w:asciiTheme="minorEastAsia" w:eastAsiaTheme="minorEastAsia" w:hAnsiTheme="minorEastAsia" w:cstheme="minorEastAsia" w:hint="eastAsia"/>
                <w:b w:val="0"/>
                <w:spacing w:val="-13"/>
                <w:sz w:val="21"/>
                <w:szCs w:val="21"/>
              </w:rPr>
              <w:t>使用、检测、改造</w:t>
            </w:r>
            <w:r>
              <w:rPr>
                <w:rFonts w:asciiTheme="minorEastAsia" w:eastAsiaTheme="minorEastAsia" w:hAnsiTheme="minorEastAsia" w:cstheme="minorEastAsia" w:hint="eastAsia"/>
                <w:b w:val="0"/>
                <w:spacing w:val="15"/>
                <w:sz w:val="21"/>
                <w:szCs w:val="21"/>
              </w:rPr>
              <w:t>和报废不符合国家标准或者行业</w:t>
            </w:r>
            <w:r>
              <w:rPr>
                <w:rFonts w:asciiTheme="minorEastAsia" w:eastAsiaTheme="minorEastAsia" w:hAnsiTheme="minorEastAsia" w:cstheme="minorEastAsia" w:hint="eastAsia"/>
                <w:b w:val="0"/>
                <w:spacing w:val="-3"/>
                <w:sz w:val="21"/>
                <w:szCs w:val="21"/>
              </w:rPr>
              <w:t>标准</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265" w:line="360" w:lineRule="exact"/>
              <w:ind w:left="55" w:right="29" w:firstLine="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9"/>
                <w:sz w:val="21"/>
                <w:szCs w:val="21"/>
              </w:rPr>
              <w:t>生产经营单位在用的安全设备的安</w:t>
            </w:r>
            <w:r>
              <w:rPr>
                <w:rFonts w:asciiTheme="minorEastAsia" w:eastAsiaTheme="minorEastAsia" w:hAnsiTheme="minorEastAsia" w:cstheme="minorEastAsia" w:hint="eastAsia"/>
                <w:b w:val="0"/>
                <w:spacing w:val="-5"/>
                <w:sz w:val="21"/>
                <w:szCs w:val="21"/>
              </w:rPr>
              <w:t>装、使用、检测、改造和报废不符合国家标准或者行业标准的。（例：机器的轴、传动链、皮带轮等机械的转</w:t>
            </w:r>
            <w:r>
              <w:rPr>
                <w:rFonts w:asciiTheme="minorEastAsia" w:eastAsiaTheme="minorEastAsia" w:hAnsiTheme="minorEastAsia" w:cstheme="minorEastAsia" w:hint="eastAsia"/>
                <w:b w:val="0"/>
                <w:spacing w:val="-4"/>
                <w:sz w:val="21"/>
                <w:szCs w:val="21"/>
              </w:rPr>
              <w:t>动部位未按规定设置安全防护措施；</w:t>
            </w:r>
            <w:r>
              <w:rPr>
                <w:rFonts w:asciiTheme="minorEastAsia" w:eastAsiaTheme="minorEastAsia" w:hAnsiTheme="minorEastAsia" w:cstheme="minorEastAsia" w:hint="eastAsia"/>
                <w:b w:val="0"/>
                <w:spacing w:val="-5"/>
                <w:sz w:val="21"/>
                <w:szCs w:val="21"/>
              </w:rPr>
              <w:t>钢直梯、斜梯、平台等高处未按规定设防坠保护设施；机械设备未安装急停装置；在散发可燃气体的场所未安装可燃气体报警器；液氨制冷机房未</w:t>
            </w:r>
            <w:r>
              <w:rPr>
                <w:rFonts w:asciiTheme="minorEastAsia" w:eastAsiaTheme="minorEastAsia" w:hAnsiTheme="minorEastAsia" w:cstheme="minorEastAsia" w:hint="eastAsia"/>
                <w:b w:val="0"/>
                <w:spacing w:val="-2"/>
                <w:sz w:val="21"/>
                <w:szCs w:val="21"/>
              </w:rPr>
              <w:t>设事故风机等）</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8" w:right="44" w:firstLine="436"/>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1.【法律】《中华人民共和国安全生产法》第三十六条第一款安全设备的设</w:t>
            </w:r>
            <w:r>
              <w:rPr>
                <w:rFonts w:asciiTheme="minorEastAsia" w:eastAsiaTheme="minorEastAsia" w:hAnsiTheme="minorEastAsia" w:cstheme="minorEastAsia" w:hint="eastAsia"/>
                <w:b w:val="0"/>
                <w:spacing w:val="-1"/>
                <w:sz w:val="21"/>
                <w:szCs w:val="21"/>
              </w:rPr>
              <w:t>计、制造、安装、使用、检测、维护、改造和</w:t>
            </w:r>
            <w:r>
              <w:rPr>
                <w:rFonts w:asciiTheme="minorEastAsia" w:eastAsiaTheme="minorEastAsia" w:hAnsiTheme="minorEastAsia" w:cstheme="minorEastAsia" w:hint="eastAsia"/>
                <w:b w:val="0"/>
                <w:spacing w:val="-2"/>
                <w:sz w:val="21"/>
                <w:szCs w:val="21"/>
              </w:rPr>
              <w:t>报废，应当符合国家标准或者行业</w:t>
            </w:r>
            <w:r>
              <w:rPr>
                <w:rFonts w:asciiTheme="minorEastAsia" w:eastAsiaTheme="minorEastAsia" w:hAnsiTheme="minorEastAsia" w:cstheme="minorEastAsia" w:hint="eastAsia"/>
                <w:b w:val="0"/>
                <w:spacing w:val="-8"/>
                <w:sz w:val="21"/>
                <w:szCs w:val="21"/>
              </w:rPr>
              <w:t>标准。</w:t>
            </w:r>
          </w:p>
          <w:p>
            <w:pPr>
              <w:pStyle w:val="TableText"/>
              <w:keepNext/>
              <w:keepLines/>
              <w:pageBreakBefore w:val="0"/>
              <w:widowControl w:val="0"/>
              <w:kinsoku w:val="0"/>
              <w:wordWrap/>
              <w:overflowPunct/>
              <w:topLinePunct w:val="0"/>
              <w:autoSpaceDE w:val="0"/>
              <w:autoSpaceDN w:val="0"/>
              <w:bidi w:val="0"/>
              <w:adjustRightInd w:val="0"/>
              <w:snapToGrid w:val="0"/>
              <w:spacing w:before="29" w:line="360" w:lineRule="exact"/>
              <w:ind w:left="60" w:right="47" w:firstLine="42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
                <w:sz w:val="21"/>
                <w:szCs w:val="21"/>
              </w:rPr>
              <w:t>2.【部委规章】《工贸企业粉尘防爆安全</w:t>
            </w:r>
            <w:r>
              <w:rPr>
                <w:rFonts w:asciiTheme="minorEastAsia" w:eastAsiaTheme="minorEastAsia" w:hAnsiTheme="minorEastAsia" w:cstheme="minorEastAsia" w:hint="eastAsia"/>
                <w:b w:val="0"/>
                <w:spacing w:val="-2"/>
                <w:sz w:val="21"/>
                <w:szCs w:val="21"/>
              </w:rPr>
              <w:t>规定》第十七条第一款粉尘防爆相</w:t>
            </w:r>
            <w:r>
              <w:rPr>
                <w:rFonts w:asciiTheme="minorEastAsia" w:eastAsiaTheme="minorEastAsia" w:hAnsiTheme="minorEastAsia" w:cstheme="minorEastAsia" w:hint="eastAsia"/>
                <w:b w:val="0"/>
                <w:spacing w:val="1"/>
                <w:sz w:val="21"/>
                <w:szCs w:val="21"/>
              </w:rPr>
              <w:t>关的泄爆、隔爆、抑爆、惰化、锁气卸灰、除杂、监测、报警、火花探测消除等安全设备的设计、制造、安装、使用、检测、维修、改造和报废，应当符合《粉</w:t>
            </w:r>
            <w:r>
              <w:rPr>
                <w:rFonts w:asciiTheme="minorEastAsia" w:eastAsiaTheme="minorEastAsia" w:hAnsiTheme="minorEastAsia" w:cstheme="minorEastAsia" w:hint="eastAsia"/>
                <w:b w:val="0"/>
                <w:spacing w:val="-1"/>
                <w:sz w:val="21"/>
                <w:szCs w:val="21"/>
              </w:rPr>
              <w:t>尘防爆安全规程》等有关国家标准或者行业标准，</w:t>
            </w:r>
            <w:r>
              <w:rPr>
                <w:rFonts w:asciiTheme="minorEastAsia" w:eastAsiaTheme="minorEastAsia" w:hAnsiTheme="minorEastAsia" w:cstheme="minorEastAsia" w:hint="eastAsia"/>
                <w:b w:val="0"/>
                <w:spacing w:val="-2"/>
                <w:sz w:val="21"/>
                <w:szCs w:val="21"/>
              </w:rPr>
              <w:t>相关设计、制造、安装单位应</w:t>
            </w:r>
            <w:r>
              <w:rPr>
                <w:rFonts w:asciiTheme="minorEastAsia" w:eastAsiaTheme="minorEastAsia" w:hAnsiTheme="minorEastAsia" w:cstheme="minorEastAsia" w:hint="eastAsia"/>
                <w:b w:val="0"/>
                <w:spacing w:val="-3"/>
                <w:sz w:val="21"/>
                <w:szCs w:val="21"/>
              </w:rPr>
              <w:t>当提供相关设备安全性能和使用说明等资料，对安全设备的安全性能负责。</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5" w:right="46"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生产经营单位未</w:t>
            </w:r>
            <w:r>
              <w:rPr>
                <w:rFonts w:asciiTheme="minorEastAsia" w:eastAsiaTheme="minorEastAsia" w:hAnsiTheme="minorEastAsia" w:cstheme="minorEastAsia" w:hint="eastAsia"/>
                <w:b w:val="0"/>
                <w:spacing w:val="17"/>
                <w:sz w:val="21"/>
                <w:szCs w:val="21"/>
              </w:rPr>
              <w:t>对安全设备进行</w:t>
            </w:r>
            <w:r>
              <w:rPr>
                <w:rFonts w:asciiTheme="minorEastAsia" w:eastAsiaTheme="minorEastAsia" w:hAnsiTheme="minorEastAsia" w:cstheme="minorEastAsia" w:hint="eastAsia"/>
                <w:b w:val="0"/>
                <w:spacing w:val="-12"/>
                <w:sz w:val="21"/>
                <w:szCs w:val="21"/>
              </w:rPr>
              <w:t>经常性维护、保养</w:t>
            </w:r>
            <w:r>
              <w:rPr>
                <w:rFonts w:asciiTheme="minorEastAsia" w:eastAsiaTheme="minorEastAsia" w:hAnsiTheme="minorEastAsia" w:cstheme="minorEastAsia" w:hint="eastAsia"/>
                <w:b w:val="0"/>
                <w:spacing w:val="17"/>
                <w:sz w:val="21"/>
                <w:szCs w:val="21"/>
              </w:rPr>
              <w:t>和定期检测或者</w:t>
            </w:r>
            <w:r>
              <w:rPr>
                <w:rFonts w:asciiTheme="minorEastAsia" w:eastAsiaTheme="minorEastAsia" w:hAnsiTheme="minorEastAsia" w:cstheme="minorEastAsia" w:hint="eastAsia"/>
                <w:b w:val="0"/>
                <w:spacing w:val="-2"/>
                <w:sz w:val="21"/>
                <w:szCs w:val="21"/>
              </w:rPr>
              <w:t>检查</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117" w:line="360" w:lineRule="exact"/>
              <w:ind w:left="56" w:right="45"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9"/>
                <w:sz w:val="21"/>
                <w:szCs w:val="21"/>
              </w:rPr>
              <w:t>生产经营单位未对安全设备进行经常性维护、保养和定期检测或者检</w:t>
            </w:r>
            <w:r>
              <w:rPr>
                <w:rFonts w:asciiTheme="minorEastAsia" w:eastAsiaTheme="minorEastAsia" w:hAnsiTheme="minorEastAsia" w:cstheme="minorEastAsia" w:hint="eastAsia"/>
                <w:b w:val="0"/>
                <w:spacing w:val="-10"/>
                <w:sz w:val="21"/>
                <w:szCs w:val="21"/>
              </w:rPr>
              <w:t>查。（例：生产经营单位员工正在使</w:t>
            </w:r>
            <w:r>
              <w:rPr>
                <w:rFonts w:asciiTheme="minorEastAsia" w:eastAsiaTheme="minorEastAsia" w:hAnsiTheme="minorEastAsia" w:cstheme="minorEastAsia" w:hint="eastAsia"/>
                <w:b w:val="0"/>
                <w:spacing w:val="-5"/>
                <w:sz w:val="21"/>
                <w:szCs w:val="21"/>
              </w:rPr>
              <w:t>用的一台手持砂轮机，设备原有的防护罩因未维护导致缺失；涉爆粉尘企业火花探测设备未及时检修维护，出</w:t>
            </w:r>
            <w:r>
              <w:rPr>
                <w:rFonts w:asciiTheme="minorEastAsia" w:eastAsiaTheme="minorEastAsia" w:hAnsiTheme="minorEastAsia" w:cstheme="minorEastAsia" w:hint="eastAsia"/>
                <w:b w:val="0"/>
                <w:spacing w:val="9"/>
                <w:sz w:val="21"/>
                <w:szCs w:val="21"/>
              </w:rPr>
              <w:t>现故障；化工企业洗眼器未维护保</w:t>
            </w:r>
            <w:r>
              <w:rPr>
                <w:rFonts w:asciiTheme="minorEastAsia" w:eastAsiaTheme="minorEastAsia" w:hAnsiTheme="minorEastAsia" w:cstheme="minorEastAsia" w:hint="eastAsia"/>
                <w:b w:val="0"/>
                <w:spacing w:val="-1"/>
                <w:sz w:val="21"/>
                <w:szCs w:val="21"/>
              </w:rPr>
              <w:t>养，导致锈蚀损坏等）</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46" w:line="360" w:lineRule="exact"/>
              <w:ind w:left="59" w:right="44" w:firstLine="43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1.【法律】《中华人民共和国安全生产法》第三十六条第二款生产经营单位</w:t>
            </w:r>
            <w:r>
              <w:rPr>
                <w:rFonts w:asciiTheme="minorEastAsia" w:eastAsiaTheme="minorEastAsia" w:hAnsiTheme="minorEastAsia" w:cstheme="minorEastAsia" w:hint="eastAsia"/>
                <w:b w:val="0"/>
                <w:spacing w:val="2"/>
                <w:sz w:val="21"/>
                <w:szCs w:val="21"/>
              </w:rPr>
              <w:t>必须对安全设备进行经常性维护、保养，并定</w:t>
            </w:r>
            <w:r>
              <w:rPr>
                <w:rFonts w:asciiTheme="minorEastAsia" w:eastAsiaTheme="minorEastAsia" w:hAnsiTheme="minorEastAsia" w:cstheme="minorEastAsia" w:hint="eastAsia"/>
                <w:b w:val="0"/>
                <w:spacing w:val="1"/>
                <w:sz w:val="21"/>
                <w:szCs w:val="21"/>
              </w:rPr>
              <w:t>期检测，保证正常运转。维护、保</w:t>
            </w:r>
            <w:r>
              <w:rPr>
                <w:rFonts w:asciiTheme="minorEastAsia" w:eastAsiaTheme="minorEastAsia" w:hAnsiTheme="minorEastAsia" w:cstheme="minorEastAsia" w:hint="eastAsia"/>
                <w:b w:val="0"/>
                <w:spacing w:val="-6"/>
                <w:sz w:val="21"/>
                <w:szCs w:val="21"/>
              </w:rPr>
              <w:t>养、检测应当作好记录，并由有关人员签字。</w:t>
            </w:r>
          </w:p>
          <w:p>
            <w:pPr>
              <w:pStyle w:val="TableText"/>
              <w:keepNext/>
              <w:keepLines/>
              <w:pageBreakBefore w:val="0"/>
              <w:widowControl w:val="0"/>
              <w:kinsoku w:val="0"/>
              <w:wordWrap/>
              <w:overflowPunct/>
              <w:topLinePunct w:val="0"/>
              <w:autoSpaceDE w:val="0"/>
              <w:autoSpaceDN w:val="0"/>
              <w:bidi w:val="0"/>
              <w:adjustRightInd w:val="0"/>
              <w:snapToGrid w:val="0"/>
              <w:spacing w:before="31" w:line="360" w:lineRule="exact"/>
              <w:ind w:left="57" w:firstLine="420"/>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2.【部委规章】《工贸企业粉尘防爆安全规定》第十七条第二款粉尘涉爆企业应当对粉尘防爆安全设备进行经常性维护、保养，并按照《粉尘防爆安全规程》</w:t>
            </w:r>
            <w:r>
              <w:rPr>
                <w:rFonts w:asciiTheme="minorEastAsia" w:eastAsiaTheme="minorEastAsia" w:hAnsiTheme="minorEastAsia" w:cstheme="minorEastAsia" w:hint="eastAsia"/>
                <w:b w:val="0"/>
                <w:spacing w:val="-7"/>
                <w:sz w:val="21"/>
                <w:szCs w:val="21"/>
              </w:rPr>
              <w:t>等有关国家标准或者行业标准定期检测或者检查，保证正常运行</w:t>
            </w:r>
            <w:r>
              <w:rPr>
                <w:rFonts w:asciiTheme="minorEastAsia" w:eastAsiaTheme="minorEastAsia" w:hAnsiTheme="minorEastAsia" w:cstheme="minorEastAsia" w:hint="eastAsia"/>
                <w:b w:val="0"/>
                <w:spacing w:val="-8"/>
                <w:sz w:val="21"/>
                <w:szCs w:val="21"/>
              </w:rPr>
              <w:t>，做好相关记录，</w:t>
            </w:r>
            <w:r>
              <w:rPr>
                <w:rFonts w:asciiTheme="minorEastAsia" w:eastAsiaTheme="minorEastAsia" w:hAnsiTheme="minorEastAsia" w:cstheme="minorEastAsia" w:hint="eastAsia"/>
                <w:b w:val="0"/>
                <w:sz w:val="21"/>
                <w:szCs w:val="21"/>
              </w:rPr>
              <w:t>不得关闭、破坏直接关系粉尘防爆安全的监控、报警、防控等设备、设施，或者篡改、隐瞒、销毁其相关数据、信息。粉尘涉爆企业应当规范选用与爆炸危险区</w:t>
            </w:r>
            <w:r>
              <w:rPr>
                <w:rFonts w:asciiTheme="minorEastAsia" w:eastAsiaTheme="minorEastAsia" w:hAnsiTheme="minorEastAsia" w:cstheme="minorEastAsia" w:hint="eastAsia"/>
                <w:b w:val="0"/>
                <w:spacing w:val="-3"/>
                <w:sz w:val="21"/>
                <w:szCs w:val="21"/>
              </w:rPr>
              <w:t>域相适应的防爆型电气设备。</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5" w:right="47"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生产经营单位使</w:t>
            </w:r>
            <w:r>
              <w:rPr>
                <w:rFonts w:asciiTheme="minorEastAsia" w:eastAsiaTheme="minorEastAsia" w:hAnsiTheme="minorEastAsia" w:cstheme="minorEastAsia" w:hint="eastAsia"/>
                <w:b w:val="0"/>
                <w:spacing w:val="17"/>
                <w:sz w:val="21"/>
                <w:szCs w:val="21"/>
              </w:rPr>
              <w:t>用应当淘汰的危及生产安全的工</w:t>
            </w:r>
            <w:r>
              <w:rPr>
                <w:rFonts w:asciiTheme="minorEastAsia" w:eastAsiaTheme="minorEastAsia" w:hAnsiTheme="minorEastAsia" w:cstheme="minorEastAsia" w:hint="eastAsia"/>
                <w:b w:val="0"/>
                <w:spacing w:val="-1"/>
                <w:sz w:val="21"/>
                <w:szCs w:val="21"/>
              </w:rPr>
              <w:t>艺、设备</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8" w:right="4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生产经营单位使用的工艺、设备属于</w:t>
            </w:r>
            <w:r>
              <w:rPr>
                <w:rFonts w:asciiTheme="minorEastAsia" w:eastAsiaTheme="minorEastAsia" w:hAnsiTheme="minorEastAsia" w:cstheme="minorEastAsia" w:hint="eastAsia"/>
                <w:b w:val="0"/>
                <w:spacing w:val="9"/>
                <w:sz w:val="21"/>
                <w:szCs w:val="21"/>
              </w:rPr>
              <w:t>已公布具体目录中应当淘汰的危及</w:t>
            </w:r>
            <w:r>
              <w:rPr>
                <w:rFonts w:asciiTheme="minorEastAsia" w:eastAsiaTheme="minorEastAsia" w:hAnsiTheme="minorEastAsia" w:cstheme="minorEastAsia" w:hint="eastAsia"/>
                <w:b w:val="0"/>
                <w:spacing w:val="-9"/>
                <w:sz w:val="21"/>
                <w:szCs w:val="21"/>
              </w:rPr>
              <w:t>生产安全的工艺、设备。（例：不带</w:t>
            </w:r>
            <w:r>
              <w:rPr>
                <w:rFonts w:asciiTheme="minorEastAsia" w:eastAsiaTheme="minorEastAsia" w:hAnsiTheme="minorEastAsia" w:cstheme="minorEastAsia" w:hint="eastAsia"/>
                <w:b w:val="0"/>
                <w:spacing w:val="-5"/>
                <w:sz w:val="21"/>
                <w:szCs w:val="21"/>
              </w:rPr>
              <w:t>除尘功能的砂轮机、闸刀式开关、无火焰监测和熄火保护的导热油炉、敞</w:t>
            </w:r>
            <w:r>
              <w:rPr>
                <w:rFonts w:asciiTheme="minorEastAsia" w:eastAsiaTheme="minorEastAsia" w:hAnsiTheme="minorEastAsia" w:cstheme="minorEastAsia" w:hint="eastAsia"/>
                <w:b w:val="0"/>
                <w:spacing w:val="-9"/>
                <w:sz w:val="21"/>
                <w:szCs w:val="21"/>
              </w:rPr>
              <w:t>开式离心机等）。</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62" w:right="45" w:firstLine="40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1.</w:t>
            </w:r>
            <w:r>
              <w:rPr>
                <w:rFonts w:asciiTheme="minorEastAsia" w:eastAsiaTheme="minorEastAsia" w:hAnsiTheme="minorEastAsia" w:cstheme="minorEastAsia" w:hint="eastAsia"/>
                <w:b w:val="0"/>
                <w:spacing w:val="2"/>
                <w:sz w:val="21"/>
                <w:szCs w:val="21"/>
              </w:rPr>
              <w:t>【法律】《中华人民共和国安全生产法》第三十八条国家对严重危及生产</w:t>
            </w:r>
            <w:r>
              <w:rPr>
                <w:rFonts w:asciiTheme="minorEastAsia" w:eastAsiaTheme="minorEastAsia" w:hAnsiTheme="minorEastAsia" w:cstheme="minorEastAsia" w:hint="eastAsia"/>
                <w:b w:val="0"/>
                <w:spacing w:val="1"/>
                <w:sz w:val="21"/>
                <w:szCs w:val="21"/>
              </w:rPr>
              <w:t>安全的工艺、设备实行淘汰制度，具体目录由国务院应急管理部门会同国务院有</w:t>
            </w:r>
            <w:r>
              <w:rPr>
                <w:rFonts w:asciiTheme="minorEastAsia" w:eastAsiaTheme="minorEastAsia" w:hAnsiTheme="minorEastAsia" w:cstheme="minorEastAsia" w:hint="eastAsia"/>
                <w:b w:val="0"/>
                <w:sz w:val="21"/>
                <w:szCs w:val="21"/>
              </w:rPr>
              <w:t>关部门制定并公布。法律、行政法规对目录的制定另有规定的，</w:t>
            </w:r>
            <w:r>
              <w:rPr>
                <w:rFonts w:asciiTheme="minorEastAsia" w:eastAsiaTheme="minorEastAsia" w:hAnsiTheme="minorEastAsia" w:cstheme="minorEastAsia" w:hint="eastAsia"/>
                <w:b w:val="0"/>
                <w:spacing w:val="-1"/>
                <w:sz w:val="21"/>
                <w:szCs w:val="21"/>
              </w:rPr>
              <w:t>适用其规定。</w:t>
            </w:r>
          </w:p>
          <w:p>
            <w:pPr>
              <w:pStyle w:val="TableText"/>
              <w:keepNext/>
              <w:keepLines/>
              <w:pageBreakBefore w:val="0"/>
              <w:widowControl w:val="0"/>
              <w:kinsoku w:val="0"/>
              <w:wordWrap/>
              <w:overflowPunct/>
              <w:topLinePunct w:val="0"/>
              <w:autoSpaceDE w:val="0"/>
              <w:autoSpaceDN w:val="0"/>
              <w:bidi w:val="0"/>
              <w:adjustRightInd w:val="0"/>
              <w:snapToGrid w:val="0"/>
              <w:spacing w:before="28" w:line="360" w:lineRule="exact"/>
              <w:ind w:left="57" w:firstLine="423"/>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3"/>
                <w:sz w:val="21"/>
                <w:szCs w:val="21"/>
              </w:rPr>
              <w:t>省、自治区、直辖市人民政府可以根据本地区实际情况制定并公</w:t>
            </w:r>
            <w:r>
              <w:rPr>
                <w:rFonts w:asciiTheme="minorEastAsia" w:eastAsiaTheme="minorEastAsia" w:hAnsiTheme="minorEastAsia" w:cstheme="minorEastAsia" w:hint="eastAsia"/>
                <w:b w:val="0"/>
                <w:spacing w:val="-4"/>
                <w:sz w:val="21"/>
                <w:szCs w:val="21"/>
              </w:rPr>
              <w:t>布具体目录，</w:t>
            </w:r>
            <w:r>
              <w:rPr>
                <w:rFonts w:asciiTheme="minorEastAsia" w:eastAsiaTheme="minorEastAsia" w:hAnsiTheme="minorEastAsia" w:cstheme="minorEastAsia" w:hint="eastAsia"/>
                <w:b w:val="0"/>
                <w:spacing w:val="1"/>
                <w:sz w:val="21"/>
                <w:szCs w:val="21"/>
              </w:rPr>
              <w:t>对前款规定以外的危及生产安全的工艺、设备予以淘汰。生产经营单位不得使用</w:t>
            </w:r>
            <w:r>
              <w:rPr>
                <w:rFonts w:asciiTheme="minorEastAsia" w:eastAsiaTheme="minorEastAsia" w:hAnsiTheme="minorEastAsia" w:cstheme="minorEastAsia" w:hint="eastAsia"/>
                <w:b w:val="0"/>
                <w:spacing w:val="-2"/>
                <w:sz w:val="21"/>
                <w:szCs w:val="21"/>
              </w:rPr>
              <w:t>应当淘汰的危及生产安全的工艺、设备。</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9" w:line="360" w:lineRule="exact"/>
              <w:ind w:left="57" w:right="47"/>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生产经营单位未为从业人员提供符合国家标准或者行业标准的劳</w:t>
            </w:r>
            <w:r>
              <w:rPr>
                <w:rFonts w:asciiTheme="minorEastAsia" w:eastAsiaTheme="minorEastAsia" w:hAnsiTheme="minorEastAsia" w:cstheme="minorEastAsia" w:hint="eastAsia"/>
                <w:b w:val="0"/>
                <w:spacing w:val="-2"/>
                <w:sz w:val="21"/>
                <w:szCs w:val="21"/>
              </w:rPr>
              <w:t>动防护用品</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206" w:line="360" w:lineRule="exact"/>
              <w:ind w:left="57" w:firstLine="5"/>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2"/>
                <w:sz w:val="21"/>
                <w:szCs w:val="21"/>
              </w:rPr>
              <w:t>劳动防护用品配备不符合国家标准</w:t>
            </w:r>
            <w:r>
              <w:rPr>
                <w:rFonts w:asciiTheme="minorEastAsia" w:eastAsiaTheme="minorEastAsia" w:hAnsiTheme="minorEastAsia" w:cstheme="minorEastAsia" w:hint="eastAsia"/>
                <w:b w:val="0"/>
                <w:spacing w:val="-6"/>
                <w:sz w:val="21"/>
                <w:szCs w:val="21"/>
              </w:rPr>
              <w:t>或者行业标准。（例：某生产经营单</w:t>
            </w:r>
            <w:r>
              <w:rPr>
                <w:rFonts w:asciiTheme="minorEastAsia" w:eastAsiaTheme="minorEastAsia" w:hAnsiTheme="minorEastAsia" w:cstheme="minorEastAsia" w:hint="eastAsia"/>
                <w:b w:val="0"/>
                <w:spacing w:val="-2"/>
                <w:sz w:val="21"/>
                <w:szCs w:val="21"/>
              </w:rPr>
              <w:t>位未参照《个体防护装备配备规范》</w:t>
            </w:r>
            <w:r>
              <w:rPr>
                <w:rFonts w:asciiTheme="minorEastAsia" w:eastAsiaTheme="minorEastAsia" w:hAnsiTheme="minorEastAsia" w:cstheme="minorEastAsia" w:hint="eastAsia"/>
                <w:b w:val="0"/>
                <w:spacing w:val="-4"/>
                <w:sz w:val="21"/>
                <w:szCs w:val="21"/>
              </w:rPr>
              <w:t>（GB39800.1-2020）中的规定为焊工</w:t>
            </w:r>
            <w:r>
              <w:rPr>
                <w:rFonts w:asciiTheme="minorEastAsia" w:eastAsiaTheme="minorEastAsia" w:hAnsiTheme="minorEastAsia" w:cstheme="minorEastAsia" w:hint="eastAsia"/>
                <w:b w:val="0"/>
                <w:spacing w:val="-6"/>
                <w:sz w:val="21"/>
                <w:szCs w:val="21"/>
              </w:rPr>
              <w:t>配备焊接服、焊接手套、焊接防护面</w:t>
            </w:r>
            <w:r>
              <w:rPr>
                <w:rFonts w:asciiTheme="minorEastAsia" w:eastAsiaTheme="minorEastAsia" w:hAnsiTheme="minorEastAsia" w:cstheme="minorEastAsia" w:hint="eastAsia"/>
                <w:b w:val="0"/>
                <w:spacing w:val="-2"/>
                <w:sz w:val="21"/>
                <w:szCs w:val="21"/>
              </w:rPr>
              <w:t>罩等劳动防护用品）</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7" w:right="47" w:firstLine="411"/>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1.</w:t>
            </w:r>
            <w:r>
              <w:rPr>
                <w:rFonts w:asciiTheme="minorEastAsia" w:eastAsiaTheme="minorEastAsia" w:hAnsiTheme="minorEastAsia" w:cstheme="minorEastAsia" w:hint="eastAsia"/>
                <w:b w:val="0"/>
                <w:spacing w:val="-1"/>
                <w:sz w:val="21"/>
                <w:szCs w:val="21"/>
              </w:rPr>
              <w:t>【法律】《中华人民共和国安全生产法》第四十五条生产经营单位</w:t>
            </w:r>
            <w:r>
              <w:rPr>
                <w:rFonts w:asciiTheme="minorEastAsia" w:eastAsiaTheme="minorEastAsia" w:hAnsiTheme="minorEastAsia" w:cstheme="minorEastAsia" w:hint="eastAsia"/>
                <w:b w:val="0"/>
                <w:spacing w:val="-2"/>
                <w:sz w:val="21"/>
                <w:szCs w:val="21"/>
              </w:rPr>
              <w:t>必须为从</w:t>
            </w:r>
            <w:r>
              <w:rPr>
                <w:rFonts w:asciiTheme="minorEastAsia" w:eastAsiaTheme="minorEastAsia" w:hAnsiTheme="minorEastAsia" w:cstheme="minorEastAsia" w:hint="eastAsia"/>
                <w:b w:val="0"/>
                <w:spacing w:val="2"/>
                <w:sz w:val="21"/>
                <w:szCs w:val="21"/>
              </w:rPr>
              <w:t>业人员提供符合国家标准或者行业标准的劳</w:t>
            </w:r>
            <w:r>
              <w:rPr>
                <w:rFonts w:asciiTheme="minorEastAsia" w:eastAsiaTheme="minorEastAsia" w:hAnsiTheme="minorEastAsia" w:cstheme="minorEastAsia" w:hint="eastAsia"/>
                <w:b w:val="0"/>
                <w:spacing w:val="1"/>
                <w:sz w:val="21"/>
                <w:szCs w:val="21"/>
              </w:rPr>
              <w:t>动防护用品，并监督、教育从业人员</w:t>
            </w:r>
            <w:r>
              <w:rPr>
                <w:rFonts w:asciiTheme="minorEastAsia" w:eastAsiaTheme="minorEastAsia" w:hAnsiTheme="minorEastAsia" w:cstheme="minorEastAsia" w:hint="eastAsia"/>
                <w:b w:val="0"/>
                <w:spacing w:val="-1"/>
                <w:sz w:val="21"/>
                <w:szCs w:val="21"/>
              </w:rPr>
              <w:t>按照使用规则佩戴、使用。</w:t>
            </w:r>
          </w:p>
        </w:tc>
      </w:tr>
      <w:tr>
        <w:tblPrEx>
          <w:tblW w:w="24082" w:type="dxa"/>
          <w:jc w:val="center"/>
          <w:tblCellMar>
            <w:top w:w="0" w:type="dxa"/>
            <w:left w:w="0" w:type="dxa"/>
            <w:bottom w:w="0" w:type="dxa"/>
            <w:right w:w="0" w:type="dxa"/>
          </w:tblCellMar>
        </w:tblPrEx>
        <w:trPr>
          <w:cantSplit/>
          <w:trHeight w:val="363"/>
          <w:jc w:val="center"/>
        </w:trPr>
        <w:tc>
          <w:tcPr>
            <w:tcW w:w="467"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numPr>
                <w:ilvl w:val="0"/>
                <w:numId w:val="17"/>
              </w:numPr>
              <w:kinsoku w:val="0"/>
              <w:wordWrap/>
              <w:overflowPunct/>
              <w:topLinePunct w:val="0"/>
              <w:autoSpaceDE w:val="0"/>
              <w:autoSpaceDN w:val="0"/>
              <w:bidi w:val="0"/>
              <w:adjustRightInd w:val="0"/>
              <w:snapToGrid w:val="0"/>
              <w:spacing w:before="69" w:line="360" w:lineRule="exact"/>
              <w:ind w:left="0" w:right="0" w:firstLine="0" w:leftChars="0" w:rightChars="0" w:firstLineChars="0"/>
              <w:jc w:val="both"/>
              <w:textAlignment w:val="baseline"/>
              <w:rPr>
                <w:rFonts w:asciiTheme="minorEastAsia" w:eastAsiaTheme="minorEastAsia" w:hAnsiTheme="minorEastAsia" w:cstheme="minorEastAsia" w:hint="eastAsia"/>
                <w:b w:val="0"/>
                <w:sz w:val="21"/>
                <w:szCs w:val="21"/>
              </w:rPr>
            </w:pPr>
          </w:p>
        </w:tc>
        <w:tc>
          <w:tcPr>
            <w:tcW w:w="3984"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162" w:line="360" w:lineRule="exact"/>
              <w:ind w:left="57" w:right="46"/>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16"/>
                <w:sz w:val="21"/>
                <w:szCs w:val="21"/>
              </w:rPr>
              <w:t>生产经营单位进</w:t>
            </w:r>
            <w:r>
              <w:rPr>
                <w:rFonts w:asciiTheme="minorEastAsia" w:eastAsiaTheme="minorEastAsia" w:hAnsiTheme="minorEastAsia" w:cstheme="minorEastAsia" w:hint="eastAsia"/>
                <w:b w:val="0"/>
                <w:spacing w:val="-12"/>
                <w:sz w:val="21"/>
                <w:szCs w:val="21"/>
              </w:rPr>
              <w:t>行爆破、吊装、动火、临时用电等危险作业，未安排专</w:t>
            </w:r>
            <w:r>
              <w:rPr>
                <w:rFonts w:asciiTheme="minorEastAsia" w:eastAsiaTheme="minorEastAsia" w:hAnsiTheme="minorEastAsia" w:cstheme="minorEastAsia" w:hint="eastAsia"/>
                <w:b w:val="0"/>
                <w:spacing w:val="16"/>
                <w:sz w:val="21"/>
                <w:szCs w:val="21"/>
              </w:rPr>
              <w:t>门人员进行现场</w:t>
            </w:r>
            <w:r>
              <w:rPr>
                <w:rFonts w:asciiTheme="minorEastAsia" w:eastAsiaTheme="minorEastAsia" w:hAnsiTheme="minorEastAsia" w:cstheme="minorEastAsia" w:hint="eastAsia"/>
                <w:b w:val="0"/>
                <w:spacing w:val="-2"/>
                <w:sz w:val="21"/>
                <w:szCs w:val="21"/>
              </w:rPr>
              <w:t>安全管理</w:t>
            </w:r>
          </w:p>
        </w:tc>
        <w:tc>
          <w:tcPr>
            <w:tcW w:w="7433" w:type="dxa"/>
            <w:tcBorders>
              <w:top w:val="single" w:sz="4" w:space="0" w:color="000000"/>
              <w:left w:val="single" w:sz="4" w:space="0" w:color="000000"/>
              <w:bottom w:val="single" w:sz="4" w:space="0" w:color="000000"/>
              <w:right w:val="single" w:sz="4" w:space="0" w:color="000000"/>
            </w:tcBorders>
            <w:shd w:val="clear" w:color="auto" w:fill="FFFFFF"/>
            <w:vAlign w:val="center"/>
          </w:tcPr>
          <w:p>
            <w:pPr>
              <w:pStyle w:val="TableText"/>
              <w:keepNext/>
              <w:keepLines/>
              <w:pageBreakBefore w:val="0"/>
              <w:widowControl w:val="0"/>
              <w:kinsoku w:val="0"/>
              <w:wordWrap/>
              <w:overflowPunct/>
              <w:topLinePunct w:val="0"/>
              <w:autoSpaceDE w:val="0"/>
              <w:autoSpaceDN w:val="0"/>
              <w:bidi w:val="0"/>
              <w:adjustRightInd w:val="0"/>
              <w:snapToGrid w:val="0"/>
              <w:spacing w:before="291" w:line="360" w:lineRule="exact"/>
              <w:ind w:left="56" w:right="10" w:firstLine="2"/>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7"/>
                <w:sz w:val="21"/>
                <w:szCs w:val="21"/>
              </w:rPr>
              <w:t>生产经营单位有1处（次）及以上爆</w:t>
            </w:r>
            <w:r>
              <w:rPr>
                <w:rFonts w:asciiTheme="minorEastAsia" w:eastAsiaTheme="minorEastAsia" w:hAnsiTheme="minorEastAsia" w:cstheme="minorEastAsia" w:hint="eastAsia"/>
                <w:b w:val="0"/>
                <w:spacing w:val="-5"/>
                <w:sz w:val="21"/>
                <w:szCs w:val="21"/>
              </w:rPr>
              <w:t>破、吊装、临时用电等危险作业，未</w:t>
            </w:r>
            <w:r>
              <w:rPr>
                <w:rFonts w:asciiTheme="minorEastAsia" w:eastAsiaTheme="minorEastAsia" w:hAnsiTheme="minorEastAsia" w:cstheme="minorEastAsia" w:hint="eastAsia"/>
                <w:b w:val="0"/>
                <w:spacing w:val="-3"/>
                <w:sz w:val="21"/>
                <w:szCs w:val="21"/>
              </w:rPr>
              <w:t>安排专门人员进行现场安全管理的。</w:t>
            </w:r>
            <w:r>
              <w:rPr>
                <w:rFonts w:asciiTheme="minorEastAsia" w:eastAsiaTheme="minorEastAsia" w:hAnsiTheme="minorEastAsia" w:cstheme="minorEastAsia" w:hint="eastAsia"/>
                <w:b w:val="0"/>
                <w:spacing w:val="-8"/>
                <w:sz w:val="21"/>
                <w:szCs w:val="21"/>
              </w:rPr>
              <w:t>（例：有限空间作业无专人现场进行</w:t>
            </w:r>
            <w:r>
              <w:rPr>
                <w:rFonts w:asciiTheme="minorEastAsia" w:eastAsiaTheme="minorEastAsia" w:hAnsiTheme="minorEastAsia" w:cstheme="minorEastAsia" w:hint="eastAsia"/>
                <w:b w:val="0"/>
                <w:spacing w:val="-3"/>
                <w:sz w:val="21"/>
                <w:szCs w:val="21"/>
              </w:rPr>
              <w:t>安全管理）</w:t>
            </w:r>
          </w:p>
        </w:tc>
        <w:tc>
          <w:tcPr>
            <w:tcW w:w="12198" w:type="dxa"/>
            <w:tcBorders>
              <w:top w:val="single" w:sz="4" w:space="0" w:color="000000"/>
              <w:left w:val="single" w:sz="4" w:space="0" w:color="000000"/>
              <w:bottom w:val="single" w:sz="4" w:space="0" w:color="000000"/>
              <w:right w:val="single" w:sz="4" w:space="0" w:color="000000"/>
            </w:tcBorders>
            <w:shd w:val="clear" w:color="auto" w:fill="FFFFFF"/>
            <w:vAlign w:val="center"/>
          </w:tcPr>
          <w:p>
            <w:pPr>
              <w:keepNext/>
              <w:keepLines/>
              <w:pageBreakBefore w:val="0"/>
              <w:widowControl w:val="0"/>
              <w:kinsoku w:val="0"/>
              <w:wordWrap/>
              <w:overflowPunct/>
              <w:topLinePunct w:val="0"/>
              <w:autoSpaceDE w:val="0"/>
              <w:autoSpaceDN w:val="0"/>
              <w:bidi w:val="0"/>
              <w:adjustRightInd w:val="0"/>
              <w:snapToGrid w:val="0"/>
              <w:spacing w:line="360" w:lineRule="exact"/>
              <w:jc w:val="both"/>
              <w:textAlignment w:val="baseline"/>
              <w:rPr>
                <w:rFonts w:asciiTheme="minorEastAsia" w:hAnsiTheme="minorEastAsia" w:cstheme="minorEastAsia" w:hint="eastAsia"/>
                <w:b w:val="0"/>
                <w:szCs w:val="21"/>
              </w:rPr>
            </w:pPr>
          </w:p>
          <w:p>
            <w:pPr>
              <w:pStyle w:val="TableText"/>
              <w:keepNext/>
              <w:keepLines/>
              <w:pageBreakBefore w:val="0"/>
              <w:widowControl w:val="0"/>
              <w:kinsoku w:val="0"/>
              <w:wordWrap/>
              <w:overflowPunct/>
              <w:topLinePunct w:val="0"/>
              <w:autoSpaceDE w:val="0"/>
              <w:autoSpaceDN w:val="0"/>
              <w:bidi w:val="0"/>
              <w:adjustRightInd w:val="0"/>
              <w:snapToGrid w:val="0"/>
              <w:spacing w:before="68" w:line="360" w:lineRule="exact"/>
              <w:ind w:left="57" w:firstLine="410"/>
              <w:jc w:val="both"/>
              <w:textAlignment w:val="baseline"/>
              <w:rPr>
                <w:rFonts w:asciiTheme="minorEastAsia" w:eastAsiaTheme="minorEastAsia" w:hAnsiTheme="minorEastAsia" w:cstheme="minorEastAsia" w:hint="eastAsia"/>
                <w:b w:val="0"/>
                <w:sz w:val="21"/>
                <w:szCs w:val="21"/>
              </w:rPr>
            </w:pPr>
            <w:r>
              <w:rPr>
                <w:rFonts w:asciiTheme="minorEastAsia" w:eastAsiaTheme="minorEastAsia" w:hAnsiTheme="minorEastAsia" w:cstheme="minorEastAsia" w:hint="eastAsia"/>
                <w:b w:val="0"/>
                <w:spacing w:val="-5"/>
                <w:sz w:val="21"/>
                <w:szCs w:val="21"/>
              </w:rPr>
              <w:t>1.</w:t>
            </w:r>
            <w:r>
              <w:rPr>
                <w:rFonts w:asciiTheme="minorEastAsia" w:eastAsiaTheme="minorEastAsia" w:hAnsiTheme="minorEastAsia" w:cstheme="minorEastAsia" w:hint="eastAsia"/>
                <w:b w:val="0"/>
                <w:spacing w:val="-6"/>
                <w:sz w:val="21"/>
                <w:szCs w:val="21"/>
              </w:rPr>
              <w:t>【法律】《中华人民共和国安全生产法》第四十三条生产经营单位进行爆破、</w:t>
            </w:r>
            <w:r>
              <w:rPr>
                <w:rFonts w:asciiTheme="minorEastAsia" w:eastAsiaTheme="minorEastAsia" w:hAnsiTheme="minorEastAsia" w:cstheme="minorEastAsia" w:hint="eastAsia"/>
                <w:b w:val="0"/>
                <w:spacing w:val="1"/>
                <w:sz w:val="21"/>
                <w:szCs w:val="21"/>
              </w:rPr>
              <w:t>吊装、动火、临时用电以及国务院应急管理部门</w:t>
            </w:r>
            <w:r>
              <w:rPr>
                <w:rFonts w:asciiTheme="minorEastAsia" w:eastAsiaTheme="minorEastAsia" w:hAnsiTheme="minorEastAsia" w:cstheme="minorEastAsia" w:hint="eastAsia"/>
                <w:b w:val="0"/>
                <w:sz w:val="21"/>
                <w:szCs w:val="21"/>
              </w:rPr>
              <w:t>会同国务院有关部门规定的其他</w:t>
            </w:r>
            <w:r>
              <w:rPr>
                <w:rFonts w:asciiTheme="minorEastAsia" w:eastAsiaTheme="minorEastAsia" w:hAnsiTheme="minorEastAsia" w:cstheme="minorEastAsia" w:hint="eastAsia"/>
                <w:b w:val="0"/>
                <w:spacing w:val="-2"/>
                <w:sz w:val="21"/>
                <w:szCs w:val="21"/>
              </w:rPr>
              <w:t>危险作业，应当安排专门人员进行现场安全管理，确保操作</w:t>
            </w:r>
            <w:r>
              <w:rPr>
                <w:rFonts w:asciiTheme="minorEastAsia" w:eastAsiaTheme="minorEastAsia" w:hAnsiTheme="minorEastAsia" w:cstheme="minorEastAsia" w:hint="eastAsia"/>
                <w:b w:val="0"/>
                <w:spacing w:val="-3"/>
                <w:sz w:val="21"/>
                <w:szCs w:val="21"/>
              </w:rPr>
              <w:t>规程的遵守和安全措</w:t>
            </w:r>
            <w:r>
              <w:rPr>
                <w:rFonts w:asciiTheme="minorEastAsia" w:eastAsiaTheme="minorEastAsia" w:hAnsiTheme="minorEastAsia" w:cstheme="minorEastAsia" w:hint="eastAsia"/>
                <w:b w:val="0"/>
                <w:spacing w:val="-5"/>
                <w:sz w:val="21"/>
                <w:szCs w:val="21"/>
              </w:rPr>
              <w:t>施的落实。</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https://d.book118.com/898050125112006037</w:t>
        </w:r>
      </w:hyperlink>
    </w:p>
    <w:p/>
    <w:sectPr>
      <w:headerReference w:type="default" r:id="rId26"/>
      <w:footerReference w:type="default" r:id="rId27"/>
      <w:type w:val="nextPage"/>
      <w:pgSz w:w="25512" w:h="16838" w:orient="landscape"/>
      <w:pgMar w:top="720" w:right="720" w:bottom="720" w:left="720" w:header="851" w:footer="992" w:gutter="0"/>
      <w:pgNumType w:start="10"/>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Sans Serif Collection">
    <w:panose1 w:val="020B0502040504020204"/>
    <w:charset w:val="00"/>
    <w:family w:val="auto"/>
    <w:pitch w:val="default"/>
    <w:sig w:usb0="8807A0C3" w:usb1="02006040" w:usb2="29100001" w:usb3="005B0020" w:csb0="00000001" w:csb1="00000000"/>
  </w:font>
  <w:font w:name="Segoe MDL2 Assets">
    <w:panose1 w:val="050A0102010101010101"/>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078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7196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4048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23056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6090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118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0105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465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黑体" w:eastAsia="黑体" w:hAnsi="黑体" w:cs="黑体" w:hint="eastAsia"/>
        <w:b w:val="0"/>
        <w:bCs w:val="0"/>
        <w:szCs w:val="18"/>
        <w:lang w:val="en-US"/>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0545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r>
      <w:rPr>
        <w:rFonts w:ascii="黑体" w:eastAsia="黑体" w:hAnsi="黑体" w:cs="黑体" w:hint="eastAsia"/>
        <w:b w:val="0"/>
        <w:bCs w:val="0"/>
        <w:sz w:val="18"/>
        <w:szCs w:val="18"/>
        <w:vertAlign w:val="baseline"/>
        <w:lang w:val="en-US" w:eastAsia="zh-CN"/>
      </w:rPr>
      <w:t>雷泽佳编制-2024B0版</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single" w:sz="4" w:space="1" w:color="auto"/>
      </w:pBdr>
      <w:kinsoku/>
      <w:wordWrap/>
      <w:overflowPunct/>
      <w:topLinePunct w:val="0"/>
      <w:bidi w:val="0"/>
      <w:adjustRightInd/>
      <w:snapToGrid w:val="0"/>
      <w:spacing w:after="312" w:afterLines="100"/>
      <w:jc w:val="right"/>
      <w:textAlignment w:val="auto"/>
      <w:rPr>
        <w:rFonts w:ascii="黑体" w:eastAsia="黑体" w:hAnsi="黑体" w:cs="黑体" w:hint="eastAsia"/>
      </w:rPr>
    </w:pPr>
    <w:r>
      <w:rPr>
        <w:rFonts w:ascii="黑体" w:eastAsia="黑体" w:hAnsi="黑体" w:cs="黑体" w:hint="eastAsia"/>
      </w:rPr>
      <w:t>“9.1.2合规性评价”标准、流程、风险与合规全面解读</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C9702A1"/>
    <w:multiLevelType w:val="singleLevel"/>
    <w:tmpl w:val="9C9702A1"/>
    <w:lvl w:ilvl="0">
      <w:start w:val="1"/>
      <w:numFmt w:val="decimal"/>
      <w:suff w:val="nothing"/>
      <w:lvlText w:val="(%1)"/>
      <w:lvlJc w:val="left"/>
      <w:pPr>
        <w:tabs>
          <w:tab w:val="left" w:pos="312"/>
        </w:tabs>
      </w:pPr>
      <w:rPr>
        <w:rFonts w:hint="default"/>
      </w:rPr>
    </w:lvl>
  </w:abstractNum>
  <w:abstractNum w:abstractNumId="1">
    <w:nsid w:val="A151B7CF"/>
    <w:multiLevelType w:val="singleLevel"/>
    <w:tmpl w:val="A151B7CF"/>
    <w:lvl w:ilvl="0">
      <w:start w:val="1"/>
      <w:numFmt w:val="decimal"/>
      <w:suff w:val="nothing"/>
      <w:lvlText w:val="(%1)"/>
      <w:lvlJc w:val="left"/>
      <w:pPr>
        <w:tabs>
          <w:tab w:val="left" w:pos="312"/>
        </w:tabs>
      </w:pPr>
      <w:rPr>
        <w:rFonts w:hint="default"/>
      </w:rPr>
    </w:lvl>
  </w:abstractNum>
  <w:abstractNum w:abstractNumId="2">
    <w:nsid w:val="B4DD7FC3"/>
    <w:multiLevelType w:val="singleLevel"/>
    <w:tmpl w:val="B4DD7FC3"/>
    <w:lvl w:ilvl="0">
      <w:start w:val="1"/>
      <w:numFmt w:val="decimal"/>
      <w:suff w:val="nothing"/>
      <w:lvlText w:val="(%1)"/>
      <w:lvlJc w:val="left"/>
      <w:pPr>
        <w:tabs>
          <w:tab w:val="left" w:pos="312"/>
        </w:tabs>
      </w:pPr>
      <w:rPr>
        <w:rFonts w:hint="default"/>
      </w:rPr>
    </w:lvl>
  </w:abstractNum>
  <w:abstractNum w:abstractNumId="3">
    <w:nsid w:val="B8D8A6AC"/>
    <w:multiLevelType w:val="singleLevel"/>
    <w:tmpl w:val="B8D8A6AC"/>
    <w:lvl w:ilvl="0">
      <w:start w:val="1"/>
      <w:numFmt w:val="decimal"/>
      <w:suff w:val="nothing"/>
      <w:lvlText w:val="%1"/>
      <w:lvlJc w:val="left"/>
      <w:pPr>
        <w:ind w:left="0" w:firstLine="397"/>
      </w:pPr>
      <w:rPr>
        <w:rFonts w:hint="default"/>
      </w:rPr>
    </w:lvl>
  </w:abstractNum>
  <w:abstractNum w:abstractNumId="4">
    <w:nsid w:val="BAE54717"/>
    <w:multiLevelType w:val="singleLevel"/>
    <w:tmpl w:val="BAE54717"/>
    <w:lvl w:ilvl="0">
      <w:start w:val="1"/>
      <w:numFmt w:val="decimal"/>
      <w:suff w:val="nothing"/>
      <w:lvlText w:val="%1."/>
      <w:lvlJc w:val="left"/>
      <w:pPr>
        <w:tabs>
          <w:tab w:val="left" w:pos="0"/>
        </w:tabs>
        <w:ind w:left="0" w:firstLine="0" w:leftChars="0" w:firstLineChars="0"/>
      </w:pPr>
      <w:rPr>
        <w:rFonts w:hint="default"/>
      </w:rPr>
    </w:lvl>
  </w:abstractNum>
  <w:abstractNum w:abstractNumId="5">
    <w:nsid w:val="C5B06AC3"/>
    <w:multiLevelType w:val="singleLevel"/>
    <w:tmpl w:val="C5B06AC3"/>
    <w:lvl w:ilvl="0">
      <w:start w:val="5"/>
      <w:numFmt w:val="chineseCounting"/>
      <w:suff w:val="nothing"/>
      <w:lvlText w:val="（%1）"/>
      <w:lvlJc w:val="left"/>
      <w:rPr>
        <w:rFonts w:hint="eastAsia"/>
      </w:rPr>
    </w:lvl>
  </w:abstractNum>
  <w:abstractNum w:abstractNumId="6">
    <w:nsid w:val="D80C878E"/>
    <w:multiLevelType w:val="singleLevel"/>
    <w:tmpl w:val="D80C878E"/>
    <w:lvl w:ilvl="0">
      <w:start w:val="1"/>
      <w:numFmt w:val="decimal"/>
      <w:suff w:val="nothing"/>
      <w:lvlText w:val="%1）"/>
      <w:lvlJc w:val="left"/>
    </w:lvl>
  </w:abstractNum>
  <w:abstractNum w:abstractNumId="7">
    <w:nsid w:val="E6BD5C37"/>
    <w:multiLevelType w:val="singleLevel"/>
    <w:tmpl w:val="E6BD5C37"/>
    <w:lvl w:ilvl="0">
      <w:start w:val="1"/>
      <w:numFmt w:val="decimal"/>
      <w:suff w:val="nothing"/>
      <w:lvlText w:val="%1）"/>
      <w:lvlJc w:val="left"/>
    </w:lvl>
  </w:abstractNum>
  <w:abstractNum w:abstractNumId="8">
    <w:nsid w:val="F907DB93"/>
    <w:multiLevelType w:val="singleLevel"/>
    <w:tmpl w:val="F907DB93"/>
    <w:lvl w:ilvl="0">
      <w:start w:val="1"/>
      <w:numFmt w:val="decimal"/>
      <w:suff w:val="nothing"/>
      <w:lvlText w:val="%1）"/>
      <w:lvlJc w:val="left"/>
    </w:lvl>
  </w:abstractNum>
  <w:abstractNum w:abstractNumId="9">
    <w:nsid w:val="17E09C6E"/>
    <w:multiLevelType w:val="singleLevel"/>
    <w:tmpl w:val="17E09C6E"/>
    <w:lvl w:ilvl="0">
      <w:start w:val="1"/>
      <w:numFmt w:val="decimal"/>
      <w:suff w:val="nothing"/>
      <w:lvlText w:val="%1."/>
      <w:lvlJc w:val="left"/>
      <w:pPr>
        <w:tabs>
          <w:tab w:val="left" w:pos="0"/>
        </w:tabs>
        <w:ind w:left="0" w:firstLine="0" w:leftChars="0" w:firstLineChars="0"/>
      </w:pPr>
      <w:rPr>
        <w:rFonts w:hint="default"/>
      </w:rPr>
    </w:lvl>
  </w:abstractNum>
  <w:abstractNum w:abstractNumId="10">
    <w:nsid w:val="1A7B806F"/>
    <w:multiLevelType w:val="singleLevel"/>
    <w:tmpl w:val="1A7B806F"/>
    <w:lvl w:ilvl="0">
      <w:start w:val="1"/>
      <w:numFmt w:val="decimal"/>
      <w:suff w:val="nothing"/>
      <w:lvlText w:val="%1）"/>
      <w:lvlJc w:val="left"/>
    </w:lvl>
  </w:abstractNum>
  <w:abstractNum w:abstractNumId="11">
    <w:nsid w:val="32F19F66"/>
    <w:multiLevelType w:val="singleLevel"/>
    <w:tmpl w:val="32F19F66"/>
    <w:lvl w:ilvl="0">
      <w:start w:val="1"/>
      <w:numFmt w:val="decimal"/>
      <w:suff w:val="nothing"/>
      <w:lvlText w:val="%1."/>
      <w:lvlJc w:val="left"/>
      <w:pPr>
        <w:tabs>
          <w:tab w:val="left" w:pos="0"/>
        </w:tabs>
        <w:ind w:left="0" w:firstLine="0" w:leftChars="0" w:firstLineChars="0"/>
      </w:pPr>
      <w:rPr>
        <w:rFonts w:hint="default"/>
      </w:rPr>
    </w:lvl>
  </w:abstractNum>
  <w:abstractNum w:abstractNumId="12">
    <w:nsid w:val="367FF346"/>
    <w:multiLevelType w:val="singleLevel"/>
    <w:tmpl w:val="367FF346"/>
    <w:lvl w:ilvl="0">
      <w:start w:val="1"/>
      <w:numFmt w:val="decimal"/>
      <w:suff w:val="nothing"/>
      <w:lvlText w:val="%1."/>
      <w:lvlJc w:val="left"/>
      <w:pPr>
        <w:tabs>
          <w:tab w:val="left" w:pos="0"/>
        </w:tabs>
        <w:ind w:left="0" w:firstLine="0" w:leftChars="0" w:firstLineChars="0"/>
      </w:pPr>
      <w:rPr>
        <w:rFonts w:hint="default"/>
      </w:rPr>
    </w:lvl>
  </w:abstractNum>
  <w:abstractNum w:abstractNumId="13">
    <w:nsid w:val="41D55483"/>
    <w:multiLevelType w:val="singleLevel"/>
    <w:tmpl w:val="41D55483"/>
    <w:lvl w:ilvl="0">
      <w:start w:val="1"/>
      <w:numFmt w:val="decimal"/>
      <w:suff w:val="nothing"/>
      <w:lvlText w:val="%1."/>
      <w:lvlJc w:val="left"/>
      <w:pPr>
        <w:tabs>
          <w:tab w:val="left" w:pos="0"/>
        </w:tabs>
        <w:ind w:left="0" w:firstLine="0" w:leftChars="0" w:firstLineChars="0"/>
      </w:pPr>
      <w:rPr>
        <w:rFonts w:hint="default"/>
      </w:rPr>
    </w:lvl>
  </w:abstractNum>
  <w:abstractNum w:abstractNumId="14">
    <w:nsid w:val="61E08158"/>
    <w:multiLevelType w:val="singleLevel"/>
    <w:tmpl w:val="61E08158"/>
    <w:lvl w:ilvl="0">
      <w:start w:val="1"/>
      <w:numFmt w:val="decimal"/>
      <w:suff w:val="nothing"/>
      <w:lvlText w:val="%1."/>
      <w:lvlJc w:val="left"/>
      <w:pPr>
        <w:tabs>
          <w:tab w:val="left" w:pos="0"/>
        </w:tabs>
        <w:ind w:left="0" w:firstLine="0" w:leftChars="0" w:firstLineChars="0"/>
      </w:pPr>
      <w:rPr>
        <w:rFonts w:hint="default"/>
      </w:rPr>
    </w:lvl>
  </w:abstractNum>
  <w:abstractNum w:abstractNumId="15">
    <w:nsid w:val="62962F63"/>
    <w:multiLevelType w:val="singleLevel"/>
    <w:tmpl w:val="62962F63"/>
    <w:lvl w:ilvl="0">
      <w:start w:val="1"/>
      <w:numFmt w:val="decimal"/>
      <w:suff w:val="nothing"/>
      <w:lvlText w:val="(%1)"/>
      <w:lvlJc w:val="left"/>
      <w:pPr>
        <w:tabs>
          <w:tab w:val="left" w:pos="312"/>
        </w:tabs>
      </w:pPr>
      <w:rPr>
        <w:rFonts w:hint="default"/>
      </w:rPr>
    </w:lvl>
  </w:abstractNum>
  <w:abstractNum w:abstractNumId="1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0" w:firstLine="0"/>
      </w:pPr>
      <w:rPr>
        <w:rFonts w:ascii="黑体" w:eastAsia="黑体" w:hAnsi="Times New Roman" w:hint="eastAsia"/>
        <w:b w:val="0"/>
        <w:i w:val="0"/>
        <w:sz w:val="21"/>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7">
    <w:nsid w:val="76933334"/>
    <w:multiLevelType w:val="multilevel"/>
    <w:tmpl w:val="76933334"/>
    <w:lvl w:ilvl="0">
      <w:start w:val="1"/>
      <w:numFmt w:val="none"/>
      <w:lvlText w:val="%1——"/>
      <w:lvlJc w:val="left"/>
      <w:pPr>
        <w:tabs>
          <w:tab w:val="left" w:pos="1288"/>
        </w:tabs>
        <w:ind w:left="1408"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6"/>
  </w:num>
  <w:num w:numId="2">
    <w:abstractNumId w:val="15"/>
  </w:num>
  <w:num w:numId="3">
    <w:abstractNumId w:val="1"/>
  </w:num>
  <w:num w:numId="4">
    <w:abstractNumId w:val="10"/>
  </w:num>
  <w:num w:numId="5">
    <w:abstractNumId w:val="17"/>
  </w:num>
  <w:num w:numId="6">
    <w:abstractNumId w:val="8"/>
  </w:num>
  <w:num w:numId="7">
    <w:abstractNumId w:val="7"/>
  </w:num>
  <w:num w:numId="8">
    <w:abstractNumId w:val="6"/>
  </w:num>
  <w:num w:numId="9">
    <w:abstractNumId w:val="0"/>
  </w:num>
  <w:num w:numId="10">
    <w:abstractNumId w:val="2"/>
  </w:num>
  <w:num w:numId="11">
    <w:abstractNumId w:val="11"/>
  </w:num>
  <w:num w:numId="12">
    <w:abstractNumId w:val="4"/>
  </w:num>
  <w:num w:numId="13">
    <w:abstractNumId w:val="14"/>
  </w:num>
  <w:num w:numId="14">
    <w:abstractNumId w:val="9"/>
  </w:num>
  <w:num w:numId="15">
    <w:abstractNumId w:val="13"/>
  </w:num>
  <w:num w:numId="16">
    <w:abstractNumId w:val="12"/>
  </w:num>
  <w:num w:numId="17">
    <w:abstractNumId w:val="3"/>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444E9"/>
    <w:rsid w:val="005B7AC3"/>
    <w:rsid w:val="006E6810"/>
    <w:rsid w:val="008B1170"/>
    <w:rsid w:val="009C512B"/>
    <w:rsid w:val="00B406C6"/>
    <w:rsid w:val="00EE7149"/>
    <w:rsid w:val="00F35166"/>
    <w:rsid w:val="01101675"/>
    <w:rsid w:val="01635C49"/>
    <w:rsid w:val="01A22C15"/>
    <w:rsid w:val="01B110AA"/>
    <w:rsid w:val="01CC7C92"/>
    <w:rsid w:val="0227311A"/>
    <w:rsid w:val="0273010D"/>
    <w:rsid w:val="03086AA8"/>
    <w:rsid w:val="032F2286"/>
    <w:rsid w:val="033C49A3"/>
    <w:rsid w:val="03B444E9"/>
    <w:rsid w:val="03DB0660"/>
    <w:rsid w:val="04253F9C"/>
    <w:rsid w:val="042A6EF2"/>
    <w:rsid w:val="0438160E"/>
    <w:rsid w:val="04610B65"/>
    <w:rsid w:val="047168CE"/>
    <w:rsid w:val="048C2F16"/>
    <w:rsid w:val="04A10F62"/>
    <w:rsid w:val="04AC5B58"/>
    <w:rsid w:val="04B073F7"/>
    <w:rsid w:val="04F25C61"/>
    <w:rsid w:val="04FE4606"/>
    <w:rsid w:val="053F077B"/>
    <w:rsid w:val="054D2E98"/>
    <w:rsid w:val="057523EE"/>
    <w:rsid w:val="058B29BF"/>
    <w:rsid w:val="062E5AE9"/>
    <w:rsid w:val="06732DD2"/>
    <w:rsid w:val="06986394"/>
    <w:rsid w:val="069A210C"/>
    <w:rsid w:val="06B8457A"/>
    <w:rsid w:val="06C61328"/>
    <w:rsid w:val="071C5217"/>
    <w:rsid w:val="075E138C"/>
    <w:rsid w:val="07A1571D"/>
    <w:rsid w:val="07C55B54"/>
    <w:rsid w:val="08420CAE"/>
    <w:rsid w:val="088E7A4F"/>
    <w:rsid w:val="08C6543B"/>
    <w:rsid w:val="098A2126"/>
    <w:rsid w:val="09D92F4C"/>
    <w:rsid w:val="0A122902"/>
    <w:rsid w:val="0A252635"/>
    <w:rsid w:val="0A4800D1"/>
    <w:rsid w:val="0B4C599F"/>
    <w:rsid w:val="0B745622"/>
    <w:rsid w:val="0BC030EF"/>
    <w:rsid w:val="0C2030B4"/>
    <w:rsid w:val="0C48260B"/>
    <w:rsid w:val="0CF307C8"/>
    <w:rsid w:val="0D42705A"/>
    <w:rsid w:val="0D501777"/>
    <w:rsid w:val="0E653000"/>
    <w:rsid w:val="0E756B8C"/>
    <w:rsid w:val="0EED1247"/>
    <w:rsid w:val="0F607C6B"/>
    <w:rsid w:val="0FA43FFC"/>
    <w:rsid w:val="10833C11"/>
    <w:rsid w:val="10B95885"/>
    <w:rsid w:val="10C41808"/>
    <w:rsid w:val="112E1562"/>
    <w:rsid w:val="11DB182B"/>
    <w:rsid w:val="11E15093"/>
    <w:rsid w:val="11E93F48"/>
    <w:rsid w:val="123461FF"/>
    <w:rsid w:val="12E7492B"/>
    <w:rsid w:val="131B6383"/>
    <w:rsid w:val="13E93BC1"/>
    <w:rsid w:val="14074B59"/>
    <w:rsid w:val="14587163"/>
    <w:rsid w:val="149F45A3"/>
    <w:rsid w:val="14F670A8"/>
    <w:rsid w:val="1505553D"/>
    <w:rsid w:val="152A0AFF"/>
    <w:rsid w:val="1537321C"/>
    <w:rsid w:val="15520056"/>
    <w:rsid w:val="1666025D"/>
    <w:rsid w:val="16774218"/>
    <w:rsid w:val="172123D6"/>
    <w:rsid w:val="17563E2E"/>
    <w:rsid w:val="17A728DB"/>
    <w:rsid w:val="17C074F9"/>
    <w:rsid w:val="192C5C9D"/>
    <w:rsid w:val="1981715C"/>
    <w:rsid w:val="19AE61A3"/>
    <w:rsid w:val="1A2E1092"/>
    <w:rsid w:val="1A626F8D"/>
    <w:rsid w:val="1AA43102"/>
    <w:rsid w:val="1B5D4B7A"/>
    <w:rsid w:val="1B5F527B"/>
    <w:rsid w:val="1BA33762"/>
    <w:rsid w:val="1BAD248A"/>
    <w:rsid w:val="1BC82E20"/>
    <w:rsid w:val="1C897E07"/>
    <w:rsid w:val="1D71363B"/>
    <w:rsid w:val="1D8D3608"/>
    <w:rsid w:val="1DAA6C81"/>
    <w:rsid w:val="1DF60F39"/>
    <w:rsid w:val="1E854FF8"/>
    <w:rsid w:val="1EAE454F"/>
    <w:rsid w:val="1F5C044F"/>
    <w:rsid w:val="1F6B68E4"/>
    <w:rsid w:val="1F8F4381"/>
    <w:rsid w:val="1FA165D2"/>
    <w:rsid w:val="1FB61240"/>
    <w:rsid w:val="1FFB37C4"/>
    <w:rsid w:val="1FFC578E"/>
    <w:rsid w:val="206F7D0E"/>
    <w:rsid w:val="207D68CF"/>
    <w:rsid w:val="209634ED"/>
    <w:rsid w:val="20BE2A44"/>
    <w:rsid w:val="20DA787E"/>
    <w:rsid w:val="211B285F"/>
    <w:rsid w:val="214E2A49"/>
    <w:rsid w:val="21BC51D5"/>
    <w:rsid w:val="21CA5B44"/>
    <w:rsid w:val="21FB3F4F"/>
    <w:rsid w:val="22D31CE9"/>
    <w:rsid w:val="23147F1E"/>
    <w:rsid w:val="239E0527"/>
    <w:rsid w:val="23B00D6A"/>
    <w:rsid w:val="2492221D"/>
    <w:rsid w:val="24B77ED6"/>
    <w:rsid w:val="24B93C4E"/>
    <w:rsid w:val="24DD1350"/>
    <w:rsid w:val="25311A36"/>
    <w:rsid w:val="253F05F7"/>
    <w:rsid w:val="254C6870"/>
    <w:rsid w:val="25D533FC"/>
    <w:rsid w:val="25DC4098"/>
    <w:rsid w:val="26541E80"/>
    <w:rsid w:val="26E56F7C"/>
    <w:rsid w:val="270C62B7"/>
    <w:rsid w:val="27174C5C"/>
    <w:rsid w:val="277A5BBB"/>
    <w:rsid w:val="27BD1CA7"/>
    <w:rsid w:val="27EE00B2"/>
    <w:rsid w:val="28702875"/>
    <w:rsid w:val="289C7B0E"/>
    <w:rsid w:val="292A336C"/>
    <w:rsid w:val="29385A89"/>
    <w:rsid w:val="294C1914"/>
    <w:rsid w:val="295126A7"/>
    <w:rsid w:val="29EF3C6E"/>
    <w:rsid w:val="2A830F86"/>
    <w:rsid w:val="2A8E3487"/>
    <w:rsid w:val="2A9C5BA4"/>
    <w:rsid w:val="2AA9206F"/>
    <w:rsid w:val="2AD27817"/>
    <w:rsid w:val="2AED4651"/>
    <w:rsid w:val="2AFB6D6E"/>
    <w:rsid w:val="2B0F1914"/>
    <w:rsid w:val="2B717030"/>
    <w:rsid w:val="2BDB6BA0"/>
    <w:rsid w:val="2BF437BD"/>
    <w:rsid w:val="2C8401F1"/>
    <w:rsid w:val="2D177764"/>
    <w:rsid w:val="2D3B78F6"/>
    <w:rsid w:val="2D5B3AF4"/>
    <w:rsid w:val="2EE95D63"/>
    <w:rsid w:val="2F1E74CF"/>
    <w:rsid w:val="2F452CAE"/>
    <w:rsid w:val="2FBD0A5E"/>
    <w:rsid w:val="3025663B"/>
    <w:rsid w:val="311F752F"/>
    <w:rsid w:val="316F5DC0"/>
    <w:rsid w:val="318A1295"/>
    <w:rsid w:val="31D07E6C"/>
    <w:rsid w:val="31E537D3"/>
    <w:rsid w:val="32235C04"/>
    <w:rsid w:val="32680BB3"/>
    <w:rsid w:val="327E5AC5"/>
    <w:rsid w:val="32BA12BD"/>
    <w:rsid w:val="32C24615"/>
    <w:rsid w:val="340824FC"/>
    <w:rsid w:val="34591F09"/>
    <w:rsid w:val="346F4329"/>
    <w:rsid w:val="348A6712"/>
    <w:rsid w:val="34BD5094"/>
    <w:rsid w:val="34CC3529"/>
    <w:rsid w:val="34E202D7"/>
    <w:rsid w:val="3518051D"/>
    <w:rsid w:val="358B5193"/>
    <w:rsid w:val="36DA1F2E"/>
    <w:rsid w:val="36F62AE0"/>
    <w:rsid w:val="37040D59"/>
    <w:rsid w:val="373830F8"/>
    <w:rsid w:val="37977E1F"/>
    <w:rsid w:val="37D83F93"/>
    <w:rsid w:val="3808667B"/>
    <w:rsid w:val="383438BF"/>
    <w:rsid w:val="389D76B7"/>
    <w:rsid w:val="390019F4"/>
    <w:rsid w:val="39AB6D88"/>
    <w:rsid w:val="39B5458C"/>
    <w:rsid w:val="39E92488"/>
    <w:rsid w:val="3A5244D1"/>
    <w:rsid w:val="3A940645"/>
    <w:rsid w:val="3AA12D62"/>
    <w:rsid w:val="3AAF547F"/>
    <w:rsid w:val="3B273268"/>
    <w:rsid w:val="3B645DEA"/>
    <w:rsid w:val="3B822B94"/>
    <w:rsid w:val="3B9D79CE"/>
    <w:rsid w:val="3C97441D"/>
    <w:rsid w:val="3CCD6091"/>
    <w:rsid w:val="3D0F2205"/>
    <w:rsid w:val="3D954E00"/>
    <w:rsid w:val="3E4E3201"/>
    <w:rsid w:val="3EAD7F28"/>
    <w:rsid w:val="3F220916"/>
    <w:rsid w:val="3F2C52F0"/>
    <w:rsid w:val="400E2C48"/>
    <w:rsid w:val="409273D5"/>
    <w:rsid w:val="4182569C"/>
    <w:rsid w:val="41F93484"/>
    <w:rsid w:val="421F113C"/>
    <w:rsid w:val="423C1CEE"/>
    <w:rsid w:val="424C7A58"/>
    <w:rsid w:val="427B20EB"/>
    <w:rsid w:val="42D66736"/>
    <w:rsid w:val="431901C3"/>
    <w:rsid w:val="43291B47"/>
    <w:rsid w:val="43912E12"/>
    <w:rsid w:val="439722B1"/>
    <w:rsid w:val="43A01E09"/>
    <w:rsid w:val="43C755E8"/>
    <w:rsid w:val="43D67F21"/>
    <w:rsid w:val="449C6A74"/>
    <w:rsid w:val="44DE708D"/>
    <w:rsid w:val="44FF7003"/>
    <w:rsid w:val="452B604A"/>
    <w:rsid w:val="457B2B2E"/>
    <w:rsid w:val="45943BEF"/>
    <w:rsid w:val="45D668A1"/>
    <w:rsid w:val="45E36925"/>
    <w:rsid w:val="45EB4A6B"/>
    <w:rsid w:val="45F4468E"/>
    <w:rsid w:val="460D5750"/>
    <w:rsid w:val="463A0A21"/>
    <w:rsid w:val="46780E1B"/>
    <w:rsid w:val="46841EB6"/>
    <w:rsid w:val="46C6602A"/>
    <w:rsid w:val="473016F6"/>
    <w:rsid w:val="473D3E13"/>
    <w:rsid w:val="474E6020"/>
    <w:rsid w:val="47F3184D"/>
    <w:rsid w:val="48036E0A"/>
    <w:rsid w:val="48111527"/>
    <w:rsid w:val="49AD34D2"/>
    <w:rsid w:val="49D2118A"/>
    <w:rsid w:val="49D4280C"/>
    <w:rsid w:val="49EB5DA8"/>
    <w:rsid w:val="4A4D0811"/>
    <w:rsid w:val="4A633B90"/>
    <w:rsid w:val="4B1341DC"/>
    <w:rsid w:val="4B5F07FC"/>
    <w:rsid w:val="4B95246F"/>
    <w:rsid w:val="4BBC17AA"/>
    <w:rsid w:val="4BE920CC"/>
    <w:rsid w:val="4D072E8F"/>
    <w:rsid w:val="4D16313C"/>
    <w:rsid w:val="4D221AE1"/>
    <w:rsid w:val="4D2E2B7B"/>
    <w:rsid w:val="4D4B1038"/>
    <w:rsid w:val="4D722A68"/>
    <w:rsid w:val="4D8B3B2A"/>
    <w:rsid w:val="4DDD2E03"/>
    <w:rsid w:val="4E393586"/>
    <w:rsid w:val="4E544598"/>
    <w:rsid w:val="4E7B009C"/>
    <w:rsid w:val="4ED67027"/>
    <w:rsid w:val="4F3B406D"/>
    <w:rsid w:val="4F3F4BCC"/>
    <w:rsid w:val="4FB76E58"/>
    <w:rsid w:val="4FF82FCD"/>
    <w:rsid w:val="500656EA"/>
    <w:rsid w:val="50937B6E"/>
    <w:rsid w:val="509F19BF"/>
    <w:rsid w:val="50B27620"/>
    <w:rsid w:val="511D2CEB"/>
    <w:rsid w:val="511D718F"/>
    <w:rsid w:val="51387B25"/>
    <w:rsid w:val="51C8534D"/>
    <w:rsid w:val="52173BDE"/>
    <w:rsid w:val="52634F48"/>
    <w:rsid w:val="52A06902"/>
    <w:rsid w:val="52A42F98"/>
    <w:rsid w:val="52F60BC6"/>
    <w:rsid w:val="52FB705C"/>
    <w:rsid w:val="53397B84"/>
    <w:rsid w:val="536270DB"/>
    <w:rsid w:val="54246AA7"/>
    <w:rsid w:val="546B1FBF"/>
    <w:rsid w:val="55175CA3"/>
    <w:rsid w:val="5551753F"/>
    <w:rsid w:val="559B4B26"/>
    <w:rsid w:val="55C17A0F"/>
    <w:rsid w:val="55C4407D"/>
    <w:rsid w:val="55CA5A69"/>
    <w:rsid w:val="55EC35D4"/>
    <w:rsid w:val="55F66200"/>
    <w:rsid w:val="564B02FA"/>
    <w:rsid w:val="56570A4D"/>
    <w:rsid w:val="566E223B"/>
    <w:rsid w:val="56E90AA3"/>
    <w:rsid w:val="570566FB"/>
    <w:rsid w:val="570D04C7"/>
    <w:rsid w:val="571D1821"/>
    <w:rsid w:val="57AC301B"/>
    <w:rsid w:val="58D02D39"/>
    <w:rsid w:val="58F76517"/>
    <w:rsid w:val="595474C6"/>
    <w:rsid w:val="59CF65CA"/>
    <w:rsid w:val="59D86349"/>
    <w:rsid w:val="5A274BDA"/>
    <w:rsid w:val="5B5A2BCD"/>
    <w:rsid w:val="5BB57FC4"/>
    <w:rsid w:val="5BF705DC"/>
    <w:rsid w:val="5C0F2DC3"/>
    <w:rsid w:val="5C20586B"/>
    <w:rsid w:val="5C334587"/>
    <w:rsid w:val="5C3830CF"/>
    <w:rsid w:val="5C533A65"/>
    <w:rsid w:val="5C537F09"/>
    <w:rsid w:val="5C974ED8"/>
    <w:rsid w:val="5CBC5AAE"/>
    <w:rsid w:val="5CF61AD7"/>
    <w:rsid w:val="5DB9023F"/>
    <w:rsid w:val="5DC93E21"/>
    <w:rsid w:val="5DD40BD5"/>
    <w:rsid w:val="5E563CE0"/>
    <w:rsid w:val="5E7E6D93"/>
    <w:rsid w:val="5EA52572"/>
    <w:rsid w:val="5EB50A07"/>
    <w:rsid w:val="5EC34592"/>
    <w:rsid w:val="5ECE1AC8"/>
    <w:rsid w:val="5F950838"/>
    <w:rsid w:val="607F642D"/>
    <w:rsid w:val="60912DAE"/>
    <w:rsid w:val="60A30574"/>
    <w:rsid w:val="61926DDD"/>
    <w:rsid w:val="61BF0E4D"/>
    <w:rsid w:val="61EB7018"/>
    <w:rsid w:val="625702B8"/>
    <w:rsid w:val="62600C89"/>
    <w:rsid w:val="62BD60DC"/>
    <w:rsid w:val="62E47B0C"/>
    <w:rsid w:val="63185A08"/>
    <w:rsid w:val="637569B7"/>
    <w:rsid w:val="64236413"/>
    <w:rsid w:val="644840CB"/>
    <w:rsid w:val="64514357"/>
    <w:rsid w:val="646863BA"/>
    <w:rsid w:val="64A532CB"/>
    <w:rsid w:val="65362175"/>
    <w:rsid w:val="6578278E"/>
    <w:rsid w:val="65953340"/>
    <w:rsid w:val="65D5373C"/>
    <w:rsid w:val="65DA7EB7"/>
    <w:rsid w:val="65E46F79"/>
    <w:rsid w:val="66353F35"/>
    <w:rsid w:val="664D3C1B"/>
    <w:rsid w:val="66DE2AC5"/>
    <w:rsid w:val="675A3B42"/>
    <w:rsid w:val="67AC671F"/>
    <w:rsid w:val="67D87514"/>
    <w:rsid w:val="68016A6B"/>
    <w:rsid w:val="680E1188"/>
    <w:rsid w:val="68D51CA5"/>
    <w:rsid w:val="69486D80"/>
    <w:rsid w:val="69796CFC"/>
    <w:rsid w:val="699A7177"/>
    <w:rsid w:val="69C0583A"/>
    <w:rsid w:val="6A114F5F"/>
    <w:rsid w:val="6A6D03E7"/>
    <w:rsid w:val="6A975464"/>
    <w:rsid w:val="6AD93CCF"/>
    <w:rsid w:val="6C3D028D"/>
    <w:rsid w:val="6C711CE5"/>
    <w:rsid w:val="6C7F4402"/>
    <w:rsid w:val="6C81461E"/>
    <w:rsid w:val="6CA1081C"/>
    <w:rsid w:val="6CE371F5"/>
    <w:rsid w:val="6D154D66"/>
    <w:rsid w:val="6D4D6A68"/>
    <w:rsid w:val="6D521B17"/>
    <w:rsid w:val="6D745F31"/>
    <w:rsid w:val="6DA06B15"/>
    <w:rsid w:val="6DE54739"/>
    <w:rsid w:val="6E922B12"/>
    <w:rsid w:val="6E9D5013"/>
    <w:rsid w:val="6EAA2EC9"/>
    <w:rsid w:val="6EFC5E74"/>
    <w:rsid w:val="6F0A08FB"/>
    <w:rsid w:val="6F7264A0"/>
    <w:rsid w:val="6F991C7F"/>
    <w:rsid w:val="70637E1C"/>
    <w:rsid w:val="70952446"/>
    <w:rsid w:val="712D267F"/>
    <w:rsid w:val="719C67E4"/>
    <w:rsid w:val="71C54FAD"/>
    <w:rsid w:val="71D23226"/>
    <w:rsid w:val="72225F5B"/>
    <w:rsid w:val="731004AA"/>
    <w:rsid w:val="733572FD"/>
    <w:rsid w:val="733777E5"/>
    <w:rsid w:val="734038C7"/>
    <w:rsid w:val="739509AF"/>
    <w:rsid w:val="740A4EF9"/>
    <w:rsid w:val="74406B6D"/>
    <w:rsid w:val="745B7503"/>
    <w:rsid w:val="74C91C54"/>
    <w:rsid w:val="752E4C17"/>
    <w:rsid w:val="759F4AB9"/>
    <w:rsid w:val="76515061"/>
    <w:rsid w:val="765E777E"/>
    <w:rsid w:val="769211D6"/>
    <w:rsid w:val="76E86DB9"/>
    <w:rsid w:val="79EE1488"/>
    <w:rsid w:val="79EE2BC7"/>
    <w:rsid w:val="79F006ED"/>
    <w:rsid w:val="7A4D3D91"/>
    <w:rsid w:val="7B7B675D"/>
    <w:rsid w:val="7BDA3403"/>
    <w:rsid w:val="7C041228"/>
    <w:rsid w:val="7C0C660E"/>
    <w:rsid w:val="7C776EA4"/>
    <w:rsid w:val="7C8415C1"/>
    <w:rsid w:val="7D284642"/>
    <w:rsid w:val="7D6513F2"/>
    <w:rsid w:val="7E484F9C"/>
    <w:rsid w:val="7E885398"/>
    <w:rsid w:val="7E9D7B39"/>
    <w:rsid w:val="7EA321D2"/>
    <w:rsid w:val="7EE66563"/>
    <w:rsid w:val="7F6C6A68"/>
  </w:rsids>
  <w:docVars>
    <w:docVar w:name="commondata" w:val="eyJoZGlkIjoiYzc4MzhmN2U1NTE0MDUxN2Y3Y2QzNTc3NDI1MTA4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BodyText">
    <w:name w:val="Body Text"/>
    <w:basedOn w:val="Normal"/>
    <w:autoRedefine/>
    <w:semiHidden/>
    <w:qFormat/>
    <w:rPr>
      <w:rFonts w:ascii="宋体" w:eastAsia="宋体" w:hAnsi="宋体" w:cs="宋体"/>
      <w:sz w:val="64"/>
      <w:szCs w:val="64"/>
      <w:lang w:val="en-US" w:eastAsia="en-US" w:bidi="ar-SA"/>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paragraph" w:customStyle="1" w:styleId="a">
    <w:name w:val="列项——（一级）"/>
    <w:autoRedefine/>
    <w:qFormat/>
    <w:pPr>
      <w:widowControl w:val="0"/>
      <w:spacing w:line="360" w:lineRule="auto"/>
      <w:ind w:left="0" w:firstLine="418" w:leftChars="0" w:firstLineChars="200"/>
      <w:jc w:val="both"/>
    </w:pPr>
    <w:rPr>
      <w:rFonts w:ascii="宋体" w:eastAsia="Arial" w:hAnsi="宋体" w:cs="Arial"/>
      <w:sz w:val="21"/>
      <w:lang w:val="en-US" w:eastAsia="zh-CN" w:bidi="ar-SA"/>
    </w:rPr>
  </w:style>
  <w:style w:type="paragraph" w:customStyle="1" w:styleId="a0">
    <w:name w:val="段"/>
    <w:autoRedefine/>
    <w:qFormat/>
    <w:pPr>
      <w:autoSpaceDE w:val="0"/>
      <w:autoSpaceDN w:val="0"/>
      <w:ind w:firstLine="200" w:firstLineChars="200"/>
      <w:jc w:val="both"/>
    </w:pPr>
    <w:rPr>
      <w:rFonts w:ascii="宋体" w:eastAsia="Arial" w:hAnsi="Arial" w:cs="Arial"/>
      <w:sz w:val="21"/>
      <w:lang w:val="en-US" w:eastAsia="zh-CN" w:bidi="ar-SA"/>
    </w:rPr>
  </w:style>
  <w:style w:type="paragraph" w:customStyle="1" w:styleId="a1">
    <w:name w:val="章标题"/>
    <w:next w:val="a0"/>
    <w:autoRedefine/>
    <w:qFormat/>
    <w:pPr>
      <w:numPr>
        <w:ilvl w:val="1"/>
        <w:numId w:val="1"/>
      </w:numPr>
      <w:spacing w:before="50" w:beforeLines="50" w:after="50" w:afterLines="50"/>
      <w:jc w:val="both"/>
      <w:outlineLvl w:val="1"/>
    </w:pPr>
    <w:rPr>
      <w:rFonts w:ascii="黑体" w:eastAsia="黑体" w:hAnsi="Times New Roman" w:cs="Times New Roman"/>
      <w:sz w:val="21"/>
      <w:lang w:val="en-US" w:eastAsia="zh-CN" w:bidi="ar-SA"/>
    </w:rPr>
  </w:style>
  <w:style w:type="paragraph" w:customStyle="1" w:styleId="a2">
    <w:name w:val="一级条标题"/>
    <w:basedOn w:val="a1"/>
    <w:next w:val="a0"/>
    <w:autoRedefine/>
    <w:qFormat/>
    <w:pPr>
      <w:numPr>
        <w:ilvl w:val="2"/>
        <w:numId w:val="1"/>
      </w:numPr>
      <w:spacing w:before="0" w:beforeLines="0" w:after="0" w:afterLines="0"/>
      <w:outlineLvl w:val="2"/>
    </w:pPr>
  </w:style>
  <w:style w:type="paragraph" w:customStyle="1" w:styleId="a3">
    <w:name w:val="二级无"/>
    <w:basedOn w:val="a4"/>
    <w:pPr>
      <w:spacing w:beforeLines="0" w:afterLines="0"/>
      <w:ind w:left="0"/>
    </w:pPr>
    <w:rPr>
      <w:rFonts w:ascii="宋体" w:eastAsia="宋体"/>
    </w:rPr>
  </w:style>
  <w:style w:type="paragraph" w:customStyle="1" w:styleId="a4">
    <w:name w:val="二级条标题"/>
    <w:basedOn w:val="a2"/>
    <w:next w:val="a0"/>
    <w:pPr>
      <w:numPr>
        <w:ilvl w:val="3"/>
        <w:numId w:val="1"/>
      </w:numPr>
      <w:outlineLvl w:val="3"/>
    </w:pPr>
  </w:style>
  <w:style w:type="table" w:customStyle="1" w:styleId="TableNormal0">
    <w:name w:val="Table Normal_0"/>
    <w:autoRedefine/>
    <w:semiHidden/>
    <w:unhideWhenUsed/>
    <w:qFormat/>
    <w:tblPr>
      <w:tblCellMar>
        <w:top w:w="0" w:type="dxa"/>
        <w:left w:w="0" w:type="dxa"/>
        <w:bottom w:w="0" w:type="dxa"/>
        <w:right w:w="0" w:type="dxa"/>
      </w:tblCellMar>
    </w:tblPr>
  </w:style>
  <w:style w:type="paragraph" w:customStyle="1" w:styleId="TableText">
    <w:name w:val="Table Text"/>
    <w:basedOn w:val="Normal"/>
    <w:autoRedefine/>
    <w:semiHidden/>
    <w:qFormat/>
    <w:rPr>
      <w:rFonts w:ascii="宋体" w:eastAsia="宋体" w:hAnsi="宋体" w:cs="宋体"/>
      <w:sz w:val="18"/>
      <w:szCs w:val="18"/>
      <w:lang w:val="en-US" w:eastAsia="en-US" w:bidi="ar-SA"/>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0">
    <w:name w:val="Table Normal_0_0"/>
    <w:autoRedefine/>
    <w:semiHidden/>
    <w:unhideWhenUsed/>
    <w:qFormat/>
    <w:tblPr>
      <w:tblCellMar>
        <w:top w:w="0" w:type="dxa"/>
        <w:left w:w="0" w:type="dxa"/>
        <w:bottom w:w="0" w:type="dxa"/>
        <w:right w:w="0" w:type="dxa"/>
      </w:tblCellMar>
    </w:tblPr>
  </w:style>
  <w:style w:type="table" w:customStyle="1" w:styleId="TableNormal01">
    <w:name w:val="Table Normal_0_1"/>
    <w:autoRedefine/>
    <w:semiHidden/>
    <w:unhideWhenUsed/>
    <w:qFormat/>
    <w:tblPr>
      <w:tblCellMar>
        <w:top w:w="0" w:type="dxa"/>
        <w:left w:w="0" w:type="dxa"/>
        <w:bottom w:w="0" w:type="dxa"/>
        <w:right w:w="0" w:type="dxa"/>
      </w:tblCellMar>
    </w:tblPr>
  </w:style>
  <w:style w:type="table" w:customStyle="1" w:styleId="TableNormal02">
    <w:name w:val="Table Normal_0_2"/>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1.emf" /><Relationship Id="rId14" Type="http://schemas.openxmlformats.org/officeDocument/2006/relationships/oleObject" Target="embeddings/oleObject1.bin"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898050125112006037"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1894</Words>
  <Characters>1938</Characters>
  <Application>Microsoft Office Word</Application>
  <DocSecurity>0</DocSecurity>
  <Lines>0</Lines>
  <Paragraphs>0</Paragraphs>
  <ScaleCrop>false</ScaleCrop>
  <Company/>
  <LinksUpToDate>false</LinksUpToDate>
  <CharactersWithSpaces>1946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佳</dc:creator>
  <cp:lastModifiedBy>佳</cp:lastModifiedBy>
  <cp:revision>1</cp:revision>
  <dcterms:created xsi:type="dcterms:W3CDTF">2023-12-29T21:45:00Z</dcterms:created>
  <dcterms:modified xsi:type="dcterms:W3CDTF">2024-02-23T03:59:01Z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6CAEC4C735204DDB942CBE90D689EAAF_11</vt:lpwstr>
  </property>
  <property fmtid="{D5CDD505-2E9C-101B-9397-08002B2CF9AE}" pid="3" name="KSOProductBuildVer">
    <vt:lpwstr>2052-12.1.0.16250</vt:lpwstr>
  </property>
</Properties>
</file>