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立体仓库设备，相关物料搬运设备行业相关公司设立可行性研究报告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4885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_Toc24885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115" w:history="1">
        <w:r>
          <w:rPr>
            <w:rFonts w:ascii="仿宋" w:eastAsia="仿宋" w:hAnsi="仿宋" w:cs="仿宋" w:hint="eastAsia"/>
            <w:lang w:eastAsia="zh-CN"/>
          </w:rPr>
          <w:t>一、法人治理</w:t>
        </w:r>
        <w:r>
          <w:tab/>
        </w:r>
        <w:r>
          <w:fldChar w:fldCharType="begin"/>
        </w:r>
        <w:r>
          <w:instrText xml:space="preserve"> PAGEREF _Toc26115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051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_Toc5051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762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_Toc12762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737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_Toc3737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26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_Toc3126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712" w:history="1">
        <w:r>
          <w:rPr>
            <w:rFonts w:ascii="仿宋" w:eastAsia="仿宋" w:hAnsi="仿宋" w:cs="仿宋" w:hint="eastAsia"/>
            <w:lang w:eastAsia="zh-CN"/>
          </w:rPr>
          <w:t>二、发展规划</w:t>
        </w:r>
        <w:r>
          <w:tab/>
        </w:r>
        <w:r>
          <w:fldChar w:fldCharType="begin"/>
        </w:r>
        <w:r>
          <w:instrText xml:space="preserve"> PAGEREF _Toc27712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456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_Toc17456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13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_Toc3113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830" w:history="1">
        <w:r>
          <w:rPr>
            <w:rFonts w:ascii="仿宋" w:eastAsia="仿宋" w:hAnsi="仿宋" w:cs="仿宋" w:hint="eastAsia"/>
            <w:lang w:eastAsia="zh-CN"/>
          </w:rPr>
          <w:t>三、公司成立背景及可行性分析</w:t>
        </w:r>
        <w:r>
          <w:tab/>
        </w:r>
        <w:r>
          <w:fldChar w:fldCharType="begin"/>
        </w:r>
        <w:r>
          <w:instrText xml:space="preserve"> PAGEREF _Toc23830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425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_Toc26425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198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_Toc11198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703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_Toc26703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212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_Toc15212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205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_Toc29205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882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_Toc7882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550" w:history="1">
        <w:r>
          <w:rPr>
            <w:rFonts w:ascii="仿宋" w:eastAsia="仿宋" w:hAnsi="仿宋" w:cs="仿宋" w:hint="eastAsia"/>
            <w:lang w:eastAsia="zh-CN"/>
          </w:rPr>
          <w:t>(七)、立体仓库设备，相关物料搬运设备项目建设必要性分析</w:t>
        </w:r>
        <w:r>
          <w:tab/>
        </w:r>
        <w:r>
          <w:fldChar w:fldCharType="begin"/>
        </w:r>
        <w:r>
          <w:instrText xml:space="preserve"> PAGEREF _Toc17550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766" w:history="1">
        <w:r>
          <w:rPr>
            <w:rFonts w:ascii="仿宋" w:eastAsia="仿宋" w:hAnsi="仿宋" w:cs="仿宋" w:hint="eastAsia"/>
            <w:lang w:eastAsia="zh-CN"/>
          </w:rPr>
          <w:t>四、行业、市场分析</w:t>
        </w:r>
        <w:r>
          <w:tab/>
        </w:r>
        <w:r>
          <w:fldChar w:fldCharType="begin"/>
        </w:r>
        <w:r>
          <w:instrText xml:space="preserve"> PAGEREF _Toc13766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433" w:history="1">
        <w:r>
          <w:rPr>
            <w:rFonts w:ascii="仿宋" w:eastAsia="仿宋" w:hAnsi="仿宋" w:cs="仿宋" w:hint="eastAsia"/>
            <w:lang w:eastAsia="zh-CN"/>
          </w:rPr>
          <w:t>(一)、行业分析</w:t>
        </w:r>
        <w:r>
          <w:tab/>
        </w:r>
        <w:r>
          <w:fldChar w:fldCharType="begin"/>
        </w:r>
        <w:r>
          <w:instrText xml:space="preserve"> PAGEREF _Toc18433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554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_Toc30554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321" w:history="1">
        <w:r>
          <w:rPr>
            <w:rFonts w:ascii="仿宋" w:eastAsia="仿宋" w:hAnsi="仿宋" w:cs="仿宋" w:hint="eastAsia"/>
            <w:lang w:eastAsia="zh-CN"/>
          </w:rPr>
          <w:t>(三)、行业发展及市场前景分析</w:t>
        </w:r>
        <w:r>
          <w:tab/>
        </w:r>
        <w:r>
          <w:fldChar w:fldCharType="begin"/>
        </w:r>
        <w:r>
          <w:instrText xml:space="preserve"> PAGEREF _Toc12321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67" w:history="1">
        <w:r>
          <w:rPr>
            <w:rFonts w:ascii="仿宋" w:eastAsia="仿宋" w:hAnsi="仿宋" w:cs="仿宋" w:hint="eastAsia"/>
            <w:lang w:eastAsia="zh-CN"/>
          </w:rPr>
          <w:t>五、公司成立方案</w:t>
        </w:r>
        <w:r>
          <w:tab/>
        </w:r>
        <w:r>
          <w:fldChar w:fldCharType="begin"/>
        </w:r>
        <w:r>
          <w:instrText xml:space="preserve"> PAGEREF _Toc1667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814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_Toc16814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485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_Toc21485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599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_Toc5599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082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_Toc23082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076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_Toc21076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392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_Toc12392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738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_Toc16738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480" w:history="1">
        <w:r>
          <w:rPr>
            <w:rFonts w:ascii="仿宋" w:eastAsia="仿宋" w:hAnsi="仿宋" w:cs="仿宋" w:hint="eastAsia"/>
            <w:lang w:eastAsia="zh-CN"/>
          </w:rPr>
          <w:t>六、环境保护分析</w:t>
        </w:r>
        <w:r>
          <w:tab/>
        </w:r>
        <w:r>
          <w:fldChar w:fldCharType="begin"/>
        </w:r>
        <w:r>
          <w:instrText xml:space="preserve"> PAGEREF _Toc20480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007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_Toc22007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99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_Toc2899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232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_Toc16232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841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_Toc26841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353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_Toc5353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461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_Toc27461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545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_Toc7545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574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_Toc22574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336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_Toc8336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685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_Toc22685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659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_Toc19659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7504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_Toc27504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009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_Toc28009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051" w:history="1">
        <w:r>
          <w:rPr>
            <w:rFonts w:ascii="仿宋" w:eastAsia="仿宋" w:hAnsi="仿宋" w:cs="仿宋" w:hint="eastAsia"/>
            <w:lang w:eastAsia="zh-CN"/>
          </w:rPr>
          <w:t>七、立体仓库设备，相关物料搬运设备项目风险分析</w:t>
        </w:r>
        <w:r>
          <w:tab/>
        </w:r>
        <w:r>
          <w:fldChar w:fldCharType="begin"/>
        </w:r>
        <w:r>
          <w:instrText xml:space="preserve"> PAGEREF _Toc8051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362" w:history="1">
        <w:r>
          <w:rPr>
            <w:rFonts w:ascii="仿宋" w:eastAsia="仿宋" w:hAnsi="仿宋" w:cs="仿宋" w:hint="eastAsia"/>
            <w:lang w:eastAsia="zh-CN"/>
          </w:rPr>
          <w:t>(一)、立体仓库设备，相关物料搬运设备项目风险分析</w:t>
        </w:r>
        <w:r>
          <w:tab/>
        </w:r>
        <w:r>
          <w:fldChar w:fldCharType="begin"/>
        </w:r>
        <w:r>
          <w:instrText xml:space="preserve"> PAGEREF _Toc11362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644" w:history="1">
        <w:r>
          <w:rPr>
            <w:rFonts w:ascii="仿宋" w:eastAsia="仿宋" w:hAnsi="仿宋" w:cs="仿宋" w:hint="eastAsia"/>
            <w:lang w:eastAsia="zh-CN"/>
          </w:rPr>
          <w:t>(二)、立体仓库设备，相关物料搬运设备项目风险对策</w:t>
        </w:r>
        <w:r>
          <w:tab/>
        </w:r>
        <w:r>
          <w:fldChar w:fldCharType="begin"/>
        </w:r>
        <w:r>
          <w:instrText xml:space="preserve"> PAGEREF _Toc31644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045" w:history="1">
        <w:r>
          <w:rPr>
            <w:rFonts w:ascii="仿宋" w:eastAsia="仿宋" w:hAnsi="仿宋" w:cs="仿宋" w:hint="eastAsia"/>
            <w:lang w:eastAsia="zh-CN"/>
          </w:rPr>
          <w:t>八、投资方案分析</w:t>
        </w:r>
        <w:r>
          <w:tab/>
        </w:r>
        <w:r>
          <w:fldChar w:fldCharType="begin"/>
        </w:r>
        <w:r>
          <w:instrText xml:space="preserve"> PAGEREF _Toc20045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111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_Toc28111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379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_Toc32379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440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_Toc7440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555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_Toc13555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728" w:history="1">
        <w:r>
          <w:rPr>
            <w:rFonts w:ascii="仿宋" w:eastAsia="仿宋" w:hAnsi="仿宋" w:cs="仿宋" w:hint="eastAsia"/>
            <w:lang w:eastAsia="zh-CN"/>
          </w:rPr>
          <w:t>(五)、立体仓库设备，相关物料搬运设备项目总投资</w:t>
        </w:r>
        <w:r>
          <w:tab/>
        </w:r>
        <w:r>
          <w:fldChar w:fldCharType="begin"/>
        </w:r>
        <w:r>
          <w:instrText xml:space="preserve"> PAGEREF _Toc8728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755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_Toc19755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13" w:history="1">
        <w:r>
          <w:rPr>
            <w:rFonts w:ascii="仿宋" w:eastAsia="仿宋" w:hAnsi="仿宋" w:cs="仿宋" w:hint="eastAsia"/>
            <w:lang w:eastAsia="zh-CN"/>
          </w:rPr>
          <w:t>九、立体仓库设备，相关物料搬运设备项目经济效益</w:t>
        </w:r>
        <w:r>
          <w:tab/>
        </w:r>
        <w:r>
          <w:fldChar w:fldCharType="begin"/>
        </w:r>
        <w:r>
          <w:instrText xml:space="preserve"> PAGEREF _Toc413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479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_Toc23479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015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_Toc24015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80" w:history="1">
        <w:r>
          <w:rPr>
            <w:rFonts w:ascii="仿宋" w:eastAsia="仿宋" w:hAnsi="仿宋" w:cs="仿宋" w:hint="eastAsia"/>
            <w:lang w:eastAsia="zh-CN"/>
          </w:rPr>
          <w:t>(三)、立体仓库设备，相关物料搬运设备项目盈利能力分析</w:t>
        </w:r>
        <w:r>
          <w:tab/>
        </w:r>
        <w:r>
          <w:fldChar w:fldCharType="begin"/>
        </w:r>
        <w:r>
          <w:instrText xml:space="preserve"> PAGEREF _Toc580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605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_Toc16605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513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_Toc15513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413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_Toc12413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944" w:history="1">
        <w:r>
          <w:rPr>
            <w:rFonts w:ascii="仿宋" w:eastAsia="仿宋" w:hAnsi="仿宋" w:cs="仿宋" w:hint="eastAsia"/>
            <w:lang w:eastAsia="zh-CN"/>
          </w:rPr>
          <w:t>十、目标客户和受众分析</w:t>
        </w:r>
        <w:r>
          <w:tab/>
        </w:r>
        <w:r>
          <w:fldChar w:fldCharType="begin"/>
        </w:r>
        <w:r>
          <w:instrText xml:space="preserve"> PAGEREF _Toc13944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430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_Toc31430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113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_Toc31113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393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_Toc28393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681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_Toc31681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76" w:history="1">
        <w:r>
          <w:rPr>
            <w:rFonts w:ascii="仿宋" w:eastAsia="仿宋" w:hAnsi="仿宋" w:cs="仿宋" w:hint="eastAsia"/>
            <w:lang w:eastAsia="zh-CN"/>
          </w:rPr>
          <w:t>十一、风险分析</w:t>
        </w:r>
        <w:r>
          <w:tab/>
        </w:r>
        <w:r>
          <w:fldChar w:fldCharType="begin"/>
        </w:r>
        <w:r>
          <w:instrText xml:space="preserve"> PAGEREF _Toc2176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626" w:history="1">
        <w:r>
          <w:rPr>
            <w:rFonts w:ascii="仿宋" w:eastAsia="仿宋" w:hAnsi="仿宋" w:cs="仿宋" w:hint="eastAsia"/>
            <w:lang w:eastAsia="zh-CN"/>
          </w:rPr>
          <w:t>(一)、内部风险</w:t>
        </w:r>
        <w:r>
          <w:tab/>
        </w:r>
        <w:r>
          <w:fldChar w:fldCharType="begin"/>
        </w:r>
        <w:r>
          <w:instrText xml:space="preserve"> PAGEREF _Toc6626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03" w:history="1">
        <w:r>
          <w:rPr>
            <w:rFonts w:ascii="仿宋" w:eastAsia="仿宋" w:hAnsi="仿宋" w:cs="仿宋" w:hint="eastAsia"/>
            <w:lang w:eastAsia="zh-CN"/>
          </w:rPr>
          <w:t>(二)、外部风险</w:t>
        </w:r>
        <w:r>
          <w:tab/>
        </w:r>
        <w:r>
          <w:fldChar w:fldCharType="begin"/>
        </w:r>
        <w:r>
          <w:instrText xml:space="preserve"> PAGEREF _Toc2703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984" w:history="1">
        <w:r>
          <w:rPr>
            <w:rFonts w:ascii="仿宋" w:eastAsia="仿宋" w:hAnsi="仿宋" w:cs="仿宋" w:hint="eastAsia"/>
            <w:lang w:eastAsia="zh-CN"/>
          </w:rPr>
          <w:t>(三)、风险管理策略</w:t>
        </w:r>
        <w:r>
          <w:tab/>
        </w:r>
        <w:r>
          <w:fldChar w:fldCharType="begin"/>
        </w:r>
        <w:r>
          <w:instrText xml:space="preserve"> PAGEREF _Toc9984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148" w:history="1">
        <w:r>
          <w:rPr>
            <w:rFonts w:ascii="仿宋" w:eastAsia="仿宋" w:hAnsi="仿宋" w:cs="仿宋" w:hint="eastAsia"/>
            <w:lang w:eastAsia="zh-CN"/>
          </w:rPr>
          <w:t>十二、推进公司成立的必要性分析</w:t>
        </w:r>
        <w:r>
          <w:tab/>
        </w:r>
        <w:r>
          <w:fldChar w:fldCharType="begin"/>
        </w:r>
        <w:r>
          <w:instrText xml:space="preserve"> PAGEREF _Toc12148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692" w:history="1">
        <w:r>
          <w:rPr>
            <w:rFonts w:ascii="仿宋" w:eastAsia="仿宋" w:hAnsi="仿宋" w:cs="仿宋" w:hint="eastAsia"/>
            <w:lang w:eastAsia="zh-CN"/>
          </w:rPr>
          <w:t>(一)、市场需求和机会</w:t>
        </w:r>
        <w:r>
          <w:tab/>
        </w:r>
        <w:r>
          <w:fldChar w:fldCharType="begin"/>
        </w:r>
        <w:r>
          <w:instrText xml:space="preserve"> PAGEREF _Toc16692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078" w:history="1">
        <w:r>
          <w:rPr>
            <w:rFonts w:ascii="仿宋" w:eastAsia="仿宋" w:hAnsi="仿宋" w:cs="仿宋" w:hint="eastAsia"/>
            <w:lang w:eastAsia="zh-CN"/>
          </w:rPr>
          <w:t>(二)、公司目标和战略</w:t>
        </w:r>
        <w:r>
          <w:tab/>
        </w:r>
        <w:r>
          <w:fldChar w:fldCharType="begin"/>
        </w:r>
        <w:r>
          <w:instrText xml:space="preserve"> PAGEREF _Toc32078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780" w:history="1">
        <w:r>
          <w:rPr>
            <w:rFonts w:ascii="仿宋" w:eastAsia="仿宋" w:hAnsi="仿宋" w:cs="仿宋" w:hint="eastAsia"/>
            <w:lang w:eastAsia="zh-CN"/>
          </w:rPr>
          <w:t>(三)、公司竞争优势</w:t>
        </w:r>
        <w:r>
          <w:tab/>
        </w:r>
        <w:r>
          <w:fldChar w:fldCharType="begin"/>
        </w:r>
        <w:r>
          <w:instrText xml:space="preserve"> PAGEREF _Toc23780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4885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欢迎阅读公司成立报告。本报告将详细介绍该公司的背景、目标及计划，以及我们计划如何满足市场需求和提供创新产品/服务。我们坚信，公司的成立是为了填补市场空缺并满足消费者需求。我们致力于以高质量和可持续发展为核心，致力于不断创新和改进。在本报告中，我们将提供详尽的信息，帮助你深入了解我们的核心价值观和未来发展计划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6115"/>
      <w:r>
        <w:rPr>
          <w:rFonts w:ascii="仿宋" w:eastAsia="仿宋" w:hAnsi="仿宋" w:cs="仿宋" w:hint="eastAsia"/>
          <w:sz w:val="28"/>
          <w:lang w:eastAsia="zh-CN"/>
        </w:rPr>
        <w:t>一、法人治理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5051"/>
      <w:r>
        <w:rPr>
          <w:rFonts w:ascii="仿宋" w:eastAsia="仿宋" w:hAnsi="仿宋" w:cs="仿宋" w:hint="eastAsia"/>
          <w:lang w:eastAsia="zh-CN"/>
        </w:rPr>
        <w:t>(一)、股东权利及义务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股权登记日规定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在召开股东大会、进行股利分配、清算以及需要确认股东身份的其他行为时，会确定一个股权登记日。在股权登记日收市后登记在公司册册上的股东，将享有相关权益。这个规定旨在确保公司股东的合法权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(二) 股东权益明细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公司的股东拥有一系列权益，包括但不限于：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获得股利和其他形式的利益分配，根据持有的股份份额；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有权请求、召集、主持、参加或委派代理人参加股东大会，并行使相应的表决权；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3. 对公司经营进行监督，可以提出建议或质询；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有权按照法律、法规和章程规定，进行股份的转让、赠与或质押；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可查阅公司章程、股东名册、公司债券存根、股东大会会议记录、董事会会议决议、监事会会议决议和财务会计报告等公司文件；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6. 当公司终止或清算时，可以按照所持有的股份份额参加公司剩余财产的分配；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7. 在对股东大会作出的公司合并、分立等决议持异议的情况下，有权要求公司收购其股份；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8. 还享有根据法律、法规、规章或章程规定的其他权利。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(三) 取消违法决议的权利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如果公司股东大会或董事会的决议违反法律和法规，公司股东有权向人民法院请求认定这些决议无效。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(四) 对董事和高级管理人员的监督权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如果公司的董事或高级管理人员违反法律、法规或章程的规定，损害了公司股东的利益，股东有权向人民法院提起诉讼，以保护自己的权益。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(五) 股东的法定义务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公司的股东需要遵守法律、法规和章程规定的义务，包括：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遵守法律、法规和章程规定；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除非法律法规允许，不得擅自退股；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https://d.book118.com/898051000131006036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立体仓库设备，相关物料搬运设备行业相关公司设立可行性研究报告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立体仓库设备，相关物料搬运设备行业相关公司设立可行性研究报告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立体仓库设备，相关物料搬运设备行业相关公司设立可行性研究报告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立体仓库设备，相关物料搬运设备行业相关公司设立可行性研究报告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立体仓库设备，相关物料搬运设备行业相关公司设立可行性研究报告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898051000131006036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2024-02-10T00:24:00Z</dcterms:created>
  <dcterms:modified xsi:type="dcterms:W3CDTF">2024-02-10T00:25:04Z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4BB921CA763D4310A888468B9BE22B46_11</vt:lpwstr>
  </property>
  <property fmtid="{D5CDD505-2E9C-101B-9397-08002B2CF9AE}" pid="3" name="KSOProductBuildVer">
    <vt:lpwstr>2052-12.1.0.16250</vt:lpwstr>
  </property>
</Properties>
</file>