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bf0">
    <v:background id="_x0000_s1025" o:bwmode="white" filled="t" fillcolor="#fffbf0"/>
  </w:background>
  <w:body>
    <w:p w:rsidR="0090542D" w:rsidP="0014331D">
      <w:pPr>
        <w:ind w:right="600" w:firstLine="13950" w:firstLineChars="4650"/>
        <w:rPr>
          <w:rFonts w:eastAsia="黑体" w:cs="Arial" w:hint="eastAsia"/>
          <w:sz w:val="30"/>
          <w:szCs w:val="52"/>
        </w:rPr>
      </w:pPr>
      <w:r>
        <w:rPr>
          <w:rFonts w:eastAsia="黑体" w:cs="Arial" w:hint="eastAsia"/>
          <w:noProof/>
          <w:sz w:val="30"/>
          <w:szCs w:val="52"/>
          <w:lang w:val="en-US"/>
        </w:rPr>
        <w:pict>
          <v:rect id="_x0000_s1026" style="width:124.5pt;height:16.5pt;margin-top:-30.75pt;margin-left:416.25pt;position:absolute;z-index:251673600" filled="f" stroked="f" strokecolor="#339" insetpen="f">
            <v:textbox>
              <w:txbxContent>
                <w:p w:rsidR="00472E3C" w:rsidRPr="00EC07DB" w:rsidP="00CC6289">
                  <w:pPr>
                    <w:jc w:val="right"/>
                    <w:rPr>
                      <w:rFonts w:hint="eastAsia"/>
                      <w:sz w:val="15"/>
                      <w:szCs w:val="15"/>
                    </w:rPr>
                  </w:pPr>
                </w:p>
              </w:txbxContent>
            </v:textbox>
            <w10:anchorlock/>
          </v:rect>
        </w:pict>
      </w:r>
      <w:r>
        <w:rPr>
          <w:rFonts w:eastAsia="黑体" w:cs="Arial" w:hint="eastAsia"/>
          <w:noProof/>
          <w:sz w:val="30"/>
          <w:szCs w:val="5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width:127.45pt;height:34.3pt;margin-top:15.6pt;margin-left:414.3pt;mso-position-vertical-relative:page;mso-wrap-style:none;position:absolute;z-index:251672576" filled="f" stroked="f">
            <v:textbox>
              <w:txbxContent>
                <w:p w:rsidR="00472E3C" w:rsidRPr="00E17DD1" w:rsidP="00CC6289">
                  <w:pPr>
                    <w:rPr>
                      <w:rFonts w:hint="eastAsia"/>
                    </w:rPr>
                  </w:pPr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8" type="#_x0000_t75" style="width:113pt;height:28.1pt" stroked="f">
                        <v:imagedata r:id="rId5" o:title="未命名的-2"/>
                      </v:shape>
                    </w:pict>
                  </w:r>
                </w:p>
              </w:txbxContent>
            </v:textbox>
            <w10:anchorlock/>
          </v:shape>
        </w:pict>
      </w:r>
      <w:r>
        <w:rPr>
          <w:rFonts w:eastAsia="黑体" w:cs="Arial" w:hint="eastAsia"/>
          <w:noProof/>
          <w:sz w:val="30"/>
          <w:szCs w:val="52"/>
          <w:lang w:val="en-US"/>
        </w:rPr>
        <w:pict>
          <v:rect id="_x0000_s1029" style="width:538.8pt;height:30.4pt;margin-top:-21.75pt;margin-left:-15.6pt;position:absolute;visibility:visible;z-index:251658240" filled="f" stroked="f" strokecolor="#339" insetpen="f">
            <v:textbox>
              <w:txbxContent>
                <w:p w:rsidR="00472E3C" w:rsidRPr="003E588D">
                  <w:pPr>
                    <w:rPr>
                      <w:rFonts w:ascii="黑体" w:eastAsia="黑体" w:hint="eastAsia"/>
                      <w:sz w:val="30"/>
                      <w:szCs w:val="30"/>
                    </w:rPr>
                  </w:pPr>
                  <w:bookmarkStart w:id="0" w:name="title"/>
                  <w:r w:rsidR="00065559">
                    <w:rPr>
                      <w:rFonts w:ascii="楷体_GB2312" w:hint="eastAsia"/>
                      <w:b/>
                      <w:sz w:val="30"/>
                      <w:szCs w:val="30"/>
                    </w:rPr>
                    <w:t>投连险2013年行业分析报告</w:t>
                  </w:r>
                  <w:bookmarkEnd w:id="0"/>
                  <w:r>
                    <w:rPr>
                      <w:rFonts w:ascii="楷体_GB2312" w:hint="eastAsia"/>
                      <w:b/>
                      <w:sz w:val="30"/>
                      <w:szCs w:val="30"/>
                    </w:rPr>
                    <w:t xml:space="preserve">       </w:t>
                  </w:r>
                  <w:bookmarkStart w:id="1" w:name="industyName"/>
                  <w:r w:rsidR="00065559">
                    <w:rPr>
                      <w:rFonts w:ascii="楷体_GB2312"/>
                      <w:b/>
                      <w:sz w:val="30"/>
                      <w:szCs w:val="30"/>
                    </w:rPr>
                    <w:t xml:space="preserve">   </w:t>
                  </w:r>
                  <w:bookmarkEnd w:id="1"/>
                </w:p>
              </w:txbxContent>
            </v:textbox>
          </v:rect>
        </w:pict>
      </w:r>
      <w:r>
        <w:rPr>
          <w:rFonts w:eastAsia="黑体" w:cs="Arial" w:hint="eastAsia"/>
          <w:noProof/>
          <w:sz w:val="30"/>
          <w:szCs w:val="52"/>
          <w:lang w:val="en-US"/>
        </w:rPr>
        <w:pict>
          <v:rect id="_x0000_s1030" style="width:330.9pt;height:21.6pt;margin-top:-56.1pt;margin-left:-15.6pt;position:absolute;z-index:251663360" filled="f" stroked="f" strokecolor="#339" insetpen="f">
            <v:textbox>
              <w:txbxContent>
                <w:p w:rsidR="00472E3C" w:rsidRPr="005C2514" w:rsidP="009708CA">
                  <w:pPr>
                    <w:rPr>
                      <w:rFonts w:ascii="黑体" w:eastAsia="黑体" w:hint="eastAsia"/>
                      <w:b/>
                      <w:sz w:val="21"/>
                      <w:szCs w:val="21"/>
                    </w:rPr>
                  </w:pPr>
                  <w:bookmarkStart w:id="2" w:name="reportDate"/>
                  <w:r w:rsidR="00065559">
                    <w:rPr>
                      <w:rFonts w:eastAsia="黑体" w:cs="Arial" w:hint="eastAsia"/>
                      <w:b/>
                      <w:sz w:val="21"/>
                      <w:szCs w:val="21"/>
                    </w:rPr>
                    <w:t>2014年01月10日</w:t>
                  </w:r>
                  <w:bookmarkEnd w:id="2"/>
                </w:p>
              </w:txbxContent>
            </v:textbox>
          </v:rect>
        </w:pict>
      </w:r>
    </w:p>
    <w:p w:rsidR="0090542D">
      <w:pPr>
        <w:jc w:val="right"/>
        <w:rPr>
          <w:rFonts w:eastAsia="黑体" w:cs="Arial" w:hint="eastAsia"/>
          <w:sz w:val="30"/>
          <w:szCs w:val="52"/>
        </w:rPr>
      </w:pPr>
      <w:r>
        <w:rPr>
          <w:rFonts w:eastAsia="黑体" w:cs="Arial" w:hint="eastAsia"/>
          <w:noProof/>
          <w:sz w:val="30"/>
          <w:szCs w:val="52"/>
          <w:lang w:val="en-US"/>
        </w:rPr>
        <w:pict>
          <v:rect id="_x0000_s1031" style="width:173.85pt;height:22.2pt;margin-top:9.5pt;margin-left:366.3pt;position:absolute;visibility:visible;z-index:251659264" filled="f" stroked="f" strokecolor="#339" insetpen="f">
            <v:textbox>
              <w:txbxContent>
                <w:p w:rsidR="00472E3C" w:rsidRPr="00132E65" w:rsidP="00817DEC">
                  <w:pPr>
                    <w:jc w:val="right"/>
                    <w:rPr>
                      <w:rFonts w:hint="eastAsia"/>
                      <w:b/>
                      <w:sz w:val="24"/>
                      <w:szCs w:val="24"/>
                    </w:rPr>
                  </w:pPr>
                  <w:bookmarkStart w:id="3" w:name="reportType"/>
                  <w:r w:rsidR="00065559">
                    <w:rPr>
                      <w:rFonts w:hint="eastAsia"/>
                      <w:b/>
                      <w:sz w:val="24"/>
                      <w:szCs w:val="24"/>
                    </w:rPr>
                    <w:t>投连险行业年报</w:t>
                  </w:r>
                  <w:bookmarkEnd w:id="3"/>
                </w:p>
              </w:txbxContent>
            </v:textbox>
          </v:rect>
        </w:pict>
      </w:r>
    </w:p>
    <w:p w:rsidR="00E2045E">
      <w:pPr>
        <w:jc w:val="right"/>
        <w:rPr>
          <w:rFonts w:eastAsia="黑体" w:cs="Arial" w:hint="eastAsia"/>
          <w:sz w:val="30"/>
          <w:szCs w:val="52"/>
        </w:rPr>
      </w:pPr>
      <w:r>
        <w:rPr>
          <w:rFonts w:eastAsia="黑体" w:cs="Arial" w:hint="eastAsia"/>
          <w:noProof/>
          <w:sz w:val="30"/>
          <w:szCs w:val="52"/>
          <w:lang w:val="en-US"/>
        </w:rPr>
        <w:pict>
          <v:line id="_x0000_s1032" style="position:absolute;visibility:visible;z-index:251660288" from="-32.4pt,12.7pt" to="564.6pt,12.7pt" stroked="t" strokecolor="#00a0e9" strokeweight="0.94pt"/>
        </w:pict>
      </w:r>
    </w:p>
    <w:p w:rsidR="0090542D">
      <w:pPr>
        <w:jc w:val="right"/>
        <w:rPr>
          <w:rFonts w:eastAsia="黑体" w:cs="Arial" w:hint="eastAsia"/>
          <w:sz w:val="30"/>
          <w:szCs w:val="52"/>
        </w:rPr>
      </w:pPr>
    </w:p>
    <w:p w:rsidR="005A6A6A">
      <w:pPr>
        <w:jc w:val="right"/>
        <w:rPr>
          <w:rFonts w:eastAsia="黑体" w:cs="Arial" w:hint="eastAsia"/>
          <w:sz w:val="30"/>
          <w:szCs w:val="52"/>
        </w:rPr>
      </w:pPr>
      <w:r>
        <w:rPr>
          <w:rFonts w:eastAsia="黑体" w:hint="eastAsia"/>
          <w:noProof/>
          <w:sz w:val="30"/>
          <w:szCs w:val="52"/>
          <w:lang w:val="en-US"/>
        </w:rPr>
        <w:pict>
          <v:shape id="_x0000_s1033" type="#_x0000_t202" style="width:383.55pt;height:39.15pt;margin-top:0.1pt;margin-left:158.25pt;position:absolute;z-index:251664384" filled="f" stroked="f">
            <v:textbox>
              <w:txbxContent>
                <w:p w:rsidR="00472E3C" w:rsidP="009708CA">
                  <w:pPr>
                    <w:jc w:val="center"/>
                    <w:rPr>
                      <w:rFonts w:ascii="楷体_GB2312" w:hint="eastAsia"/>
                      <w:b/>
                      <w:bCs/>
                      <w:sz w:val="36"/>
                      <w:szCs w:val="36"/>
                    </w:rPr>
                  </w:pPr>
                  <w:bookmarkStart w:id="4" w:name="subTitle"/>
                  <w:r w:rsidR="00065559">
                    <w:rPr>
                      <w:rFonts w:ascii="楷体_GB2312" w:hint="eastAsia"/>
                      <w:b/>
                      <w:bCs/>
                      <w:sz w:val="36"/>
                      <w:szCs w:val="36"/>
                    </w:rPr>
                    <w:t>偏股类绝对收益较高，偏债类未达预期</w:t>
                  </w:r>
                  <w:bookmarkEnd w:id="4"/>
                </w:p>
              </w:txbxContent>
            </v:textbox>
          </v:shape>
        </w:pict>
      </w:r>
      <w:r>
        <w:rPr>
          <w:rFonts w:hint="eastAsia"/>
          <w:noProof/>
          <w:lang w:val="en-US"/>
        </w:rPr>
        <w:pict>
          <v:rect id="CompetitionRateShape" o:spid="_x0000_s1034" style="width:177pt;height:24.9pt;margin-top:6.25pt;margin-left:-21pt;position:absolute;visibility:hidden;z-index:251662336" filled="f" fillcolor="blue" stroked="f" strokecolor="blue" insetpen="f">
            <v:textbox>
              <w:txbxContent>
                <w:p w:rsidR="00472E3C" w:rsidRPr="00670230" w:rsidP="00DC6285">
                  <w:pPr>
                    <w:rPr>
                      <w:b/>
                    </w:rPr>
                  </w:pPr>
                  <w:r w:rsidRPr="00670230">
                    <w:rPr>
                      <w:rFonts w:cs="Arial" w:hint="eastAsia"/>
                      <w:b/>
                      <w:bCs/>
                      <w:sz w:val="21"/>
                      <w:szCs w:val="18"/>
                    </w:rPr>
                    <w:t>长期竞争力评级</w:t>
                  </w:r>
                  <w:r w:rsidRPr="00670230">
                    <w:rPr>
                      <w:rFonts w:cs="Arial" w:hint="eastAsia"/>
                      <w:b/>
                      <w:bCs/>
                      <w:spacing w:val="-36"/>
                      <w:sz w:val="21"/>
                      <w:szCs w:val="18"/>
                    </w:rPr>
                    <w:t>：</w:t>
                  </w:r>
                  <w:bookmarkStart w:id="5" w:name="competitionRate"/>
                  <w:r w:rsidR="00065559">
                    <w:rPr>
                      <w:rFonts w:cs="Arial" w:hint="eastAsia"/>
                      <w:b/>
                      <w:bCs/>
                      <w:sz w:val="21"/>
                      <w:szCs w:val="18"/>
                    </w:rPr>
                    <w:t>高于行业均值</w:t>
                  </w:r>
                  <w:bookmarkEnd w:id="5"/>
                </w:p>
              </w:txbxContent>
            </v:textbox>
          </v:rect>
        </w:pict>
      </w:r>
      <w:r>
        <w:rPr>
          <w:rFonts w:eastAsia="黑体" w:hint="eastAsia"/>
          <w:noProof/>
          <w:sz w:val="30"/>
          <w:szCs w:val="52"/>
          <w:lang w:val="en-US"/>
        </w:rPr>
        <w:pict>
          <v:shape id="ZhuYaoKanDian" o:spid="_x0000_s1035" type="#_x0000_t202" style="width:157.2pt;height:176.7pt;margin-top:1.6pt;margin-left:-18.85pt;position:absolute;visibility:visible;z-index:251666432" filled="f" stroked="f">
            <v:textbox>
              <w:txbxContent>
                <w:p w:rsidR="00472E3C" w:rsidRPr="009E7462" w:rsidP="009E7462">
                  <w:pPr>
                    <w:rPr>
                      <w:rFonts w:hint="eastAsia"/>
                    </w:rPr>
                  </w:pPr>
                </w:p>
              </w:txbxContent>
            </v:textbox>
            <w10:anchorlock/>
          </v:shape>
        </w:pict>
      </w:r>
    </w:p>
    <w:p w:rsidR="0090542D">
      <w:pPr>
        <w:jc w:val="right"/>
        <w:rPr>
          <w:rFonts w:eastAsia="黑体" w:cs="Arial" w:hint="eastAsia"/>
          <w:sz w:val="30"/>
          <w:szCs w:val="52"/>
        </w:rPr>
      </w:pPr>
      <w:r>
        <w:rPr>
          <w:rFonts w:eastAsia="黑体" w:cs="Arial" w:hint="eastAsia"/>
          <w:noProof/>
          <w:sz w:val="30"/>
          <w:szCs w:val="52"/>
          <w:lang w:val="en-US"/>
        </w:rPr>
        <w:pict>
          <v:shape id="HangYeShiChangShuJu" o:spid="_x0000_s1036" type="#_x0000_t202" style="width:177.15pt;height:112.35pt;margin-top:185.05pt;margin-left:-19.05pt;mso-position-vertical-relative:page;position:absolute;visibility:hidden;z-index:251670528" filled="f" stroked="f">
            <v:textbox inset="4.25pt,,4.25pt">
              <w:txbxContent>
                <w:p w:rsidR="00472E3C" w:rsidRPr="00D7479F" w:rsidP="00CD5A7A">
                  <w:pPr>
                    <w:spacing w:line="220" w:lineRule="exact"/>
                    <w:rPr>
                      <w:rFonts w:cs="Arial" w:hint="eastAsia"/>
                      <w:b/>
                      <w:bCs/>
                      <w:sz w:val="21"/>
                      <w:szCs w:val="18"/>
                    </w:rPr>
                  </w:pPr>
                  <w:r w:rsidRPr="00D7479F">
                    <w:rPr>
                      <w:rFonts w:cs="Arial" w:hint="eastAsia"/>
                      <w:b/>
                      <w:bCs/>
                      <w:sz w:val="21"/>
                      <w:szCs w:val="18"/>
                    </w:rPr>
                    <w:t>市场数据</w:t>
                  </w:r>
                  <w:r w:rsidRPr="00D7479F">
                    <w:rPr>
                      <w:rFonts w:ascii="楷体_GB2312" w:cs="Arial" w:hint="eastAsia"/>
                      <w:b/>
                      <w:bCs/>
                      <w:sz w:val="21"/>
                      <w:szCs w:val="18"/>
                    </w:rPr>
                    <w:t>(人民币)</w:t>
                  </w:r>
                </w:p>
                <w:p w:rsidR="00472E3C" w:rsidRPr="00D7479F" w:rsidP="00CD5A7A">
                  <w:pPr>
                    <w:spacing w:line="60" w:lineRule="exact"/>
                    <w:rPr>
                      <w:rFonts w:cs="Arial" w:hint="eastAsia"/>
                      <w:szCs w:val="18"/>
                    </w:rPr>
                  </w:pPr>
                </w:p>
                <w:tbl>
                  <w:tblPr>
                    <w:tblStyle w:val="TableNormal"/>
                    <w:tblW w:w="3340" w:type="dxa"/>
                    <w:tblInd w:w="-6" w:type="dxa"/>
                    <w:tblLayout w:type="fixed"/>
                    <w:tblLook w:val="0000"/>
                  </w:tblPr>
                  <w:tblGrid>
                    <w:gridCol w:w="2433"/>
                    <w:gridCol w:w="907"/>
                  </w:tblGrid>
                  <w:tr w:rsidTr="00DF6A40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433" w:type="dxa"/>
                        <w:tcMar>
                          <w:left w:w="17" w:type="dxa"/>
                          <w:right w:w="17" w:type="dxa"/>
                        </w:tcMar>
                      </w:tcPr>
                      <w:p w:rsidR="00472E3C" w:rsidRPr="00CB5A5A" w:rsidP="00CD5A7A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CB5A5A">
                          <w:rPr>
                            <w:rFonts w:cs="Arial" w:hint="eastAsia"/>
                            <w:szCs w:val="18"/>
                          </w:rPr>
                          <w:t>行业优化平均市盈率</w:t>
                        </w:r>
                      </w:p>
                    </w:tc>
                    <w:tc>
                      <w:tcPr>
                        <w:tcW w:w="907" w:type="dxa"/>
                      </w:tcPr>
                      <w:p w:rsidR="00472E3C" w:rsidRPr="00CB5A5A" w:rsidP="00CD5A7A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 w:hint="eastAsia"/>
                            <w:szCs w:val="18"/>
                          </w:rPr>
                        </w:pPr>
                        <w:r w:rsidRPr="00CF572B">
                          <w:rPr>
                            <w:rFonts w:cs="Arial"/>
                            <w:szCs w:val="18"/>
                          </w:rPr>
                          <w:t>36.84</w:t>
                        </w:r>
                      </w:p>
                    </w:tc>
                  </w:tr>
                  <w:tr w:rsidTr="00DF6A40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433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CB5A5A" w:rsidP="00CD5A7A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CB5A5A">
                          <w:rPr>
                            <w:rFonts w:cs="Arial" w:hint="eastAsia"/>
                            <w:szCs w:val="18"/>
                          </w:rPr>
                          <w:t>市场优化平均市盈率</w:t>
                        </w:r>
                      </w:p>
                    </w:tc>
                    <w:tc>
                      <w:tcPr>
                        <w:tcW w:w="907" w:type="dxa"/>
                        <w:shd w:val="clear" w:color="auto" w:fill="auto"/>
                        <w:vAlign w:val="center"/>
                      </w:tcPr>
                      <w:p w:rsidR="00472E3C" w:rsidRPr="00CB5A5A" w:rsidP="00CD5A7A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 w:hint="eastAsia"/>
                            <w:szCs w:val="18"/>
                          </w:rPr>
                        </w:pPr>
                        <w:r w:rsidRPr="00CF572B">
                          <w:rPr>
                            <w:rFonts w:cs="Arial"/>
                            <w:szCs w:val="18"/>
                          </w:rPr>
                          <w:t>29.70</w:t>
                        </w:r>
                      </w:p>
                    </w:tc>
                  </w:tr>
                  <w:tr w:rsidTr="00DF6A40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433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CB5A5A" w:rsidP="00CD5A7A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CB5A5A">
                          <w:rPr>
                            <w:rFonts w:cs="Arial" w:hint="eastAsia"/>
                            <w:szCs w:val="18"/>
                          </w:rPr>
                          <w:t>国金能源指数</w:t>
                        </w:r>
                      </w:p>
                    </w:tc>
                    <w:tc>
                      <w:tcPr>
                        <w:tcW w:w="907" w:type="dxa"/>
                        <w:shd w:val="clear" w:color="auto" w:fill="auto"/>
                        <w:vAlign w:val="center"/>
                      </w:tcPr>
                      <w:p w:rsidR="00472E3C" w:rsidRPr="00CB5A5A" w:rsidP="00CD5A7A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/>
                            <w:szCs w:val="18"/>
                          </w:rPr>
                        </w:pPr>
                        <w:r w:rsidRPr="00CF572B">
                          <w:rPr>
                            <w:rFonts w:cs="Arial"/>
                            <w:szCs w:val="18"/>
                          </w:rPr>
                          <w:t>6340.03</w:t>
                        </w:r>
                      </w:p>
                    </w:tc>
                  </w:tr>
                  <w:tr w:rsidTr="00DF6A40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433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CB5A5A" w:rsidP="00CD5A7A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CB5A5A">
                          <w:rPr>
                            <w:rFonts w:cs="Arial" w:hint="eastAsia"/>
                            <w:szCs w:val="18"/>
                          </w:rPr>
                          <w:t>沪深300指数</w:t>
                        </w:r>
                      </w:p>
                    </w:tc>
                    <w:tc>
                      <w:tcPr>
                        <w:tcW w:w="907" w:type="dxa"/>
                      </w:tcPr>
                      <w:p w:rsidR="00472E3C" w:rsidRPr="00CB5A5A" w:rsidP="00CD5A7A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 w:hint="eastAsia"/>
                            <w:szCs w:val="18"/>
                          </w:rPr>
                        </w:pPr>
                        <w:r w:rsidRPr="00CF572B">
                          <w:rPr>
                            <w:rFonts w:cs="Arial"/>
                            <w:szCs w:val="18"/>
                          </w:rPr>
                          <w:t>3203.97</w:t>
                        </w:r>
                      </w:p>
                    </w:tc>
                  </w:tr>
                  <w:tr w:rsidTr="00DF6A40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433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CB5A5A" w:rsidP="00CD5A7A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CB5A5A">
                          <w:rPr>
                            <w:rFonts w:cs="Arial" w:hint="eastAsia"/>
                            <w:szCs w:val="18"/>
                          </w:rPr>
                          <w:t>上证指数</w:t>
                        </w:r>
                      </w:p>
                    </w:tc>
                    <w:tc>
                      <w:tcPr>
                        <w:tcW w:w="907" w:type="dxa"/>
                      </w:tcPr>
                      <w:p w:rsidR="00472E3C" w:rsidRPr="00CB5A5A" w:rsidP="00CD5A7A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/>
                            <w:szCs w:val="18"/>
                          </w:rPr>
                        </w:pPr>
                        <w:r w:rsidRPr="00CF572B">
                          <w:rPr>
                            <w:rFonts w:cs="Arial"/>
                            <w:szCs w:val="18"/>
                          </w:rPr>
                          <w:t>2992.84</w:t>
                        </w:r>
                      </w:p>
                    </w:tc>
                  </w:tr>
                  <w:tr w:rsidTr="00DF6A40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433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CB5A5A" w:rsidP="00CD5A7A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CB5A5A">
                          <w:rPr>
                            <w:rFonts w:cs="Arial" w:hint="eastAsia"/>
                            <w:szCs w:val="18"/>
                          </w:rPr>
                          <w:t>深证成指</w:t>
                        </w:r>
                      </w:p>
                    </w:tc>
                    <w:tc>
                      <w:tcPr>
                        <w:tcW w:w="907" w:type="dxa"/>
                      </w:tcPr>
                      <w:p w:rsidR="00472E3C" w:rsidRPr="00CB5A5A" w:rsidP="00CD5A7A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 w:hint="eastAsia"/>
                            <w:szCs w:val="18"/>
                          </w:rPr>
                        </w:pPr>
                        <w:r w:rsidRPr="00CF572B">
                          <w:rPr>
                            <w:rFonts w:cs="Arial"/>
                            <w:szCs w:val="18"/>
                          </w:rPr>
                          <w:t>11948.76</w:t>
                        </w:r>
                      </w:p>
                    </w:tc>
                  </w:tr>
                  <w:tr w:rsidTr="00DF6A40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433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CB5A5A" w:rsidP="00CD5A7A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CB5A5A">
                          <w:rPr>
                            <w:rFonts w:cs="Arial" w:hint="eastAsia"/>
                            <w:szCs w:val="18"/>
                          </w:rPr>
                          <w:t>中小板指数</w:t>
                        </w:r>
                      </w:p>
                    </w:tc>
                    <w:tc>
                      <w:tcPr>
                        <w:tcW w:w="907" w:type="dxa"/>
                      </w:tcPr>
                      <w:p w:rsidR="00472E3C" w:rsidRPr="00CB5A5A" w:rsidP="00CD5A7A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 w:hint="eastAsia"/>
                            <w:szCs w:val="18"/>
                          </w:rPr>
                        </w:pPr>
                        <w:r w:rsidRPr="00CF572B">
                          <w:rPr>
                            <w:rFonts w:cs="Arial"/>
                            <w:szCs w:val="18"/>
                          </w:rPr>
                          <w:t>5748.72</w:t>
                        </w:r>
                      </w:p>
                    </w:tc>
                  </w:tr>
                </w:tbl>
                <w:p w:rsidR="00472E3C" w:rsidP="00CD5A7A">
                  <w:pPr>
                    <w:spacing w:line="220" w:lineRule="exact"/>
                    <w:rPr>
                      <w:rFonts w:cs="Arial" w:hint="eastAsia"/>
                      <w:color w:val="003765"/>
                      <w:szCs w:val="18"/>
                    </w:rPr>
                  </w:pPr>
                </w:p>
              </w:txbxContent>
            </v:textbox>
            <w10:anchorlock/>
          </v:shape>
        </w:pict>
      </w:r>
    </w:p>
    <w:p w:rsidR="00217CB3" w:rsidRPr="00065B1A" w:rsidP="00065B1A">
      <w:pPr>
        <w:pStyle w:val="BodyText"/>
        <w:spacing w:line="240" w:lineRule="auto"/>
        <w:ind w:left="3062" w:right="23" w:leftChars="1701" w:rightChars="13"/>
        <w:rPr>
          <w:rFonts w:hint="eastAsia"/>
          <w:szCs w:val="21"/>
        </w:rPr>
        <w:sectPr w:rsidSect="009C0521">
          <w:headerReference w:type="default" r:id="rId6"/>
          <w:footerReference w:type="even" r:id="rId7"/>
          <w:footerReference w:type="default" r:id="rId8"/>
          <w:footerReference w:type="first" r:id="rId9"/>
          <w:type w:val="continuous"/>
          <w:pgSz w:w="11907" w:h="16840" w:code="9"/>
          <w:pgMar w:top="1440" w:right="624" w:bottom="1440" w:left="624" w:header="851" w:footer="397" w:gutter="0"/>
          <w:cols w:space="720"/>
          <w:titlePg/>
        </w:sectPr>
      </w:pPr>
      <w:r>
        <w:rPr>
          <w:rFonts w:hint="eastAsia"/>
          <w:b/>
          <w:bCs/>
          <w:noProof/>
          <w:sz w:val="24"/>
          <w:lang w:val="en-US"/>
        </w:rPr>
        <w:pict>
          <v:shape id="GongSiShiChangShuJu" o:spid="_x0000_s1037" type="#_x0000_t202" style="width:177.15pt;height:131.45pt;margin-top:180.75pt;margin-left:-19.05pt;mso-position-vertical-relative:page;position:absolute;visibility:hidden;z-index:251661312" filled="f" stroked="f">
            <v:textbox inset="4.25pt,,4.25pt">
              <w:txbxContent>
                <w:p w:rsidR="00472E3C" w:rsidRPr="00D7479F" w:rsidP="00DC6285">
                  <w:pPr>
                    <w:spacing w:line="220" w:lineRule="exact"/>
                    <w:rPr>
                      <w:rFonts w:cs="Arial" w:hint="eastAsia"/>
                      <w:b/>
                      <w:bCs/>
                      <w:sz w:val="21"/>
                      <w:szCs w:val="18"/>
                    </w:rPr>
                  </w:pPr>
                  <w:r w:rsidRPr="00D7479F">
                    <w:rPr>
                      <w:rFonts w:cs="Arial" w:hint="eastAsia"/>
                      <w:b/>
                      <w:bCs/>
                      <w:sz w:val="21"/>
                      <w:szCs w:val="18"/>
                    </w:rPr>
                    <w:t>市场数据</w:t>
                  </w:r>
                  <w:r w:rsidRPr="00D7479F">
                    <w:rPr>
                      <w:rFonts w:ascii="楷体_GB2312" w:cs="Arial" w:hint="eastAsia"/>
                      <w:b/>
                      <w:bCs/>
                      <w:sz w:val="21"/>
                      <w:szCs w:val="18"/>
                    </w:rPr>
                    <w:t>(人民币)</w:t>
                  </w:r>
                </w:p>
                <w:p w:rsidR="00472E3C" w:rsidRPr="00D7479F" w:rsidP="00DC6285">
                  <w:pPr>
                    <w:spacing w:line="60" w:lineRule="exact"/>
                    <w:rPr>
                      <w:rFonts w:cs="Arial" w:hint="eastAsia"/>
                      <w:szCs w:val="18"/>
                    </w:rPr>
                  </w:pPr>
                </w:p>
                <w:tbl>
                  <w:tblPr>
                    <w:tblStyle w:val="TableNormal"/>
                    <w:tblW w:w="3340" w:type="dxa"/>
                    <w:tblInd w:w="-6" w:type="dxa"/>
                    <w:tblLayout w:type="fixed"/>
                    <w:tblLook w:val="0000"/>
                  </w:tblPr>
                  <w:tblGrid>
                    <w:gridCol w:w="2042"/>
                    <w:gridCol w:w="1298"/>
                  </w:tblGrid>
                  <w:tr w:rsidTr="00933863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041" w:type="dxa"/>
                        <w:tcMar>
                          <w:left w:w="17" w:type="dxa"/>
                          <w:right w:w="17" w:type="dxa"/>
                        </w:tcMar>
                      </w:tcPr>
                      <w:p w:rsidR="00472E3C" w:rsidRPr="00933863" w:rsidP="00A6332F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933863">
                          <w:rPr>
                            <w:rFonts w:cs="Arial" w:hint="eastAsia"/>
                            <w:szCs w:val="18"/>
                          </w:rPr>
                          <w:t>市价(元)</w:t>
                        </w:r>
                      </w:p>
                    </w:tc>
                    <w:tc>
                      <w:tcPr>
                        <w:tcW w:w="1298" w:type="dxa"/>
                      </w:tcPr>
                      <w:p w:rsidR="00472E3C" w:rsidRPr="00933863" w:rsidP="00DC6285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 w:hint="eastAsia"/>
                            <w:szCs w:val="18"/>
                          </w:rPr>
                        </w:pPr>
                        <w:r w:rsidRPr="00933863">
                          <w:rPr>
                            <w:rFonts w:cs="Arial" w:hint="eastAsia"/>
                            <w:szCs w:val="18"/>
                          </w:rPr>
                          <w:t>10.81</w:t>
                        </w:r>
                      </w:p>
                    </w:tc>
                  </w:tr>
                  <w:tr w:rsidTr="00933863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041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933863" w:rsidP="0028733D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933863">
                          <w:rPr>
                            <w:rFonts w:cs="Arial" w:hint="eastAsia"/>
                            <w:szCs w:val="18"/>
                          </w:rPr>
                          <w:t>已上市流通A股(百万股)</w:t>
                        </w:r>
                      </w:p>
                    </w:tc>
                    <w:tc>
                      <w:tcPr>
                        <w:tcW w:w="1298" w:type="dxa"/>
                        <w:shd w:val="clear" w:color="auto" w:fill="auto"/>
                      </w:tcPr>
                      <w:p w:rsidR="00472E3C" w:rsidRPr="00933863" w:rsidP="0028733D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/>
                            <w:szCs w:val="18"/>
                          </w:rPr>
                        </w:pPr>
                        <w:r w:rsidRPr="00933863">
                          <w:rPr>
                            <w:rFonts w:cs="Arial"/>
                            <w:szCs w:val="18"/>
                          </w:rPr>
                          <w:t>8,499.03</w:t>
                        </w:r>
                      </w:p>
                    </w:tc>
                  </w:tr>
                  <w:tr w:rsidTr="00933863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041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933863" w:rsidP="00A6332F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933863">
                          <w:rPr>
                            <w:rFonts w:cs="Arial" w:hint="eastAsia"/>
                            <w:szCs w:val="18"/>
                          </w:rPr>
                          <w:t>流通港股(百万股)</w:t>
                        </w:r>
                      </w:p>
                    </w:tc>
                    <w:tc>
                      <w:tcPr>
                        <w:tcW w:w="1298" w:type="dxa"/>
                        <w:shd w:val="clear" w:color="auto" w:fill="auto"/>
                        <w:vAlign w:val="center"/>
                      </w:tcPr>
                      <w:p w:rsidR="00472E3C" w:rsidRPr="00933863" w:rsidP="00DC6285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/>
                            <w:szCs w:val="18"/>
                          </w:rPr>
                        </w:pPr>
                        <w:r w:rsidRPr="00933863">
                          <w:rPr>
                            <w:rFonts w:cs="Arial" w:hint="eastAsia"/>
                            <w:szCs w:val="18"/>
                          </w:rPr>
                          <w:t>224,689.10</w:t>
                        </w:r>
                      </w:p>
                    </w:tc>
                  </w:tr>
                  <w:tr w:rsidTr="00933863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041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933863" w:rsidP="0028733D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933863">
                          <w:rPr>
                            <w:rFonts w:cs="Arial" w:hint="eastAsia"/>
                            <w:szCs w:val="18"/>
                          </w:rPr>
                          <w:t>总市值(百万元)</w:t>
                        </w:r>
                      </w:p>
                    </w:tc>
                    <w:tc>
                      <w:tcPr>
                        <w:tcW w:w="1298" w:type="dxa"/>
                        <w:vAlign w:val="center"/>
                      </w:tcPr>
                      <w:p w:rsidR="00472E3C" w:rsidRPr="00933863" w:rsidP="0028733D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 w:hint="eastAsia"/>
                            <w:szCs w:val="18"/>
                          </w:rPr>
                        </w:pPr>
                        <w:r w:rsidRPr="00933863">
                          <w:rPr>
                            <w:rFonts w:cs="Arial"/>
                            <w:szCs w:val="18"/>
                          </w:rPr>
                          <w:t>1,319,611.12</w:t>
                        </w:r>
                      </w:p>
                    </w:tc>
                  </w:tr>
                  <w:tr w:rsidTr="00933863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041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933863" w:rsidP="0028733D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933863">
                          <w:rPr>
                            <w:rFonts w:cs="Arial" w:hint="eastAsia"/>
                            <w:szCs w:val="18"/>
                          </w:rPr>
                          <w:t>年内股价最高最低(元)</w:t>
                        </w:r>
                      </w:p>
                    </w:tc>
                    <w:tc>
                      <w:tcPr>
                        <w:tcW w:w="1298" w:type="dxa"/>
                        <w:vAlign w:val="center"/>
                      </w:tcPr>
                      <w:p w:rsidR="00472E3C" w:rsidRPr="00933863" w:rsidP="0028733D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/>
                            <w:szCs w:val="18"/>
                          </w:rPr>
                        </w:pPr>
                        <w:r w:rsidRPr="00933863">
                          <w:rPr>
                            <w:rFonts w:cs="Arial"/>
                            <w:szCs w:val="18"/>
                          </w:rPr>
                          <w:t>28.49/8.82</w:t>
                        </w:r>
                      </w:p>
                    </w:tc>
                  </w:tr>
                  <w:tr w:rsidTr="00933863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041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933863" w:rsidP="0028733D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933863">
                          <w:rPr>
                            <w:rFonts w:cs="Arial" w:hint="eastAsia"/>
                            <w:szCs w:val="18"/>
                          </w:rPr>
                          <w:t>沪深300指数</w:t>
                        </w:r>
                      </w:p>
                    </w:tc>
                    <w:tc>
                      <w:tcPr>
                        <w:tcW w:w="1298" w:type="dxa"/>
                      </w:tcPr>
                      <w:p w:rsidR="00472E3C" w:rsidRPr="00933863" w:rsidP="0028733D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 w:hint="eastAsia"/>
                            <w:szCs w:val="18"/>
                          </w:rPr>
                        </w:pPr>
                        <w:r w:rsidRPr="00933863">
                          <w:rPr>
                            <w:rFonts w:cs="Arial"/>
                            <w:szCs w:val="18"/>
                          </w:rPr>
                          <w:t>4441.18</w:t>
                        </w:r>
                      </w:p>
                    </w:tc>
                  </w:tr>
                  <w:tr w:rsidTr="00933863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041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933863" w:rsidP="0028733D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933863">
                          <w:rPr>
                            <w:rFonts w:cs="Arial" w:hint="eastAsia"/>
                            <w:szCs w:val="18"/>
                          </w:rPr>
                          <w:t>上证指数</w:t>
                        </w:r>
                      </w:p>
                    </w:tc>
                    <w:tc>
                      <w:tcPr>
                        <w:tcW w:w="1298" w:type="dxa"/>
                      </w:tcPr>
                      <w:p w:rsidR="00472E3C" w:rsidRPr="00933863" w:rsidP="0028733D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/>
                            <w:szCs w:val="18"/>
                          </w:rPr>
                        </w:pPr>
                        <w:r w:rsidRPr="00933863">
                          <w:rPr>
                            <w:rFonts w:cs="Arial"/>
                            <w:szCs w:val="18"/>
                          </w:rPr>
                          <w:t>4165.88</w:t>
                        </w:r>
                      </w:p>
                    </w:tc>
                  </w:tr>
                  <w:tr w:rsidTr="00933863">
                    <w:tblPrEx>
                      <w:tblW w:w="3340" w:type="dxa"/>
                      <w:tblInd w:w="-6" w:type="dxa"/>
                      <w:tblLayout w:type="fixed"/>
                      <w:tblLook w:val="0000"/>
                    </w:tblPrEx>
                    <w:trPr>
                      <w:trHeight w:val="255"/>
                    </w:trPr>
                    <w:tc>
                      <w:tcPr>
                        <w:tcW w:w="2041" w:type="dxa"/>
                        <w:tcMar>
                          <w:left w:w="23" w:type="dxa"/>
                          <w:right w:w="23" w:type="dxa"/>
                        </w:tcMar>
                      </w:tcPr>
                      <w:p w:rsidR="00472E3C" w:rsidRPr="00933863" w:rsidP="0028733D">
                        <w:pPr>
                          <w:spacing w:line="220" w:lineRule="exact"/>
                          <w:rPr>
                            <w:rFonts w:cs="Arial" w:hint="eastAsia"/>
                            <w:szCs w:val="18"/>
                          </w:rPr>
                        </w:pPr>
                        <w:r w:rsidRPr="00933863">
                          <w:rPr>
                            <w:rFonts w:cs="Arial" w:hint="eastAsia"/>
                            <w:szCs w:val="18"/>
                          </w:rPr>
                          <w:t>2005年股息率</w:t>
                        </w:r>
                      </w:p>
                    </w:tc>
                    <w:tc>
                      <w:tcPr>
                        <w:tcW w:w="1298" w:type="dxa"/>
                      </w:tcPr>
                      <w:p w:rsidR="00472E3C" w:rsidRPr="00933863" w:rsidP="0028733D">
                        <w:pPr>
                          <w:spacing w:line="220" w:lineRule="exact"/>
                          <w:ind w:left="-90" w:right="-90" w:leftChars="-50" w:rightChars="-50"/>
                          <w:jc w:val="right"/>
                          <w:rPr>
                            <w:rFonts w:cs="Arial" w:hint="eastAsia"/>
                            <w:szCs w:val="18"/>
                          </w:rPr>
                        </w:pPr>
                        <w:r w:rsidRPr="00933863">
                          <w:rPr>
                            <w:rFonts w:cs="Arial" w:hint="eastAsia"/>
                            <w:szCs w:val="18"/>
                          </w:rPr>
                          <w:t>0.00%</w:t>
                        </w:r>
                      </w:p>
                    </w:tc>
                  </w:tr>
                </w:tbl>
                <w:p w:rsidR="00472E3C" w:rsidP="00DC6285">
                  <w:pPr>
                    <w:spacing w:line="220" w:lineRule="exact"/>
                    <w:rPr>
                      <w:rFonts w:cs="Arial" w:hint="eastAsia"/>
                      <w:color w:val="003765"/>
                      <w:szCs w:val="18"/>
                    </w:rPr>
                  </w:pPr>
                </w:p>
              </w:txbxContent>
            </v:textbox>
          </v:shape>
        </w:pict>
      </w:r>
      <w:r>
        <w:rPr>
          <w:rFonts w:hint="eastAsia"/>
          <w:b/>
          <w:bCs/>
          <w:noProof/>
          <w:color w:val="auto"/>
          <w:sz w:val="24"/>
          <w:lang w:val="en-US"/>
        </w:rPr>
        <w:pict>
          <v:shape id="ZhaiYao" o:spid="_x0000_s1038" type="#_x0000_t202" style="width:383.55pt;height:598.85pt;margin-top:6.4pt;margin-left:157.65pt;mso-height-relative:margin;mso-width-relative:margin;position:absolute;visibility:visible;z-index:251665408" filled="f" stroked="f" strokecolor="#fffbf0">
            <v:textbox>
              <w:txbxContent>
                <w:p w:rsidR="00472E3C" w:rsidRPr="00346E26" w:rsidP="00960FC4">
                  <w:pPr>
                    <w:pStyle w:val="BodyText"/>
                    <w:spacing w:line="240" w:lineRule="auto"/>
                    <w:ind w:left="0" w:right="22" w:rightChars="12"/>
                    <w:jc w:val="left"/>
                    <w:rPr>
                      <w:b/>
                      <w:bCs/>
                      <w:color w:val="auto"/>
                      <w:sz w:val="24"/>
                    </w:rPr>
                  </w:pPr>
                  <w:r w:rsidRPr="00346E26">
                    <w:rPr>
                      <w:b/>
                      <w:bCs/>
                      <w:color w:val="auto"/>
                      <w:sz w:val="24"/>
                    </w:rPr>
                    <w:t>基本结论</w:t>
                  </w:r>
                </w:p>
                <w:p w:rsidR="00472E3C" w:rsidRPr="00654D29" w:rsidP="00654D29">
                  <w:pPr>
                    <w:pStyle w:val="BodyText"/>
                    <w:numPr>
                      <w:ilvl w:val="0"/>
                      <w:numId w:val="31"/>
                    </w:numPr>
                    <w:spacing w:line="240" w:lineRule="auto"/>
                    <w:ind w:right="22" w:rightChars="12"/>
                    <w:rPr>
                      <w:rFonts w:hint="eastAsia"/>
                      <w:color w:val="auto"/>
                      <w:lang w:eastAsia="zh-CN"/>
                    </w:rPr>
                  </w:pPr>
                  <w:r>
                    <w:rPr>
                      <w:rFonts w:hint="eastAsia"/>
                      <w:color w:val="auto"/>
                      <w:lang w:eastAsia="zh-CN"/>
                    </w:rPr>
                    <w:t>股票市场，宏观经济数据超预期，改革红利利好相关板块，央行维持资金面紧平衡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。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主板震荡收跌，中小板和创业板在预期的支撑下不断冲高。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从具体指数看，沪深300、中小板指和创业扳指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全年涨跌幅分别为-7.65%、17.54%和82.73%。债券市场监管加强，银监会出台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“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8号文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”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控制银行非标业务的快速增长，央行六月收紧流动性引发钱荒，证监会启动债券代持核查，美国退出量化宽松政策的预期增强，债券市场持续调整。从具体指数看，中信标普全债指数上涨1.78%，国债、企业债和可转债指数</w:t>
                  </w:r>
                  <w:r w:rsidR="001F1ABD">
                    <w:rPr>
                      <w:rFonts w:hint="eastAsia"/>
                      <w:color w:val="auto"/>
                      <w:lang w:eastAsia="zh-CN"/>
                    </w:rPr>
                    <w:t>涨跌幅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分别为0.99%、3.98%和-0.86%。</w:t>
                  </w:r>
                </w:p>
                <w:p w:rsidR="00472E3C" w:rsidRPr="001B225E" w:rsidP="007C6A62">
                  <w:pPr>
                    <w:pStyle w:val="BodyText"/>
                    <w:numPr>
                      <w:ilvl w:val="0"/>
                      <w:numId w:val="31"/>
                    </w:numPr>
                    <w:spacing w:line="240" w:lineRule="auto"/>
                    <w:ind w:right="22" w:rightChars="12"/>
                    <w:rPr>
                      <w:rFonts w:hint="eastAsia"/>
                    </w:rPr>
                  </w:pPr>
                  <w:r w:rsidRPr="00F226CF">
                    <w:rPr>
                      <w:rFonts w:hint="eastAsia"/>
                      <w:color w:val="auto"/>
                      <w:lang w:eastAsia="zh-CN"/>
                    </w:rPr>
                    <w:t>纳入国金统计的177个账户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2013年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平均收益率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3.99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%。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44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个（占比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25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%）账户下跌，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债券型、灵活配置型、混合偏债型、股票-指数型、股票型和混合偏股型分别有13个、8个、7个、6个、5个、5个；跌幅最高达16.22%，为股票-指数型。取得正收益的账户中，13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个（占比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7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%）账户收益率超过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1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5%，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超过半数为股票型，涨幅最高的单个账户为股票型，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收益率为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27.75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%。从不同投资类型看</w:t>
                  </w:r>
                  <w:r w:rsidRPr="00F226CF">
                    <w:rPr>
                      <w:rFonts w:hint="eastAsia"/>
                      <w:color w:val="auto"/>
                      <w:szCs w:val="18"/>
                      <w:lang w:eastAsia="zh-CN"/>
                    </w:rPr>
                    <w:t>，</w:t>
                  </w:r>
                  <w:r w:rsidRPr="00F226CF">
                    <w:rPr>
                      <w:rFonts w:hint="eastAsia"/>
                      <w:szCs w:val="18"/>
                      <w:lang w:eastAsia="zh-CN"/>
                    </w:rPr>
                    <w:t>以投资权益类资产为主的偏股类</w:t>
                  </w:r>
                  <w:r>
                    <w:rPr>
                      <w:rFonts w:hint="eastAsia"/>
                      <w:szCs w:val="18"/>
                      <w:lang w:eastAsia="zh-CN"/>
                    </w:rPr>
                    <w:t>-除指数型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平均收益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6.39%，落后公募</w:t>
                  </w:r>
                  <w:r w:rsidR="001F1ABD">
                    <w:rPr>
                      <w:rFonts w:hint="eastAsia"/>
                      <w:color w:val="auto"/>
                      <w:lang w:eastAsia="zh-CN"/>
                    </w:rPr>
                    <w:t>9个百分点。偏股类账户虽然相对收益较低，这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主要是受限于股票投资范围</w:t>
                  </w:r>
                  <w:r w:rsidR="001F1ABD">
                    <w:rPr>
                      <w:rFonts w:hint="eastAsia"/>
                      <w:color w:val="auto"/>
                      <w:lang w:eastAsia="zh-CN"/>
                    </w:rPr>
                    <w:t>，但是绝对收益较高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；以配置固定收益类为主的偏债类平均收益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2.37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%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，跑赢公募</w:t>
                  </w:r>
                  <w:r w:rsidR="001F1ABD">
                    <w:rPr>
                      <w:rFonts w:hint="eastAsia"/>
                      <w:color w:val="auto"/>
                      <w:lang w:eastAsia="zh-CN"/>
                    </w:rPr>
                    <w:t>近1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个百分点</w:t>
                  </w:r>
                  <w:r w:rsidRPr="00F226CF">
                    <w:rPr>
                      <w:rFonts w:hint="eastAsia"/>
                      <w:color w:val="auto"/>
                      <w:lang w:eastAsia="zh-CN"/>
                    </w:rPr>
                    <w:t>。</w:t>
                  </w:r>
                  <w:r w:rsidR="00883961">
                    <w:rPr>
                      <w:rFonts w:hint="eastAsia"/>
                      <w:color w:val="auto"/>
                      <w:lang w:eastAsia="zh-CN"/>
                    </w:rPr>
                    <w:t>偏债类账户的相对收益显著，但是绝对收益未达预期。</w:t>
                  </w:r>
                </w:p>
                <w:p w:rsidR="00472E3C" w:rsidRPr="00737C31" w:rsidP="00590D75">
                  <w:pPr>
                    <w:pStyle w:val="BodyText"/>
                    <w:numPr>
                      <w:ilvl w:val="0"/>
                      <w:numId w:val="32"/>
                    </w:numPr>
                    <w:spacing w:line="240" w:lineRule="auto"/>
                    <w:ind w:left="709" w:right="22" w:hanging="289" w:rightChars="12"/>
                    <w:rPr>
                      <w:rFonts w:ascii="楷体_GB2312" w:hint="eastAsia"/>
                      <w:color w:val="auto"/>
                      <w:lang w:eastAsia="zh-CN"/>
                    </w:rPr>
                  </w:pPr>
                  <w:r w:rsidRPr="009C50F8">
                    <w:rPr>
                      <w:rFonts w:hint="eastAsia"/>
                      <w:color w:val="auto"/>
                      <w:lang w:eastAsia="zh-CN"/>
                    </w:rPr>
                    <w:t>偏股类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账户2013年平均收益率为5.46%，</w:t>
                  </w:r>
                  <w:r w:rsidRPr="009C50F8">
                    <w:rPr>
                      <w:rFonts w:hint="eastAsia"/>
                      <w:color w:val="auto"/>
                      <w:lang w:eastAsia="zh-CN"/>
                    </w:rPr>
                    <w:t>各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类</w:t>
                  </w:r>
                  <w:r w:rsidRPr="009C50F8">
                    <w:rPr>
                      <w:rFonts w:hint="eastAsia"/>
                      <w:color w:val="auto"/>
                      <w:lang w:eastAsia="zh-CN"/>
                    </w:rPr>
                    <w:t>账户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的收益率差别较大。股票型、股票-指数型、混合偏股型、灵活配置型的平均收益分别为8.97%、-8.03%、5.45%和0.99%。结构性行情中，基金经理主动管理的优势突出。</w:t>
                  </w:r>
                </w:p>
                <w:p w:rsidR="00472E3C" w:rsidRPr="00FD3681" w:rsidP="00C56B58">
                  <w:pPr>
                    <w:pStyle w:val="BodyText"/>
                    <w:numPr>
                      <w:ilvl w:val="0"/>
                      <w:numId w:val="32"/>
                    </w:numPr>
                    <w:spacing w:line="240" w:lineRule="auto"/>
                    <w:ind w:left="709" w:right="22" w:hanging="289" w:rightChars="12"/>
                    <w:rPr>
                      <w:rFonts w:hint="eastAsia"/>
                      <w:color w:val="auto"/>
                      <w:lang w:eastAsia="zh-CN"/>
                    </w:rPr>
                  </w:pPr>
                  <w:r>
                    <w:rPr>
                      <w:rFonts w:hint="eastAsia"/>
                      <w:color w:val="auto"/>
                      <w:lang w:eastAsia="zh-CN"/>
                    </w:rPr>
                    <w:t>偏债类投连险</w:t>
                  </w:r>
                  <w:r>
                    <w:rPr>
                      <w:rFonts w:hint="eastAsia"/>
                      <w:lang w:eastAsia="zh-CN"/>
                    </w:rPr>
                    <w:t>2013年平均收益为2.37%。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其中，</w:t>
                  </w:r>
                  <w:r w:rsidRPr="00F956E5">
                    <w:rPr>
                      <w:rFonts w:hint="eastAsia"/>
                      <w:bCs/>
                      <w:color w:val="auto"/>
                      <w:lang w:eastAsia="zh-CN"/>
                    </w:rPr>
                    <w:t>混合偏债型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、债券型和货币型账户的平均收益分别为</w:t>
                  </w:r>
                  <w:r>
                    <w:rPr>
                      <w:rFonts w:hint="eastAsia"/>
                      <w:bCs/>
                      <w:color w:val="auto"/>
                      <w:lang w:eastAsia="zh-CN"/>
                    </w:rPr>
                    <w:t>3.57%、1.10%和3.47%</w:t>
                  </w:r>
                  <w:r w:rsidRPr="007C549D">
                    <w:rPr>
                      <w:rFonts w:hint="eastAsia"/>
                      <w:bCs/>
                      <w:color w:val="auto"/>
                      <w:lang w:eastAsia="zh-CN"/>
                    </w:rPr>
                    <w:t>，</w:t>
                  </w:r>
                  <w:r>
                    <w:rPr>
                      <w:rFonts w:hint="eastAsia"/>
                      <w:bCs/>
                      <w:color w:val="auto"/>
                      <w:lang w:eastAsia="zh-CN"/>
                    </w:rPr>
                    <w:t>混合偏债型和货币型仅以微弱优势跑赢银行存款</w:t>
                  </w:r>
                  <w:r w:rsidRPr="007C549D">
                    <w:rPr>
                      <w:rFonts w:hint="eastAsia"/>
                      <w:bCs/>
                      <w:color w:val="auto"/>
                      <w:lang w:eastAsia="zh-CN"/>
                    </w:rPr>
                    <w:t>。</w:t>
                  </w:r>
                </w:p>
                <w:p w:rsidR="00065B1A" w:rsidP="00603F23">
                  <w:pPr>
                    <w:pStyle w:val="BodyText"/>
                    <w:numPr>
                      <w:ilvl w:val="0"/>
                      <w:numId w:val="31"/>
                    </w:numPr>
                    <w:spacing w:line="240" w:lineRule="auto"/>
                    <w:ind w:right="22" w:rightChars="12"/>
                    <w:rPr>
                      <w:rFonts w:hint="eastAsia"/>
                      <w:color w:val="auto"/>
                      <w:lang w:eastAsia="zh-CN"/>
                    </w:rPr>
                  </w:pPr>
                  <w:r>
                    <w:rPr>
                      <w:rFonts w:hint="eastAsia"/>
                      <w:color w:val="auto"/>
                      <w:lang w:eastAsia="zh-CN"/>
                    </w:rPr>
                    <w:t>对于保险公司的管理能力，国金分别针对偏股类和偏债类</w:t>
                  </w:r>
                  <w:r w:rsidR="00FB5D38">
                    <w:rPr>
                      <w:rFonts w:hint="eastAsia"/>
                      <w:color w:val="auto"/>
                      <w:lang w:eastAsia="zh-CN"/>
                    </w:rPr>
                    <w:t>账户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进行统计。</w:t>
                  </w:r>
                  <w:r w:rsidRPr="00BF49BB">
                    <w:rPr>
                      <w:rFonts w:hint="eastAsia"/>
                      <w:color w:val="auto"/>
                      <w:lang w:eastAsia="zh-CN"/>
                    </w:rPr>
                    <w:t>对于偏股类账户，太平人寿、中荷人寿、招商信诺人寿、长生人寿和平安养老近一年的管理水平位居前五，平均收益率分别为17.36%、16.10%、13.18%、11.07%和10.30%。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这五家保险公司中，除中荷人寿近三年业绩排名第11位外，其余4家公司近两年和近三年的业绩排名均在同类前十。</w:t>
                  </w:r>
                  <w:r w:rsidRPr="00BF49BB">
                    <w:rPr>
                      <w:rFonts w:hint="eastAsia"/>
                      <w:color w:val="auto"/>
                      <w:lang w:eastAsia="zh-CN"/>
                    </w:rPr>
                    <w:t>对于偏债类账户，中国人寿、长生人寿、中荷人寿、阳光人寿和国泰人寿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近一年</w:t>
                  </w:r>
                  <w:r w:rsidRPr="00BF49BB">
                    <w:rPr>
                      <w:rFonts w:hint="eastAsia"/>
                      <w:color w:val="auto"/>
                      <w:lang w:eastAsia="zh-CN"/>
                    </w:rPr>
                    <w:t>的管理水平位居前五，平均收益率分别为11.99%、6.12%、5.24%、4.98%和4.28%。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这五家保险公司近两年的业绩排名均在同类前十，但是近三年的业绩排名均在同类后十。</w:t>
                  </w:r>
                </w:p>
                <w:p w:rsidR="00472E3C" w:rsidRPr="00603F23" w:rsidP="00603F23">
                  <w:pPr>
                    <w:pStyle w:val="BodyText"/>
                    <w:numPr>
                      <w:ilvl w:val="0"/>
                      <w:numId w:val="31"/>
                    </w:numPr>
                    <w:spacing w:line="240" w:lineRule="auto"/>
                    <w:ind w:right="22" w:rightChars="12"/>
                    <w:rPr>
                      <w:color w:val="auto"/>
                      <w:lang w:eastAsia="zh-CN"/>
                    </w:rPr>
                  </w:pPr>
                  <w:r w:rsidR="001F1ABD">
                    <w:rPr>
                      <w:rFonts w:hint="eastAsia"/>
                      <w:color w:val="auto"/>
                      <w:lang w:eastAsia="zh-CN"/>
                    </w:rPr>
                    <w:t>近一年、两年、三年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，除股票-指数型账户的风险与沪深300</w:t>
                  </w:r>
                  <w:r w:rsidR="001F1ABD">
                    <w:rPr>
                      <w:rFonts w:hint="eastAsia"/>
                      <w:color w:val="auto"/>
                      <w:lang w:eastAsia="zh-CN"/>
                    </w:rPr>
                    <w:t>相差较小外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，其它各类账户的</w:t>
                  </w:r>
                  <w:r w:rsidRPr="00144F1F">
                    <w:rPr>
                      <w:rFonts w:hint="eastAsia"/>
                      <w:color w:val="auto"/>
                      <w:lang w:eastAsia="zh-CN"/>
                    </w:rPr>
                    <w:t>风险指标</w:t>
                  </w:r>
                  <w:r w:rsidR="001F1ABD">
                    <w:rPr>
                      <w:rFonts w:hint="eastAsia"/>
                      <w:color w:val="auto"/>
                      <w:lang w:eastAsia="zh-CN"/>
                    </w:rPr>
                    <w:t>均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显著</w:t>
                  </w:r>
                  <w:r w:rsidRPr="00144F1F">
                    <w:rPr>
                      <w:rFonts w:hint="eastAsia"/>
                      <w:color w:val="auto"/>
                      <w:lang w:eastAsia="zh-CN"/>
                    </w:rPr>
                    <w:t>好于沪深300，表现出较</w:t>
                  </w:r>
                  <w:r w:rsidR="001F1ABD">
                    <w:rPr>
                      <w:rFonts w:hint="eastAsia"/>
                      <w:color w:val="auto"/>
                      <w:lang w:eastAsia="zh-CN"/>
                    </w:rPr>
                    <w:t>强的</w:t>
                  </w:r>
                  <w:r w:rsidRPr="00144F1F">
                    <w:rPr>
                      <w:rFonts w:hint="eastAsia"/>
                      <w:color w:val="auto"/>
                      <w:lang w:eastAsia="zh-CN"/>
                    </w:rPr>
                    <w:t>回撤控制能力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。综合收益和风险，近一年，股票型和混合偏股型账户的夏普比率为正；近两年，股票型、混合偏股型和混合偏债型账户的夏普比率为正；近三年，大盘</w:t>
                  </w:r>
                  <w:r w:rsidR="001F1ABD">
                    <w:rPr>
                      <w:rFonts w:hint="eastAsia"/>
                      <w:color w:val="auto"/>
                      <w:lang w:eastAsia="zh-CN"/>
                    </w:rPr>
                    <w:t>和债市调整</w:t>
                  </w:r>
                  <w:r>
                    <w:rPr>
                      <w:rFonts w:hint="eastAsia"/>
                      <w:color w:val="auto"/>
                      <w:lang w:eastAsia="zh-CN"/>
                    </w:rPr>
                    <w:t>幅度较大，各类型账户的夏普比率均为负。</w:t>
                  </w:r>
                </w:p>
              </w:txbxContent>
            </v:textbox>
          </v:shape>
        </w:pict>
      </w:r>
      <w:r>
        <w:rPr>
          <w:rFonts w:hint="eastAsia"/>
          <w:b/>
          <w:bCs/>
          <w:noProof/>
          <w:color w:val="auto"/>
          <w:sz w:val="24"/>
          <w:lang w:val="en-US"/>
        </w:rPr>
        <w:pict>
          <v:shape id="HangYeTuXing" o:spid="_x0000_s1039" type="#_x0000_t75" style="width:176.05pt;height:160.5pt;margin-top:298.15pt;margin-left:-19.05pt;mso-position-vertical-relative:page;position:absolute;visibility:hidden;z-index:251671552" o:preferrelative="f" filled="f" stroked="f">
            <v:fill o:detectmouseclick="f"/>
            <v:imagedata r:id="rId10" o:title=""/>
            <w10:anchorlock/>
          </v:shape>
          <o:OLEObject Type="Embed" ProgID="MSGraph.Chart.8" ShapeID="HangYeTuXing" DrawAspect="Content" ObjectID="_1330341669" r:id="rId11"/>
        </w:pict>
      </w:r>
      <w:r>
        <w:rPr>
          <w:rFonts w:hint="eastAsia"/>
          <w:b/>
          <w:bCs/>
          <w:noProof/>
          <w:color w:val="auto"/>
          <w:sz w:val="24"/>
          <w:lang w:val="en-US"/>
        </w:rPr>
        <w:pict>
          <v:shape id="GongSiTuXing" o:spid="_x0000_s1040" type="#_x0000_t75" style="width:176.05pt;height:159.75pt;margin-top:306.65pt;margin-left:-19.8pt;mso-position-vertical-relative:page;position:absolute;visibility:hidden;z-index:251669504" filled="f" stroked="f">
            <v:fill o:detectmouseclick="f"/>
            <v:imagedata r:id="rId12" o:title=""/>
            <w10:anchorlock/>
          </v:shape>
          <o:OLEObject Type="Embed" ProgID="MSGraph.Chart.8" ShapeID="GongSiTuXing" DrawAspect="Content" ObjectID="_1330240021" r:id="rId13"/>
        </w:pict>
      </w:r>
      <w:r>
        <w:rPr>
          <w:rFonts w:hint="eastAsia"/>
          <w:b/>
          <w:bCs/>
          <w:noProof/>
          <w:color w:val="auto"/>
          <w:sz w:val="24"/>
          <w:lang w:val="en-US"/>
        </w:rPr>
        <w:pict>
          <v:rect id="Researcher" o:spid="_x0000_s1041" style="width:144.6pt;height:98.65pt;margin-top:436.15pt;margin-left:-20.55pt;position:absolute;visibility:visible;z-index:251668480" filled="f" fillcolor="blue" stroked="f" strokecolor="blue" insetpen="f">
            <o:lock v:ext="edit" aspectratio="t"/>
            <v:textbox style="mso-fit-shape-to-text:t">
              <w:txbxContent>
                <w:p w:rsidR="00065559" w:rsidP="00065559">
                  <w:pPr>
                    <w:rPr>
                      <w:rFonts w:cs="Arial"/>
                      <w:b/>
                      <w:sz w:val="21"/>
                    </w:rPr>
                  </w:pPr>
                </w:p>
                <w:p w:rsidR="00065559" w:rsidP="00065559">
                  <w:pPr>
                    <w:rPr>
                      <w:rFonts w:cs="Arial"/>
                      <w:b/>
                      <w:sz w:val="21"/>
                    </w:rPr>
                  </w:pPr>
                </w:p>
                <w:p w:rsidR="00065559" w:rsidP="00065559">
                  <w:pPr>
                    <w:rPr>
                      <w:rFonts w:cs="Arial"/>
                      <w:b/>
                      <w:sz w:val="21"/>
                    </w:rPr>
                  </w:pPr>
                </w:p>
                <w:p w:rsidR="00065559" w:rsidP="00065559">
                  <w:pPr>
                    <w:rPr>
                      <w:rFonts w:cs="Arial"/>
                      <w:b/>
                      <w:sz w:val="21"/>
                    </w:rPr>
                  </w:pPr>
                </w:p>
                <w:p w:rsidR="00065559" w:rsidP="00862963">
                  <w:pPr>
                    <w:rPr>
                      <w:rFonts w:cs="Arial"/>
                      <w:b/>
                      <w:sz w:val="13"/>
                    </w:rPr>
                  </w:pPr>
                  <w:r w:rsidRPr="00065559">
                    <w:rPr>
                      <w:rFonts w:cs="Arial" w:hint="eastAsia"/>
                      <w:b/>
                      <w:sz w:val="21"/>
                    </w:rPr>
                    <w:t>姚晋琼</w:t>
                  </w:r>
                  <w:r w:rsidRPr="00065559">
                    <w:rPr>
                      <w:rFonts w:cs="Arial" w:hint="eastAsia"/>
                      <w:b/>
                      <w:sz w:val="13"/>
                    </w:rPr>
                    <w:t>　</w:t>
                  </w:r>
                </w:p>
                <w:p w:rsidR="00065559" w:rsidP="00065559">
                  <w:pPr>
                    <w:rPr>
                      <w:rFonts w:ascii="楷体_GB2312" w:cs="Arial"/>
                      <w:b/>
                      <w:sz w:val="21"/>
                    </w:rPr>
                  </w:pPr>
                  <w:r w:rsidRPr="00065559">
                    <w:rPr>
                      <w:rFonts w:ascii="楷体_GB2312" w:cs="Arial"/>
                      <w:b/>
                      <w:sz w:val="21"/>
                    </w:rPr>
                    <w:t xml:space="preserve"> </w:t>
                  </w:r>
                </w:p>
                <w:p w:rsidR="00472E3C" w:rsidRPr="00065559" w:rsidP="00862963">
                  <w:pPr>
                    <w:rPr>
                      <w:rFonts w:cs="Arial"/>
                      <w:b/>
                      <w:sz w:val="13"/>
                    </w:rPr>
                  </w:pPr>
                  <w:r w:rsidRPr="00065559" w:rsidR="00065559">
                    <w:rPr>
                      <w:rFonts w:cs="Arial" w:hint="eastAsia"/>
                      <w:b/>
                      <w:sz w:val="21"/>
                    </w:rPr>
                    <w:t>张宇　</w:t>
                  </w:r>
                  <w:r w:rsidRPr="00065559" w:rsidR="00065559">
                    <w:rPr>
                      <w:rFonts w:cs="Arial" w:hint="eastAsia"/>
                      <w:b/>
                      <w:sz w:val="13"/>
                    </w:rPr>
                    <w:t>　</w:t>
                  </w:r>
                  <w:r w:rsidRPr="00065559">
                    <w:rPr>
                      <w:rFonts w:cs="Arial"/>
                      <w:b/>
                      <w:sz w:val="13"/>
                    </w:rPr>
                    <w:t xml:space="preserve"> </w:t>
                  </w:r>
                </w:p>
              </w:txbxContent>
            </v:textbox>
            <w10:anchorlock/>
          </v:rect>
        </w:pict>
      </w:r>
      <w:r>
        <w:rPr>
          <w:rFonts w:hint="eastAsia"/>
          <w:b/>
          <w:bCs/>
          <w:noProof/>
          <w:color w:val="auto"/>
          <w:sz w:val="24"/>
          <w:lang w:val="en-US"/>
        </w:rPr>
        <w:pict>
          <v:shape id="XiangGuanBaoGao" o:spid="_x0000_s1042" type="#_x0000_t202" style="width:168.45pt;height:149.8pt;margin-top:468.2pt;margin-left:11.85pt;mso-position-horizontal-relative:page;mso-position-vertical-relative:page;position:absolute;z-index:251667456" filled="f" stroked="f">
            <v:textbox inset="0.1pt,0.1pt,0.1pt,0.1pt">
              <w:txbxContent>
                <w:tbl>
                  <w:tblPr>
                    <w:tblStyle w:val="TableNormal"/>
                    <w:tblW w:w="3368" w:type="dxa"/>
                    <w:jc w:val="center"/>
                    <w:tblLayout w:type="fixed"/>
                    <w:tblLook w:val="01E0"/>
                  </w:tblPr>
                  <w:tblGrid>
                    <w:gridCol w:w="3368"/>
                  </w:tblGrid>
                  <w:tr w:rsidTr="00DF6A40">
                    <w:tblPrEx>
                      <w:tblW w:w="3368" w:type="dxa"/>
                      <w:jc w:val="center"/>
                      <w:tblLayout w:type="fixed"/>
                      <w:tblLook w:val="01E0"/>
                    </w:tblPrEx>
                    <w:trPr>
                      <w:trHeight w:val="567"/>
                      <w:jc w:val="center"/>
                    </w:trPr>
                    <w:tc>
                      <w:tcPr>
                        <w:tcW w:w="3368" w:type="dxa"/>
                        <w:vAlign w:val="bottom"/>
                      </w:tcPr>
                      <w:p w:rsidR="00472E3C" w:rsidP="001E0695">
                        <w:pPr>
                          <w:rPr>
                            <w:rFonts w:hint="eastAsia"/>
                            <w:sz w:val="20"/>
                            <w:szCs w:val="24"/>
                          </w:rPr>
                        </w:pPr>
                      </w:p>
                    </w:tc>
                  </w:tr>
                  <w:tr w:rsidTr="00DF6A40">
                    <w:tblPrEx>
                      <w:tblW w:w="3368" w:type="dxa"/>
                      <w:jc w:val="center"/>
                      <w:tblLayout w:type="fixed"/>
                      <w:tblLook w:val="01E0"/>
                    </w:tblPrEx>
                    <w:trPr>
                      <w:trHeight w:val="567"/>
                      <w:jc w:val="center"/>
                    </w:trPr>
                    <w:tc>
                      <w:tcPr>
                        <w:tcW w:w="3368" w:type="dxa"/>
                        <w:vAlign w:val="bottom"/>
                      </w:tcPr>
                      <w:p w:rsidR="00472E3C" w:rsidRPr="00CE37A6" w:rsidP="001E0695">
                        <w:pPr>
                          <w:rPr>
                            <w:rFonts w:hint="eastAsia"/>
                            <w:szCs w:val="18"/>
                          </w:rPr>
                        </w:pPr>
                      </w:p>
                    </w:tc>
                  </w:tr>
                  <w:tr w:rsidTr="00DF6A40">
                    <w:tblPrEx>
                      <w:tblW w:w="3368" w:type="dxa"/>
                      <w:jc w:val="center"/>
                      <w:tblLayout w:type="fixed"/>
                      <w:tblLook w:val="01E0"/>
                    </w:tblPrEx>
                    <w:trPr>
                      <w:trHeight w:val="567"/>
                      <w:jc w:val="center"/>
                    </w:trPr>
                    <w:tc>
                      <w:tcPr>
                        <w:tcW w:w="3368" w:type="dxa"/>
                        <w:vAlign w:val="bottom"/>
                      </w:tcPr>
                      <w:p w:rsidR="00472E3C" w:rsidRPr="00CE37A6" w:rsidP="001E0695">
                        <w:pPr>
                          <w:rPr>
                            <w:rFonts w:hint="eastAsia"/>
                            <w:szCs w:val="18"/>
                          </w:rPr>
                        </w:pPr>
                      </w:p>
                    </w:tc>
                  </w:tr>
                  <w:tr w:rsidTr="00DF6A40">
                    <w:tblPrEx>
                      <w:tblW w:w="3368" w:type="dxa"/>
                      <w:jc w:val="center"/>
                      <w:tblLayout w:type="fixed"/>
                      <w:tblLook w:val="01E0"/>
                    </w:tblPrEx>
                    <w:trPr>
                      <w:trHeight w:val="567"/>
                      <w:jc w:val="center"/>
                    </w:trPr>
                    <w:tc>
                      <w:tcPr>
                        <w:tcW w:w="3368" w:type="dxa"/>
                        <w:vAlign w:val="bottom"/>
                      </w:tcPr>
                      <w:p w:rsidR="00472E3C" w:rsidRPr="00CE37A6" w:rsidP="001E0695">
                        <w:pPr>
                          <w:rPr>
                            <w:rFonts w:hint="eastAsia"/>
                            <w:szCs w:val="18"/>
                          </w:rPr>
                        </w:pPr>
                      </w:p>
                    </w:tc>
                  </w:tr>
                  <w:tr w:rsidTr="00DF6A40">
                    <w:tblPrEx>
                      <w:tblW w:w="3368" w:type="dxa"/>
                      <w:jc w:val="center"/>
                      <w:tblLayout w:type="fixed"/>
                      <w:tblLook w:val="01E0"/>
                    </w:tblPrEx>
                    <w:trPr>
                      <w:trHeight w:val="567"/>
                      <w:jc w:val="center"/>
                    </w:trPr>
                    <w:tc>
                      <w:tcPr>
                        <w:tcW w:w="3368" w:type="dxa"/>
                      </w:tcPr>
                      <w:p w:rsidR="00472E3C" w:rsidRPr="00CE37A6" w:rsidP="004C4283">
                        <w:pPr>
                          <w:rPr>
                            <w:b/>
                            <w:szCs w:val="18"/>
                          </w:rPr>
                        </w:pPr>
                      </w:p>
                    </w:tc>
                  </w:tr>
                </w:tbl>
                <w:p w:rsidR="00472E3C" w:rsidRPr="00CE37A6" w:rsidP="004D0A5D">
                  <w:pPr>
                    <w:rPr>
                      <w:szCs w:val="18"/>
                    </w:rPr>
                  </w:pPr>
                </w:p>
              </w:txbxContent>
            </v:textbox>
            <w10:anchorlock/>
          </v:shape>
        </w:pict>
      </w:r>
    </w:p>
    <w:p w:rsidR="00377F62" w:rsidRPr="00E54B00" w:rsidP="00377F62">
      <w:pPr>
        <w:pStyle w:val="12"/>
        <w:ind w:left="3402" w:leftChars="1890"/>
        <w:rPr>
          <w:rFonts w:hint="eastAsia"/>
          <w:color w:val="auto"/>
          <w:lang w:eastAsia="zh-CN"/>
        </w:rPr>
      </w:pPr>
      <w:r w:rsidR="000B4E06">
        <w:rPr>
          <w:rFonts w:hint="eastAsia"/>
          <w:color w:val="auto"/>
          <w:lang w:eastAsia="zh-CN"/>
        </w:rPr>
        <w:t>第</w:t>
      </w:r>
      <w:r w:rsidR="003B78A2">
        <w:rPr>
          <w:rFonts w:hint="eastAsia"/>
          <w:color w:val="auto"/>
          <w:lang w:eastAsia="zh-CN"/>
        </w:rPr>
        <w:t>一</w:t>
      </w:r>
      <w:r w:rsidR="000B4E06">
        <w:rPr>
          <w:rFonts w:hint="eastAsia"/>
          <w:color w:val="auto"/>
          <w:lang w:eastAsia="zh-CN"/>
        </w:rPr>
        <w:t>部分：</w:t>
      </w:r>
      <w:r w:rsidR="00FD4CD0">
        <w:rPr>
          <w:rFonts w:hint="eastAsia"/>
          <w:color w:val="auto"/>
          <w:lang w:eastAsia="zh-CN"/>
        </w:rPr>
        <w:t>2013年</w:t>
      </w:r>
      <w:r w:rsidRPr="0099748C" w:rsidR="009E7462">
        <w:rPr>
          <w:rFonts w:hint="eastAsia"/>
          <w:color w:val="auto"/>
        </w:rPr>
        <w:t>投连险账户</w:t>
      </w:r>
      <w:r w:rsidR="005C7118">
        <w:rPr>
          <w:rFonts w:hint="eastAsia"/>
          <w:color w:val="auto"/>
        </w:rPr>
        <w:t>业绩</w:t>
      </w:r>
      <w:r w:rsidR="005C7118">
        <w:rPr>
          <w:rFonts w:hint="eastAsia"/>
          <w:color w:val="auto"/>
          <w:lang w:eastAsia="zh-CN"/>
        </w:rPr>
        <w:t>回顾</w:t>
      </w:r>
    </w:p>
    <w:p w:rsidR="00377F62" w:rsidP="00377F62">
      <w:pPr>
        <w:pStyle w:val="BodyText"/>
        <w:numPr>
          <w:ilvl w:val="4"/>
          <w:numId w:val="33"/>
        </w:numPr>
        <w:rPr>
          <w:rFonts w:hint="eastAsia"/>
          <w:color w:val="auto"/>
        </w:rPr>
      </w:pPr>
      <w:r w:rsidRPr="0099748C" w:rsidR="00CE0189">
        <w:rPr>
          <w:rFonts w:hint="eastAsia"/>
          <w:color w:val="auto"/>
        </w:rPr>
        <w:t>参与本次报告的一共有</w:t>
      </w:r>
      <w:r w:rsidR="003D4119">
        <w:rPr>
          <w:rFonts w:hint="eastAsia"/>
          <w:color w:val="auto"/>
          <w:lang w:eastAsia="zh-CN"/>
        </w:rPr>
        <w:t>2</w:t>
      </w:r>
      <w:r w:rsidR="00BB2CD0">
        <w:rPr>
          <w:rFonts w:hint="eastAsia"/>
          <w:color w:val="auto"/>
          <w:lang w:eastAsia="zh-CN"/>
        </w:rPr>
        <w:t>9</w:t>
      </w:r>
      <w:r w:rsidRPr="0099748C" w:rsidR="00CE0189">
        <w:rPr>
          <w:rFonts w:hint="eastAsia"/>
          <w:color w:val="auto"/>
        </w:rPr>
        <w:t>家公司的</w:t>
      </w:r>
      <w:r w:rsidR="00CE0189">
        <w:rPr>
          <w:rFonts w:hint="eastAsia"/>
          <w:color w:val="auto"/>
        </w:rPr>
        <w:t>1</w:t>
      </w:r>
      <w:r w:rsidR="00A00E03">
        <w:rPr>
          <w:rFonts w:hint="eastAsia"/>
          <w:color w:val="auto"/>
          <w:lang w:eastAsia="zh-CN"/>
        </w:rPr>
        <w:t>7</w:t>
      </w:r>
      <w:r w:rsidR="003B398E">
        <w:rPr>
          <w:rFonts w:hint="eastAsia"/>
          <w:color w:val="auto"/>
          <w:lang w:eastAsia="zh-CN"/>
        </w:rPr>
        <w:t>7</w:t>
      </w:r>
      <w:r w:rsidR="00DC6C4B">
        <w:rPr>
          <w:rFonts w:hint="eastAsia"/>
          <w:color w:val="auto"/>
        </w:rPr>
        <w:t>个</w:t>
      </w:r>
      <w:r w:rsidR="00DC6C4B">
        <w:rPr>
          <w:rFonts w:hint="eastAsia"/>
          <w:color w:val="auto"/>
          <w:lang w:eastAsia="zh-CN"/>
        </w:rPr>
        <w:t>投连</w:t>
      </w:r>
      <w:r w:rsidR="0091397D">
        <w:rPr>
          <w:rFonts w:hint="eastAsia"/>
          <w:color w:val="auto"/>
        </w:rPr>
        <w:t>账户（本报告仅限于我们所掌握的投资标的和资产配置比例</w:t>
      </w:r>
      <w:r w:rsidRPr="0099748C" w:rsidR="00CE0189">
        <w:rPr>
          <w:rFonts w:hint="eastAsia"/>
          <w:color w:val="auto"/>
        </w:rPr>
        <w:t>信息完整</w:t>
      </w:r>
      <w:r w:rsidR="00E9516A">
        <w:rPr>
          <w:rFonts w:hint="eastAsia"/>
          <w:color w:val="auto"/>
          <w:lang w:eastAsia="zh-CN"/>
        </w:rPr>
        <w:t>、价格披露完整</w:t>
      </w:r>
      <w:r w:rsidR="00CE0189">
        <w:rPr>
          <w:rFonts w:hint="eastAsia"/>
          <w:color w:val="auto"/>
        </w:rPr>
        <w:t>并且设立期限超过</w:t>
      </w:r>
      <w:r w:rsidR="00E9516A">
        <w:rPr>
          <w:rFonts w:hint="eastAsia"/>
          <w:color w:val="auto"/>
          <w:lang w:eastAsia="zh-CN"/>
        </w:rPr>
        <w:t>1个月</w:t>
      </w:r>
      <w:r w:rsidR="00CE0189">
        <w:rPr>
          <w:rFonts w:hint="eastAsia"/>
          <w:color w:val="auto"/>
        </w:rPr>
        <w:t>的账户</w:t>
      </w:r>
      <w:r w:rsidR="003B78A2">
        <w:rPr>
          <w:rFonts w:hint="eastAsia"/>
          <w:color w:val="auto"/>
          <w:lang w:eastAsia="zh-CN"/>
        </w:rPr>
        <w:t>，附表亦按此规则</w:t>
      </w:r>
      <w:r w:rsidRPr="0099748C" w:rsidR="00CE0189">
        <w:rPr>
          <w:rFonts w:hint="eastAsia"/>
          <w:color w:val="auto"/>
        </w:rPr>
        <w:t>）。图表</w:t>
      </w:r>
      <w:r w:rsidR="00BB2CD0">
        <w:rPr>
          <w:rFonts w:hint="eastAsia"/>
          <w:color w:val="auto"/>
          <w:lang w:eastAsia="zh-CN"/>
        </w:rPr>
        <w:t>9</w:t>
      </w:r>
      <w:r w:rsidR="00E9516A">
        <w:rPr>
          <w:rFonts w:hint="eastAsia"/>
          <w:color w:val="auto"/>
          <w:lang w:eastAsia="zh-CN"/>
        </w:rPr>
        <w:t>~</w:t>
      </w:r>
      <w:r w:rsidR="00DB4BB6">
        <w:rPr>
          <w:rFonts w:hint="eastAsia"/>
          <w:color w:val="auto"/>
        </w:rPr>
        <w:t>1</w:t>
      </w:r>
      <w:r w:rsidR="00BB2CD0">
        <w:rPr>
          <w:rFonts w:hint="eastAsia"/>
          <w:color w:val="auto"/>
          <w:lang w:eastAsia="zh-CN"/>
        </w:rPr>
        <w:t>5</w:t>
      </w:r>
      <w:r w:rsidRPr="0099748C" w:rsidR="00CE0189">
        <w:rPr>
          <w:rFonts w:hint="eastAsia"/>
          <w:color w:val="auto"/>
        </w:rPr>
        <w:t>是各类账户</w:t>
      </w:r>
      <w:r w:rsidR="00CE0189">
        <w:rPr>
          <w:rFonts w:hint="eastAsia"/>
          <w:color w:val="auto"/>
        </w:rPr>
        <w:t>的具体</w:t>
      </w:r>
      <w:r w:rsidRPr="0099748C" w:rsidR="00CE0189">
        <w:rPr>
          <w:rFonts w:hint="eastAsia"/>
          <w:color w:val="auto"/>
        </w:rPr>
        <w:t>收益情况</w:t>
      </w:r>
      <w:r w:rsidR="00CE0189">
        <w:rPr>
          <w:rFonts w:hint="eastAsia"/>
          <w:color w:val="auto"/>
        </w:rPr>
        <w:t>，</w:t>
      </w:r>
      <w:r w:rsidRPr="0099748C" w:rsidR="00CE0189">
        <w:rPr>
          <w:rFonts w:hint="eastAsia"/>
          <w:color w:val="auto"/>
        </w:rPr>
        <w:t>以下分析主要针对图表</w:t>
      </w:r>
      <w:r w:rsidR="00BB2CD0">
        <w:rPr>
          <w:rFonts w:hint="eastAsia"/>
          <w:color w:val="auto"/>
          <w:lang w:eastAsia="zh-CN"/>
        </w:rPr>
        <w:t>9</w:t>
      </w:r>
      <w:r w:rsidR="00E9516A">
        <w:rPr>
          <w:rFonts w:hint="eastAsia"/>
          <w:color w:val="auto"/>
          <w:lang w:eastAsia="zh-CN"/>
        </w:rPr>
        <w:t>~</w:t>
      </w:r>
      <w:r w:rsidR="00E9516A">
        <w:rPr>
          <w:rFonts w:hint="eastAsia"/>
          <w:color w:val="auto"/>
        </w:rPr>
        <w:t>1</w:t>
      </w:r>
      <w:r w:rsidR="00BB2CD0">
        <w:rPr>
          <w:rFonts w:hint="eastAsia"/>
          <w:color w:val="auto"/>
          <w:lang w:eastAsia="zh-CN"/>
        </w:rPr>
        <w:t>5</w:t>
      </w:r>
      <w:r w:rsidRPr="0099748C" w:rsidR="00CE0189">
        <w:rPr>
          <w:rFonts w:hint="eastAsia"/>
          <w:color w:val="auto"/>
        </w:rPr>
        <w:t>展开，在计算账户收益率时统一采用卖出价。</w:t>
      </w:r>
    </w:p>
    <w:p w:rsidR="006C4C88" w:rsidRPr="007A51E2" w:rsidP="007A51E2">
      <w:pPr>
        <w:pStyle w:val="BodyText"/>
        <w:numPr>
          <w:ilvl w:val="4"/>
          <w:numId w:val="33"/>
        </w:numPr>
        <w:rPr>
          <w:rFonts w:hint="eastAsia"/>
          <w:color w:val="auto"/>
          <w:lang w:val="en-US" w:eastAsia="zh-CN"/>
        </w:rPr>
      </w:pPr>
      <w:r w:rsidR="00F226CF">
        <w:rPr>
          <w:rFonts w:hint="eastAsia"/>
          <w:color w:val="auto"/>
          <w:lang w:eastAsia="zh-CN"/>
        </w:rPr>
        <w:t>股票市场，</w:t>
      </w:r>
      <w:r w:rsidR="009432C8">
        <w:rPr>
          <w:rFonts w:hint="eastAsia"/>
          <w:color w:val="auto"/>
          <w:lang w:eastAsia="zh-CN"/>
        </w:rPr>
        <w:t>宏观经济数据超预期，改革红利利好相关板块，</w:t>
      </w:r>
      <w:r w:rsidR="00744098">
        <w:rPr>
          <w:rFonts w:hint="eastAsia"/>
          <w:color w:val="auto"/>
          <w:lang w:eastAsia="zh-CN"/>
        </w:rPr>
        <w:t>QE退出导致外汇流出</w:t>
      </w:r>
      <w:r w:rsidR="009432C8">
        <w:rPr>
          <w:rFonts w:hint="eastAsia"/>
          <w:color w:val="auto"/>
          <w:lang w:eastAsia="zh-CN"/>
        </w:rPr>
        <w:t>，央行维持资金面紧平衡</w:t>
      </w:r>
      <w:r w:rsidRPr="00F226CF" w:rsidR="00287FAF">
        <w:rPr>
          <w:rFonts w:hint="eastAsia"/>
          <w:color w:val="auto"/>
          <w:lang w:eastAsia="zh-CN"/>
        </w:rPr>
        <w:t>。</w:t>
      </w:r>
      <w:r w:rsidR="009432C8">
        <w:rPr>
          <w:rFonts w:hint="eastAsia"/>
          <w:color w:val="auto"/>
          <w:lang w:eastAsia="zh-CN"/>
        </w:rPr>
        <w:t>大盘震荡反复，最终收跌，中小板和创业板在预期的支撑下不断冲高。</w:t>
      </w:r>
      <w:r w:rsidRPr="00F226CF" w:rsidR="00F226CF">
        <w:rPr>
          <w:rFonts w:hint="eastAsia"/>
          <w:color w:val="auto"/>
          <w:lang w:eastAsia="zh-CN"/>
        </w:rPr>
        <w:t>从具体指数看，沪深300、</w:t>
      </w:r>
      <w:r w:rsidRPr="00F226CF" w:rsidR="0078216B">
        <w:rPr>
          <w:rFonts w:hint="eastAsia"/>
          <w:color w:val="auto"/>
          <w:lang w:eastAsia="zh-CN"/>
        </w:rPr>
        <w:t>中小板指</w:t>
      </w:r>
      <w:r w:rsidRPr="00F226CF" w:rsidR="00F226CF">
        <w:rPr>
          <w:rFonts w:hint="eastAsia"/>
          <w:color w:val="auto"/>
          <w:lang w:eastAsia="zh-CN"/>
        </w:rPr>
        <w:t>和</w:t>
      </w:r>
      <w:r w:rsidRPr="00F226CF" w:rsidR="0078216B">
        <w:rPr>
          <w:rFonts w:hint="eastAsia"/>
          <w:color w:val="auto"/>
          <w:lang w:eastAsia="zh-CN"/>
        </w:rPr>
        <w:t>创业扳指</w:t>
      </w:r>
      <w:r w:rsidR="00BD36D4">
        <w:rPr>
          <w:rFonts w:hint="eastAsia"/>
          <w:color w:val="auto"/>
          <w:lang w:eastAsia="zh-CN"/>
        </w:rPr>
        <w:t>全年涨跌</w:t>
      </w:r>
      <w:r w:rsidR="002441A9">
        <w:rPr>
          <w:rFonts w:hint="eastAsia"/>
          <w:color w:val="auto"/>
          <w:lang w:eastAsia="zh-CN"/>
        </w:rPr>
        <w:t>幅分别为</w:t>
      </w:r>
      <w:r w:rsidR="00BD36D4">
        <w:rPr>
          <w:rFonts w:hint="eastAsia"/>
          <w:color w:val="auto"/>
          <w:lang w:eastAsia="zh-CN"/>
        </w:rPr>
        <w:t>-7.65%、17.54%和82.73%</w:t>
      </w:r>
      <w:r w:rsidRPr="00F226CF" w:rsidR="00F226CF">
        <w:rPr>
          <w:rFonts w:hint="eastAsia"/>
          <w:color w:val="auto"/>
          <w:lang w:eastAsia="zh-CN"/>
        </w:rPr>
        <w:t>，</w:t>
      </w:r>
      <w:r w:rsidR="00BD36D4">
        <w:rPr>
          <w:rFonts w:hint="eastAsia"/>
          <w:color w:val="auto"/>
          <w:lang w:eastAsia="zh-CN"/>
        </w:rPr>
        <w:t>结构性行情显著</w:t>
      </w:r>
      <w:r w:rsidR="002441A9">
        <w:rPr>
          <w:rFonts w:hint="eastAsia"/>
          <w:color w:val="auto"/>
          <w:lang w:eastAsia="zh-CN"/>
        </w:rPr>
        <w:t>。</w:t>
      </w:r>
      <w:r w:rsidRPr="00F226CF" w:rsidR="00E336A3">
        <w:rPr>
          <w:rFonts w:hint="eastAsia"/>
          <w:color w:val="auto"/>
          <w:lang w:eastAsia="zh-CN"/>
        </w:rPr>
        <w:t>2</w:t>
      </w:r>
      <w:r w:rsidRPr="00F226CF" w:rsidR="00837739">
        <w:rPr>
          <w:rFonts w:hint="eastAsia"/>
          <w:color w:val="auto"/>
          <w:lang w:eastAsia="zh-CN"/>
        </w:rPr>
        <w:t>9</w:t>
      </w:r>
      <w:r w:rsidRPr="00F226CF" w:rsidR="00E336A3">
        <w:rPr>
          <w:rFonts w:hint="eastAsia"/>
          <w:color w:val="auto"/>
          <w:lang w:eastAsia="zh-CN"/>
        </w:rPr>
        <w:t>个</w:t>
      </w:r>
      <w:r w:rsidRPr="00F226CF" w:rsidR="00837739">
        <w:rPr>
          <w:rFonts w:hint="eastAsia"/>
          <w:color w:val="auto"/>
          <w:lang w:eastAsia="zh-CN"/>
        </w:rPr>
        <w:t>中信一级行业</w:t>
      </w:r>
      <w:r w:rsidR="00BD36D4">
        <w:rPr>
          <w:rFonts w:hint="eastAsia"/>
          <w:color w:val="auto"/>
          <w:lang w:eastAsia="zh-CN"/>
        </w:rPr>
        <w:t>分化较大</w:t>
      </w:r>
      <w:r w:rsidRPr="00F226CF" w:rsidR="00837739">
        <w:rPr>
          <w:rFonts w:hint="eastAsia"/>
          <w:color w:val="auto"/>
          <w:lang w:eastAsia="zh-CN"/>
        </w:rPr>
        <w:t>，</w:t>
      </w:r>
      <w:r w:rsidR="007A51E2">
        <w:rPr>
          <w:rFonts w:hint="eastAsia"/>
          <w:color w:val="auto"/>
          <w:lang w:eastAsia="zh-CN"/>
        </w:rPr>
        <w:t>其中，</w:t>
      </w:r>
      <w:r w:rsidR="002441A9">
        <w:rPr>
          <w:rFonts w:hint="eastAsia"/>
          <w:color w:val="auto"/>
          <w:lang w:eastAsia="zh-CN"/>
        </w:rPr>
        <w:t>传媒板块领涨，</w:t>
      </w:r>
      <w:r w:rsidR="00BD36D4">
        <w:rPr>
          <w:rFonts w:hint="eastAsia"/>
          <w:color w:val="auto"/>
          <w:lang w:eastAsia="zh-CN"/>
        </w:rPr>
        <w:t>全年</w:t>
      </w:r>
      <w:r w:rsidR="002441A9">
        <w:rPr>
          <w:rFonts w:hint="eastAsia"/>
          <w:color w:val="auto"/>
          <w:lang w:eastAsia="zh-CN"/>
        </w:rPr>
        <w:t>涨幅</w:t>
      </w:r>
      <w:r w:rsidR="00BD36D4">
        <w:rPr>
          <w:rFonts w:hint="eastAsia"/>
          <w:color w:val="auto"/>
          <w:lang w:eastAsia="zh-CN"/>
        </w:rPr>
        <w:t>高达102.56</w:t>
      </w:r>
      <w:r w:rsidR="002441A9">
        <w:rPr>
          <w:rFonts w:hint="eastAsia"/>
          <w:color w:val="auto"/>
          <w:lang w:eastAsia="zh-CN"/>
        </w:rPr>
        <w:t>%；</w:t>
      </w:r>
      <w:r w:rsidR="00BD36D4">
        <w:rPr>
          <w:rFonts w:hint="eastAsia"/>
          <w:color w:val="auto"/>
          <w:lang w:eastAsia="zh-CN"/>
        </w:rPr>
        <w:t>计算机、通信、电子元器件</w:t>
      </w:r>
      <w:r w:rsidR="002441A9">
        <w:rPr>
          <w:rFonts w:hint="eastAsia"/>
          <w:color w:val="auto"/>
          <w:lang w:eastAsia="zh-CN"/>
        </w:rPr>
        <w:t>涨幅居前，收益率超过</w:t>
      </w:r>
      <w:r w:rsidR="007A51E2">
        <w:rPr>
          <w:rFonts w:hint="eastAsia"/>
          <w:color w:val="auto"/>
          <w:lang w:eastAsia="zh-CN"/>
        </w:rPr>
        <w:t>40</w:t>
      </w:r>
      <w:r w:rsidR="002441A9">
        <w:rPr>
          <w:rFonts w:hint="eastAsia"/>
          <w:color w:val="auto"/>
          <w:lang w:eastAsia="zh-CN"/>
        </w:rPr>
        <w:t>%；</w:t>
      </w:r>
      <w:r w:rsidR="00BD36D4">
        <w:rPr>
          <w:rFonts w:hint="eastAsia"/>
          <w:color w:val="auto"/>
          <w:lang w:eastAsia="zh-CN"/>
        </w:rPr>
        <w:t>煤炭领跌，全年跌幅高达40%</w:t>
      </w:r>
      <w:r w:rsidR="009432C8">
        <w:rPr>
          <w:rFonts w:hint="eastAsia"/>
          <w:color w:val="auto"/>
          <w:lang w:eastAsia="zh-CN"/>
        </w:rPr>
        <w:t>；</w:t>
      </w:r>
      <w:r w:rsidR="00BD36D4">
        <w:rPr>
          <w:rFonts w:hint="eastAsia"/>
          <w:color w:val="auto"/>
          <w:lang w:eastAsia="zh-CN"/>
        </w:rPr>
        <w:t>有色、钢铁、</w:t>
      </w:r>
      <w:r w:rsidR="009432C8">
        <w:rPr>
          <w:rFonts w:hint="eastAsia"/>
          <w:color w:val="auto"/>
          <w:lang w:eastAsia="zh-CN"/>
        </w:rPr>
        <w:t>建筑、建材</w:t>
      </w:r>
      <w:r w:rsidR="00BD36D4">
        <w:rPr>
          <w:rFonts w:hint="eastAsia"/>
          <w:color w:val="auto"/>
          <w:lang w:eastAsia="zh-CN"/>
        </w:rPr>
        <w:t>等强周期行业</w:t>
      </w:r>
      <w:r w:rsidR="009432C8">
        <w:rPr>
          <w:rFonts w:hint="eastAsia"/>
          <w:color w:val="auto"/>
          <w:lang w:eastAsia="zh-CN"/>
        </w:rPr>
        <w:t>以及房地产、食品饮料、银行等受到政策打压的行业下跌</w:t>
      </w:r>
      <w:r w:rsidRPr="007A51E2" w:rsidR="00F226CF">
        <w:rPr>
          <w:rFonts w:hint="eastAsia"/>
          <w:color w:val="auto"/>
          <w:lang w:eastAsia="zh-CN"/>
        </w:rPr>
        <w:t>。</w:t>
      </w:r>
    </w:p>
    <w:p w:rsidR="00F226CF" w:rsidRPr="00F226CF" w:rsidP="00FF2BBD">
      <w:pPr>
        <w:pStyle w:val="BodyText"/>
        <w:numPr>
          <w:ilvl w:val="4"/>
          <w:numId w:val="33"/>
        </w:numPr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eastAsia="zh-CN"/>
        </w:rPr>
        <w:t>债券市场，</w:t>
      </w:r>
      <w:r w:rsidR="004F633E">
        <w:rPr>
          <w:rFonts w:hint="eastAsia"/>
          <w:color w:val="auto"/>
          <w:lang w:eastAsia="zh-CN"/>
        </w:rPr>
        <w:t>2013年不仅未能延续</w:t>
      </w:r>
      <w:r w:rsidR="00744098">
        <w:rPr>
          <w:rFonts w:hint="eastAsia"/>
          <w:color w:val="auto"/>
          <w:lang w:eastAsia="zh-CN"/>
        </w:rPr>
        <w:t>2012年的</w:t>
      </w:r>
      <w:r w:rsidR="004F633E">
        <w:rPr>
          <w:rFonts w:hint="eastAsia"/>
          <w:color w:val="auto"/>
          <w:lang w:eastAsia="zh-CN"/>
        </w:rPr>
        <w:t>牛市行情，反而急转下跌</w:t>
      </w:r>
      <w:r w:rsidR="00416995">
        <w:rPr>
          <w:rFonts w:hint="eastAsia"/>
          <w:color w:val="auto"/>
          <w:lang w:eastAsia="zh-CN"/>
        </w:rPr>
        <w:t>。</w:t>
      </w:r>
      <w:r w:rsidR="00744098">
        <w:rPr>
          <w:rFonts w:hint="eastAsia"/>
          <w:color w:val="auto"/>
          <w:lang w:eastAsia="zh-CN"/>
        </w:rPr>
        <w:t>去年</w:t>
      </w:r>
      <w:r w:rsidR="004F633E">
        <w:rPr>
          <w:rFonts w:hint="eastAsia"/>
          <w:color w:val="auto"/>
          <w:lang w:eastAsia="zh-CN"/>
        </w:rPr>
        <w:t>，债券市场监管加强，银监会出台</w:t>
      </w:r>
      <w:r w:rsidR="004F633E">
        <w:rPr>
          <w:rFonts w:hint="eastAsia"/>
          <w:color w:val="auto"/>
          <w:lang w:eastAsia="zh-CN"/>
        </w:rPr>
        <w:t>“</w:t>
      </w:r>
      <w:r w:rsidR="004F633E">
        <w:rPr>
          <w:rFonts w:hint="eastAsia"/>
          <w:color w:val="auto"/>
          <w:lang w:eastAsia="zh-CN"/>
        </w:rPr>
        <w:t>8号文</w:t>
      </w:r>
      <w:r w:rsidR="004F633E">
        <w:rPr>
          <w:rFonts w:hint="eastAsia"/>
          <w:color w:val="auto"/>
          <w:lang w:eastAsia="zh-CN"/>
        </w:rPr>
        <w:t>”</w:t>
      </w:r>
      <w:r w:rsidR="004F633E">
        <w:rPr>
          <w:rFonts w:hint="eastAsia"/>
          <w:color w:val="auto"/>
          <w:lang w:eastAsia="zh-CN"/>
        </w:rPr>
        <w:t>控制银行非标业务的快速增长，央行六月收紧流动性引发钱荒，证监会启动债券代持核查，</w:t>
      </w:r>
      <w:r w:rsidR="00E2622B">
        <w:rPr>
          <w:rFonts w:hint="eastAsia"/>
          <w:color w:val="auto"/>
          <w:lang w:eastAsia="zh-CN"/>
        </w:rPr>
        <w:t>美国退出量化宽松政策的预期增强，</w:t>
      </w:r>
      <w:r w:rsidR="004F633E">
        <w:rPr>
          <w:rFonts w:hint="eastAsia"/>
          <w:color w:val="auto"/>
          <w:lang w:eastAsia="zh-CN"/>
        </w:rPr>
        <w:t>债券市场持续调整。</w:t>
      </w:r>
      <w:r w:rsidR="003A06B8">
        <w:rPr>
          <w:rFonts w:hint="eastAsia"/>
          <w:color w:val="auto"/>
          <w:lang w:eastAsia="zh-CN"/>
        </w:rPr>
        <w:t>从具体指数看，中信标普全债指数</w:t>
      </w:r>
      <w:r w:rsidR="00416995">
        <w:rPr>
          <w:rFonts w:hint="eastAsia"/>
          <w:color w:val="auto"/>
          <w:lang w:eastAsia="zh-CN"/>
        </w:rPr>
        <w:t>上涨</w:t>
      </w:r>
      <w:r w:rsidR="004F633E">
        <w:rPr>
          <w:rFonts w:hint="eastAsia"/>
          <w:color w:val="auto"/>
          <w:lang w:eastAsia="zh-CN"/>
        </w:rPr>
        <w:t>1.78</w:t>
      </w:r>
      <w:r w:rsidR="003A06B8">
        <w:rPr>
          <w:rFonts w:hint="eastAsia"/>
          <w:color w:val="auto"/>
          <w:lang w:eastAsia="zh-CN"/>
        </w:rPr>
        <w:t>%，国债、企业债和可转债指数</w:t>
      </w:r>
      <w:r w:rsidR="001F1ABD">
        <w:rPr>
          <w:rFonts w:hint="eastAsia"/>
          <w:color w:val="auto"/>
          <w:lang w:eastAsia="zh-CN"/>
        </w:rPr>
        <w:t>涨跌幅</w:t>
      </w:r>
      <w:r w:rsidR="003A06B8">
        <w:rPr>
          <w:rFonts w:hint="eastAsia"/>
          <w:color w:val="auto"/>
          <w:lang w:eastAsia="zh-CN"/>
        </w:rPr>
        <w:t>分别为</w:t>
      </w:r>
      <w:r w:rsidR="004F633E">
        <w:rPr>
          <w:rFonts w:hint="eastAsia"/>
          <w:color w:val="auto"/>
          <w:lang w:eastAsia="zh-CN"/>
        </w:rPr>
        <w:t>0.99%、3.98%和-0.86%</w:t>
      </w:r>
      <w:r w:rsidR="003A06B8">
        <w:rPr>
          <w:rFonts w:hint="eastAsia"/>
          <w:color w:val="auto"/>
          <w:lang w:eastAsia="zh-CN"/>
        </w:rPr>
        <w:t>。</w:t>
      </w:r>
    </w:p>
    <w:p w:rsidR="00EE3BC4" w:rsidP="00FF2BBD">
      <w:pPr>
        <w:pStyle w:val="BodyText"/>
        <w:numPr>
          <w:ilvl w:val="4"/>
          <w:numId w:val="33"/>
        </w:numPr>
        <w:rPr>
          <w:rFonts w:hint="eastAsia"/>
          <w:color w:val="auto"/>
          <w:lang w:eastAsia="zh-CN"/>
        </w:rPr>
      </w:pPr>
      <w:r w:rsidRPr="00F226CF" w:rsidR="00645FA8">
        <w:rPr>
          <w:rFonts w:hint="eastAsia"/>
          <w:color w:val="auto"/>
          <w:lang w:eastAsia="zh-CN"/>
        </w:rPr>
        <w:t>投连险方面，</w:t>
      </w:r>
      <w:r w:rsidRPr="00F226CF" w:rsidR="00E94F0C">
        <w:rPr>
          <w:rFonts w:hint="eastAsia"/>
          <w:color w:val="auto"/>
          <w:lang w:eastAsia="zh-CN"/>
        </w:rPr>
        <w:t>纳入国金统计的177个账户</w:t>
      </w:r>
      <w:r w:rsidR="003872DC">
        <w:rPr>
          <w:rFonts w:hint="eastAsia"/>
          <w:color w:val="auto"/>
          <w:lang w:eastAsia="zh-CN"/>
        </w:rPr>
        <w:t>2013年</w:t>
      </w:r>
      <w:r w:rsidRPr="00F226CF" w:rsidR="00E94F0C">
        <w:rPr>
          <w:rFonts w:hint="eastAsia"/>
          <w:color w:val="auto"/>
          <w:lang w:eastAsia="zh-CN"/>
        </w:rPr>
        <w:t>平均收益率</w:t>
      </w:r>
      <w:r w:rsidR="003872DC">
        <w:rPr>
          <w:rFonts w:hint="eastAsia"/>
          <w:color w:val="auto"/>
          <w:lang w:eastAsia="zh-CN"/>
        </w:rPr>
        <w:t>3.99</w:t>
      </w:r>
      <w:r w:rsidRPr="00F226CF" w:rsidR="00E94F0C">
        <w:rPr>
          <w:rFonts w:hint="eastAsia"/>
          <w:color w:val="auto"/>
          <w:lang w:eastAsia="zh-CN"/>
        </w:rPr>
        <w:t>%。</w:t>
      </w:r>
      <w:r w:rsidR="00B25F53">
        <w:rPr>
          <w:rFonts w:hint="eastAsia"/>
          <w:color w:val="auto"/>
          <w:lang w:eastAsia="zh-CN"/>
        </w:rPr>
        <w:t>44</w:t>
      </w:r>
      <w:r w:rsidRPr="00F226CF" w:rsidR="00E94F0C">
        <w:rPr>
          <w:rFonts w:hint="eastAsia"/>
          <w:color w:val="auto"/>
          <w:lang w:eastAsia="zh-CN"/>
        </w:rPr>
        <w:t>个（占比</w:t>
      </w:r>
      <w:r w:rsidR="00B25F53">
        <w:rPr>
          <w:rFonts w:hint="eastAsia"/>
          <w:color w:val="auto"/>
          <w:lang w:eastAsia="zh-CN"/>
        </w:rPr>
        <w:t>25</w:t>
      </w:r>
      <w:r w:rsidRPr="00F226CF" w:rsidR="00E94F0C">
        <w:rPr>
          <w:rFonts w:hint="eastAsia"/>
          <w:color w:val="auto"/>
          <w:lang w:eastAsia="zh-CN"/>
        </w:rPr>
        <w:t>%）账户下跌，</w:t>
      </w:r>
      <w:r w:rsidR="00B10C47">
        <w:rPr>
          <w:rFonts w:hint="eastAsia"/>
          <w:color w:val="auto"/>
          <w:lang w:eastAsia="zh-CN"/>
        </w:rPr>
        <w:t>债券型、灵活配置型、混合偏债型、股票-指数型、股票型和混合偏股型</w:t>
      </w:r>
      <w:r w:rsidR="00744098">
        <w:rPr>
          <w:rFonts w:hint="eastAsia"/>
          <w:color w:val="auto"/>
          <w:lang w:eastAsia="zh-CN"/>
        </w:rPr>
        <w:t>账户</w:t>
      </w:r>
      <w:r w:rsidR="00B10C47">
        <w:rPr>
          <w:rFonts w:hint="eastAsia"/>
          <w:color w:val="auto"/>
          <w:lang w:eastAsia="zh-CN"/>
        </w:rPr>
        <w:t>分别有</w:t>
      </w:r>
      <w:r w:rsidR="00B25F53">
        <w:rPr>
          <w:rFonts w:hint="eastAsia"/>
          <w:color w:val="auto"/>
          <w:lang w:eastAsia="zh-CN"/>
        </w:rPr>
        <w:t>13</w:t>
      </w:r>
      <w:r w:rsidR="00B10C47">
        <w:rPr>
          <w:rFonts w:hint="eastAsia"/>
          <w:color w:val="auto"/>
          <w:lang w:eastAsia="zh-CN"/>
        </w:rPr>
        <w:t>个、</w:t>
      </w:r>
      <w:r w:rsidR="00B25F53">
        <w:rPr>
          <w:rFonts w:hint="eastAsia"/>
          <w:color w:val="auto"/>
          <w:lang w:eastAsia="zh-CN"/>
        </w:rPr>
        <w:t>8</w:t>
      </w:r>
      <w:r w:rsidR="00B10C47">
        <w:rPr>
          <w:rFonts w:hint="eastAsia"/>
          <w:color w:val="auto"/>
          <w:lang w:eastAsia="zh-CN"/>
        </w:rPr>
        <w:t>个、</w:t>
      </w:r>
      <w:r w:rsidR="00B25F53">
        <w:rPr>
          <w:rFonts w:hint="eastAsia"/>
          <w:color w:val="auto"/>
          <w:lang w:eastAsia="zh-CN"/>
        </w:rPr>
        <w:t>7</w:t>
      </w:r>
      <w:r w:rsidR="00B10C47">
        <w:rPr>
          <w:rFonts w:hint="eastAsia"/>
          <w:color w:val="auto"/>
          <w:lang w:eastAsia="zh-CN"/>
        </w:rPr>
        <w:t>个、</w:t>
      </w:r>
      <w:r w:rsidR="00B25F53">
        <w:rPr>
          <w:rFonts w:hint="eastAsia"/>
          <w:color w:val="auto"/>
          <w:lang w:eastAsia="zh-CN"/>
        </w:rPr>
        <w:t>6</w:t>
      </w:r>
      <w:r w:rsidR="00B10C47">
        <w:rPr>
          <w:rFonts w:hint="eastAsia"/>
          <w:color w:val="auto"/>
          <w:lang w:eastAsia="zh-CN"/>
        </w:rPr>
        <w:t>个、</w:t>
      </w:r>
      <w:r w:rsidR="00B25F53">
        <w:rPr>
          <w:rFonts w:hint="eastAsia"/>
          <w:color w:val="auto"/>
          <w:lang w:eastAsia="zh-CN"/>
        </w:rPr>
        <w:t>5</w:t>
      </w:r>
      <w:r w:rsidR="00B10C47">
        <w:rPr>
          <w:rFonts w:hint="eastAsia"/>
          <w:color w:val="auto"/>
          <w:lang w:eastAsia="zh-CN"/>
        </w:rPr>
        <w:t>个、</w:t>
      </w:r>
      <w:r w:rsidR="00B25F53">
        <w:rPr>
          <w:rFonts w:hint="eastAsia"/>
          <w:color w:val="auto"/>
          <w:lang w:eastAsia="zh-CN"/>
        </w:rPr>
        <w:t>5</w:t>
      </w:r>
      <w:r w:rsidR="00B10C47">
        <w:rPr>
          <w:rFonts w:hint="eastAsia"/>
          <w:color w:val="auto"/>
          <w:lang w:eastAsia="zh-CN"/>
        </w:rPr>
        <w:t>个；跌幅最高达16.22%，为股票-指数型。取得正收益的账户中，13</w:t>
      </w:r>
      <w:r w:rsidRPr="00F226CF" w:rsidR="00E94F0C">
        <w:rPr>
          <w:rFonts w:hint="eastAsia"/>
          <w:color w:val="auto"/>
          <w:lang w:eastAsia="zh-CN"/>
        </w:rPr>
        <w:t>个（占比</w:t>
      </w:r>
      <w:r w:rsidR="00B10C47">
        <w:rPr>
          <w:rFonts w:hint="eastAsia"/>
          <w:color w:val="auto"/>
          <w:lang w:eastAsia="zh-CN"/>
        </w:rPr>
        <w:t>7</w:t>
      </w:r>
      <w:r w:rsidRPr="00F226CF" w:rsidR="00E94F0C">
        <w:rPr>
          <w:rFonts w:hint="eastAsia"/>
          <w:color w:val="auto"/>
          <w:lang w:eastAsia="zh-CN"/>
        </w:rPr>
        <w:t>%）账户收益率超过</w:t>
      </w:r>
      <w:r w:rsidR="00E94F0C">
        <w:rPr>
          <w:rFonts w:hint="eastAsia"/>
          <w:color w:val="auto"/>
          <w:lang w:eastAsia="zh-CN"/>
        </w:rPr>
        <w:t>1</w:t>
      </w:r>
      <w:r w:rsidRPr="00F226CF" w:rsidR="00E94F0C">
        <w:rPr>
          <w:rFonts w:hint="eastAsia"/>
          <w:color w:val="auto"/>
          <w:lang w:eastAsia="zh-CN"/>
        </w:rPr>
        <w:t>5%，</w:t>
      </w:r>
      <w:r w:rsidR="00B10C47">
        <w:rPr>
          <w:rFonts w:hint="eastAsia"/>
          <w:color w:val="auto"/>
          <w:lang w:eastAsia="zh-CN"/>
        </w:rPr>
        <w:t>超过半数为股票型</w:t>
      </w:r>
      <w:r w:rsidR="00E94F0C">
        <w:rPr>
          <w:rFonts w:hint="eastAsia"/>
          <w:color w:val="auto"/>
          <w:lang w:eastAsia="zh-CN"/>
        </w:rPr>
        <w:t>，涨幅最高的账户为股票型，</w:t>
      </w:r>
      <w:r w:rsidRPr="00F226CF" w:rsidR="00E94F0C">
        <w:rPr>
          <w:rFonts w:hint="eastAsia"/>
          <w:color w:val="auto"/>
          <w:lang w:eastAsia="zh-CN"/>
        </w:rPr>
        <w:t>收益率为</w:t>
      </w:r>
      <w:r w:rsidR="00B10C47">
        <w:rPr>
          <w:rFonts w:hint="eastAsia"/>
          <w:color w:val="auto"/>
          <w:lang w:eastAsia="zh-CN"/>
        </w:rPr>
        <w:t>27.75</w:t>
      </w:r>
      <w:r w:rsidRPr="00F226CF" w:rsidR="00E94F0C">
        <w:rPr>
          <w:rFonts w:hint="eastAsia"/>
          <w:color w:val="auto"/>
          <w:lang w:eastAsia="zh-CN"/>
        </w:rPr>
        <w:t>%。从不同投资类型看</w:t>
      </w:r>
      <w:r w:rsidRPr="00F226CF" w:rsidR="00E94F0C">
        <w:rPr>
          <w:rFonts w:hint="eastAsia"/>
          <w:color w:val="auto"/>
          <w:szCs w:val="18"/>
          <w:lang w:eastAsia="zh-CN"/>
        </w:rPr>
        <w:t>，</w:t>
      </w:r>
      <w:r w:rsidRPr="00F226CF" w:rsidR="00E94F0C">
        <w:rPr>
          <w:rFonts w:hint="eastAsia"/>
          <w:szCs w:val="18"/>
          <w:lang w:eastAsia="zh-CN"/>
        </w:rPr>
        <w:t>以投资权益类资产为主的偏股类</w:t>
      </w:r>
      <w:r w:rsidR="00B10C47">
        <w:rPr>
          <w:rFonts w:hint="eastAsia"/>
          <w:szCs w:val="18"/>
          <w:lang w:eastAsia="zh-CN"/>
        </w:rPr>
        <w:t>-除指数型</w:t>
      </w:r>
      <w:r w:rsidRPr="00F226CF" w:rsidR="00E94F0C">
        <w:rPr>
          <w:rFonts w:hint="eastAsia"/>
          <w:color w:val="auto"/>
          <w:szCs w:val="18"/>
          <w:lang w:eastAsia="zh-CN"/>
        </w:rPr>
        <w:t>（</w:t>
      </w:r>
      <w:r w:rsidRPr="00F226CF" w:rsidR="00E94F0C">
        <w:rPr>
          <w:rFonts w:hint="eastAsia"/>
          <w:color w:val="auto"/>
          <w:lang w:eastAsia="zh-CN"/>
        </w:rPr>
        <w:t>含股票型、混合偏股型、灵活配置</w:t>
      </w:r>
      <w:r w:rsidRPr="00F226CF" w:rsidR="00E94F0C">
        <w:rPr>
          <w:rFonts w:hint="eastAsia"/>
          <w:color w:val="auto"/>
          <w:szCs w:val="18"/>
          <w:lang w:eastAsia="zh-CN"/>
        </w:rPr>
        <w:t>型）</w:t>
      </w:r>
      <w:r w:rsidRPr="00F226CF" w:rsidR="00E94F0C">
        <w:rPr>
          <w:rFonts w:hint="eastAsia"/>
          <w:color w:val="auto"/>
          <w:lang w:eastAsia="zh-CN"/>
        </w:rPr>
        <w:t>平均收益</w:t>
      </w:r>
      <w:r w:rsidR="00B10C47">
        <w:rPr>
          <w:rFonts w:hint="eastAsia"/>
          <w:color w:val="auto"/>
          <w:lang w:eastAsia="zh-CN"/>
        </w:rPr>
        <w:t>6.39</w:t>
      </w:r>
      <w:r w:rsidR="00E94F0C">
        <w:rPr>
          <w:rFonts w:hint="eastAsia"/>
          <w:color w:val="auto"/>
          <w:lang w:eastAsia="zh-CN"/>
        </w:rPr>
        <w:t>%</w:t>
      </w:r>
      <w:r w:rsidR="00B10C47">
        <w:rPr>
          <w:rFonts w:hint="eastAsia"/>
          <w:color w:val="auto"/>
          <w:lang w:eastAsia="zh-CN"/>
        </w:rPr>
        <w:t>，落后公募基金9.44个百分点</w:t>
      </w:r>
      <w:r w:rsidR="001F1ABD">
        <w:rPr>
          <w:rFonts w:hint="eastAsia"/>
          <w:color w:val="auto"/>
          <w:lang w:eastAsia="zh-CN"/>
        </w:rPr>
        <w:t>。偏股类相对收益不佳，</w:t>
      </w:r>
      <w:r w:rsidR="00E1152A">
        <w:rPr>
          <w:rFonts w:hint="eastAsia"/>
          <w:color w:val="auto"/>
          <w:lang w:eastAsia="zh-CN"/>
        </w:rPr>
        <w:t>主要是受限于股票投资范围</w:t>
      </w:r>
      <w:r w:rsidR="001F1ABD">
        <w:rPr>
          <w:rFonts w:hint="eastAsia"/>
          <w:color w:val="auto"/>
          <w:lang w:eastAsia="zh-CN"/>
        </w:rPr>
        <w:t>，但绝对收益较高</w:t>
      </w:r>
      <w:r w:rsidRPr="00F226CF" w:rsidR="00E94F0C">
        <w:rPr>
          <w:rFonts w:hint="eastAsia"/>
          <w:color w:val="auto"/>
          <w:lang w:eastAsia="zh-CN"/>
        </w:rPr>
        <w:t>；以配置固定收益类为主的偏债类（含债券型、混合偏债型、货币型）平均收益</w:t>
      </w:r>
      <w:r w:rsidR="00B10C47">
        <w:rPr>
          <w:rFonts w:hint="eastAsia"/>
          <w:color w:val="auto"/>
          <w:lang w:eastAsia="zh-CN"/>
        </w:rPr>
        <w:t>2.37</w:t>
      </w:r>
      <w:r w:rsidRPr="00F226CF" w:rsidR="00E94F0C">
        <w:rPr>
          <w:rFonts w:hint="eastAsia"/>
          <w:color w:val="auto"/>
          <w:lang w:eastAsia="zh-CN"/>
        </w:rPr>
        <w:t>%</w:t>
      </w:r>
      <w:r w:rsidR="00E94F0C">
        <w:rPr>
          <w:rFonts w:hint="eastAsia"/>
          <w:color w:val="auto"/>
          <w:lang w:eastAsia="zh-CN"/>
        </w:rPr>
        <w:t>，</w:t>
      </w:r>
      <w:r w:rsidR="00B10C47">
        <w:rPr>
          <w:rFonts w:hint="eastAsia"/>
          <w:color w:val="auto"/>
          <w:lang w:eastAsia="zh-CN"/>
        </w:rPr>
        <w:t>跑赢公募基金0.85个百分点</w:t>
      </w:r>
      <w:r w:rsidRPr="00F226CF" w:rsidR="00E94F0C">
        <w:rPr>
          <w:rFonts w:hint="eastAsia"/>
          <w:color w:val="auto"/>
          <w:lang w:eastAsia="zh-CN"/>
        </w:rPr>
        <w:t>。</w:t>
      </w:r>
      <w:r w:rsidR="00B10C47">
        <w:rPr>
          <w:rFonts w:hint="eastAsia"/>
          <w:color w:val="auto"/>
          <w:lang w:eastAsia="zh-CN"/>
        </w:rPr>
        <w:t>固定收益类投连险的</w:t>
      </w:r>
      <w:r w:rsidR="00E1152A">
        <w:rPr>
          <w:rFonts w:hint="eastAsia"/>
          <w:color w:val="auto"/>
          <w:lang w:eastAsia="zh-CN"/>
        </w:rPr>
        <w:t>相对</w:t>
      </w:r>
      <w:r w:rsidR="00B10C47">
        <w:rPr>
          <w:rFonts w:hint="eastAsia"/>
          <w:color w:val="auto"/>
          <w:lang w:eastAsia="zh-CN"/>
        </w:rPr>
        <w:t>优势明显</w:t>
      </w:r>
      <w:r w:rsidR="00E1152A">
        <w:rPr>
          <w:rFonts w:hint="eastAsia"/>
          <w:color w:val="auto"/>
          <w:lang w:eastAsia="zh-CN"/>
        </w:rPr>
        <w:t>，但是</w:t>
      </w:r>
      <w:r w:rsidR="008E55CD">
        <w:rPr>
          <w:rFonts w:hint="eastAsia"/>
          <w:color w:val="auto"/>
          <w:lang w:eastAsia="zh-CN"/>
        </w:rPr>
        <w:t>绝对</w:t>
      </w:r>
      <w:r w:rsidR="00E1152A">
        <w:rPr>
          <w:rFonts w:hint="eastAsia"/>
          <w:color w:val="auto"/>
          <w:lang w:eastAsia="zh-CN"/>
        </w:rPr>
        <w:t>收益不达预期</w:t>
      </w:r>
      <w:r w:rsidR="00B10C47">
        <w:rPr>
          <w:rFonts w:hint="eastAsia"/>
          <w:color w:val="auto"/>
          <w:lang w:eastAsia="zh-CN"/>
        </w:rPr>
        <w:t>。</w:t>
      </w:r>
    </w:p>
    <w:tbl>
      <w:tblPr>
        <w:tblStyle w:val="TableNormal"/>
        <w:tblpPr w:leftFromText="180" w:rightFromText="180" w:vertAnchor="text" w:tblpY="1"/>
        <w:tblOverlap w:val="never"/>
        <w:tblW w:w="7370" w:type="dxa"/>
        <w:tblInd w:w="3402" w:type="dxa"/>
        <w:tblBorders>
          <w:top w:val="single" w:sz="4" w:space="0" w:color="00A0E9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A0E9"/>
          <w:insideV w:val="single" w:sz="4" w:space="0" w:color="00A0E9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370"/>
      </w:tblGrid>
      <w:tr w:rsidTr="00EE3BC4">
        <w:tblPrEx>
          <w:tblW w:w="7370" w:type="dxa"/>
          <w:tblInd w:w="3402" w:type="dxa"/>
          <w:tblBorders>
            <w:top w:val="single" w:sz="4" w:space="0" w:color="00A0E9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00A0E9"/>
            <w:insideV w:val="single" w:sz="4" w:space="0" w:color="00A0E9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00"/>
        </w:trPr>
        <w:tc>
          <w:tcPr>
            <w:tcW w:w="7370" w:type="dxa"/>
            <w:shd w:val="clear" w:color="auto" w:fill="auto"/>
          </w:tcPr>
          <w:p w:rsidR="00EE3BC4" w:rsidP="00FD4CD0">
            <w:pPr>
              <w:pStyle w:val="SubTitleLargeTable"/>
              <w:suppressOverlap/>
              <w:rPr>
                <w:rFonts w:hint="eastAsia"/>
              </w:rPr>
            </w:pPr>
            <w:r>
              <w:rPr>
                <w:rFonts w:hint="eastAsia"/>
              </w:rPr>
              <w:t>图表</w:t>
            </w:r>
            <w:r>
              <w:fldChar w:fldCharType="begin" w:dirty="1"/>
            </w:r>
            <w:r>
              <w:instrText xml:space="preserve"> </w:instrText>
            </w:r>
            <w:r>
              <w:rPr>
                <w:rFonts w:hint="eastAsia"/>
              </w:rPr>
              <w:instrText>SEQ 图表 \* ARABIC</w:instrText>
            </w:r>
            <w:r>
              <w:instrText xml:space="preserve"> </w:instrText>
            </w:r>
            <w:r>
              <w:fldChar w:fldCharType="separate"/>
            </w:r>
            <w:r w:rsidR="002E2E08">
              <w:rPr>
                <w:noProof/>
              </w:rPr>
              <w:t>1</w:t>
            </w:r>
            <w:r>
              <w:fldChar w:fldCharType="end"/>
            </w:r>
            <w:r>
              <w:rPr>
                <w:rFonts w:hint="eastAsia"/>
              </w:rPr>
              <w:t>：</w:t>
            </w:r>
            <w:r w:rsidR="00FD4CD0">
              <w:rPr>
                <w:rFonts w:hint="eastAsia"/>
              </w:rPr>
              <w:t>2013年</w:t>
            </w:r>
            <w:r w:rsidRPr="00EE3BC4">
              <w:rPr>
                <w:rFonts w:hint="eastAsia"/>
              </w:rPr>
              <w:t>各指数与投连险涨跌对比</w:t>
            </w:r>
          </w:p>
        </w:tc>
      </w:tr>
      <w:tr w:rsidTr="00FE247D">
        <w:tblPrEx>
          <w:tblW w:w="7370" w:type="dxa"/>
          <w:tblInd w:w="3402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3509"/>
        </w:trPr>
        <w:tc>
          <w:tcPr>
            <w:tcW w:w="7370" w:type="dxa"/>
            <w:shd w:val="clear" w:color="auto" w:fill="auto"/>
            <w:vAlign w:val="center"/>
          </w:tcPr>
          <w:p w:rsidR="00EE3BC4" w:rsidRPr="005F5901" w:rsidP="00EE3BC4">
            <w:pPr>
              <w:pStyle w:val="BodyText"/>
              <w:spacing w:after="0" w:line="10" w:lineRule="atLeast"/>
              <w:ind w:left="0"/>
              <w:suppressOverlap/>
              <w:jc w:val="center"/>
              <w:rPr>
                <w:rFonts w:hint="eastAsia"/>
                <w:color w:val="auto"/>
                <w:lang w:eastAsia="zh-CN"/>
              </w:rPr>
            </w:pPr>
            <w:r>
              <w:rPr>
                <w:noProof/>
                <w:color w:val="auto"/>
                <w:lang w:val="en-US" w:eastAsia="zh-CN"/>
              </w:rPr>
              <w:pict>
                <v:shape id="图表 1" o:spid="_x0000_i1043" type="#_x0000_t75" style="width:354.65pt;height:197.19pt;visibility:visible" stroked="f">
                  <v:imagedata r:id="rId14" o:title="" cropbottom="-67f"/>
                  <o:lock v:ext="edit" aspectratio="f"/>
                </v:shape>
              </w:pict>
            </w:r>
          </w:p>
        </w:tc>
      </w:tr>
      <w:tr w:rsidTr="00EE3BC4">
        <w:tblPrEx>
          <w:tblW w:w="7370" w:type="dxa"/>
          <w:tblInd w:w="340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00"/>
        </w:trPr>
        <w:tc>
          <w:tcPr>
            <w:tcW w:w="7370" w:type="dxa"/>
            <w:shd w:val="clear" w:color="auto" w:fill="auto"/>
          </w:tcPr>
          <w:p w:rsidR="00EE3BC4" w:rsidP="00EE3BC4">
            <w:pPr>
              <w:pStyle w:val="FootnoteNoline"/>
              <w:ind w:left="0"/>
              <w:suppressOverlap/>
              <w:rPr>
                <w:rFonts w:hint="eastAsia"/>
              </w:rPr>
            </w:pPr>
            <w:r>
              <w:rPr>
                <w:rFonts w:hint="eastAsia"/>
              </w:rPr>
              <w:t xml:space="preserve">来源：国金证券研究所 </w:t>
            </w:r>
          </w:p>
        </w:tc>
      </w:tr>
    </w:tbl>
    <w:p w:rsidR="001123AE" w:rsidRPr="00766A5A" w:rsidP="00766A5A">
      <w:pPr>
        <w:pStyle w:val="BodyText"/>
        <w:numPr>
          <w:ilvl w:val="4"/>
          <w:numId w:val="33"/>
        </w:numPr>
        <w:rPr>
          <w:rFonts w:hint="eastAsia"/>
          <w:color w:val="auto"/>
          <w:lang w:eastAsia="zh-CN"/>
        </w:rPr>
        <w:sectPr w:rsidSect="009C0521">
          <w:headerReference w:type="default" r:id="rId15"/>
          <w:footerReference w:type="even" r:id="rId16"/>
          <w:footerReference w:type="default" r:id="rId17"/>
          <w:footerReference w:type="first" r:id="rId18"/>
          <w:type w:val="nextPage"/>
          <w:pgSz w:w="11907" w:h="16840" w:code="9"/>
          <w:pgMar w:top="1440" w:right="624" w:bottom="1440" w:left="624" w:header="851" w:footer="397" w:gutter="0"/>
          <w:pgNumType w:start="2"/>
          <w:cols w:space="720"/>
          <w:titlePg w:val="0"/>
        </w:sectPr>
      </w:pPr>
      <w:r w:rsidRPr="009C50F8" w:rsidR="00E94F0C">
        <w:rPr>
          <w:rFonts w:hint="eastAsia"/>
          <w:color w:val="auto"/>
          <w:lang w:eastAsia="zh-CN"/>
        </w:rPr>
        <w:t>偏股类</w:t>
      </w:r>
      <w:r w:rsidR="00E94F0C">
        <w:rPr>
          <w:rFonts w:hint="eastAsia"/>
          <w:color w:val="auto"/>
          <w:lang w:eastAsia="zh-CN"/>
        </w:rPr>
        <w:t>账户</w:t>
      </w:r>
      <w:r w:rsidR="003872DC">
        <w:rPr>
          <w:rFonts w:hint="eastAsia"/>
          <w:color w:val="auto"/>
          <w:lang w:eastAsia="zh-CN"/>
        </w:rPr>
        <w:t>2013年</w:t>
      </w:r>
      <w:r w:rsidR="00E94F0C">
        <w:rPr>
          <w:rFonts w:hint="eastAsia"/>
          <w:color w:val="auto"/>
          <w:lang w:eastAsia="zh-CN"/>
        </w:rPr>
        <w:t>平均收益率为</w:t>
      </w:r>
      <w:r w:rsidR="003872DC">
        <w:rPr>
          <w:rFonts w:hint="eastAsia"/>
          <w:color w:val="auto"/>
          <w:lang w:eastAsia="zh-CN"/>
        </w:rPr>
        <w:t>5.46</w:t>
      </w:r>
      <w:r w:rsidR="00E94F0C">
        <w:rPr>
          <w:rFonts w:hint="eastAsia"/>
          <w:color w:val="auto"/>
          <w:lang w:eastAsia="zh-CN"/>
        </w:rPr>
        <w:t>%</w:t>
      </w:r>
      <w:r w:rsidR="003872DC">
        <w:rPr>
          <w:rFonts w:hint="eastAsia"/>
          <w:color w:val="auto"/>
          <w:lang w:eastAsia="zh-CN"/>
        </w:rPr>
        <w:t>，</w:t>
      </w:r>
      <w:r w:rsidRPr="009C50F8" w:rsidR="00E94F0C">
        <w:rPr>
          <w:rFonts w:hint="eastAsia"/>
          <w:color w:val="auto"/>
          <w:lang w:eastAsia="zh-CN"/>
        </w:rPr>
        <w:t>各</w:t>
      </w:r>
      <w:r w:rsidR="00E94F0C">
        <w:rPr>
          <w:rFonts w:hint="eastAsia"/>
          <w:color w:val="auto"/>
          <w:lang w:eastAsia="zh-CN"/>
        </w:rPr>
        <w:t>类</w:t>
      </w:r>
      <w:r w:rsidRPr="009C50F8" w:rsidR="00E94F0C">
        <w:rPr>
          <w:rFonts w:hint="eastAsia"/>
          <w:color w:val="auto"/>
          <w:lang w:eastAsia="zh-CN"/>
        </w:rPr>
        <w:t>账户</w:t>
      </w:r>
      <w:r w:rsidR="003872DC">
        <w:rPr>
          <w:rFonts w:hint="eastAsia"/>
          <w:color w:val="auto"/>
          <w:lang w:eastAsia="zh-CN"/>
        </w:rPr>
        <w:t>的收益率差别较大</w:t>
      </w:r>
      <w:r w:rsidR="00E94F0C">
        <w:rPr>
          <w:rFonts w:hint="eastAsia"/>
          <w:color w:val="auto"/>
          <w:lang w:eastAsia="zh-CN"/>
        </w:rPr>
        <w:t>。股票型、股票-指数型、混合偏股型、灵活配置型的平均收益分别为</w:t>
      </w:r>
      <w:r w:rsidR="003872DC">
        <w:rPr>
          <w:rFonts w:hint="eastAsia"/>
          <w:color w:val="auto"/>
          <w:lang w:eastAsia="zh-CN"/>
        </w:rPr>
        <w:t>8.97%、-8.03%、5.45%和0.99%。结构性行情中，基金经理主动管理的优势突出。</w:t>
      </w:r>
    </w:p>
    <w:p w:rsidR="00B81E7E" w:rsidRPr="006C7FAF" w:rsidP="008C2981">
      <w:pPr>
        <w:pStyle w:val="BodyText"/>
        <w:numPr>
          <w:ilvl w:val="5"/>
          <w:numId w:val="27"/>
        </w:numPr>
        <w:rPr>
          <w:rFonts w:hint="eastAsia"/>
          <w:color w:val="auto"/>
        </w:rPr>
      </w:pPr>
      <w:r w:rsidRPr="006C7FAF" w:rsidR="00FF2BBD">
        <w:rPr>
          <w:color w:val="auto"/>
        </w:rPr>
        <w:t>4</w:t>
      </w:r>
      <w:r w:rsidR="00FF2BBD">
        <w:rPr>
          <w:rFonts w:hint="eastAsia"/>
          <w:color w:val="auto"/>
          <w:lang w:eastAsia="zh-CN"/>
        </w:rPr>
        <w:t>6</w:t>
      </w:r>
      <w:r w:rsidR="00FF2BBD">
        <w:rPr>
          <w:rFonts w:hint="eastAsia"/>
          <w:color w:val="auto"/>
        </w:rPr>
        <w:t>个</w:t>
      </w:r>
      <w:r w:rsidR="00A77509">
        <w:rPr>
          <w:rFonts w:hint="eastAsia"/>
          <w:color w:val="auto"/>
          <w:lang w:eastAsia="zh-CN"/>
        </w:rPr>
        <w:t>股票型投连</w:t>
      </w:r>
      <w:r w:rsidR="00744098">
        <w:rPr>
          <w:rFonts w:hint="eastAsia"/>
          <w:color w:val="auto"/>
          <w:lang w:eastAsia="zh-CN"/>
        </w:rPr>
        <w:t>险</w:t>
      </w:r>
      <w:r w:rsidR="00A77509">
        <w:rPr>
          <w:rFonts w:hint="eastAsia"/>
          <w:color w:val="auto"/>
          <w:lang w:eastAsia="zh-CN"/>
        </w:rPr>
        <w:t>账户</w:t>
      </w:r>
      <w:r w:rsidR="003872DC">
        <w:rPr>
          <w:rFonts w:hint="eastAsia"/>
          <w:color w:val="auto"/>
          <w:lang w:eastAsia="zh-CN"/>
        </w:rPr>
        <w:t>中，5个账户下跌，跌幅最高为6.82%</w:t>
      </w:r>
      <w:r w:rsidR="00FD54F0">
        <w:rPr>
          <w:rFonts w:hint="eastAsia"/>
          <w:color w:val="auto"/>
          <w:lang w:eastAsia="zh-CN"/>
        </w:rPr>
        <w:t>；</w:t>
      </w:r>
      <w:r w:rsidR="003872DC">
        <w:rPr>
          <w:rFonts w:hint="eastAsia"/>
          <w:color w:val="auto"/>
          <w:lang w:eastAsia="zh-CN"/>
        </w:rPr>
        <w:t>8</w:t>
      </w:r>
      <w:r w:rsidR="00613A9E">
        <w:rPr>
          <w:rFonts w:hint="eastAsia"/>
          <w:color w:val="auto"/>
          <w:lang w:eastAsia="zh-CN"/>
        </w:rPr>
        <w:t>个</w:t>
      </w:r>
      <w:r w:rsidR="00714506">
        <w:rPr>
          <w:rFonts w:hint="eastAsia"/>
          <w:color w:val="auto"/>
          <w:lang w:eastAsia="zh-CN"/>
        </w:rPr>
        <w:t>账户</w:t>
      </w:r>
      <w:r w:rsidR="00FD54F0">
        <w:rPr>
          <w:rFonts w:hint="eastAsia"/>
          <w:color w:val="auto"/>
          <w:lang w:eastAsia="zh-CN"/>
        </w:rPr>
        <w:t>涨幅</w:t>
      </w:r>
      <w:r w:rsidR="00613A9E">
        <w:rPr>
          <w:rFonts w:hint="eastAsia"/>
          <w:color w:val="auto"/>
          <w:lang w:eastAsia="zh-CN"/>
        </w:rPr>
        <w:t>超过</w:t>
      </w:r>
      <w:r w:rsidR="003872DC">
        <w:rPr>
          <w:rFonts w:hint="eastAsia"/>
          <w:color w:val="auto"/>
          <w:lang w:eastAsia="zh-CN"/>
        </w:rPr>
        <w:t>1</w:t>
      </w:r>
      <w:r w:rsidR="00FD54F0">
        <w:rPr>
          <w:rFonts w:hint="eastAsia"/>
          <w:color w:val="auto"/>
          <w:lang w:eastAsia="zh-CN"/>
        </w:rPr>
        <w:t>5</w:t>
      </w:r>
      <w:r w:rsidR="00613A9E">
        <w:rPr>
          <w:rFonts w:hint="eastAsia"/>
          <w:color w:val="auto"/>
          <w:lang w:eastAsia="zh-CN"/>
        </w:rPr>
        <w:t>%</w:t>
      </w:r>
      <w:r w:rsidR="00FB32E9">
        <w:rPr>
          <w:rFonts w:hint="eastAsia"/>
          <w:color w:val="auto"/>
          <w:lang w:eastAsia="zh-CN"/>
        </w:rPr>
        <w:t>，</w:t>
      </w:r>
      <w:r w:rsidR="003872DC">
        <w:rPr>
          <w:rFonts w:hint="eastAsia"/>
          <w:color w:val="auto"/>
          <w:lang w:eastAsia="zh-CN"/>
        </w:rPr>
        <w:t>3个账户涨幅超过20%，分别为太平人寿-价值先锋型、太平人寿-蓝筹成长型和泰康人寿-优选成长型</w:t>
      </w:r>
      <w:r w:rsidR="006F6FF9">
        <w:rPr>
          <w:rFonts w:hint="eastAsia"/>
          <w:color w:val="auto"/>
          <w:lang w:eastAsia="zh-CN"/>
        </w:rPr>
        <w:t>；</w:t>
      </w:r>
      <w:r w:rsidR="00E1152A">
        <w:rPr>
          <w:rFonts w:hint="eastAsia"/>
          <w:color w:val="auto"/>
          <w:lang w:eastAsia="zh-CN"/>
        </w:rPr>
        <w:t>收益率最高为27.75%，</w:t>
      </w:r>
      <w:r w:rsidR="006F6FF9">
        <w:rPr>
          <w:rFonts w:hint="eastAsia"/>
          <w:color w:val="auto"/>
          <w:lang w:eastAsia="zh-CN"/>
        </w:rPr>
        <w:t>最高收益率与最低收益率的差距</w:t>
      </w:r>
      <w:r w:rsidR="003872DC">
        <w:rPr>
          <w:rFonts w:hint="eastAsia"/>
          <w:color w:val="auto"/>
          <w:lang w:eastAsia="zh-CN"/>
        </w:rPr>
        <w:t>接近35</w:t>
      </w:r>
      <w:r w:rsidR="00FB32E9">
        <w:rPr>
          <w:rFonts w:hint="eastAsia"/>
          <w:color w:val="auto"/>
          <w:lang w:eastAsia="zh-CN"/>
        </w:rPr>
        <w:t>个百分点，股票型账户的分化较大</w:t>
      </w:r>
      <w:r w:rsidR="008F451A">
        <w:rPr>
          <w:rFonts w:hint="eastAsia"/>
          <w:color w:val="auto"/>
          <w:lang w:eastAsia="zh-CN"/>
        </w:rPr>
        <w:t>。</w:t>
      </w:r>
    </w:p>
    <w:p w:rsidR="009237EB" w:rsidP="009C50F8">
      <w:pPr>
        <w:pStyle w:val="BodyText"/>
        <w:numPr>
          <w:ilvl w:val="5"/>
          <w:numId w:val="27"/>
        </w:numPr>
        <w:rPr>
          <w:rFonts w:hint="eastAsia"/>
          <w:color w:val="auto"/>
        </w:rPr>
      </w:pPr>
      <w:r w:rsidR="00FD54F0">
        <w:rPr>
          <w:rFonts w:hint="eastAsia"/>
          <w:color w:val="auto"/>
          <w:lang w:eastAsia="zh-CN"/>
        </w:rPr>
        <w:t>6个</w:t>
      </w:r>
      <w:r>
        <w:rPr>
          <w:rFonts w:hint="eastAsia"/>
          <w:color w:val="auto"/>
          <w:lang w:eastAsia="zh-CN"/>
        </w:rPr>
        <w:t>以跟踪指数为主要投资策略的</w:t>
      </w:r>
      <w:r w:rsidRPr="002D1D0F">
        <w:rPr>
          <w:rFonts w:hint="eastAsia"/>
          <w:color w:val="auto"/>
        </w:rPr>
        <w:t>股票</w:t>
      </w:r>
      <w:r w:rsidRPr="002D1D0F">
        <w:rPr>
          <w:color w:val="auto"/>
        </w:rPr>
        <w:t>-</w:t>
      </w:r>
      <w:r w:rsidRPr="002D1D0F">
        <w:rPr>
          <w:rFonts w:hint="eastAsia"/>
          <w:color w:val="auto"/>
        </w:rPr>
        <w:t>指数型账户</w:t>
      </w:r>
      <w:r w:rsidR="00FB32E9">
        <w:rPr>
          <w:rFonts w:hint="eastAsia"/>
          <w:color w:val="auto"/>
          <w:lang w:eastAsia="zh-CN"/>
        </w:rPr>
        <w:t>全部</w:t>
      </w:r>
      <w:r w:rsidR="003872DC">
        <w:rPr>
          <w:rFonts w:hint="eastAsia"/>
          <w:color w:val="auto"/>
          <w:lang w:eastAsia="zh-CN"/>
        </w:rPr>
        <w:t>收跌</w:t>
      </w:r>
      <w:r w:rsidR="00FD54F0">
        <w:rPr>
          <w:rFonts w:hint="eastAsia"/>
          <w:color w:val="auto"/>
          <w:lang w:eastAsia="zh-CN"/>
        </w:rPr>
        <w:t>；</w:t>
      </w:r>
      <w:r w:rsidR="003872DC">
        <w:rPr>
          <w:rFonts w:hint="eastAsia"/>
          <w:color w:val="auto"/>
          <w:lang w:eastAsia="zh-CN"/>
        </w:rPr>
        <w:t>收益率最高为-5.56%，最低为-15.89%</w:t>
      </w:r>
      <w:r w:rsidR="00160D51">
        <w:rPr>
          <w:rFonts w:hint="eastAsia"/>
          <w:color w:val="auto"/>
          <w:lang w:eastAsia="zh-CN"/>
        </w:rPr>
        <w:t>。</w:t>
      </w:r>
      <w:r w:rsidR="00E1152A">
        <w:rPr>
          <w:rFonts w:hint="eastAsia"/>
          <w:color w:val="auto"/>
          <w:lang w:eastAsia="zh-CN"/>
        </w:rPr>
        <w:t>由于保险资金在2013年不能投资创业板股票，因此指数型账户表现较差。</w:t>
      </w:r>
    </w:p>
    <w:p w:rsidR="00891C68" w:rsidP="003A2C5F">
      <w:pPr>
        <w:pStyle w:val="BodyText"/>
        <w:numPr>
          <w:ilvl w:val="5"/>
          <w:numId w:val="27"/>
        </w:numPr>
        <w:rPr>
          <w:rFonts w:hint="eastAsia"/>
          <w:color w:val="auto"/>
        </w:rPr>
      </w:pPr>
      <w:r>
        <w:rPr>
          <w:rFonts w:hint="eastAsia"/>
          <w:color w:val="auto"/>
        </w:rPr>
        <w:t>2</w:t>
      </w:r>
      <w:r>
        <w:rPr>
          <w:rFonts w:hint="eastAsia"/>
          <w:color w:val="auto"/>
          <w:lang w:eastAsia="zh-CN"/>
        </w:rPr>
        <w:t>3</w:t>
      </w:r>
      <w:r w:rsidRPr="005C63C0">
        <w:rPr>
          <w:rFonts w:hint="eastAsia"/>
          <w:color w:val="auto"/>
        </w:rPr>
        <w:t>个混合偏股型账户</w:t>
      </w:r>
      <w:r w:rsidR="00E1152A">
        <w:rPr>
          <w:rFonts w:hint="eastAsia"/>
          <w:color w:val="auto"/>
          <w:lang w:eastAsia="zh-CN"/>
        </w:rPr>
        <w:t>中5个账户下跌，跌幅最高为2.11%；3个账户涨幅超过15%，分别为招商信诺-和谐A型、招商信诺-和谐B型和太平人寿-智选动力增长</w:t>
      </w:r>
      <w:r w:rsidR="00FB32E9">
        <w:rPr>
          <w:rFonts w:hint="eastAsia"/>
          <w:color w:val="auto"/>
          <w:lang w:eastAsia="zh-CN"/>
        </w:rPr>
        <w:t>；收益率最</w:t>
      </w:r>
      <w:r w:rsidR="00E1152A">
        <w:rPr>
          <w:rFonts w:hint="eastAsia"/>
          <w:color w:val="auto"/>
          <w:lang w:eastAsia="zh-CN"/>
        </w:rPr>
        <w:t>高</w:t>
      </w:r>
      <w:r w:rsidR="00FB32E9">
        <w:rPr>
          <w:rFonts w:hint="eastAsia"/>
          <w:color w:val="auto"/>
          <w:lang w:eastAsia="zh-CN"/>
        </w:rPr>
        <w:t>为</w:t>
      </w:r>
      <w:r w:rsidR="00E1152A">
        <w:rPr>
          <w:rFonts w:hint="eastAsia"/>
          <w:color w:val="auto"/>
          <w:lang w:eastAsia="zh-CN"/>
        </w:rPr>
        <w:t>16.89</w:t>
      </w:r>
      <w:r w:rsidR="00FB32E9">
        <w:rPr>
          <w:rFonts w:hint="eastAsia"/>
          <w:color w:val="auto"/>
          <w:lang w:eastAsia="zh-CN"/>
        </w:rPr>
        <w:t>%</w:t>
      </w:r>
      <w:r w:rsidR="00E94F0C">
        <w:rPr>
          <w:rFonts w:hint="eastAsia"/>
          <w:color w:val="auto"/>
          <w:lang w:eastAsia="zh-CN"/>
        </w:rPr>
        <w:t>，最高收益与最低收益的点差</w:t>
      </w:r>
      <w:r w:rsidR="00E1152A">
        <w:rPr>
          <w:rFonts w:hint="eastAsia"/>
          <w:color w:val="auto"/>
          <w:lang w:eastAsia="zh-CN"/>
        </w:rPr>
        <w:t>接近20</w:t>
      </w:r>
      <w:r w:rsidR="00102313">
        <w:rPr>
          <w:rFonts w:hint="eastAsia"/>
          <w:color w:val="auto"/>
          <w:lang w:eastAsia="zh-CN"/>
        </w:rPr>
        <w:t>。</w:t>
      </w:r>
    </w:p>
    <w:p w:rsidR="0038525A" w:rsidP="005906EE">
      <w:pPr>
        <w:pStyle w:val="BodyText"/>
        <w:numPr>
          <w:ilvl w:val="5"/>
          <w:numId w:val="27"/>
        </w:numPr>
        <w:rPr>
          <w:rFonts w:hint="eastAsia"/>
          <w:color w:val="auto"/>
        </w:rPr>
      </w:pPr>
      <w:r w:rsidRPr="00B204CF">
        <w:rPr>
          <w:color w:val="auto"/>
        </w:rPr>
        <w:t>1</w:t>
      </w:r>
      <w:r w:rsidR="00EF6B2E">
        <w:rPr>
          <w:rFonts w:hint="eastAsia"/>
          <w:color w:val="auto"/>
          <w:lang w:eastAsia="zh-CN"/>
        </w:rPr>
        <w:t>8</w:t>
      </w:r>
      <w:r w:rsidRPr="00B204CF">
        <w:rPr>
          <w:rFonts w:hint="eastAsia"/>
          <w:color w:val="auto"/>
        </w:rPr>
        <w:t>个灵活配置型账户</w:t>
      </w:r>
      <w:r w:rsidR="00E1152A">
        <w:rPr>
          <w:rFonts w:hint="eastAsia"/>
          <w:color w:val="auto"/>
          <w:lang w:eastAsia="zh-CN"/>
        </w:rPr>
        <w:t>中8</w:t>
      </w:r>
      <w:r w:rsidR="00537946">
        <w:rPr>
          <w:rFonts w:hint="eastAsia"/>
          <w:color w:val="auto"/>
          <w:lang w:eastAsia="zh-CN"/>
        </w:rPr>
        <w:t>个账户下跌，</w:t>
      </w:r>
      <w:r w:rsidR="00865CC6">
        <w:rPr>
          <w:rFonts w:hint="eastAsia"/>
          <w:color w:val="auto"/>
          <w:lang w:eastAsia="zh-CN"/>
        </w:rPr>
        <w:t>最高跌幅为</w:t>
      </w:r>
      <w:r w:rsidR="00E1152A">
        <w:rPr>
          <w:rFonts w:hint="eastAsia"/>
          <w:color w:val="auto"/>
          <w:lang w:eastAsia="zh-CN"/>
        </w:rPr>
        <w:t>7.93</w:t>
      </w:r>
      <w:r w:rsidR="00865CC6">
        <w:rPr>
          <w:rFonts w:hint="eastAsia"/>
          <w:color w:val="auto"/>
          <w:lang w:eastAsia="zh-CN"/>
        </w:rPr>
        <w:t>%</w:t>
      </w:r>
      <w:r w:rsidR="009B70E5">
        <w:rPr>
          <w:rFonts w:hint="eastAsia"/>
          <w:color w:val="auto"/>
          <w:lang w:eastAsia="zh-CN"/>
        </w:rPr>
        <w:t>；</w:t>
      </w:r>
      <w:r w:rsidR="00E1152A">
        <w:rPr>
          <w:rFonts w:hint="eastAsia"/>
          <w:color w:val="auto"/>
          <w:lang w:eastAsia="zh-CN"/>
        </w:rPr>
        <w:t>仅一个账户收益率超过15%，为招商信诺-灵动A型，收益率为18.75%</w:t>
      </w:r>
      <w:r w:rsidR="00865CC6">
        <w:rPr>
          <w:rFonts w:hint="eastAsia"/>
          <w:color w:val="auto"/>
          <w:lang w:eastAsia="zh-CN"/>
        </w:rPr>
        <w:t>；最高收益与最低收益的点差超过2</w:t>
      </w:r>
      <w:r w:rsidR="00E1152A">
        <w:rPr>
          <w:rFonts w:hint="eastAsia"/>
          <w:color w:val="auto"/>
          <w:lang w:eastAsia="zh-CN"/>
        </w:rPr>
        <w:t>5</w:t>
      </w:r>
      <w:r w:rsidR="00865CC6">
        <w:rPr>
          <w:rFonts w:hint="eastAsia"/>
          <w:color w:val="auto"/>
          <w:lang w:eastAsia="zh-CN"/>
        </w:rPr>
        <w:t>，业绩分化</w:t>
      </w:r>
      <w:r w:rsidR="00E1152A">
        <w:rPr>
          <w:rFonts w:hint="eastAsia"/>
          <w:color w:val="auto"/>
          <w:lang w:eastAsia="zh-CN"/>
        </w:rPr>
        <w:t>较大</w:t>
      </w:r>
      <w:r w:rsidR="001F020F">
        <w:rPr>
          <w:rFonts w:hint="eastAsia"/>
          <w:color w:val="auto"/>
          <w:lang w:eastAsia="zh-CN"/>
        </w:rPr>
        <w:t>。</w:t>
      </w:r>
    </w:p>
    <w:p w:rsidR="00D8130E" w:rsidRPr="007C549D" w:rsidP="007C549D">
      <w:pPr>
        <w:pStyle w:val="BodyText"/>
        <w:numPr>
          <w:ilvl w:val="4"/>
          <w:numId w:val="3"/>
        </w:numPr>
        <w:rPr>
          <w:rFonts w:hint="eastAsia"/>
          <w:color w:val="auto"/>
        </w:rPr>
      </w:pPr>
      <w:r w:rsidR="00E94F0C">
        <w:rPr>
          <w:rFonts w:hint="eastAsia"/>
          <w:color w:val="auto"/>
          <w:lang w:eastAsia="zh-CN"/>
        </w:rPr>
        <w:t>偏债类投连险</w:t>
      </w:r>
      <w:r w:rsidR="00E1152A">
        <w:rPr>
          <w:rFonts w:hint="eastAsia"/>
          <w:lang w:eastAsia="zh-CN"/>
        </w:rPr>
        <w:t>2013年</w:t>
      </w:r>
      <w:r w:rsidR="00E94F0C">
        <w:rPr>
          <w:rFonts w:hint="eastAsia"/>
          <w:lang w:eastAsia="zh-CN"/>
        </w:rPr>
        <w:t>平均收益</w:t>
      </w:r>
      <w:r w:rsidR="00E1152A">
        <w:rPr>
          <w:rFonts w:hint="eastAsia"/>
          <w:lang w:eastAsia="zh-CN"/>
        </w:rPr>
        <w:t>为2.37</w:t>
      </w:r>
      <w:r w:rsidR="00E94F0C">
        <w:rPr>
          <w:rFonts w:hint="eastAsia"/>
          <w:lang w:eastAsia="zh-CN"/>
        </w:rPr>
        <w:t>%。</w:t>
      </w:r>
      <w:r w:rsidR="00E94F0C">
        <w:rPr>
          <w:rFonts w:hint="eastAsia"/>
          <w:color w:val="auto"/>
          <w:lang w:eastAsia="zh-CN"/>
        </w:rPr>
        <w:t>其中，</w:t>
      </w:r>
      <w:r w:rsidRPr="00F956E5" w:rsidR="00E94F0C">
        <w:rPr>
          <w:rFonts w:hint="eastAsia"/>
          <w:bCs/>
          <w:color w:val="auto"/>
          <w:lang w:eastAsia="zh-CN"/>
        </w:rPr>
        <w:t>混合偏债型</w:t>
      </w:r>
      <w:r w:rsidR="00E94F0C">
        <w:rPr>
          <w:rFonts w:hint="eastAsia"/>
          <w:color w:val="auto"/>
          <w:lang w:eastAsia="zh-CN"/>
        </w:rPr>
        <w:t>、债券型和货币型账户的平均收益分别为</w:t>
      </w:r>
      <w:r w:rsidR="00E1152A">
        <w:rPr>
          <w:rFonts w:hint="eastAsia"/>
          <w:bCs/>
          <w:color w:val="auto"/>
          <w:lang w:eastAsia="zh-CN"/>
        </w:rPr>
        <w:t>3.57%、1.10%和3.47%</w:t>
      </w:r>
      <w:r w:rsidRPr="007C549D" w:rsidR="00E94F0C">
        <w:rPr>
          <w:rFonts w:hint="eastAsia"/>
          <w:bCs/>
          <w:color w:val="auto"/>
          <w:lang w:eastAsia="zh-CN"/>
        </w:rPr>
        <w:t>，</w:t>
      </w:r>
      <w:r w:rsidR="00E1152A">
        <w:rPr>
          <w:rFonts w:hint="eastAsia"/>
          <w:bCs/>
          <w:color w:val="auto"/>
          <w:lang w:eastAsia="zh-CN"/>
        </w:rPr>
        <w:t>混合偏债型和货币型仅以微弱优势跑赢银行存款</w:t>
      </w:r>
      <w:r w:rsidRPr="007C549D" w:rsidR="00E94F0C">
        <w:rPr>
          <w:rFonts w:hint="eastAsia"/>
          <w:bCs/>
          <w:color w:val="auto"/>
          <w:lang w:eastAsia="zh-CN"/>
        </w:rPr>
        <w:t>。</w:t>
      </w:r>
    </w:p>
    <w:p w:rsidR="007C549D" w:rsidP="007C549D">
      <w:pPr>
        <w:pStyle w:val="BodyText"/>
        <w:numPr>
          <w:ilvl w:val="5"/>
          <w:numId w:val="27"/>
        </w:numPr>
        <w:rPr>
          <w:rFonts w:hint="eastAsia"/>
          <w:color w:val="auto"/>
          <w:lang w:eastAsia="zh-CN"/>
        </w:rPr>
      </w:pPr>
      <w:r>
        <w:rPr>
          <w:rFonts w:hint="eastAsia"/>
          <w:bCs/>
          <w:color w:val="auto"/>
          <w:lang w:eastAsia="zh-CN"/>
        </w:rPr>
        <w:t>24个混合偏债型账户</w:t>
      </w:r>
      <w:r w:rsidR="00E1152A">
        <w:rPr>
          <w:rFonts w:hint="eastAsia"/>
          <w:color w:val="auto"/>
          <w:lang w:eastAsia="zh-CN"/>
        </w:rPr>
        <w:t>中7个账户</w:t>
      </w:r>
      <w:r w:rsidR="00D97B08">
        <w:rPr>
          <w:rFonts w:hint="eastAsia"/>
          <w:color w:val="auto"/>
          <w:lang w:eastAsia="zh-CN"/>
        </w:rPr>
        <w:t>收益率</w:t>
      </w:r>
      <w:r w:rsidR="00E1152A">
        <w:rPr>
          <w:rFonts w:hint="eastAsia"/>
          <w:color w:val="auto"/>
          <w:lang w:eastAsia="zh-CN"/>
        </w:rPr>
        <w:t>为负，最高跌幅为-5.36%</w:t>
      </w:r>
      <w:r>
        <w:rPr>
          <w:rFonts w:hint="eastAsia"/>
          <w:color w:val="auto"/>
          <w:lang w:eastAsia="zh-CN"/>
        </w:rPr>
        <w:t>；收益率</w:t>
      </w:r>
      <w:r w:rsidR="00673E6E">
        <w:rPr>
          <w:rFonts w:hint="eastAsia"/>
          <w:color w:val="auto"/>
          <w:lang w:eastAsia="zh-CN"/>
        </w:rPr>
        <w:t>最高为14.62%，为中国人寿-平衡增长</w:t>
      </w:r>
      <w:r>
        <w:rPr>
          <w:rFonts w:hint="eastAsia"/>
          <w:color w:val="auto"/>
          <w:lang w:eastAsia="zh-CN"/>
        </w:rPr>
        <w:t>；</w:t>
      </w:r>
      <w:r w:rsidR="00D97B08">
        <w:rPr>
          <w:rFonts w:hint="eastAsia"/>
          <w:color w:val="auto"/>
          <w:lang w:eastAsia="zh-CN"/>
        </w:rPr>
        <w:t>最高收益率与最低收益率的差距</w:t>
      </w:r>
      <w:r w:rsidR="00673E6E">
        <w:rPr>
          <w:rFonts w:hint="eastAsia"/>
          <w:color w:val="auto"/>
          <w:lang w:eastAsia="zh-CN"/>
        </w:rPr>
        <w:t>20</w:t>
      </w:r>
      <w:r w:rsidR="00D97B08">
        <w:rPr>
          <w:rFonts w:hint="eastAsia"/>
          <w:color w:val="auto"/>
          <w:lang w:eastAsia="zh-CN"/>
        </w:rPr>
        <w:t>个百分点</w:t>
      </w:r>
      <w:r w:rsidR="00673E6E">
        <w:rPr>
          <w:rFonts w:hint="eastAsia"/>
          <w:color w:val="auto"/>
          <w:lang w:eastAsia="zh-CN"/>
        </w:rPr>
        <w:t>左右</w:t>
      </w:r>
      <w:r w:rsidR="00D97B08">
        <w:rPr>
          <w:rFonts w:hint="eastAsia"/>
          <w:color w:val="auto"/>
          <w:lang w:eastAsia="zh-CN"/>
        </w:rPr>
        <w:t>，管理人的资产配置能力</w:t>
      </w:r>
      <w:r w:rsidR="00673E6E">
        <w:rPr>
          <w:rFonts w:hint="eastAsia"/>
          <w:color w:val="auto"/>
          <w:lang w:eastAsia="zh-CN"/>
        </w:rPr>
        <w:t>差别较大</w:t>
      </w:r>
      <w:r>
        <w:rPr>
          <w:rFonts w:hint="eastAsia"/>
          <w:color w:val="auto"/>
          <w:lang w:eastAsia="zh-CN"/>
        </w:rPr>
        <w:t>。</w:t>
      </w:r>
    </w:p>
    <w:p w:rsidR="009254FC" w:rsidRPr="007C549D" w:rsidP="007C549D">
      <w:pPr>
        <w:pStyle w:val="BodyText"/>
        <w:numPr>
          <w:ilvl w:val="5"/>
          <w:numId w:val="27"/>
        </w:numPr>
        <w:rPr>
          <w:rFonts w:hint="eastAsia"/>
          <w:color w:val="auto"/>
          <w:lang w:eastAsia="zh-CN"/>
        </w:rPr>
      </w:pPr>
      <w:r w:rsidR="002203A0">
        <w:rPr>
          <w:rFonts w:hint="eastAsia"/>
          <w:color w:val="auto"/>
          <w:lang w:eastAsia="zh-CN"/>
        </w:rPr>
        <w:t>40</w:t>
      </w:r>
      <w:r w:rsidRPr="00605DF2" w:rsidR="008810A9">
        <w:rPr>
          <w:rFonts w:hint="eastAsia"/>
          <w:color w:val="auto"/>
        </w:rPr>
        <w:t>个</w:t>
      </w:r>
      <w:r w:rsidR="0075590C">
        <w:rPr>
          <w:rFonts w:hint="eastAsia"/>
          <w:color w:val="auto"/>
        </w:rPr>
        <w:t>债券型</w:t>
      </w:r>
      <w:r w:rsidR="004E7058">
        <w:rPr>
          <w:rFonts w:hint="eastAsia"/>
          <w:color w:val="auto"/>
          <w:lang w:eastAsia="zh-CN"/>
        </w:rPr>
        <w:t>账户</w:t>
      </w:r>
      <w:r w:rsidR="00650D9B">
        <w:rPr>
          <w:rFonts w:hint="eastAsia"/>
          <w:color w:val="auto"/>
          <w:lang w:eastAsia="zh-CN"/>
        </w:rPr>
        <w:t>中</w:t>
      </w:r>
      <w:r w:rsidR="00673E6E">
        <w:rPr>
          <w:rFonts w:hint="eastAsia"/>
          <w:color w:val="auto"/>
          <w:lang w:eastAsia="zh-CN"/>
        </w:rPr>
        <w:t>13个账户未能取得正收益，最高跌幅为3.27%</w:t>
      </w:r>
      <w:r w:rsidR="00650D9B">
        <w:rPr>
          <w:rFonts w:hint="eastAsia"/>
          <w:color w:val="auto"/>
          <w:lang w:eastAsia="zh-CN"/>
        </w:rPr>
        <w:t>；</w:t>
      </w:r>
      <w:r w:rsidR="007C549D">
        <w:rPr>
          <w:rFonts w:hint="eastAsia"/>
          <w:color w:val="auto"/>
          <w:lang w:eastAsia="zh-CN"/>
        </w:rPr>
        <w:t>收益率最高</w:t>
      </w:r>
      <w:r w:rsidR="00673E6E">
        <w:rPr>
          <w:rFonts w:hint="eastAsia"/>
          <w:color w:val="auto"/>
          <w:lang w:eastAsia="zh-CN"/>
        </w:rPr>
        <w:t>为8.10%</w:t>
      </w:r>
      <w:r w:rsidR="00B81C0F">
        <w:rPr>
          <w:rFonts w:hint="eastAsia"/>
          <w:color w:val="auto"/>
          <w:lang w:eastAsia="zh-CN"/>
        </w:rPr>
        <w:t>，为</w:t>
      </w:r>
      <w:r w:rsidR="00673E6E">
        <w:rPr>
          <w:rFonts w:hint="eastAsia"/>
          <w:color w:val="auto"/>
          <w:lang w:eastAsia="zh-CN"/>
        </w:rPr>
        <w:t>泰康人寿-开泰-稳利精选</w:t>
      </w:r>
      <w:r w:rsidR="007C549D">
        <w:rPr>
          <w:rFonts w:hint="eastAsia"/>
          <w:color w:val="auto"/>
          <w:lang w:eastAsia="zh-CN"/>
        </w:rPr>
        <w:t>；</w:t>
      </w:r>
      <w:r w:rsidR="00D97B08">
        <w:rPr>
          <w:rFonts w:hint="eastAsia"/>
          <w:color w:val="auto"/>
          <w:lang w:eastAsia="zh-CN"/>
        </w:rPr>
        <w:t>最高收益与最低收益的点差</w:t>
      </w:r>
      <w:r w:rsidR="00673E6E">
        <w:rPr>
          <w:rFonts w:hint="eastAsia"/>
          <w:color w:val="auto"/>
          <w:lang w:eastAsia="zh-CN"/>
        </w:rPr>
        <w:t>超过10，全年分化较大</w:t>
      </w:r>
      <w:r w:rsidR="006D7D3E">
        <w:rPr>
          <w:rFonts w:hint="eastAsia"/>
          <w:color w:val="auto"/>
          <w:lang w:eastAsia="zh-CN"/>
        </w:rPr>
        <w:t>。</w:t>
      </w:r>
    </w:p>
    <w:p w:rsidR="006E111B" w:rsidP="006E010D">
      <w:pPr>
        <w:pStyle w:val="BodyText"/>
        <w:numPr>
          <w:ilvl w:val="5"/>
          <w:numId w:val="27"/>
        </w:numPr>
        <w:rPr>
          <w:rFonts w:hint="eastAsia"/>
          <w:color w:val="auto"/>
        </w:rPr>
      </w:pPr>
      <w:r w:rsidR="006E010D">
        <w:rPr>
          <w:rFonts w:hint="eastAsia"/>
          <w:color w:val="auto"/>
          <w:lang w:eastAsia="zh-CN"/>
        </w:rPr>
        <w:t>20</w:t>
      </w:r>
      <w:r w:rsidRPr="00DB0468">
        <w:rPr>
          <w:rFonts w:hint="eastAsia"/>
          <w:color w:val="auto"/>
        </w:rPr>
        <w:t>个</w:t>
      </w:r>
      <w:r>
        <w:rPr>
          <w:rFonts w:hint="eastAsia"/>
          <w:color w:val="auto"/>
          <w:lang w:eastAsia="zh-CN"/>
        </w:rPr>
        <w:t>纳入统计的</w:t>
      </w:r>
      <w:r w:rsidRPr="00DB0468">
        <w:rPr>
          <w:rFonts w:hint="eastAsia"/>
          <w:color w:val="auto"/>
        </w:rPr>
        <w:t>货币型</w:t>
      </w:r>
      <w:r>
        <w:rPr>
          <w:rFonts w:hint="eastAsia"/>
          <w:color w:val="auto"/>
          <w:lang w:eastAsia="zh-CN"/>
        </w:rPr>
        <w:t>投连</w:t>
      </w:r>
      <w:r w:rsidR="00B81C0F">
        <w:rPr>
          <w:rFonts w:hint="eastAsia"/>
          <w:color w:val="auto"/>
          <w:lang w:eastAsia="zh-CN"/>
        </w:rPr>
        <w:t>险</w:t>
      </w:r>
      <w:r w:rsidR="00673E6E">
        <w:rPr>
          <w:rFonts w:hint="eastAsia"/>
          <w:color w:val="auto"/>
          <w:lang w:eastAsia="zh-CN"/>
        </w:rPr>
        <w:t>全部收阳</w:t>
      </w:r>
      <w:r w:rsidR="00592FA9">
        <w:rPr>
          <w:rFonts w:hint="eastAsia"/>
          <w:color w:val="auto"/>
          <w:lang w:eastAsia="zh-CN"/>
        </w:rPr>
        <w:t>，</w:t>
      </w:r>
      <w:r w:rsidR="00650D9B">
        <w:rPr>
          <w:rFonts w:hint="eastAsia"/>
          <w:color w:val="auto"/>
          <w:lang w:eastAsia="zh-CN"/>
        </w:rPr>
        <w:t>涨幅介于</w:t>
      </w:r>
      <w:r w:rsidR="00673E6E">
        <w:rPr>
          <w:rFonts w:hint="eastAsia"/>
          <w:color w:val="auto"/>
          <w:lang w:eastAsia="zh-CN"/>
        </w:rPr>
        <w:t>2-5</w:t>
      </w:r>
      <w:r w:rsidR="00650D9B">
        <w:rPr>
          <w:rFonts w:hint="eastAsia"/>
          <w:color w:val="auto"/>
          <w:lang w:eastAsia="zh-CN"/>
        </w:rPr>
        <w:t>%的区间内，</w:t>
      </w:r>
      <w:r w:rsidR="00673E6E">
        <w:rPr>
          <w:rFonts w:hint="eastAsia"/>
          <w:color w:val="auto"/>
          <w:lang w:eastAsia="zh-CN"/>
        </w:rPr>
        <w:t>最高收益为4.23%</w:t>
      </w:r>
      <w:r w:rsidR="0072360F">
        <w:rPr>
          <w:rFonts w:hint="eastAsia"/>
          <w:color w:val="auto"/>
          <w:lang w:eastAsia="zh-CN"/>
        </w:rPr>
        <w:t>。</w:t>
      </w:r>
    </w:p>
    <w:tbl>
      <w:tblPr>
        <w:tblStyle w:val="TableNormal"/>
        <w:tblpPr w:leftFromText="180" w:rightFromText="180" w:vertAnchor="text" w:tblpY="1"/>
        <w:tblOverlap w:val="never"/>
        <w:tblW w:w="7370" w:type="dxa"/>
        <w:tblInd w:w="3402" w:type="dxa"/>
        <w:tblBorders>
          <w:top w:val="single" w:sz="4" w:space="0" w:color="00A0E9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A0E9"/>
          <w:insideV w:val="single" w:sz="4" w:space="0" w:color="00A0E9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370"/>
      </w:tblGrid>
      <w:tr w:rsidTr="00DB0BEB">
        <w:tblPrEx>
          <w:tblW w:w="7370" w:type="dxa"/>
          <w:tblInd w:w="3402" w:type="dxa"/>
          <w:tblBorders>
            <w:top w:val="single" w:sz="4" w:space="0" w:color="00A0E9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00A0E9"/>
            <w:insideV w:val="single" w:sz="4" w:space="0" w:color="00A0E9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00"/>
        </w:trPr>
        <w:tc>
          <w:tcPr>
            <w:tcW w:w="7370" w:type="dxa"/>
            <w:shd w:val="clear" w:color="auto" w:fill="auto"/>
          </w:tcPr>
          <w:p w:rsidR="00F93206" w:rsidP="00FD4CD0">
            <w:pPr>
              <w:pStyle w:val="SubTitleLargeTable"/>
              <w:suppressOverlap/>
              <w:rPr>
                <w:rFonts w:hint="eastAsia"/>
              </w:rPr>
            </w:pPr>
            <w:r>
              <w:rPr>
                <w:rFonts w:hint="eastAsia"/>
              </w:rPr>
              <w:t>图表2：</w:t>
            </w:r>
            <w:r w:rsidR="00FD4CD0">
              <w:rPr>
                <w:rFonts w:hint="eastAsia"/>
              </w:rPr>
              <w:t>2013年</w:t>
            </w:r>
            <w:r w:rsidRPr="00EE3BC4">
              <w:rPr>
                <w:rFonts w:hint="eastAsia"/>
              </w:rPr>
              <w:t>投连险</w:t>
            </w:r>
            <w:r w:rsidR="00714506">
              <w:rPr>
                <w:rFonts w:hint="eastAsia"/>
              </w:rPr>
              <w:t>各类账户平均收益率</w:t>
            </w:r>
            <w:r w:rsidRPr="00EE3BC4">
              <w:rPr>
                <w:rFonts w:hint="eastAsia"/>
              </w:rPr>
              <w:t>对比</w:t>
            </w:r>
          </w:p>
        </w:tc>
      </w:tr>
      <w:tr w:rsidTr="004036ED">
        <w:tblPrEx>
          <w:tblW w:w="7370" w:type="dxa"/>
          <w:tblInd w:w="3402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cantSplit/>
          <w:trHeight w:val="3509"/>
        </w:trPr>
        <w:tc>
          <w:tcPr>
            <w:tcW w:w="7370" w:type="dxa"/>
            <w:shd w:val="clear" w:color="auto" w:fill="auto"/>
            <w:vAlign w:val="center"/>
          </w:tcPr>
          <w:p w:rsidR="00F93206" w:rsidRPr="00714506" w:rsidP="00DB0BEB">
            <w:pPr>
              <w:pStyle w:val="BodyText"/>
              <w:spacing w:after="0" w:line="10" w:lineRule="atLeast"/>
              <w:ind w:left="0"/>
              <w:suppressOverlap/>
              <w:jc w:val="center"/>
              <w:rPr>
                <w:rFonts w:hint="eastAsia"/>
                <w:color w:val="auto"/>
                <w:lang w:eastAsia="zh-CN"/>
              </w:rPr>
            </w:pPr>
            <w:r>
              <w:rPr>
                <w:noProof/>
                <w:color w:val="auto"/>
                <w:lang w:val="en-US" w:eastAsia="zh-CN"/>
              </w:rPr>
              <w:pict>
                <v:shape id="图表 3" o:spid="_x0000_i1044" type="#_x0000_t75" style="width:361.45pt;height:216.5pt;visibility:visible" stroked="f">
                  <v:imagedata r:id="rId19" o:title=""/>
                  <o:lock v:ext="edit" aspectratio="f"/>
                </v:shape>
              </w:pict>
            </w:r>
          </w:p>
        </w:tc>
      </w:tr>
      <w:tr w:rsidTr="00DB0BEB">
        <w:tblPrEx>
          <w:tblW w:w="7370" w:type="dxa"/>
          <w:tblInd w:w="340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00"/>
        </w:trPr>
        <w:tc>
          <w:tcPr>
            <w:tcW w:w="7370" w:type="dxa"/>
            <w:shd w:val="clear" w:color="auto" w:fill="auto"/>
          </w:tcPr>
          <w:p w:rsidR="00F93206" w:rsidP="00DB0BEB">
            <w:pPr>
              <w:pStyle w:val="FootnoteNoline"/>
              <w:ind w:left="0"/>
              <w:suppressOverlap/>
              <w:rPr>
                <w:rFonts w:hint="eastAsia"/>
              </w:rPr>
            </w:pPr>
            <w:r>
              <w:rPr>
                <w:rFonts w:hint="eastAsia"/>
              </w:rPr>
              <w:t xml:space="preserve">来源：国金证券研究所 </w:t>
            </w:r>
          </w:p>
        </w:tc>
      </w:tr>
    </w:tbl>
    <w:p w:rsidR="00BF49BB" w:rsidP="00BF49BB">
      <w:pPr>
        <w:pStyle w:val="BodyText"/>
        <w:numPr>
          <w:ilvl w:val="4"/>
          <w:numId w:val="3"/>
        </w:numPr>
        <w:rPr>
          <w:rFonts w:hint="eastAsia"/>
          <w:color w:val="auto"/>
          <w:lang w:eastAsia="zh-CN"/>
        </w:rPr>
        <w:sectPr w:rsidSect="009C0521">
          <w:headerReference w:type="default" r:id="rId20"/>
          <w:footerReference w:type="even" r:id="rId21"/>
          <w:footerReference w:type="default" r:id="rId22"/>
          <w:footerReference w:type="first" r:id="rId23"/>
          <w:type w:val="nextPage"/>
          <w:pgSz w:w="11907" w:h="16840" w:code="9"/>
          <w:pgMar w:top="1440" w:right="624" w:bottom="1440" w:left="624" w:header="851" w:footer="397" w:gutter="0"/>
          <w:pgNumType w:start="3"/>
          <w:cols w:space="720"/>
          <w:titlePg w:val="0"/>
        </w:sectPr>
      </w:pPr>
      <w:r w:rsidR="00146321">
        <w:rPr>
          <w:rFonts w:hint="eastAsia"/>
          <w:color w:val="auto"/>
          <w:lang w:eastAsia="zh-CN"/>
        </w:rPr>
        <w:t>为了考察</w:t>
      </w:r>
      <w:r w:rsidR="00093311">
        <w:rPr>
          <w:rFonts w:hint="eastAsia"/>
          <w:color w:val="auto"/>
          <w:lang w:eastAsia="zh-CN"/>
        </w:rPr>
        <w:t>保险公司</w:t>
      </w:r>
      <w:r w:rsidR="00BA669B">
        <w:rPr>
          <w:rFonts w:hint="eastAsia"/>
          <w:color w:val="auto"/>
          <w:lang w:eastAsia="zh-CN"/>
        </w:rPr>
        <w:t>对于股票和债券</w:t>
      </w:r>
      <w:r w:rsidR="00093311">
        <w:rPr>
          <w:rFonts w:hint="eastAsia"/>
          <w:color w:val="auto"/>
          <w:lang w:eastAsia="zh-CN"/>
        </w:rPr>
        <w:t>的</w:t>
      </w:r>
      <w:r w:rsidR="00146321">
        <w:rPr>
          <w:rFonts w:hint="eastAsia"/>
          <w:color w:val="auto"/>
          <w:lang w:eastAsia="zh-CN"/>
        </w:rPr>
        <w:t>综合管理水平</w:t>
      </w:r>
      <w:r w:rsidR="00BA669B">
        <w:rPr>
          <w:rFonts w:hint="eastAsia"/>
          <w:color w:val="auto"/>
          <w:lang w:eastAsia="zh-CN"/>
        </w:rPr>
        <w:t>及其持续性</w:t>
      </w:r>
      <w:r w:rsidR="00093311">
        <w:rPr>
          <w:rFonts w:hint="eastAsia"/>
          <w:color w:val="auto"/>
          <w:lang w:eastAsia="zh-CN"/>
        </w:rPr>
        <w:t>，国金证券分别计算了</w:t>
      </w:r>
      <w:r w:rsidR="00146321">
        <w:rPr>
          <w:rFonts w:hint="eastAsia"/>
          <w:color w:val="auto"/>
          <w:lang w:eastAsia="zh-CN"/>
        </w:rPr>
        <w:t>2</w:t>
      </w:r>
      <w:r w:rsidR="006A3BDA">
        <w:rPr>
          <w:rFonts w:hint="eastAsia"/>
          <w:color w:val="auto"/>
          <w:lang w:eastAsia="zh-CN"/>
        </w:rPr>
        <w:t>9</w:t>
      </w:r>
      <w:r w:rsidR="00093311">
        <w:rPr>
          <w:rFonts w:hint="eastAsia"/>
          <w:color w:val="auto"/>
          <w:lang w:eastAsia="zh-CN"/>
        </w:rPr>
        <w:t>家保险公司偏股类账户和偏债类账户的平均收益率。</w:t>
      </w:r>
      <w:r w:rsidR="006A3BDA">
        <w:rPr>
          <w:rFonts w:hint="eastAsia"/>
          <w:color w:val="auto"/>
          <w:lang w:eastAsia="zh-CN"/>
        </w:rPr>
        <w:t>其中，阳光人寿只有1个债券型账户，该公司未纳入偏股类账户的统计范围</w:t>
      </w:r>
      <w:r w:rsidR="00744098">
        <w:rPr>
          <w:rFonts w:hint="eastAsia"/>
          <w:color w:val="auto"/>
          <w:lang w:eastAsia="zh-CN"/>
        </w:rPr>
        <w:t>，因此有28家公司参与偏股类业绩排名</w:t>
      </w:r>
      <w:r w:rsidR="006A3BDA">
        <w:rPr>
          <w:rFonts w:hint="eastAsia"/>
          <w:color w:val="auto"/>
          <w:lang w:eastAsia="zh-CN"/>
        </w:rPr>
        <w:t>；新华人寿只有1个灵活配置型账户，该公司未纳入偏债类账户的统计范围</w:t>
      </w:r>
      <w:r w:rsidR="00744098">
        <w:rPr>
          <w:rFonts w:hint="eastAsia"/>
          <w:color w:val="auto"/>
          <w:lang w:eastAsia="zh-CN"/>
        </w:rPr>
        <w:t>，因此有28家参与偏债类业绩排名</w:t>
      </w:r>
      <w:r w:rsidR="006A3BDA">
        <w:rPr>
          <w:rFonts w:hint="eastAsia"/>
          <w:color w:val="auto"/>
          <w:lang w:eastAsia="zh-CN"/>
        </w:rPr>
        <w:t>。</w:t>
      </w:r>
    </w:p>
    <w:p w:rsidR="008F6148" w:rsidRPr="00BF49BB" w:rsidP="00BF49BB">
      <w:pPr>
        <w:pStyle w:val="BodyText"/>
        <w:numPr>
          <w:ilvl w:val="5"/>
          <w:numId w:val="27"/>
        </w:numPr>
        <w:rPr>
          <w:rFonts w:hint="eastAsia"/>
          <w:color w:val="auto"/>
          <w:lang w:eastAsia="zh-CN"/>
        </w:rPr>
      </w:pPr>
      <w:r w:rsidRPr="00BF49BB" w:rsidR="00BF49BB">
        <w:rPr>
          <w:rFonts w:hint="eastAsia"/>
          <w:color w:val="auto"/>
          <w:lang w:eastAsia="zh-CN"/>
        </w:rPr>
        <w:t>对于偏股类账户的投资业绩，</w:t>
      </w:r>
      <w:r w:rsidRPr="00BF49BB" w:rsidR="00146321">
        <w:rPr>
          <w:rFonts w:hint="eastAsia"/>
          <w:color w:val="auto"/>
          <w:lang w:eastAsia="zh-CN"/>
        </w:rPr>
        <w:t>太平人寿、中荷人寿</w:t>
      </w:r>
      <w:r w:rsidRPr="00BF49BB" w:rsidR="00BF49BB">
        <w:rPr>
          <w:rFonts w:hint="eastAsia"/>
          <w:color w:val="auto"/>
          <w:lang w:eastAsia="zh-CN"/>
        </w:rPr>
        <w:t>、</w:t>
      </w:r>
      <w:r w:rsidRPr="00BF49BB" w:rsidR="00146321">
        <w:rPr>
          <w:rFonts w:hint="eastAsia"/>
          <w:color w:val="auto"/>
          <w:lang w:eastAsia="zh-CN"/>
        </w:rPr>
        <w:t>招商信诺人寿</w:t>
      </w:r>
      <w:r w:rsidRPr="00BF49BB" w:rsidR="00BF49BB">
        <w:rPr>
          <w:rFonts w:hint="eastAsia"/>
          <w:color w:val="auto"/>
          <w:lang w:eastAsia="zh-CN"/>
        </w:rPr>
        <w:t>、长生人寿和平安养老近一年的</w:t>
      </w:r>
      <w:r w:rsidRPr="00BF49BB" w:rsidR="00146321">
        <w:rPr>
          <w:rFonts w:hint="eastAsia"/>
          <w:color w:val="auto"/>
          <w:lang w:eastAsia="zh-CN"/>
        </w:rPr>
        <w:t>管理水平位居前</w:t>
      </w:r>
      <w:r w:rsidRPr="00BF49BB" w:rsidR="00BF49BB">
        <w:rPr>
          <w:rFonts w:hint="eastAsia"/>
          <w:color w:val="auto"/>
          <w:lang w:eastAsia="zh-CN"/>
        </w:rPr>
        <w:t>五</w:t>
      </w:r>
      <w:r w:rsidRPr="00BF49BB" w:rsidR="00146321">
        <w:rPr>
          <w:rFonts w:hint="eastAsia"/>
          <w:color w:val="auto"/>
          <w:lang w:eastAsia="zh-CN"/>
        </w:rPr>
        <w:t>，平均收益率分别为17.36%、16.10%</w:t>
      </w:r>
      <w:r w:rsidRPr="00BF49BB" w:rsidR="00BF49BB">
        <w:rPr>
          <w:rFonts w:hint="eastAsia"/>
          <w:color w:val="auto"/>
          <w:lang w:eastAsia="zh-CN"/>
        </w:rPr>
        <w:t>、</w:t>
      </w:r>
      <w:r w:rsidRPr="00BF49BB" w:rsidR="00146321">
        <w:rPr>
          <w:rFonts w:hint="eastAsia"/>
          <w:color w:val="auto"/>
          <w:lang w:eastAsia="zh-CN"/>
        </w:rPr>
        <w:t>13.18%</w:t>
      </w:r>
      <w:r w:rsidRPr="00BF49BB" w:rsidR="00BF49BB">
        <w:rPr>
          <w:rFonts w:hint="eastAsia"/>
          <w:color w:val="auto"/>
          <w:lang w:eastAsia="zh-CN"/>
        </w:rPr>
        <w:t>、11.07%和10.30%。</w:t>
      </w:r>
      <w:r w:rsidR="00BF49BB">
        <w:rPr>
          <w:rFonts w:hint="eastAsia"/>
          <w:color w:val="auto"/>
          <w:lang w:eastAsia="zh-CN"/>
        </w:rPr>
        <w:t>这五家保险公司中，除中荷人寿近三年业绩排名第11位外，其余4家公司近两年和近三年的业绩排名均在同类前十</w:t>
      </w:r>
      <w:r w:rsidR="00BA669B">
        <w:rPr>
          <w:rFonts w:hint="eastAsia"/>
          <w:color w:val="auto"/>
          <w:lang w:eastAsia="zh-CN"/>
        </w:rPr>
        <w:t>，业绩持续性较好</w:t>
      </w:r>
      <w:r w:rsidR="00BF49BB">
        <w:rPr>
          <w:rFonts w:hint="eastAsia"/>
          <w:color w:val="auto"/>
          <w:lang w:eastAsia="zh-CN"/>
        </w:rPr>
        <w:t>。</w:t>
      </w:r>
    </w:p>
    <w:tbl>
      <w:tblPr>
        <w:tblStyle w:val="TableNormal"/>
        <w:tblW w:w="5000" w:type="pct"/>
        <w:tblLook w:val="04A0"/>
      </w:tblPr>
      <w:tblGrid>
        <w:gridCol w:w="2485"/>
        <w:gridCol w:w="940"/>
        <w:gridCol w:w="940"/>
        <w:gridCol w:w="944"/>
        <w:gridCol w:w="2749"/>
        <w:gridCol w:w="940"/>
        <w:gridCol w:w="940"/>
        <w:gridCol w:w="937"/>
      </w:tblGrid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5000" w:type="pct"/>
            <w:gridSpan w:val="8"/>
            <w:tcBorders>
              <w:top w:val="single" w:sz="4" w:space="0" w:color="3399FF"/>
              <w:left w:val="nil"/>
              <w:bottom w:val="single" w:sz="4" w:space="0" w:color="3399FF"/>
              <w:right w:val="nil"/>
            </w:tcBorders>
            <w:shd w:val="clear" w:color="auto" w:fill="auto"/>
            <w:hideMark/>
          </w:tcPr>
          <w:p w:rsidR="008F6148" w:rsidRPr="008F6148" w:rsidP="008F6148">
            <w:pPr>
              <w:jc w:val="left"/>
              <w:rPr>
                <w:rFonts w:ascii="楷体_GB2312" w:hAnsi="宋体" w:cs="宋体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</w:pPr>
            <w:r w:rsidRPr="008F6148">
              <w:rPr>
                <w:rFonts w:ascii="楷体_GB2312" w:hAnsi="宋体" w:cs="宋体" w:hint="eastAsia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  <w:t>图表</w:t>
            </w:r>
            <w:r>
              <w:rPr>
                <w:rFonts w:cs="Arial" w:hint="eastAsia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  <w:t>3</w:t>
            </w:r>
            <w:r w:rsidRPr="008F6148">
              <w:rPr>
                <w:rFonts w:ascii="楷体_GB2312" w:hAnsi="宋体" w:cs="宋体" w:hint="eastAsia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  <w:t>：</w:t>
            </w:r>
            <w:r>
              <w:rPr>
                <w:rFonts w:ascii="楷体_GB2312" w:hAnsi="宋体" w:cs="宋体" w:hint="eastAsia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  <w:t>保险公司偏股类账户平均业绩排名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single" w:sz="4" w:space="0" w:color="3399FF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szCs w:val="18"/>
                <w:lang w:val="en-US"/>
              </w:rPr>
              <w:t>公司</w:t>
            </w:r>
          </w:p>
        </w:tc>
        <w:tc>
          <w:tcPr>
            <w:tcW w:w="432" w:type="pct"/>
            <w:tcBorders>
              <w:top w:val="single" w:sz="4" w:space="0" w:color="3399FF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近一年</w:t>
            </w:r>
          </w:p>
        </w:tc>
        <w:tc>
          <w:tcPr>
            <w:tcW w:w="432" w:type="pct"/>
            <w:tcBorders>
              <w:top w:val="single" w:sz="4" w:space="0" w:color="3399FF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近两年</w:t>
            </w:r>
          </w:p>
        </w:tc>
        <w:tc>
          <w:tcPr>
            <w:tcW w:w="434" w:type="pct"/>
            <w:tcBorders>
              <w:top w:val="single" w:sz="4" w:space="0" w:color="3399FF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近三年</w:t>
            </w:r>
          </w:p>
        </w:tc>
        <w:tc>
          <w:tcPr>
            <w:tcW w:w="1264" w:type="pct"/>
            <w:tcBorders>
              <w:top w:val="single" w:sz="4" w:space="0" w:color="3399FF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szCs w:val="18"/>
                <w:lang w:val="en-US"/>
              </w:rPr>
              <w:t>公司</w:t>
            </w:r>
          </w:p>
        </w:tc>
        <w:tc>
          <w:tcPr>
            <w:tcW w:w="432" w:type="pct"/>
            <w:tcBorders>
              <w:top w:val="single" w:sz="4" w:space="0" w:color="3399FF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近一年</w:t>
            </w:r>
          </w:p>
        </w:tc>
        <w:tc>
          <w:tcPr>
            <w:tcW w:w="432" w:type="pct"/>
            <w:tcBorders>
              <w:top w:val="single" w:sz="4" w:space="0" w:color="3399FF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近两年</w:t>
            </w:r>
          </w:p>
        </w:tc>
        <w:tc>
          <w:tcPr>
            <w:tcW w:w="431" w:type="pct"/>
            <w:tcBorders>
              <w:top w:val="single" w:sz="4" w:space="0" w:color="3399FF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近三年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太平人寿保险有限公司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17.36%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20.19%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-8.55%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信诚人寿保险有限公司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4.60%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8.37%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-13.65%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中荷人寿保险有限公司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16.10%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16.58%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-9.31%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工银安盛人寿保险有限公司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3.68%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3.43%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招商信诺人寿保险有限公司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13.18%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16.72%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-8.67%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中美联泰大都会人寿保险有限公司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3.29%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8.31%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-12.53%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长生人寿保险有限公司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11.07%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17.31%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-3.08%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国泰人寿保险有限责任公司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3.22</w:t>
            </w: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7.14%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-18.84%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平安养老保险股份有限公司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10.30%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16.27%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-0.45%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北大方正人寿保险有限公司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3.09%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1.50%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-23.02%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建信人寿保险有限公司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10.21%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16.67%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-2.05%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恒安标准人寿保险有限公司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3.04%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6.52%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-12.58%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汇丰人寿保险有限公司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9.72%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2.95%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-15.65%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中德安联人寿保险有限公司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1.38%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5.35%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-14.68%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泰康人寿保险股份有限公司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9.16%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13.26%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-3.87%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光大永明人寿保险有限公司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1.33%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4.96%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-11.01%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中国平安人寿保险股份有限公司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8.88%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14.35%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-9.05%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新华人寿保险股份有限公司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0.26%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2.75%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-21.89%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中国人寿保险股份有限公司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8.15%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-5.33%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-24.37%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美国友邦保险有限公司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-0.84%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7.28%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-9.13%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生命人寿保险股份有限公司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7.87%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6.81%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-5.92%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华泰人寿保险股份有限公司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-1.22%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8.76%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-9.33%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中英人寿保险有限公司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5.93%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6.90%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-17.2</w:t>
            </w: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5%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合众人寿保险股份有限公司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-2.58%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-1.93%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-22.69%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瑞泰人寿保险有限公司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5.78%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14.20%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-11.58%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中意人寿保险有限公司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-5.07%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-25.97%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-38.48%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4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海康人寿保险有限公司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4.69%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8.67%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A0E9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-8.16%</w:t>
            </w:r>
          </w:p>
        </w:tc>
        <w:tc>
          <w:tcPr>
            <w:tcW w:w="1264" w:type="pct"/>
            <w:tcBorders>
              <w:top w:val="nil"/>
              <w:left w:val="single" w:sz="4" w:space="0" w:color="3399FF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中宏人寿保险有限公司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-5.74%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-2.85%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Cs/>
                <w:color w:val="000000"/>
                <w:szCs w:val="18"/>
                <w:lang w:val="en-US"/>
              </w:rPr>
              <w:t>-19.57%</w:t>
            </w:r>
          </w:p>
        </w:tc>
      </w:tr>
      <w:tr w:rsidTr="008F6148">
        <w:tblPrEx>
          <w:tblW w:w="5000" w:type="pct"/>
          <w:tblLook w:val="04A0"/>
        </w:tblPrEx>
        <w:trPr>
          <w:trHeight w:val="270"/>
        </w:trPr>
        <w:tc>
          <w:tcPr>
            <w:tcW w:w="5000" w:type="pct"/>
            <w:gridSpan w:val="8"/>
            <w:tcBorders>
              <w:top w:val="single" w:sz="8" w:space="0" w:color="00A0E9"/>
              <w:left w:val="nil"/>
              <w:bottom w:val="nil"/>
            </w:tcBorders>
            <w:shd w:val="clear" w:color="auto" w:fill="auto"/>
            <w:hideMark/>
          </w:tcPr>
          <w:p w:rsidR="008F6148" w:rsidRPr="008F6148" w:rsidP="008F6148">
            <w:pPr>
              <w:jc w:val="left"/>
              <w:rPr>
                <w:rFonts w:ascii="楷体_GB2312" w:hAnsi="宋体" w:cs="宋体"/>
                <w:color w:val="000000"/>
                <w:sz w:val="15"/>
                <w:szCs w:val="15"/>
                <w:lang w:val="en-US"/>
              </w:rPr>
            </w:pPr>
            <w:r w:rsidRPr="008F6148">
              <w:rPr>
                <w:rFonts w:ascii="楷体_GB2312" w:hAnsi="宋体" w:cs="宋体" w:hint="eastAsia"/>
                <w:color w:val="000000"/>
                <w:sz w:val="15"/>
                <w:szCs w:val="15"/>
                <w:lang w:val="en-US"/>
              </w:rPr>
              <w:t>来源：国金证券研究所</w:t>
            </w:r>
          </w:p>
        </w:tc>
      </w:tr>
    </w:tbl>
    <w:p w:rsidR="008F6148" w:rsidP="00BF49BB">
      <w:pPr>
        <w:pStyle w:val="BodyText"/>
        <w:numPr>
          <w:ilvl w:val="5"/>
          <w:numId w:val="27"/>
        </w:numPr>
        <w:rPr>
          <w:rFonts w:hint="eastAsia"/>
          <w:color w:val="auto"/>
          <w:lang w:val="en-US" w:eastAsia="zh-CN"/>
        </w:rPr>
      </w:pPr>
      <w:r w:rsidRPr="00BF49BB" w:rsidR="00BF49BB">
        <w:rPr>
          <w:rFonts w:hint="eastAsia"/>
          <w:color w:val="auto"/>
          <w:lang w:eastAsia="zh-CN"/>
        </w:rPr>
        <w:t>对于偏债类账户的投资业绩，中国人寿、长生人寿、中荷人寿、阳光人寿和国泰人寿</w:t>
      </w:r>
      <w:r w:rsidR="00BA669B">
        <w:rPr>
          <w:rFonts w:hint="eastAsia"/>
          <w:color w:val="auto"/>
          <w:lang w:eastAsia="zh-CN"/>
        </w:rPr>
        <w:t>近一年</w:t>
      </w:r>
      <w:r w:rsidRPr="00BF49BB" w:rsidR="00BF49BB">
        <w:rPr>
          <w:rFonts w:hint="eastAsia"/>
          <w:color w:val="auto"/>
          <w:lang w:eastAsia="zh-CN"/>
        </w:rPr>
        <w:t>的管理水平位居前五，平均收益率分别为11.99%、6.12%、5.24%、4.98%和4.28%。</w:t>
      </w:r>
      <w:r w:rsidR="00BF49BB">
        <w:rPr>
          <w:rFonts w:hint="eastAsia"/>
          <w:color w:val="auto"/>
          <w:lang w:eastAsia="zh-CN"/>
        </w:rPr>
        <w:t>这五家保险公司近两年的业绩排名均在同类前十，但是近三年的业绩排名均在同类后十。</w:t>
      </w:r>
    </w:p>
    <w:tbl>
      <w:tblPr>
        <w:tblStyle w:val="TableNormal"/>
        <w:tblW w:w="5000" w:type="pct"/>
        <w:tblLook w:val="04A0"/>
      </w:tblPr>
      <w:tblGrid>
        <w:gridCol w:w="2523"/>
        <w:gridCol w:w="955"/>
        <w:gridCol w:w="883"/>
        <w:gridCol w:w="992"/>
        <w:gridCol w:w="2682"/>
        <w:gridCol w:w="950"/>
        <w:gridCol w:w="950"/>
        <w:gridCol w:w="940"/>
      </w:tblGrid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5000" w:type="pct"/>
            <w:gridSpan w:val="8"/>
            <w:tcBorders>
              <w:top w:val="single" w:sz="8" w:space="0" w:color="3399FF"/>
              <w:left w:val="nil"/>
              <w:bottom w:val="single" w:sz="8" w:space="0" w:color="3399FF"/>
              <w:right w:val="nil"/>
            </w:tcBorders>
            <w:shd w:val="clear" w:color="auto" w:fill="auto"/>
            <w:hideMark/>
          </w:tcPr>
          <w:p w:rsidR="008F6148" w:rsidRPr="008F6148" w:rsidP="008F6148">
            <w:pPr>
              <w:jc w:val="left"/>
              <w:rPr>
                <w:rFonts w:ascii="楷体_GB2312" w:hAnsi="宋体" w:cs="宋体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</w:pPr>
            <w:r w:rsidRPr="008F6148">
              <w:rPr>
                <w:rFonts w:ascii="楷体_GB2312" w:hAnsi="宋体" w:cs="宋体" w:hint="eastAsia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  <w:t>图表</w:t>
            </w:r>
            <w:r>
              <w:rPr>
                <w:rFonts w:ascii="楷体_GB2312" w:hAnsi="宋体" w:cs="宋体" w:hint="eastAsia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  <w:t>4</w:t>
            </w:r>
            <w:r w:rsidRPr="008F6148">
              <w:rPr>
                <w:rFonts w:ascii="楷体_GB2312" w:hAnsi="宋体" w:cs="宋体" w:hint="eastAsia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  <w:t>：保险公司偏债类账户平均业绩排名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近一年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近两年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近三年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近一年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近两年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近三年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中国人寿保险股份有限公司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11.99%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9.86%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-5.71%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中意人寿保险有限公司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2.14%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7.08%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0.69%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长生人寿保险有限公司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6.12%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9.72%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1.64%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生命人寿保险股份有限公司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1.95%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10.87%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5.31%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中荷人寿保险有限公司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5.24%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8.94%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</w:t>
            </w: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.97%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信诚人寿保险有限公司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1.91%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5.53%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2.10%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阳光人寿保险股份有限公司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4.98%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12.55%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恒安标准人寿保险有限公司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1.81%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5.98%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3.46%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国泰人寿保险有限责任公司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4.28%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9.59%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-3.10%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招商信诺人寿保险有限公司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1.75%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6.53%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6.40%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华泰人寿保险股份有限公司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4.13%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9.31%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12.53%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瑞泰人寿保险有限公司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1.56%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7.14%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2.47%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泰康人寿保险股份有限公司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3.63%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10.87%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12.07%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美国友邦保险有限公司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1.51%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4.40%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2.57%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中国平安人寿保险股份有限公司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3.62%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7.56%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10.94%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中美联泰大都会人寿保险有限公司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1.16%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5.84%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2.49%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工银安盛人寿保险有限公司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3.29%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7.33%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-1.45%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太平人寿保险有限公司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1.16%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1.75%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-2.31%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平安养老保险股份有限公司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3.01%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6.97%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4.63%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中英人寿保险有限公司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0.73%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5.66%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6.22%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海康人寿保险有限公司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2.93%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8.87%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8.95%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汇丰人寿保险有限公司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0.20%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3.72%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2.55%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中德安联人寿保险有限公司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2.54%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5.08%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10.98%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合众人寿保险股份有限公司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-0.44%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5.18%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-0.81%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光大永明人寿保险有限公司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2.46%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-1.76%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-1.73%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建信人寿保险有限公司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-1.18%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2.84%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-2.33%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1160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中宏人寿保险有限公司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2.31%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4.94%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00A0E9"/>
              <w:right w:val="single" w:sz="8" w:space="0" w:color="3399FF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7.06%</w:t>
            </w:r>
          </w:p>
        </w:tc>
        <w:tc>
          <w:tcPr>
            <w:tcW w:w="1233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北大方正人寿保险有限公司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-3.46%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-0.01%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8F6148" w:rsidRPr="008F6148" w:rsidP="008F6148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8F6148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-6.09%</w:t>
            </w:r>
          </w:p>
        </w:tc>
      </w:tr>
      <w:tr w:rsidTr="008F6148">
        <w:tblPrEx>
          <w:tblW w:w="5000" w:type="pct"/>
          <w:tblLook w:val="04A0"/>
        </w:tblPrEx>
        <w:trPr>
          <w:trHeight w:val="270"/>
        </w:trPr>
        <w:tc>
          <w:tcPr>
            <w:tcW w:w="5000" w:type="pct"/>
            <w:gridSpan w:val="8"/>
            <w:tcBorders>
              <w:top w:val="single" w:sz="8" w:space="0" w:color="00A0E9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6148" w:rsidRPr="008F6148" w:rsidP="008F6148">
            <w:pPr>
              <w:jc w:val="left"/>
              <w:rPr>
                <w:rFonts w:ascii="楷体_GB2312" w:hAnsi="宋体" w:cs="宋体"/>
                <w:color w:val="000000"/>
                <w:sz w:val="15"/>
                <w:szCs w:val="15"/>
                <w:lang w:val="en-US"/>
              </w:rPr>
            </w:pPr>
            <w:r w:rsidRPr="008F6148">
              <w:rPr>
                <w:rFonts w:ascii="楷体_GB2312" w:hAnsi="宋体" w:cs="宋体" w:hint="eastAsia"/>
                <w:color w:val="000000"/>
                <w:sz w:val="15"/>
                <w:szCs w:val="15"/>
                <w:lang w:val="en-US"/>
              </w:rPr>
              <w:t>来源：国金证券研究所</w:t>
            </w:r>
          </w:p>
        </w:tc>
      </w:tr>
    </w:tbl>
    <w:p w:rsidR="008F6148" w:rsidRPr="008F6148" w:rsidP="00F93206">
      <w:pPr>
        <w:pStyle w:val="BodyText"/>
        <w:rPr>
          <w:rFonts w:hint="eastAsia"/>
          <w:color w:val="auto"/>
          <w:lang w:val="en-US" w:eastAsia="zh-CN"/>
        </w:rPr>
        <w:sectPr w:rsidSect="009C0521">
          <w:headerReference w:type="default" r:id="rId24"/>
          <w:footerReference w:type="even" r:id="rId25"/>
          <w:footerReference w:type="default" r:id="rId26"/>
          <w:footerReference w:type="first" r:id="rId27"/>
          <w:type w:val="nextPage"/>
          <w:pgSz w:w="11907" w:h="16840" w:code="9"/>
          <w:pgMar w:top="1440" w:right="624" w:bottom="1440" w:left="624" w:header="851" w:footer="397" w:gutter="0"/>
          <w:pgNumType w:start="4"/>
          <w:cols w:space="720"/>
          <w:titlePg w:val="0"/>
        </w:sectPr>
      </w:pPr>
    </w:p>
    <w:p w:rsidR="009E7462" w:rsidRPr="00E54B00" w:rsidP="009E7462">
      <w:pPr>
        <w:pStyle w:val="12"/>
        <w:ind w:left="3402" w:leftChars="1890"/>
        <w:rPr>
          <w:rFonts w:hint="eastAsia"/>
          <w:color w:val="auto"/>
          <w:lang w:eastAsia="zh-CN"/>
        </w:rPr>
      </w:pPr>
      <w:r w:rsidRPr="005147A7">
        <w:rPr>
          <w:rFonts w:hint="eastAsia"/>
          <w:color w:val="auto"/>
        </w:rPr>
        <w:t>第</w:t>
      </w:r>
      <w:r w:rsidR="000C2DEA">
        <w:rPr>
          <w:rFonts w:hint="eastAsia"/>
          <w:color w:val="auto"/>
          <w:lang w:eastAsia="zh-CN"/>
        </w:rPr>
        <w:t>二</w:t>
      </w:r>
      <w:r w:rsidRPr="005147A7">
        <w:rPr>
          <w:rFonts w:hint="eastAsia"/>
          <w:color w:val="auto"/>
        </w:rPr>
        <w:t>部分</w:t>
      </w:r>
      <w:r w:rsidR="007F1A21">
        <w:rPr>
          <w:rFonts w:hint="eastAsia"/>
          <w:color w:val="auto"/>
          <w:lang w:eastAsia="zh-CN"/>
        </w:rPr>
        <w:t>：</w:t>
      </w:r>
      <w:r w:rsidRPr="00DA7A5F" w:rsidR="00DA7A5F">
        <w:rPr>
          <w:rFonts w:hint="eastAsia"/>
          <w:color w:val="auto"/>
        </w:rPr>
        <w:t>中长期投连险账户风险收益特征分析</w:t>
      </w:r>
    </w:p>
    <w:p w:rsidR="000A19A8" w:rsidP="000A19A8">
      <w:pPr>
        <w:pStyle w:val="BodyText"/>
        <w:numPr>
          <w:ilvl w:val="4"/>
          <w:numId w:val="34"/>
        </w:numPr>
        <w:rPr>
          <w:rFonts w:hint="eastAsia"/>
          <w:color w:val="auto"/>
        </w:rPr>
      </w:pPr>
      <w:r>
        <w:rPr>
          <w:rFonts w:hint="eastAsia"/>
          <w:color w:val="auto"/>
        </w:rPr>
        <w:t>以下对设立期限较长账户过去一年、两年、三年这三个统计区间的风险收益指标进行统计，综合考察投连险账户对市场的适应能力以及风险控制能力。</w:t>
      </w:r>
      <w:r w:rsidRPr="0099748C">
        <w:rPr>
          <w:rFonts w:hint="eastAsia"/>
          <w:color w:val="auto"/>
        </w:rPr>
        <w:t>图表</w:t>
      </w:r>
      <w:r w:rsidR="00A92A4A">
        <w:rPr>
          <w:rFonts w:hint="eastAsia"/>
          <w:color w:val="auto"/>
          <w:lang w:eastAsia="zh-CN"/>
        </w:rPr>
        <w:t>9</w:t>
      </w:r>
      <w:r>
        <w:rPr>
          <w:rFonts w:hint="eastAsia"/>
          <w:color w:val="auto"/>
          <w:lang w:eastAsia="zh-CN"/>
        </w:rPr>
        <w:t>~1</w:t>
      </w:r>
      <w:r w:rsidR="00A92A4A">
        <w:rPr>
          <w:rFonts w:hint="eastAsia"/>
          <w:color w:val="auto"/>
          <w:lang w:eastAsia="zh-CN"/>
        </w:rPr>
        <w:t>5</w:t>
      </w:r>
      <w:r>
        <w:rPr>
          <w:rFonts w:hint="eastAsia"/>
          <w:color w:val="auto"/>
        </w:rPr>
        <w:t>包含</w:t>
      </w:r>
      <w:r w:rsidRPr="0099748C">
        <w:rPr>
          <w:rFonts w:hint="eastAsia"/>
          <w:color w:val="auto"/>
        </w:rPr>
        <w:t>各类账户</w:t>
      </w:r>
      <w:r>
        <w:rPr>
          <w:rFonts w:hint="eastAsia"/>
          <w:color w:val="auto"/>
        </w:rPr>
        <w:t>的具体风险收益指标明细，</w:t>
      </w:r>
      <w:r w:rsidRPr="0099748C">
        <w:rPr>
          <w:rFonts w:hint="eastAsia"/>
          <w:color w:val="auto"/>
        </w:rPr>
        <w:t>以下分析主要针对图表</w:t>
      </w:r>
      <w:r w:rsidR="00A92A4A">
        <w:rPr>
          <w:rFonts w:hint="eastAsia"/>
          <w:color w:val="auto"/>
          <w:lang w:eastAsia="zh-CN"/>
        </w:rPr>
        <w:t>9</w:t>
      </w:r>
      <w:r>
        <w:rPr>
          <w:rFonts w:hint="eastAsia"/>
          <w:color w:val="auto"/>
          <w:lang w:eastAsia="zh-CN"/>
        </w:rPr>
        <w:t>~1</w:t>
      </w:r>
      <w:r w:rsidR="00A92A4A">
        <w:rPr>
          <w:rFonts w:hint="eastAsia"/>
          <w:color w:val="auto"/>
          <w:lang w:eastAsia="zh-CN"/>
        </w:rPr>
        <w:t>5</w:t>
      </w:r>
      <w:r w:rsidRPr="0099748C">
        <w:rPr>
          <w:rFonts w:hint="eastAsia"/>
          <w:color w:val="auto"/>
        </w:rPr>
        <w:t>展开，在计算账户收益率时统一采用卖出价。</w:t>
      </w:r>
    </w:p>
    <w:p w:rsidR="000A19A8" w:rsidP="000A19A8">
      <w:pPr>
        <w:pStyle w:val="BodyText"/>
        <w:numPr>
          <w:ilvl w:val="4"/>
          <w:numId w:val="34"/>
        </w:numPr>
        <w:rPr>
          <w:rFonts w:hint="eastAsia"/>
          <w:color w:val="auto"/>
        </w:rPr>
      </w:pPr>
      <w:r>
        <w:rPr>
          <w:rFonts w:hint="eastAsia"/>
          <w:color w:val="auto"/>
          <w:lang w:eastAsia="zh-CN"/>
        </w:rPr>
        <w:t>图表</w:t>
      </w:r>
      <w:r w:rsidR="00A92A4A">
        <w:rPr>
          <w:rFonts w:hint="eastAsia"/>
          <w:color w:val="auto"/>
          <w:lang w:eastAsia="zh-CN"/>
        </w:rPr>
        <w:t>5</w:t>
      </w:r>
      <w:r>
        <w:rPr>
          <w:rFonts w:hint="eastAsia"/>
          <w:color w:val="auto"/>
          <w:lang w:eastAsia="zh-CN"/>
        </w:rPr>
        <w:t>显示了投连险各类账户近一年、两年、三年考察时段的收益指标。</w:t>
      </w:r>
      <w:r w:rsidRPr="00971CC3">
        <w:rPr>
          <w:rFonts w:hint="eastAsia"/>
          <w:color w:val="auto"/>
          <w:lang w:eastAsia="zh-CN"/>
        </w:rPr>
        <w:t>近一年</w:t>
      </w:r>
      <w:r>
        <w:rPr>
          <w:rFonts w:hint="eastAsia"/>
          <w:color w:val="auto"/>
          <w:lang w:eastAsia="zh-CN"/>
        </w:rPr>
        <w:t>来</w:t>
      </w:r>
      <w:r w:rsidR="00B00D36">
        <w:rPr>
          <w:rFonts w:hint="eastAsia"/>
          <w:color w:val="auto"/>
          <w:lang w:eastAsia="zh-CN"/>
        </w:rPr>
        <w:t>大盘震荡下跌7.65%，但是中小板和创业板分别上涨17.54%和82.73%</w:t>
      </w:r>
      <w:r>
        <w:rPr>
          <w:rFonts w:hint="eastAsia"/>
          <w:color w:val="auto"/>
          <w:lang w:eastAsia="zh-CN"/>
        </w:rPr>
        <w:t>。</w:t>
      </w:r>
      <w:r w:rsidR="00B00D36">
        <w:rPr>
          <w:rFonts w:hint="eastAsia"/>
          <w:color w:val="auto"/>
          <w:lang w:eastAsia="zh-CN"/>
        </w:rPr>
        <w:t>各类投连险账户中，除股票-指数型账户外，均取得了一定的正收益，其中股票型和混合偏股型平均收益率在5%以上。</w:t>
      </w:r>
      <w:r>
        <w:rPr>
          <w:rFonts w:hint="eastAsia"/>
          <w:color w:val="auto"/>
          <w:lang w:eastAsia="zh-CN"/>
        </w:rPr>
        <w:t>股票型近一年收益率超越沪深300约</w:t>
      </w:r>
      <w:r w:rsidR="00B00D36">
        <w:rPr>
          <w:rFonts w:hint="eastAsia"/>
          <w:color w:val="auto"/>
          <w:lang w:eastAsia="zh-CN"/>
        </w:rPr>
        <w:t>17</w:t>
      </w:r>
      <w:r>
        <w:rPr>
          <w:rFonts w:hint="eastAsia"/>
          <w:color w:val="auto"/>
          <w:lang w:eastAsia="zh-CN"/>
        </w:rPr>
        <w:t>个百分点，账户管理人借助于</w:t>
      </w:r>
      <w:r w:rsidR="00B00D36">
        <w:rPr>
          <w:rFonts w:hint="eastAsia"/>
          <w:color w:val="auto"/>
          <w:lang w:eastAsia="zh-CN"/>
        </w:rPr>
        <w:t>中小板股票</w:t>
      </w:r>
      <w:r>
        <w:rPr>
          <w:rFonts w:hint="eastAsia"/>
          <w:color w:val="auto"/>
          <w:lang w:eastAsia="zh-CN"/>
        </w:rPr>
        <w:t>获得了较高的收益；混合偏股型账户收益率</w:t>
      </w:r>
      <w:r w:rsidR="00B00D36">
        <w:rPr>
          <w:rFonts w:hint="eastAsia"/>
          <w:color w:val="auto"/>
          <w:lang w:eastAsia="zh-CN"/>
        </w:rPr>
        <w:t>超越沪深300约13个百分点</w:t>
      </w:r>
      <w:r>
        <w:rPr>
          <w:rFonts w:hint="eastAsia"/>
          <w:color w:val="auto"/>
          <w:lang w:eastAsia="zh-CN"/>
        </w:rPr>
        <w:t>，</w:t>
      </w:r>
      <w:r w:rsidR="00B00D36">
        <w:rPr>
          <w:rFonts w:hint="eastAsia"/>
          <w:color w:val="auto"/>
          <w:lang w:eastAsia="zh-CN"/>
        </w:rPr>
        <w:t>债券拖累了该类账户的业绩</w:t>
      </w:r>
      <w:r>
        <w:rPr>
          <w:rFonts w:hint="eastAsia"/>
          <w:color w:val="auto"/>
          <w:lang w:eastAsia="zh-CN"/>
        </w:rPr>
        <w:t>。近两年，股市</w:t>
      </w:r>
      <w:r w:rsidR="002155D2">
        <w:rPr>
          <w:rFonts w:hint="eastAsia"/>
          <w:color w:val="auto"/>
          <w:lang w:eastAsia="zh-CN"/>
        </w:rPr>
        <w:t>虽然累计微跌0.67%，但是</w:t>
      </w:r>
      <w:r>
        <w:rPr>
          <w:rFonts w:hint="eastAsia"/>
          <w:color w:val="auto"/>
          <w:lang w:eastAsia="zh-CN"/>
        </w:rPr>
        <w:t>波动较大</w:t>
      </w:r>
      <w:r w:rsidR="002155D2">
        <w:rPr>
          <w:rFonts w:hint="eastAsia"/>
          <w:color w:val="auto"/>
          <w:lang w:eastAsia="zh-CN"/>
        </w:rPr>
        <w:t>。除股票-</w:t>
      </w:r>
      <w:r>
        <w:rPr>
          <w:rFonts w:hint="eastAsia"/>
          <w:color w:val="auto"/>
          <w:lang w:eastAsia="zh-CN"/>
        </w:rPr>
        <w:t>指数型账户</w:t>
      </w:r>
      <w:r w:rsidR="002155D2">
        <w:rPr>
          <w:rFonts w:hint="eastAsia"/>
          <w:color w:val="auto"/>
          <w:lang w:eastAsia="zh-CN"/>
        </w:rPr>
        <w:t>平均收益为负外，其余各类账户均取得了绝对回报。其中，股票型和混合偏股型平均收益率领先，分别为12.25%和9.07%</w:t>
      </w:r>
      <w:r>
        <w:rPr>
          <w:rFonts w:hint="eastAsia"/>
          <w:color w:val="auto"/>
          <w:lang w:eastAsia="zh-CN"/>
        </w:rPr>
        <w:t>。近三年</w:t>
      </w:r>
      <w:r w:rsidRPr="00971CC3">
        <w:rPr>
          <w:rFonts w:hint="eastAsia"/>
          <w:color w:val="auto"/>
          <w:lang w:eastAsia="zh-CN"/>
        </w:rPr>
        <w:t>，</w:t>
      </w:r>
      <w:r w:rsidR="002155D2">
        <w:rPr>
          <w:rFonts w:hint="eastAsia"/>
          <w:color w:val="auto"/>
          <w:lang w:eastAsia="zh-CN"/>
        </w:rPr>
        <w:t>沪深300大幅下挫25.52%</w:t>
      </w:r>
      <w:r>
        <w:rPr>
          <w:rFonts w:hint="eastAsia"/>
          <w:color w:val="auto"/>
          <w:lang w:eastAsia="zh-CN"/>
        </w:rPr>
        <w:t>，</w:t>
      </w:r>
      <w:r w:rsidRPr="00971CC3">
        <w:rPr>
          <w:rFonts w:hint="eastAsia"/>
          <w:color w:val="auto"/>
          <w:lang w:eastAsia="zh-CN"/>
        </w:rPr>
        <w:t>投连险偏股类账户</w:t>
      </w:r>
      <w:r w:rsidR="002155D2">
        <w:rPr>
          <w:rFonts w:hint="eastAsia"/>
          <w:color w:val="auto"/>
          <w:lang w:eastAsia="zh-CN"/>
        </w:rPr>
        <w:t>中凡是配置股票的，均未能创造正收益，债券型账户由于2011、2013年熊市，未能跑赢货币型账户</w:t>
      </w:r>
      <w:r w:rsidRPr="00971CC3">
        <w:rPr>
          <w:rFonts w:hint="eastAsia"/>
          <w:color w:val="auto"/>
          <w:lang w:eastAsia="zh-CN"/>
        </w:rPr>
        <w:t>。</w:t>
      </w:r>
    </w:p>
    <w:tbl>
      <w:tblPr>
        <w:tblStyle w:val="TableNormal"/>
        <w:tblW w:w="5000" w:type="pct"/>
        <w:tblLook w:val="04A0"/>
      </w:tblPr>
      <w:tblGrid>
        <w:gridCol w:w="1635"/>
        <w:gridCol w:w="1026"/>
        <w:gridCol w:w="1026"/>
        <w:gridCol w:w="1027"/>
        <w:gridCol w:w="1027"/>
        <w:gridCol w:w="1027"/>
        <w:gridCol w:w="1029"/>
        <w:gridCol w:w="1027"/>
        <w:gridCol w:w="1027"/>
        <w:gridCol w:w="1024"/>
      </w:tblGrid>
      <w:tr w:rsidTr="008F6148">
        <w:tblPrEx>
          <w:tblW w:w="5000" w:type="pct"/>
          <w:tblLook w:val="04A0"/>
        </w:tblPrEx>
        <w:trPr>
          <w:trHeight w:val="198"/>
        </w:trPr>
        <w:tc>
          <w:tcPr>
            <w:tcW w:w="5000" w:type="pct"/>
            <w:gridSpan w:val="10"/>
            <w:tcBorders>
              <w:top w:val="single" w:sz="4" w:space="0" w:color="3399FF"/>
              <w:left w:val="nil"/>
              <w:bottom w:val="single" w:sz="4" w:space="0" w:color="33CCFF"/>
              <w:right w:val="nil"/>
            </w:tcBorders>
            <w:shd w:val="clear" w:color="auto" w:fill="auto"/>
            <w:hideMark/>
          </w:tcPr>
          <w:p w:rsidR="00D5118B" w:rsidRPr="00D5118B" w:rsidP="008F6148">
            <w:pPr>
              <w:jc w:val="left"/>
              <w:rPr>
                <w:rFonts w:ascii="楷体_GB2312" w:hAnsi="宋体" w:cs="宋体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</w:pPr>
            <w:r w:rsidRPr="00D5118B">
              <w:rPr>
                <w:rFonts w:ascii="楷体_GB2312" w:hAnsi="宋体" w:cs="宋体" w:hint="eastAsia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  <w:t>图表</w:t>
            </w:r>
            <w:r w:rsidR="008F6148">
              <w:rPr>
                <w:rFonts w:cs="Arial" w:hint="eastAsia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  <w:t>5</w:t>
            </w:r>
            <w:r w:rsidRPr="00D5118B">
              <w:rPr>
                <w:rFonts w:ascii="楷体_GB2312" w:hAnsi="宋体" w:cs="宋体" w:hint="eastAsia"/>
                <w:b/>
                <w:bCs/>
                <w:i/>
                <w:iCs/>
                <w:color w:val="000000"/>
                <w:sz w:val="21"/>
                <w:szCs w:val="21"/>
                <w:lang w:val="en-US"/>
              </w:rPr>
              <w:t>：投连险账户收益特征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752" w:type="pct"/>
            <w:tcBorders>
              <w:top w:val="single" w:sz="4" w:space="0" w:color="3399FF"/>
              <w:left w:val="nil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</w:rPr>
              <w:t>　</w:t>
            </w:r>
          </w:p>
        </w:tc>
        <w:tc>
          <w:tcPr>
            <w:tcW w:w="1415" w:type="pct"/>
            <w:gridSpan w:val="3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近一年</w:t>
            </w:r>
          </w:p>
        </w:tc>
        <w:tc>
          <w:tcPr>
            <w:tcW w:w="1417" w:type="pct"/>
            <w:gridSpan w:val="3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近两年</w:t>
            </w:r>
          </w:p>
        </w:tc>
        <w:tc>
          <w:tcPr>
            <w:tcW w:w="1417" w:type="pct"/>
            <w:gridSpan w:val="3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nil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近三年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752" w:type="pct"/>
            <w:tcBorders>
              <w:top w:val="single" w:sz="4" w:space="0" w:color="3399FF"/>
              <w:left w:val="nil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　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平均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最高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最低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平均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最高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最低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平均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最高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nil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最低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752" w:type="pct"/>
            <w:tcBorders>
              <w:top w:val="single" w:sz="4" w:space="0" w:color="3399FF"/>
              <w:left w:val="nil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股票型账户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8.97%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27.75%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-6.82%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12.25%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30.06%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-3.58%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-10.74%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10.29%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nil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-22.96%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752" w:type="pct"/>
            <w:tcBorders>
              <w:top w:val="single" w:sz="4" w:space="0" w:color="3399FF"/>
              <w:left w:val="nil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股票-指数型账户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-8.03%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-5.56%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-16.22%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-3.59%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0.70%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-15.89%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-26.05%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-22.50%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nil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-34.57%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752" w:type="pct"/>
            <w:tcBorders>
              <w:top w:val="single" w:sz="4" w:space="0" w:color="3399FF"/>
              <w:left w:val="nil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混合偏股型账户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5.45%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16.89%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-2.11%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9.07%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38.50%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-4.40%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-9.88%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-1.31%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nil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-23.02%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752" w:type="pct"/>
            <w:tcBorders>
              <w:top w:val="single" w:sz="4" w:space="0" w:color="3399FF"/>
              <w:left w:val="nil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灵活配置型账户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0.99%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18.75%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-7.93%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2.08%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26.21%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-25.97%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-16.17%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2.97%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nil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-38.48%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752" w:type="pct"/>
            <w:tcBorders>
              <w:top w:val="single" w:sz="4" w:space="0" w:color="3399FF"/>
              <w:left w:val="nil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债券型账户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1.10%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8.10%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-3.27%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6.07%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14.87%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-12.46%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4.60%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13.39%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nil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-15.46%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752" w:type="pct"/>
            <w:tcBorders>
              <w:top w:val="single" w:sz="4" w:space="0" w:color="3399FF"/>
              <w:left w:val="nil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混合偏债型账户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3.57%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22.09%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-5.36%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6.15%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17.39%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-8.14%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-5.58%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12.53%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nil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-30.56%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752" w:type="pct"/>
            <w:tcBorders>
              <w:top w:val="single" w:sz="4" w:space="0" w:color="3399FF"/>
              <w:left w:val="nil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货币型账户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3.47%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4.23%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2.22%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7.33%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10.46%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5.10%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10.82%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15.55%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nil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</w:rPr>
              <w:t>7.65%</w:t>
            </w:r>
          </w:p>
        </w:tc>
      </w:tr>
      <w:tr w:rsidTr="008F6148">
        <w:tblPrEx>
          <w:tblW w:w="5000" w:type="pct"/>
          <w:tblLook w:val="04A0"/>
        </w:tblPrEx>
        <w:trPr>
          <w:trHeight w:val="285"/>
        </w:trPr>
        <w:tc>
          <w:tcPr>
            <w:tcW w:w="752" w:type="pct"/>
            <w:tcBorders>
              <w:top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000000" w:fill="D9D9D9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b/>
                <w:bCs/>
                <w:color w:val="000000"/>
                <w:szCs w:val="18"/>
                <w:lang w:val="en-US"/>
              </w:rPr>
              <w:t>沪深300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000000" w:fill="D9D9D9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-7.65%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000000" w:fill="D9D9D9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——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000000" w:fill="D9D9D9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——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000000" w:fill="D9D9D9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-0.67%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000000" w:fill="D9D9D9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——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000000" w:fill="D9D9D9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——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000000" w:fill="D9D9D9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FF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FF0000"/>
                <w:szCs w:val="18"/>
              </w:rPr>
              <w:t>-25.52%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single" w:sz="4" w:space="0" w:color="3399FF"/>
            </w:tcBorders>
            <w:shd w:val="clear" w:color="000000" w:fill="D9D9D9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——</w:t>
            </w:r>
          </w:p>
        </w:tc>
        <w:tc>
          <w:tcPr>
            <w:tcW w:w="472" w:type="pct"/>
            <w:tcBorders>
              <w:top w:val="single" w:sz="4" w:space="0" w:color="3399FF"/>
              <w:left w:val="single" w:sz="4" w:space="0" w:color="3399FF"/>
              <w:bottom w:val="single" w:sz="4" w:space="0" w:color="3399FF"/>
              <w:right w:val="nil"/>
            </w:tcBorders>
            <w:shd w:val="clear" w:color="000000" w:fill="D9D9D9"/>
            <w:vAlign w:val="center"/>
            <w:hideMark/>
          </w:tcPr>
          <w:p w:rsidR="00D5118B" w:rsidRPr="00D5118B" w:rsidP="00D5118B">
            <w:pPr>
              <w:jc w:val="center"/>
              <w:rPr>
                <w:rFonts w:ascii="宋体" w:eastAsia="宋体" w:hAnsi="宋体" w:cs="宋体"/>
                <w:color w:val="000000"/>
                <w:szCs w:val="18"/>
                <w:lang w:val="en-US"/>
              </w:rPr>
            </w:pPr>
            <w:r w:rsidRPr="00D5118B">
              <w:rPr>
                <w:rFonts w:ascii="宋体" w:eastAsia="宋体" w:hAnsi="宋体" w:cs="宋体" w:hint="eastAsia"/>
                <w:color w:val="000000"/>
                <w:szCs w:val="18"/>
                <w:lang w:val="en-US"/>
              </w:rPr>
              <w:t>——</w:t>
            </w:r>
          </w:p>
        </w:tc>
      </w:tr>
      <w:tr w:rsidTr="008F6148">
        <w:tblPrEx>
          <w:tblW w:w="5000" w:type="pct"/>
          <w:tblLook w:val="04A0"/>
        </w:tblPrEx>
        <w:trPr>
          <w:trHeight w:val="310"/>
        </w:trPr>
        <w:tc>
          <w:tcPr>
            <w:tcW w:w="5000" w:type="pct"/>
            <w:gridSpan w:val="10"/>
            <w:tcBorders>
              <w:top w:val="single" w:sz="4" w:space="0" w:color="3399FF"/>
              <w:left w:val="nil"/>
              <w:bottom w:val="single" w:sz="4" w:space="0" w:color="3399FF"/>
              <w:right w:val="nil"/>
            </w:tcBorders>
            <w:shd w:val="clear" w:color="auto" w:fill="auto"/>
            <w:vAlign w:val="center"/>
            <w:hideMark/>
          </w:tcPr>
          <w:p w:rsidR="00D5118B" w:rsidRPr="00D5118B" w:rsidP="00D5118B">
            <w:pPr>
              <w:jc w:val="left"/>
              <w:rPr>
                <w:rFonts w:ascii="楷体_GB2312" w:hAnsi="宋体" w:cs="宋体"/>
                <w:szCs w:val="18"/>
                <w:lang w:val="en-US"/>
              </w:rPr>
            </w:pPr>
            <w:r w:rsidRPr="00D5118B">
              <w:rPr>
                <w:rFonts w:ascii="楷体_GB2312" w:hAnsi="宋体" w:cs="宋体" w:hint="eastAsia"/>
                <w:szCs w:val="18"/>
                <w:lang w:val="x-none"/>
              </w:rPr>
              <w:t>注：以上收益均为简单平均结果，数据截止</w:t>
            </w:r>
            <w:r w:rsidRPr="00D5118B">
              <w:rPr>
                <w:rFonts w:cs="Arial"/>
                <w:szCs w:val="18"/>
                <w:lang w:val="x-none"/>
              </w:rPr>
              <w:t>2013</w:t>
            </w:r>
            <w:r w:rsidRPr="00D5118B">
              <w:rPr>
                <w:rFonts w:ascii="楷体_GB2312" w:hAnsi="宋体" w:cs="宋体" w:hint="eastAsia"/>
                <w:szCs w:val="18"/>
                <w:lang w:val="x-none"/>
              </w:rPr>
              <w:t>年</w:t>
            </w:r>
            <w:r w:rsidRPr="00D5118B">
              <w:rPr>
                <w:rFonts w:cs="Arial"/>
                <w:szCs w:val="18"/>
                <w:lang w:val="x-none"/>
              </w:rPr>
              <w:t>12</w:t>
            </w:r>
            <w:r w:rsidRPr="00D5118B">
              <w:rPr>
                <w:rFonts w:ascii="楷体_GB2312" w:hAnsi="宋体" w:cs="宋体" w:hint="eastAsia"/>
                <w:szCs w:val="18"/>
                <w:lang w:val="x-none"/>
              </w:rPr>
              <w:t>月。</w:t>
            </w:r>
          </w:p>
        </w:tc>
      </w:tr>
      <w:tr w:rsidTr="008F6148">
        <w:tblPrEx>
          <w:tblW w:w="5000" w:type="pct"/>
          <w:tblLook w:val="04A0"/>
        </w:tblPrEx>
        <w:trPr>
          <w:trHeight w:val="270"/>
        </w:trPr>
        <w:tc>
          <w:tcPr>
            <w:tcW w:w="4056" w:type="pct"/>
            <w:gridSpan w:val="8"/>
            <w:tcBorders>
              <w:top w:val="single" w:sz="4" w:space="0" w:color="3399FF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118B" w:rsidRPr="00D5118B" w:rsidP="00D5118B">
            <w:pPr>
              <w:rPr>
                <w:rFonts w:ascii="楷体_GB2312" w:hAnsi="宋体" w:cs="宋体"/>
                <w:color w:val="000000"/>
                <w:sz w:val="15"/>
                <w:szCs w:val="15"/>
                <w:lang w:val="en-US"/>
              </w:rPr>
            </w:pPr>
            <w:r w:rsidRPr="00D5118B">
              <w:rPr>
                <w:rFonts w:ascii="楷体_GB2312" w:hAnsi="宋体" w:cs="宋体" w:hint="eastAsia"/>
                <w:color w:val="000000"/>
                <w:sz w:val="15"/>
                <w:szCs w:val="15"/>
                <w:lang w:val="en-US"/>
              </w:rPr>
              <w:t>来源：国金证券研究所</w:t>
            </w:r>
            <w:r w:rsidRPr="00D5118B">
              <w:rPr>
                <w:rFonts w:cs="Arial"/>
                <w:color w:val="000000"/>
                <w:sz w:val="15"/>
                <w:szCs w:val="15"/>
                <w:lang w:val="en-US"/>
              </w:rPr>
              <w:t xml:space="preserve"> </w:t>
            </w:r>
          </w:p>
        </w:tc>
        <w:tc>
          <w:tcPr>
            <w:tcW w:w="472" w:type="pct"/>
            <w:tcBorders>
              <w:top w:val="single" w:sz="4" w:space="0" w:color="3399FF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118B" w:rsidRPr="00D5118B" w:rsidP="00D5118B">
            <w:pPr>
              <w:jc w:val="left"/>
              <w:rPr>
                <w:rFonts w:ascii="宋体" w:eastAsia="宋体" w:hAnsi="宋体" w:cs="宋体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72" w:type="pct"/>
            <w:tcBorders>
              <w:top w:val="single" w:sz="4" w:space="0" w:color="3399FF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118B" w:rsidRPr="00D5118B" w:rsidP="00D5118B">
            <w:pPr>
              <w:jc w:val="left"/>
              <w:rPr>
                <w:rFonts w:ascii="宋体" w:eastAsia="宋体" w:hAnsi="宋体" w:cs="宋体"/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0A19A8" w:rsidRPr="00084D2A" w:rsidP="000A19A8">
      <w:pPr>
        <w:pStyle w:val="BodyText"/>
        <w:numPr>
          <w:ilvl w:val="4"/>
          <w:numId w:val="34"/>
        </w:numPr>
        <w:rPr>
          <w:rFonts w:hint="eastAsia"/>
          <w:color w:val="auto"/>
        </w:rPr>
      </w:pPr>
      <w:r w:rsidRPr="00144F1F">
        <w:rPr>
          <w:rFonts w:hint="eastAsia"/>
          <w:color w:val="auto"/>
          <w:lang w:eastAsia="zh-CN"/>
        </w:rPr>
        <w:t>图表</w:t>
      </w:r>
      <w:r w:rsidR="00A92A4A">
        <w:rPr>
          <w:rFonts w:hint="eastAsia"/>
          <w:color w:val="auto"/>
          <w:lang w:eastAsia="zh-CN"/>
        </w:rPr>
        <w:t>6</w:t>
      </w:r>
      <w:r w:rsidRPr="00144F1F">
        <w:rPr>
          <w:rFonts w:hint="eastAsia"/>
          <w:color w:val="auto"/>
          <w:lang w:eastAsia="zh-CN"/>
        </w:rPr>
        <w:t>反映了近一年、两年、三年考察时段中各类投连险账户的风险指标</w:t>
      </w:r>
      <w:r>
        <w:rPr>
          <w:rFonts w:hint="eastAsia"/>
          <w:color w:val="auto"/>
          <w:lang w:eastAsia="zh-CN"/>
        </w:rPr>
        <w:t>。股票-指数型账户的标准差、下行风险与沪深300相差</w:t>
      </w:r>
      <w:r w:rsidR="002155D2">
        <w:rPr>
          <w:rFonts w:hint="eastAsia"/>
          <w:color w:val="auto"/>
          <w:lang w:eastAsia="zh-CN"/>
        </w:rPr>
        <w:t>较小</w:t>
      </w:r>
      <w:r>
        <w:rPr>
          <w:rFonts w:hint="eastAsia"/>
          <w:color w:val="auto"/>
          <w:lang w:eastAsia="zh-CN"/>
        </w:rPr>
        <w:t>。其它各类账户的</w:t>
      </w:r>
      <w:r w:rsidRPr="00144F1F">
        <w:rPr>
          <w:rFonts w:hint="eastAsia"/>
          <w:color w:val="auto"/>
          <w:lang w:eastAsia="zh-CN"/>
        </w:rPr>
        <w:t>标准差和下行风险指标均</w:t>
      </w:r>
      <w:r>
        <w:rPr>
          <w:rFonts w:hint="eastAsia"/>
          <w:color w:val="auto"/>
          <w:lang w:eastAsia="zh-CN"/>
        </w:rPr>
        <w:t>显著</w:t>
      </w:r>
      <w:r w:rsidRPr="00144F1F">
        <w:rPr>
          <w:rFonts w:hint="eastAsia"/>
          <w:color w:val="auto"/>
          <w:lang w:eastAsia="zh-CN"/>
        </w:rPr>
        <w:t>好于同期沪深300指数水平，表现出较好的净值回撤控制能力</w:t>
      </w:r>
      <w:r>
        <w:rPr>
          <w:rFonts w:hint="eastAsia"/>
          <w:color w:val="auto"/>
          <w:lang w:eastAsia="zh-CN"/>
        </w:rPr>
        <w:t>。</w:t>
      </w:r>
    </w:p>
    <w:tbl>
      <w:tblPr>
        <w:tblStyle w:val="TableNormal"/>
        <w:tblpPr w:leftFromText="180" w:rightFromText="180" w:vertAnchor="text" w:horzAnchor="margin" w:tblpXSpec="right" w:tblpX="1" w:tblpY="16"/>
        <w:tblOverlap w:val="never"/>
        <w:tblW w:w="7228" w:type="dxa"/>
        <w:tblBorders>
          <w:top w:val="single" w:sz="4" w:space="0" w:color="00A0E9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A0E9"/>
          <w:insideV w:val="single" w:sz="4" w:space="0" w:color="00A0E9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560"/>
        <w:gridCol w:w="992"/>
        <w:gridCol w:w="850"/>
        <w:gridCol w:w="849"/>
        <w:gridCol w:w="993"/>
        <w:gridCol w:w="992"/>
        <w:gridCol w:w="992"/>
      </w:tblGrid>
      <w:tr w:rsidTr="00472E3C">
        <w:tblPrEx>
          <w:tblW w:w="7228" w:type="dxa"/>
          <w:tblBorders>
            <w:top w:val="single" w:sz="4" w:space="0" w:color="00A0E9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00A0E9"/>
            <w:insideV w:val="single" w:sz="4" w:space="0" w:color="00A0E9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00"/>
        </w:trPr>
        <w:tc>
          <w:tcPr>
            <w:tcW w:w="7228" w:type="dxa"/>
            <w:gridSpan w:val="7"/>
            <w:shd w:val="clear" w:color="auto" w:fill="auto"/>
          </w:tcPr>
          <w:p w:rsidR="000A19A8" w:rsidP="008F6148">
            <w:pPr>
              <w:pStyle w:val="SubTitleLargeTable"/>
              <w:suppressOverlap/>
              <w:rPr>
                <w:rFonts w:hint="eastAsia"/>
              </w:rPr>
            </w:pPr>
            <w:r>
              <w:rPr>
                <w:rFonts w:hint="eastAsia"/>
              </w:rPr>
              <w:t>图表</w:t>
            </w:r>
            <w:r w:rsidR="008F6148">
              <w:rPr>
                <w:rFonts w:hint="eastAsia"/>
              </w:rPr>
              <w:t>6</w:t>
            </w:r>
            <w:r>
              <w:rPr>
                <w:rFonts w:hint="eastAsia"/>
              </w:rPr>
              <w:t>：投连险账户风险特征</w:t>
            </w:r>
          </w:p>
        </w:tc>
      </w:tr>
      <w:tr w:rsidTr="00472E3C">
        <w:tblPrEx>
          <w:tblW w:w="7228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:rsidR="000A19A8" w:rsidRPr="0056030B" w:rsidP="00472E3C">
            <w:pPr>
              <w:pStyle w:val="BodyText"/>
              <w:spacing w:after="0" w:line="10" w:lineRule="atLeast"/>
              <w:ind w:left="0"/>
              <w:suppressOverlap/>
              <w:jc w:val="center"/>
              <w:rPr>
                <w:rFonts w:hint="eastAsia"/>
                <w:color w:val="auto"/>
                <w:sz w:val="18"/>
                <w:szCs w:val="18"/>
              </w:rPr>
            </w:pPr>
          </w:p>
        </w:tc>
        <w:tc>
          <w:tcPr>
            <w:tcW w:w="2691" w:type="dxa"/>
            <w:gridSpan w:val="3"/>
            <w:shd w:val="clear" w:color="auto" w:fill="auto"/>
            <w:vAlign w:val="center"/>
          </w:tcPr>
          <w:p w:rsidR="000A19A8" w:rsidRPr="00B022EE" w:rsidP="00472E3C">
            <w:pPr>
              <w:pStyle w:val="BodyText"/>
              <w:spacing w:after="0" w:line="10" w:lineRule="atLeast"/>
              <w:ind w:left="0"/>
              <w:suppressOverlap/>
              <w:jc w:val="center"/>
              <w:rPr>
                <w:rFonts w:ascii="宋体" w:eastAsia="宋体" w:hAnsi="宋体" w:hint="eastAsia"/>
                <w:b/>
                <w:color w:val="auto"/>
                <w:sz w:val="18"/>
                <w:szCs w:val="18"/>
              </w:rPr>
            </w:pPr>
            <w:r w:rsidRPr="00B022EE">
              <w:rPr>
                <w:rFonts w:ascii="宋体" w:eastAsia="宋体" w:hAnsi="宋体" w:hint="eastAsia"/>
                <w:b/>
                <w:color w:val="auto"/>
                <w:sz w:val="18"/>
                <w:szCs w:val="18"/>
              </w:rPr>
              <w:t>标准差（年化）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0A19A8" w:rsidRPr="00B022EE" w:rsidP="00472E3C">
            <w:pPr>
              <w:pStyle w:val="BodyText"/>
              <w:spacing w:after="0" w:line="10" w:lineRule="atLeast"/>
              <w:ind w:left="0"/>
              <w:suppressOverlap/>
              <w:jc w:val="center"/>
              <w:rPr>
                <w:rFonts w:ascii="宋体" w:eastAsia="宋体" w:hAnsi="宋体" w:hint="eastAsia"/>
                <w:b/>
                <w:color w:val="auto"/>
                <w:sz w:val="18"/>
                <w:szCs w:val="18"/>
              </w:rPr>
            </w:pPr>
            <w:r w:rsidRPr="00B022EE">
              <w:rPr>
                <w:rFonts w:ascii="宋体" w:eastAsia="宋体" w:hAnsi="宋体" w:hint="eastAsia"/>
                <w:b/>
                <w:color w:val="auto"/>
                <w:sz w:val="18"/>
                <w:szCs w:val="18"/>
              </w:rPr>
              <w:t>下行风险=</w:t>
            </w:r>
            <w:r w:rsidRPr="00B022EE">
              <w:rPr>
                <w:rFonts w:ascii="宋体" w:eastAsia="宋体" w:hAnsi="宋体"/>
                <w:b/>
                <w:color w:val="auto"/>
                <w:sz w:val="18"/>
                <w:szCs w:val="18"/>
              </w:rPr>
              <w:t>∑</w:t>
            </w:r>
            <w:r w:rsidRPr="00B022EE">
              <w:rPr>
                <w:rFonts w:ascii="宋体" w:eastAsia="宋体" w:hAnsi="宋体" w:hint="eastAsia"/>
                <w:b/>
                <w:color w:val="auto"/>
                <w:sz w:val="18"/>
                <w:szCs w:val="18"/>
              </w:rPr>
              <w:t>min（0，k周收益率）</w:t>
            </w:r>
          </w:p>
        </w:tc>
      </w:tr>
      <w:tr w:rsidTr="00472E3C">
        <w:tblPrEx>
          <w:tblW w:w="7228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1560" w:type="dxa"/>
            <w:vMerge/>
            <w:shd w:val="clear" w:color="auto" w:fill="auto"/>
            <w:vAlign w:val="center"/>
          </w:tcPr>
          <w:p w:rsidR="000A19A8" w:rsidRPr="0056030B" w:rsidP="00472E3C">
            <w:pPr>
              <w:pStyle w:val="BodyText"/>
              <w:spacing w:after="0" w:line="10" w:lineRule="atLeast"/>
              <w:ind w:left="0"/>
              <w:suppressOverlap/>
              <w:jc w:val="center"/>
              <w:rPr>
                <w:rFonts w:hint="eastAsia"/>
                <w:color w:val="auto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A19A8" w:rsidRPr="0019593B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19593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19A8" w:rsidRPr="0019593B" w:rsidP="00472E3C">
            <w:pPr>
              <w:suppressOverlap/>
              <w:jc w:val="center"/>
              <w:rPr>
                <w:rFonts w:ascii="宋体" w:eastAsia="宋体" w:hAnsi="宋体"/>
                <w:b/>
                <w:bCs/>
                <w:color w:val="000000"/>
                <w:szCs w:val="18"/>
              </w:rPr>
            </w:pPr>
            <w:r w:rsidRPr="0019593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0A19A8" w:rsidRPr="0019593B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19593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A19A8" w:rsidRPr="0019593B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19593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A19A8" w:rsidRPr="0019593B" w:rsidP="00472E3C">
            <w:pPr>
              <w:suppressOverlap/>
              <w:jc w:val="center"/>
              <w:rPr>
                <w:rFonts w:ascii="宋体" w:eastAsia="宋体" w:hAnsi="宋体"/>
                <w:b/>
                <w:bCs/>
                <w:color w:val="000000"/>
                <w:szCs w:val="18"/>
              </w:rPr>
            </w:pPr>
            <w:r w:rsidRPr="0019593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A19A8" w:rsidRPr="0019593B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19593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近三年</w:t>
            </w:r>
          </w:p>
        </w:tc>
      </w:tr>
      <w:tr w:rsidTr="00472E3C">
        <w:tblPrEx>
          <w:tblW w:w="7228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1560" w:type="dxa"/>
            <w:shd w:val="clear" w:color="auto" w:fill="auto"/>
            <w:vAlign w:val="center"/>
          </w:tcPr>
          <w:p w:rsidR="00D5118B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股票型账户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14.88%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15.07%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14.79%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38.23%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80.44%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133.26%</w:t>
            </w:r>
          </w:p>
        </w:tc>
      </w:tr>
      <w:tr w:rsidTr="00472E3C">
        <w:tblPrEx>
          <w:tblW w:w="7228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1560" w:type="dxa"/>
            <w:shd w:val="clear" w:color="auto" w:fill="auto"/>
            <w:vAlign w:val="center"/>
          </w:tcPr>
          <w:p w:rsidR="00D5118B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股票-指数型账户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17.75%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18.20%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17.87%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54.46%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105.43%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170.84%</w:t>
            </w:r>
          </w:p>
        </w:tc>
      </w:tr>
      <w:tr w:rsidTr="00472E3C">
        <w:tblPrEx>
          <w:tblW w:w="7228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1560" w:type="dxa"/>
            <w:shd w:val="clear" w:color="auto" w:fill="auto"/>
            <w:vAlign w:val="center"/>
          </w:tcPr>
          <w:p w:rsidR="00D5118B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混合偏股型账户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11.74%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11.63%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11.50%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30.60%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61.64%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104.52%</w:t>
            </w:r>
          </w:p>
        </w:tc>
      </w:tr>
      <w:tr w:rsidTr="00472E3C">
        <w:tblPrEx>
          <w:tblW w:w="7228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1560" w:type="dxa"/>
            <w:shd w:val="clear" w:color="auto" w:fill="auto"/>
            <w:vAlign w:val="center"/>
          </w:tcPr>
          <w:p w:rsidR="00D5118B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灵活配置型账户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12.83%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13.15%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12.79%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33.60%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69.10%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114.1</w:t>
            </w: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4%</w:t>
            </w:r>
          </w:p>
        </w:tc>
      </w:tr>
      <w:tr w:rsidTr="00472E3C">
        <w:tblPrEx>
          <w:tblW w:w="7228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1560" w:type="dxa"/>
            <w:shd w:val="clear" w:color="auto" w:fill="auto"/>
            <w:vAlign w:val="center"/>
          </w:tcPr>
          <w:p w:rsidR="00D5118B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债券型账户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2.59%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2.81%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3.17%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6.23%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10.50%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118B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21.03%</w:t>
            </w:r>
          </w:p>
        </w:tc>
      </w:tr>
      <w:tr w:rsidTr="00472E3C">
        <w:tblPrEx>
          <w:tblW w:w="7228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1560" w:type="dxa"/>
            <w:shd w:val="clear" w:color="auto" w:fill="auto"/>
            <w:vAlign w:val="center"/>
          </w:tcPr>
          <w:p w:rsidR="00DA7A5F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混合偏债型账户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7.07%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7.51%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7.72%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18.22%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38.70%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68.08%</w:t>
            </w:r>
          </w:p>
        </w:tc>
      </w:tr>
      <w:tr w:rsidTr="00472E3C">
        <w:tblPrEx>
          <w:tblW w:w="7228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1560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DA7A5F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货币型账户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0.37%</w:t>
            </w:r>
          </w:p>
        </w:tc>
        <w:tc>
          <w:tcPr>
            <w:tcW w:w="850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0.31%</w:t>
            </w:r>
          </w:p>
        </w:tc>
        <w:tc>
          <w:tcPr>
            <w:tcW w:w="8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0.33%</w:t>
            </w:r>
          </w:p>
        </w:tc>
        <w:tc>
          <w:tcPr>
            <w:tcW w:w="99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0.23%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0.23%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0.40%</w:t>
            </w:r>
          </w:p>
        </w:tc>
      </w:tr>
      <w:tr w:rsidTr="00472E3C">
        <w:tblPrEx>
          <w:tblW w:w="7228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156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DA7A5F" w:rsidRPr="00084D2A" w:rsidP="00472E3C">
            <w:pPr>
              <w:suppressOverlap/>
              <w:jc w:val="center"/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沪深300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20.61%</w:t>
            </w:r>
          </w:p>
        </w:tc>
        <w:tc>
          <w:tcPr>
            <w:tcW w:w="8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20.41%</w:t>
            </w:r>
          </w:p>
        </w:tc>
        <w:tc>
          <w:tcPr>
            <w:tcW w:w="84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19.81%</w:t>
            </w:r>
          </w:p>
        </w:tc>
        <w:tc>
          <w:tcPr>
            <w:tcW w:w="993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62.56%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117.49%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DA7A5F">
              <w:rPr>
                <w:rFonts w:ascii="宋体" w:eastAsia="宋体" w:hAnsi="宋体" w:cs="宋体" w:hint="eastAsia"/>
                <w:color w:val="000000"/>
                <w:szCs w:val="18"/>
              </w:rPr>
              <w:t>188.76%</w:t>
            </w:r>
          </w:p>
        </w:tc>
      </w:tr>
      <w:tr w:rsidTr="00472E3C">
        <w:tblPrEx>
          <w:tblW w:w="7228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7228" w:type="dxa"/>
            <w:gridSpan w:val="7"/>
            <w:tcBorders>
              <w:top w:val="single" w:sz="4" w:space="0" w:color="00A0E9"/>
            </w:tcBorders>
            <w:shd w:val="clear" w:color="auto" w:fill="auto"/>
            <w:vAlign w:val="center"/>
          </w:tcPr>
          <w:p w:rsidR="000A19A8" w:rsidRPr="0056030B" w:rsidP="000A19A8">
            <w:pPr>
              <w:pStyle w:val="BodyText"/>
              <w:spacing w:after="0" w:line="10" w:lineRule="atLeast"/>
              <w:ind w:left="0"/>
              <w:suppressOverlap/>
              <w:jc w:val="left"/>
              <w:rPr>
                <w:rFonts w:hint="eastAsia"/>
                <w:color w:val="auto"/>
                <w:sz w:val="18"/>
                <w:szCs w:val="18"/>
              </w:rPr>
            </w:pPr>
            <w:r w:rsidRPr="0056030B">
              <w:rPr>
                <w:rFonts w:hint="eastAsia"/>
                <w:color w:val="auto"/>
                <w:sz w:val="18"/>
                <w:szCs w:val="18"/>
              </w:rPr>
              <w:t>注：数据截止201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3</w:t>
            </w:r>
            <w:r w:rsidRPr="0056030B">
              <w:rPr>
                <w:rFonts w:hint="eastAsia"/>
                <w:color w:val="auto"/>
                <w:sz w:val="18"/>
                <w:szCs w:val="18"/>
              </w:rPr>
              <w:t>年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12</w:t>
            </w:r>
            <w:r w:rsidRPr="0056030B">
              <w:rPr>
                <w:rFonts w:hint="eastAsia"/>
                <w:color w:val="auto"/>
                <w:sz w:val="18"/>
                <w:szCs w:val="18"/>
              </w:rPr>
              <w:t>月。</w:t>
            </w:r>
          </w:p>
        </w:tc>
      </w:tr>
      <w:tr w:rsidTr="00472E3C">
        <w:tblPrEx>
          <w:tblW w:w="7228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00"/>
        </w:trPr>
        <w:tc>
          <w:tcPr>
            <w:tcW w:w="7228" w:type="dxa"/>
            <w:gridSpan w:val="7"/>
            <w:shd w:val="clear" w:color="auto" w:fill="auto"/>
          </w:tcPr>
          <w:p w:rsidR="000A19A8" w:rsidP="00472E3C">
            <w:pPr>
              <w:pStyle w:val="FootnoteNoline"/>
              <w:ind w:left="0"/>
              <w:suppressOverlap/>
              <w:rPr>
                <w:rFonts w:hint="eastAsia"/>
              </w:rPr>
            </w:pPr>
            <w:r>
              <w:rPr>
                <w:rFonts w:hint="eastAsia"/>
              </w:rPr>
              <w:t>来源：国金证券研究所</w:t>
            </w:r>
          </w:p>
        </w:tc>
      </w:tr>
    </w:tbl>
    <w:p w:rsidR="000A19A8" w:rsidP="000A19A8">
      <w:pPr>
        <w:pStyle w:val="BodyText"/>
        <w:numPr>
          <w:ilvl w:val="4"/>
          <w:numId w:val="34"/>
        </w:numPr>
        <w:rPr>
          <w:rFonts w:hint="eastAsia"/>
          <w:color w:val="auto"/>
        </w:rPr>
        <w:sectPr w:rsidSect="009C0521">
          <w:headerReference w:type="default" r:id="rId28"/>
          <w:footerReference w:type="even" r:id="rId29"/>
          <w:footerReference w:type="default" r:id="rId30"/>
          <w:footerReference w:type="first" r:id="rId31"/>
          <w:type w:val="nextPage"/>
          <w:pgSz w:w="11907" w:h="16840" w:code="9"/>
          <w:pgMar w:top="1440" w:right="624" w:bottom="1440" w:left="624" w:header="851" w:footer="397" w:gutter="0"/>
          <w:pgNumType w:start="5"/>
          <w:cols w:space="720"/>
          <w:titlePg w:val="0"/>
        </w:sectPr>
      </w:pPr>
      <w:r>
        <w:rPr>
          <w:rFonts w:hint="eastAsia"/>
          <w:color w:val="auto"/>
          <w:lang w:eastAsia="zh-CN"/>
        </w:rPr>
        <w:t>结合收益与风险考察各类账户的风险调</w:t>
      </w:r>
    </w:p>
    <w:p w:rsidR="000A19A8" w:rsidP="000A19A8">
      <w:pPr>
        <w:pStyle w:val="BodyText"/>
        <w:numPr>
          <w:ilvl w:val="4"/>
          <w:numId w:val="3"/>
        </w:numPr>
        <w:rPr>
          <w:rFonts w:hint="eastAsia"/>
          <w:color w:val="auto"/>
        </w:rPr>
      </w:pPr>
      <w:r>
        <w:rPr>
          <w:rFonts w:hint="eastAsia"/>
          <w:color w:val="auto"/>
          <w:lang w:eastAsia="zh-CN"/>
        </w:rPr>
        <w:t>图表</w:t>
      </w:r>
      <w:r w:rsidR="00A92A4A">
        <w:rPr>
          <w:rFonts w:hint="eastAsia"/>
          <w:color w:val="auto"/>
          <w:lang w:eastAsia="zh-CN"/>
        </w:rPr>
        <w:t>7</w:t>
      </w:r>
      <w:r>
        <w:rPr>
          <w:rFonts w:hint="eastAsia"/>
          <w:color w:val="auto"/>
          <w:lang w:eastAsia="zh-CN"/>
        </w:rPr>
        <w:t>反映各账户近一年、两年、三年风险调整后收益水平（即夏普比率）。下面分类别考察投连险账户的风险调整后收益情况：</w:t>
      </w:r>
    </w:p>
    <w:p w:rsidR="000A19A8" w:rsidP="000A19A8">
      <w:pPr>
        <w:pStyle w:val="BodyText"/>
        <w:numPr>
          <w:ilvl w:val="5"/>
          <w:numId w:val="27"/>
        </w:numPr>
        <w:rPr>
          <w:rFonts w:hint="eastAsia"/>
          <w:color w:val="auto"/>
        </w:rPr>
      </w:pPr>
      <w:r w:rsidRPr="00E97093">
        <w:rPr>
          <w:rFonts w:hint="eastAsia"/>
          <w:color w:val="auto"/>
          <w:lang w:eastAsia="zh-CN"/>
        </w:rPr>
        <w:t>在4</w:t>
      </w:r>
      <w:r>
        <w:rPr>
          <w:rFonts w:hint="eastAsia"/>
          <w:color w:val="auto"/>
          <w:lang w:eastAsia="zh-CN"/>
        </w:rPr>
        <w:t>5</w:t>
      </w:r>
      <w:r w:rsidRPr="00E97093">
        <w:rPr>
          <w:rFonts w:hint="eastAsia"/>
          <w:color w:val="auto"/>
          <w:lang w:eastAsia="zh-CN"/>
        </w:rPr>
        <w:t>个</w:t>
      </w:r>
      <w:r>
        <w:rPr>
          <w:rFonts w:hint="eastAsia"/>
          <w:color w:val="auto"/>
          <w:lang w:eastAsia="zh-CN"/>
        </w:rPr>
        <w:t>运作满一年的</w:t>
      </w:r>
      <w:r>
        <w:rPr>
          <w:rFonts w:hint="eastAsia"/>
          <w:color w:val="auto"/>
        </w:rPr>
        <w:t>股票型账户</w:t>
      </w:r>
      <w:r>
        <w:rPr>
          <w:rFonts w:hint="eastAsia"/>
          <w:color w:val="auto"/>
          <w:lang w:eastAsia="zh-CN"/>
        </w:rPr>
        <w:t>中，除</w:t>
      </w:r>
      <w:r w:rsidR="002155D2">
        <w:rPr>
          <w:rFonts w:hint="eastAsia"/>
          <w:color w:val="auto"/>
          <w:lang w:eastAsia="zh-CN"/>
        </w:rPr>
        <w:t>6</w:t>
      </w:r>
      <w:r>
        <w:rPr>
          <w:rFonts w:hint="eastAsia"/>
          <w:color w:val="auto"/>
          <w:lang w:eastAsia="zh-CN"/>
        </w:rPr>
        <w:t>个账户在</w:t>
      </w:r>
      <w:r>
        <w:rPr>
          <w:rFonts w:hint="eastAsia"/>
          <w:color w:val="auto"/>
        </w:rPr>
        <w:t>近一年</w:t>
      </w:r>
      <w:r w:rsidRPr="00DC5A2A">
        <w:rPr>
          <w:rFonts w:hint="eastAsia"/>
          <w:color w:val="auto"/>
        </w:rPr>
        <w:t>夏普比率</w:t>
      </w:r>
      <w:r>
        <w:rPr>
          <w:rFonts w:hint="eastAsia"/>
          <w:color w:val="auto"/>
          <w:lang w:eastAsia="zh-CN"/>
        </w:rPr>
        <w:t>为负外，其余账户的夏普比率均为正；有</w:t>
      </w:r>
      <w:r w:rsidR="0038506F">
        <w:rPr>
          <w:rFonts w:hint="eastAsia"/>
          <w:color w:val="auto"/>
          <w:lang w:eastAsia="zh-CN"/>
        </w:rPr>
        <w:t>3</w:t>
      </w:r>
      <w:r>
        <w:rPr>
          <w:rFonts w:hint="eastAsia"/>
          <w:color w:val="auto"/>
          <w:lang w:eastAsia="zh-CN"/>
        </w:rPr>
        <w:t>个账户的夏普比率超过1，</w:t>
      </w:r>
      <w:r w:rsidR="0038506F">
        <w:rPr>
          <w:rFonts w:hint="eastAsia"/>
          <w:color w:val="auto"/>
          <w:lang w:eastAsia="zh-CN"/>
        </w:rPr>
        <w:t>分别为太平人寿-价值先锋型、太平人寿-蓝筹成长型和恒安标准-成长型</w:t>
      </w:r>
      <w:r>
        <w:rPr>
          <w:rFonts w:hint="eastAsia"/>
          <w:color w:val="auto"/>
          <w:lang w:eastAsia="zh-CN"/>
        </w:rPr>
        <w:t>。最近</w:t>
      </w:r>
      <w:r>
        <w:rPr>
          <w:rFonts w:hint="eastAsia"/>
          <w:color w:val="auto"/>
        </w:rPr>
        <w:t>两年</w:t>
      </w:r>
      <w:r>
        <w:rPr>
          <w:rFonts w:hint="eastAsia"/>
          <w:color w:val="auto"/>
          <w:lang w:eastAsia="zh-CN"/>
        </w:rPr>
        <w:t>纳入统计的44个</w:t>
      </w:r>
      <w:r>
        <w:rPr>
          <w:rFonts w:hint="eastAsia"/>
          <w:color w:val="auto"/>
        </w:rPr>
        <w:t>账户</w:t>
      </w:r>
      <w:r>
        <w:rPr>
          <w:rFonts w:hint="eastAsia"/>
          <w:color w:val="auto"/>
          <w:lang w:eastAsia="zh-CN"/>
        </w:rPr>
        <w:t>中有</w:t>
      </w:r>
      <w:r w:rsidR="0038506F">
        <w:rPr>
          <w:rFonts w:hint="eastAsia"/>
          <w:color w:val="auto"/>
          <w:lang w:eastAsia="zh-CN"/>
        </w:rPr>
        <w:t>6</w:t>
      </w:r>
      <w:r>
        <w:rPr>
          <w:rFonts w:hint="eastAsia"/>
          <w:color w:val="auto"/>
          <w:lang w:eastAsia="zh-CN"/>
        </w:rPr>
        <w:t>个账户的夏普比率为</w:t>
      </w:r>
      <w:r w:rsidR="0038506F">
        <w:rPr>
          <w:rFonts w:hint="eastAsia"/>
          <w:color w:val="auto"/>
          <w:lang w:eastAsia="zh-CN"/>
        </w:rPr>
        <w:t>负</w:t>
      </w:r>
      <w:r>
        <w:rPr>
          <w:rFonts w:hint="eastAsia"/>
          <w:color w:val="auto"/>
          <w:lang w:eastAsia="zh-CN"/>
        </w:rPr>
        <w:t>，</w:t>
      </w:r>
      <w:r w:rsidR="0038506F">
        <w:rPr>
          <w:rFonts w:hint="eastAsia"/>
          <w:color w:val="auto"/>
          <w:lang w:eastAsia="zh-CN"/>
        </w:rPr>
        <w:t>绝大多数账户的夏普比率为正，但最高不到1，</w:t>
      </w:r>
      <w:r>
        <w:rPr>
          <w:rFonts w:hint="eastAsia"/>
          <w:color w:val="auto"/>
          <w:lang w:eastAsia="zh-CN"/>
        </w:rPr>
        <w:t>表现最好的账户为</w:t>
      </w:r>
      <w:r w:rsidR="0038506F">
        <w:rPr>
          <w:rFonts w:hint="eastAsia"/>
          <w:color w:val="auto"/>
          <w:lang w:eastAsia="zh-CN"/>
        </w:rPr>
        <w:t>平安养老-进取</w:t>
      </w:r>
      <w:r>
        <w:rPr>
          <w:rFonts w:hint="eastAsia"/>
          <w:color w:val="auto"/>
          <w:lang w:eastAsia="zh-CN"/>
        </w:rPr>
        <w:t>，夏普比率为0.</w:t>
      </w:r>
      <w:r w:rsidR="0038506F">
        <w:rPr>
          <w:rFonts w:hint="eastAsia"/>
          <w:color w:val="auto"/>
          <w:lang w:eastAsia="zh-CN"/>
        </w:rPr>
        <w:t>80</w:t>
      </w:r>
      <w:r>
        <w:rPr>
          <w:rFonts w:hint="eastAsia"/>
          <w:color w:val="auto"/>
          <w:lang w:eastAsia="zh-CN"/>
        </w:rPr>
        <w:t>。过去三年，在43</w:t>
      </w:r>
      <w:r w:rsidR="0038506F">
        <w:rPr>
          <w:rFonts w:hint="eastAsia"/>
          <w:color w:val="auto"/>
          <w:lang w:eastAsia="zh-CN"/>
        </w:rPr>
        <w:t>个运作满三年的股票型账户的夏普比率全部为负</w:t>
      </w:r>
      <w:r>
        <w:rPr>
          <w:rFonts w:hint="eastAsia"/>
          <w:color w:val="auto"/>
          <w:lang w:eastAsia="zh-CN"/>
        </w:rPr>
        <w:t>，夏普比率最高的账户为</w:t>
      </w:r>
      <w:r w:rsidR="0038506F">
        <w:rPr>
          <w:rFonts w:hint="eastAsia"/>
          <w:color w:val="auto"/>
          <w:lang w:eastAsia="zh-CN"/>
        </w:rPr>
        <w:t>生命人寿-精选股票型和平安养老-进取</w:t>
      </w:r>
      <w:r>
        <w:rPr>
          <w:rFonts w:hint="eastAsia"/>
          <w:color w:val="auto"/>
          <w:lang w:eastAsia="zh-CN"/>
        </w:rPr>
        <w:t>，</w:t>
      </w:r>
      <w:r w:rsidR="0038506F">
        <w:rPr>
          <w:rFonts w:hint="eastAsia"/>
          <w:color w:val="auto"/>
          <w:lang w:eastAsia="zh-CN"/>
        </w:rPr>
        <w:t>夏普比率均为-0.02</w:t>
      </w:r>
      <w:r>
        <w:rPr>
          <w:rFonts w:hint="eastAsia"/>
          <w:color w:val="auto"/>
          <w:lang w:eastAsia="zh-CN"/>
        </w:rPr>
        <w:t>。平安人寿</w:t>
      </w:r>
      <w:r w:rsidR="0038506F">
        <w:rPr>
          <w:rFonts w:hint="eastAsia"/>
          <w:color w:val="auto"/>
          <w:lang w:eastAsia="zh-CN"/>
        </w:rPr>
        <w:t>-进取</w:t>
      </w:r>
      <w:r>
        <w:rPr>
          <w:rFonts w:hint="eastAsia"/>
          <w:color w:val="auto"/>
          <w:lang w:eastAsia="zh-CN"/>
        </w:rPr>
        <w:t>近一年、两年、三年的表现均排名居前，能够持续为投资者创造超额收益。</w:t>
      </w:r>
    </w:p>
    <w:p w:rsidR="000A19A8" w:rsidP="000A19A8">
      <w:pPr>
        <w:pStyle w:val="BodyText"/>
        <w:numPr>
          <w:ilvl w:val="5"/>
          <w:numId w:val="27"/>
        </w:numPr>
        <w:rPr>
          <w:rFonts w:hint="eastAsia"/>
          <w:color w:val="auto"/>
        </w:rPr>
      </w:pPr>
      <w:r>
        <w:rPr>
          <w:rFonts w:hint="eastAsia"/>
          <w:color w:val="auto"/>
          <w:lang w:eastAsia="zh-CN"/>
        </w:rPr>
        <w:t>6个运作满三年的</w:t>
      </w:r>
      <w:r w:rsidRPr="00F17AD6">
        <w:rPr>
          <w:rFonts w:hint="eastAsia"/>
          <w:color w:val="auto"/>
        </w:rPr>
        <w:t>股票-指数型账户</w:t>
      </w:r>
      <w:r>
        <w:rPr>
          <w:rFonts w:hint="eastAsia"/>
          <w:color w:val="auto"/>
          <w:lang w:eastAsia="zh-CN"/>
        </w:rPr>
        <w:t>，</w:t>
      </w:r>
      <w:r w:rsidR="0038506F">
        <w:rPr>
          <w:rFonts w:hint="eastAsia"/>
          <w:color w:val="auto"/>
          <w:lang w:eastAsia="zh-CN"/>
        </w:rPr>
        <w:t>在近一年、</w:t>
      </w:r>
      <w:r>
        <w:rPr>
          <w:rFonts w:hint="eastAsia"/>
          <w:color w:val="auto"/>
          <w:lang w:eastAsia="zh-CN"/>
        </w:rPr>
        <w:t>近两年、</w:t>
      </w:r>
      <w:r w:rsidR="0038506F">
        <w:rPr>
          <w:rFonts w:hint="eastAsia"/>
          <w:color w:val="auto"/>
          <w:lang w:eastAsia="zh-CN"/>
        </w:rPr>
        <w:t>近</w:t>
      </w:r>
      <w:r>
        <w:rPr>
          <w:rFonts w:hint="eastAsia"/>
          <w:color w:val="auto"/>
          <w:lang w:eastAsia="zh-CN"/>
        </w:rPr>
        <w:t>三年</w:t>
      </w:r>
      <w:r w:rsidR="0038506F">
        <w:rPr>
          <w:rFonts w:hint="eastAsia"/>
          <w:color w:val="auto"/>
          <w:lang w:eastAsia="zh-CN"/>
        </w:rPr>
        <w:t>的统计范围内均未能创造超额收益</w:t>
      </w:r>
      <w:r>
        <w:rPr>
          <w:rFonts w:hint="eastAsia"/>
          <w:color w:val="auto"/>
          <w:lang w:eastAsia="zh-CN"/>
        </w:rPr>
        <w:t>。受累于</w:t>
      </w:r>
      <w:r w:rsidR="0038506F">
        <w:rPr>
          <w:rFonts w:hint="eastAsia"/>
          <w:color w:val="auto"/>
          <w:lang w:eastAsia="zh-CN"/>
        </w:rPr>
        <w:t>大盘</w:t>
      </w:r>
      <w:r>
        <w:rPr>
          <w:rFonts w:hint="eastAsia"/>
          <w:color w:val="auto"/>
          <w:lang w:eastAsia="zh-CN"/>
        </w:rPr>
        <w:t>的震荡下行，该类账户的收益低，波动大，风险调整后收益欠佳。</w:t>
      </w:r>
    </w:p>
    <w:p w:rsidR="000A19A8" w:rsidP="000A19A8">
      <w:pPr>
        <w:pStyle w:val="BodyText"/>
        <w:numPr>
          <w:ilvl w:val="5"/>
          <w:numId w:val="27"/>
        </w:numPr>
        <w:rPr>
          <w:rFonts w:hint="eastAsia"/>
          <w:color w:val="auto"/>
        </w:rPr>
      </w:pPr>
      <w:r>
        <w:rPr>
          <w:rFonts w:hint="eastAsia"/>
          <w:color w:val="auto"/>
          <w:lang w:eastAsia="zh-CN"/>
        </w:rPr>
        <w:t>23个运作满一年的混合偏股</w:t>
      </w:r>
      <w:r>
        <w:rPr>
          <w:rFonts w:hint="eastAsia"/>
          <w:color w:val="auto"/>
        </w:rPr>
        <w:t>型账户</w:t>
      </w:r>
      <w:r>
        <w:rPr>
          <w:rFonts w:hint="eastAsia"/>
          <w:color w:val="auto"/>
          <w:lang w:eastAsia="zh-CN"/>
        </w:rPr>
        <w:t>中，</w:t>
      </w:r>
      <w:r w:rsidR="0038506F">
        <w:rPr>
          <w:rFonts w:hint="eastAsia"/>
          <w:color w:val="auto"/>
          <w:lang w:eastAsia="zh-CN"/>
        </w:rPr>
        <w:t>6只账户的夏普比率为负，其余全部为正；招商信诺-和谐A型的夏普比率最高，为0.95</w:t>
      </w:r>
      <w:r>
        <w:rPr>
          <w:rFonts w:hint="eastAsia"/>
          <w:color w:val="auto"/>
          <w:lang w:eastAsia="zh-CN"/>
        </w:rPr>
        <w:t>。近两</w:t>
      </w:r>
      <w:r>
        <w:rPr>
          <w:rFonts w:hint="eastAsia"/>
          <w:color w:val="auto"/>
        </w:rPr>
        <w:t>年</w:t>
      </w:r>
      <w:r>
        <w:rPr>
          <w:rFonts w:hint="eastAsia"/>
          <w:color w:val="auto"/>
          <w:lang w:eastAsia="zh-CN"/>
        </w:rPr>
        <w:t>考察期内，</w:t>
      </w:r>
      <w:r w:rsidR="0038506F">
        <w:rPr>
          <w:rFonts w:hint="eastAsia"/>
          <w:color w:val="auto"/>
          <w:lang w:eastAsia="zh-CN"/>
        </w:rPr>
        <w:t>10</w:t>
      </w:r>
      <w:r>
        <w:rPr>
          <w:rFonts w:hint="eastAsia"/>
          <w:color w:val="auto"/>
          <w:lang w:eastAsia="zh-CN"/>
        </w:rPr>
        <w:t>个账户的夏普比率</w:t>
      </w:r>
      <w:r w:rsidR="0038506F">
        <w:rPr>
          <w:rFonts w:hint="eastAsia"/>
          <w:color w:val="auto"/>
          <w:lang w:eastAsia="zh-CN"/>
        </w:rPr>
        <w:t>为负，1个账户夏普比率在1以上</w:t>
      </w:r>
      <w:r>
        <w:rPr>
          <w:rFonts w:hint="eastAsia"/>
          <w:color w:val="auto"/>
          <w:lang w:eastAsia="zh-CN"/>
        </w:rPr>
        <w:t>，</w:t>
      </w:r>
      <w:r w:rsidR="0038506F">
        <w:rPr>
          <w:rFonts w:hint="eastAsia"/>
          <w:color w:val="auto"/>
          <w:lang w:eastAsia="zh-CN"/>
        </w:rPr>
        <w:t>该账户</w:t>
      </w:r>
      <w:r>
        <w:rPr>
          <w:rFonts w:hint="eastAsia"/>
          <w:color w:val="auto"/>
          <w:lang w:eastAsia="zh-CN"/>
        </w:rPr>
        <w:t>为</w:t>
      </w:r>
      <w:r w:rsidR="0038506F">
        <w:rPr>
          <w:rFonts w:hint="eastAsia"/>
          <w:color w:val="auto"/>
          <w:lang w:eastAsia="zh-CN"/>
        </w:rPr>
        <w:t>太平人寿-智选动力增长</w:t>
      </w:r>
      <w:r>
        <w:rPr>
          <w:rFonts w:hint="eastAsia"/>
          <w:color w:val="auto"/>
          <w:lang w:eastAsia="zh-CN"/>
        </w:rPr>
        <w:t>。近三年考察期内，所有账户的夏普比率均为负。太平人寿-智选动力增长近一年、两年、三年的表现均排名居前，不过近三年累计收益率未能超越无风险收益率。</w:t>
      </w:r>
    </w:p>
    <w:p w:rsidR="000A19A8" w:rsidP="000A19A8">
      <w:pPr>
        <w:pStyle w:val="BodyText"/>
        <w:numPr>
          <w:ilvl w:val="5"/>
          <w:numId w:val="27"/>
        </w:numPr>
        <w:rPr>
          <w:rFonts w:hint="eastAsia"/>
          <w:color w:val="auto"/>
        </w:rPr>
      </w:pPr>
      <w:r w:rsidRPr="00117F84">
        <w:rPr>
          <w:rFonts w:hint="eastAsia"/>
          <w:color w:val="auto"/>
        </w:rPr>
        <w:t>1</w:t>
      </w:r>
      <w:r>
        <w:rPr>
          <w:rFonts w:hint="eastAsia"/>
          <w:color w:val="auto"/>
          <w:lang w:eastAsia="zh-CN"/>
        </w:rPr>
        <w:t>8</w:t>
      </w:r>
      <w:r w:rsidRPr="00117F84">
        <w:rPr>
          <w:rFonts w:hint="eastAsia"/>
          <w:color w:val="auto"/>
        </w:rPr>
        <w:t>个运作满</w:t>
      </w:r>
      <w:r>
        <w:rPr>
          <w:rFonts w:hint="eastAsia"/>
          <w:color w:val="auto"/>
          <w:lang w:eastAsia="zh-CN"/>
        </w:rPr>
        <w:t>一</w:t>
      </w:r>
      <w:r>
        <w:rPr>
          <w:rFonts w:hint="eastAsia"/>
          <w:color w:val="auto"/>
        </w:rPr>
        <w:t>年的灵活配置类账户</w:t>
      </w:r>
      <w:r>
        <w:rPr>
          <w:rFonts w:hint="eastAsia"/>
          <w:color w:val="auto"/>
          <w:lang w:eastAsia="zh-CN"/>
        </w:rPr>
        <w:t>中，</w:t>
      </w:r>
      <w:r w:rsidR="0038506F">
        <w:rPr>
          <w:rFonts w:hint="eastAsia"/>
          <w:color w:val="auto"/>
          <w:lang w:eastAsia="zh-CN"/>
        </w:rPr>
        <w:t>8正10负，招商信诺-灵</w:t>
      </w:r>
      <w:r w:rsidR="0048789C">
        <w:rPr>
          <w:rFonts w:hint="eastAsia"/>
          <w:color w:val="auto"/>
          <w:lang w:eastAsia="zh-CN"/>
        </w:rPr>
        <w:t>动</w:t>
      </w:r>
      <w:r w:rsidR="0038506F">
        <w:rPr>
          <w:rFonts w:hint="eastAsia"/>
          <w:color w:val="auto"/>
          <w:lang w:eastAsia="zh-CN"/>
        </w:rPr>
        <w:t>A型</w:t>
      </w:r>
      <w:r w:rsidR="0048789C">
        <w:rPr>
          <w:rFonts w:hint="eastAsia"/>
          <w:color w:val="auto"/>
          <w:lang w:eastAsia="zh-CN"/>
        </w:rPr>
        <w:t>夏普比率最高，为1.17</w:t>
      </w:r>
      <w:r>
        <w:rPr>
          <w:rFonts w:hint="eastAsia"/>
          <w:color w:val="auto"/>
          <w:lang w:eastAsia="zh-CN"/>
        </w:rPr>
        <w:t>。过去两年，</w:t>
      </w:r>
      <w:r w:rsidR="0048789C">
        <w:rPr>
          <w:rFonts w:hint="eastAsia"/>
          <w:color w:val="auto"/>
          <w:lang w:eastAsia="zh-CN"/>
        </w:rPr>
        <w:t>6正12负，招商信诺-灵动A型仍为最高，夏普比率为0.65</w:t>
      </w:r>
      <w:r>
        <w:rPr>
          <w:rFonts w:hint="eastAsia"/>
          <w:color w:val="auto"/>
          <w:lang w:eastAsia="zh-CN"/>
        </w:rPr>
        <w:t>。近三年，所有账户均未能跑赢无风险收益率。招商信诺-灵动A型成立时间不足3年，但是近一年、两年的表现均较好。</w:t>
      </w:r>
    </w:p>
    <w:p w:rsidR="000A19A8" w:rsidRPr="00117F84" w:rsidP="000A19A8">
      <w:pPr>
        <w:pStyle w:val="BodyText"/>
        <w:numPr>
          <w:ilvl w:val="5"/>
          <w:numId w:val="27"/>
        </w:numPr>
        <w:rPr>
          <w:rFonts w:hint="eastAsia"/>
          <w:color w:val="auto"/>
        </w:rPr>
      </w:pPr>
      <w:r>
        <w:rPr>
          <w:rFonts w:hint="eastAsia"/>
          <w:color w:val="auto"/>
          <w:lang w:eastAsia="zh-CN"/>
        </w:rPr>
        <w:t>24个运作满一年的混合偏债型账户中，</w:t>
      </w:r>
      <w:r w:rsidR="0048789C">
        <w:rPr>
          <w:rFonts w:hint="eastAsia"/>
          <w:color w:val="auto"/>
          <w:lang w:eastAsia="zh-CN"/>
        </w:rPr>
        <w:t>12正12负，3个账户的夏普比率超过1，分别为中国人寿-平衡增长、华泰人寿-稳健型、中荷人寿-平衡型</w:t>
      </w:r>
      <w:r>
        <w:rPr>
          <w:rFonts w:hint="eastAsia"/>
          <w:color w:val="auto"/>
          <w:lang w:eastAsia="zh-CN"/>
        </w:rPr>
        <w:t>。近两年</w:t>
      </w:r>
      <w:r w:rsidR="0048789C">
        <w:rPr>
          <w:rFonts w:hint="eastAsia"/>
          <w:color w:val="auto"/>
          <w:lang w:eastAsia="zh-CN"/>
        </w:rPr>
        <w:t>11负13正，华泰人寿-稳健型的夏普比率超过1</w:t>
      </w:r>
      <w:r>
        <w:rPr>
          <w:rFonts w:hint="eastAsia"/>
          <w:color w:val="auto"/>
          <w:lang w:eastAsia="zh-CN"/>
        </w:rPr>
        <w:t>。近三年仅有1个账户的夏普比率为正，依然是华泰人寿-稳健型。华泰人寿-稳健型的风险调整后收益持续为正，且排名居前，风险控制和收益获取能力较高。</w:t>
      </w:r>
    </w:p>
    <w:tbl>
      <w:tblPr>
        <w:tblStyle w:val="TableNormal"/>
        <w:tblpPr w:leftFromText="180" w:rightFromText="180" w:vertAnchor="text" w:tblpX="3402" w:tblpY="1"/>
        <w:tblOverlap w:val="never"/>
        <w:tblW w:w="7370" w:type="dxa"/>
        <w:tblBorders>
          <w:top w:val="single" w:sz="4" w:space="0" w:color="00A0E9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A0E9"/>
          <w:insideV w:val="single" w:sz="4" w:space="0" w:color="00A0E9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94"/>
        <w:gridCol w:w="1701"/>
        <w:gridCol w:w="1559"/>
        <w:gridCol w:w="1416"/>
      </w:tblGrid>
      <w:tr w:rsidTr="00472E3C">
        <w:tblPrEx>
          <w:tblW w:w="7370" w:type="dxa"/>
          <w:tblBorders>
            <w:top w:val="single" w:sz="4" w:space="0" w:color="00A0E9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00A0E9"/>
            <w:insideV w:val="single" w:sz="4" w:space="0" w:color="00A0E9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00"/>
        </w:trPr>
        <w:tc>
          <w:tcPr>
            <w:tcW w:w="7370" w:type="dxa"/>
            <w:gridSpan w:val="4"/>
            <w:shd w:val="clear" w:color="auto" w:fill="auto"/>
          </w:tcPr>
          <w:p w:rsidR="000A19A8" w:rsidP="008F6148">
            <w:pPr>
              <w:pStyle w:val="SubTitleLargeTable"/>
              <w:suppressOverlap/>
              <w:rPr>
                <w:rFonts w:hint="eastAsia"/>
              </w:rPr>
            </w:pPr>
            <w:bookmarkStart w:id="6" w:name="投连险账户风险收益特征"/>
            <w:r>
              <w:rPr>
                <w:rFonts w:hint="eastAsia"/>
              </w:rPr>
              <w:t>图表</w:t>
            </w:r>
            <w:bookmarkEnd w:id="6"/>
            <w:r w:rsidR="008F6148">
              <w:rPr>
                <w:rFonts w:hint="eastAsia"/>
              </w:rPr>
              <w:t>7</w:t>
            </w:r>
            <w:r>
              <w:rPr>
                <w:rFonts w:hint="eastAsia"/>
              </w:rPr>
              <w:t>：投连险账户风险调整后收益特征</w:t>
            </w:r>
          </w:p>
        </w:tc>
      </w:tr>
      <w:tr w:rsidTr="00472E3C">
        <w:tblPrEx>
          <w:tblW w:w="737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2694" w:type="dxa"/>
            <w:vMerge w:val="restart"/>
            <w:shd w:val="clear" w:color="auto" w:fill="auto"/>
            <w:vAlign w:val="center"/>
          </w:tcPr>
          <w:p w:rsidR="000A19A8" w:rsidRPr="0056030B" w:rsidP="00472E3C">
            <w:pPr>
              <w:pStyle w:val="BodyText"/>
              <w:spacing w:after="0" w:line="10" w:lineRule="atLeast"/>
              <w:ind w:left="0"/>
              <w:suppressOverlap/>
              <w:jc w:val="center"/>
              <w:rPr>
                <w:rFonts w:hint="eastAsia"/>
                <w:color w:val="auto"/>
                <w:sz w:val="18"/>
                <w:szCs w:val="18"/>
              </w:rPr>
            </w:pPr>
          </w:p>
        </w:tc>
        <w:tc>
          <w:tcPr>
            <w:tcW w:w="4676" w:type="dxa"/>
            <w:gridSpan w:val="3"/>
            <w:shd w:val="clear" w:color="auto" w:fill="auto"/>
            <w:vAlign w:val="center"/>
          </w:tcPr>
          <w:p w:rsidR="000A19A8" w:rsidRPr="00B022EE" w:rsidP="00472E3C">
            <w:pPr>
              <w:pStyle w:val="BodyText"/>
              <w:spacing w:after="0" w:line="10" w:lineRule="atLeast"/>
              <w:ind w:left="0"/>
              <w:suppressOverlap/>
              <w:jc w:val="center"/>
              <w:rPr>
                <w:rFonts w:ascii="宋体" w:eastAsia="宋体" w:hAnsi="宋体" w:hint="eastAsia"/>
                <w:b/>
                <w:color w:val="auto"/>
                <w:sz w:val="18"/>
                <w:szCs w:val="18"/>
              </w:rPr>
            </w:pPr>
            <w:r w:rsidRPr="00B022EE">
              <w:rPr>
                <w:rFonts w:ascii="宋体" w:eastAsia="宋体" w:hAnsi="宋体" w:hint="eastAsia"/>
                <w:b/>
                <w:color w:val="auto"/>
                <w:sz w:val="18"/>
                <w:szCs w:val="18"/>
              </w:rPr>
              <w:t>夏普比率（年化）</w:t>
            </w:r>
          </w:p>
        </w:tc>
      </w:tr>
      <w:tr w:rsidTr="00472E3C">
        <w:tblPrEx>
          <w:tblW w:w="737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2694" w:type="dxa"/>
            <w:vMerge/>
            <w:shd w:val="clear" w:color="auto" w:fill="auto"/>
            <w:vAlign w:val="center"/>
          </w:tcPr>
          <w:p w:rsidR="000A19A8" w:rsidRPr="0056030B" w:rsidP="00472E3C">
            <w:pPr>
              <w:pStyle w:val="BodyText"/>
              <w:spacing w:after="0" w:line="10" w:lineRule="atLeast"/>
              <w:ind w:left="0"/>
              <w:suppressOverlap/>
              <w:jc w:val="center"/>
              <w:rPr>
                <w:rFonts w:hint="eastAsia"/>
                <w:color w:val="auto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19A8" w:rsidRPr="0019593B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19593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19A8" w:rsidRPr="0019593B" w:rsidP="00472E3C">
            <w:pPr>
              <w:suppressOverlap/>
              <w:jc w:val="center"/>
              <w:rPr>
                <w:rFonts w:ascii="宋体" w:eastAsia="宋体" w:hAnsi="宋体"/>
                <w:b/>
                <w:bCs/>
                <w:color w:val="000000"/>
                <w:szCs w:val="18"/>
              </w:rPr>
            </w:pPr>
            <w:r w:rsidRPr="0019593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A19A8" w:rsidRPr="0019593B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19593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近三年</w:t>
            </w:r>
          </w:p>
        </w:tc>
      </w:tr>
      <w:tr w:rsidTr="00472E3C">
        <w:tblPrEx>
          <w:tblW w:w="737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2694" w:type="dxa"/>
            <w:shd w:val="clear" w:color="auto" w:fill="auto"/>
            <w:vAlign w:val="center"/>
          </w:tcPr>
          <w:p w:rsidR="00D5118B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股票型账户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118B" w:rsidRPr="00DA7A5F" w:rsidP="00D5118B">
            <w:pPr>
              <w:jc w:val="center"/>
              <w:rPr>
                <w:rFonts w:ascii="宋体" w:eastAsia="宋体" w:hAnsi="宋体"/>
                <w:color w:val="00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000000"/>
                <w:szCs w:val="18"/>
              </w:rPr>
              <w:t>0.48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118B" w:rsidRPr="00DA7A5F" w:rsidP="00D5118B">
            <w:pPr>
              <w:jc w:val="center"/>
              <w:rPr>
                <w:rFonts w:ascii="宋体" w:eastAsia="宋体" w:hAnsi="宋体"/>
                <w:color w:val="00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000000"/>
                <w:szCs w:val="18"/>
              </w:rPr>
              <w:t>0.23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5118B" w:rsidRPr="00DA7A5F" w:rsidP="00D5118B">
            <w:pPr>
              <w:jc w:val="center"/>
              <w:rPr>
                <w:rFonts w:ascii="宋体" w:eastAsia="宋体" w:hAnsi="宋体"/>
                <w:color w:val="FF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-0.51</w:t>
            </w:r>
          </w:p>
        </w:tc>
      </w:tr>
      <w:tr w:rsidTr="00472E3C">
        <w:tblPrEx>
          <w:tblW w:w="737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2694" w:type="dxa"/>
            <w:shd w:val="clear" w:color="auto" w:fill="auto"/>
            <w:vAlign w:val="center"/>
          </w:tcPr>
          <w:p w:rsidR="00D5118B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股票-指数型账户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118B" w:rsidRPr="00DA7A5F" w:rsidP="00D5118B">
            <w:pPr>
              <w:jc w:val="center"/>
              <w:rPr>
                <w:rFonts w:ascii="宋体" w:eastAsia="宋体" w:hAnsi="宋体"/>
                <w:color w:val="FF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-0.50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118B" w:rsidRPr="00DA7A5F" w:rsidP="00D5118B">
            <w:pPr>
              <w:jc w:val="center"/>
              <w:rPr>
                <w:rFonts w:ascii="宋体" w:eastAsia="宋体" w:hAnsi="宋体"/>
                <w:color w:val="FF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-0.19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5118B" w:rsidRPr="00DA7A5F" w:rsidP="00D5118B">
            <w:pPr>
              <w:jc w:val="center"/>
              <w:rPr>
                <w:rFonts w:ascii="宋体" w:eastAsia="宋体" w:hAnsi="宋体"/>
                <w:color w:val="FF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-0.72</w:t>
            </w:r>
          </w:p>
        </w:tc>
      </w:tr>
      <w:tr w:rsidTr="00472E3C">
        <w:tblPrEx>
          <w:tblW w:w="737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2694" w:type="dxa"/>
            <w:shd w:val="clear" w:color="auto" w:fill="auto"/>
            <w:vAlign w:val="center"/>
          </w:tcPr>
          <w:p w:rsidR="00D5118B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混合偏股型账户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118B" w:rsidRPr="00DA7A5F" w:rsidP="00D5118B">
            <w:pPr>
              <w:jc w:val="center"/>
              <w:rPr>
                <w:rFonts w:ascii="宋体" w:eastAsia="宋体" w:hAnsi="宋体"/>
                <w:color w:val="00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000000"/>
                <w:szCs w:val="18"/>
              </w:rPr>
              <w:t>0.28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118B" w:rsidRPr="00DA7A5F" w:rsidP="00D5118B">
            <w:pPr>
              <w:jc w:val="center"/>
              <w:rPr>
                <w:rFonts w:ascii="宋体" w:eastAsia="宋体" w:hAnsi="宋体"/>
                <w:color w:val="00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000000"/>
                <w:szCs w:val="18"/>
              </w:rPr>
              <w:t>0.12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5118B" w:rsidRPr="00DA7A5F" w:rsidP="00D5118B">
            <w:pPr>
              <w:jc w:val="center"/>
              <w:rPr>
                <w:rFonts w:ascii="宋体" w:eastAsia="宋体" w:hAnsi="宋体"/>
                <w:color w:val="FF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-0.65</w:t>
            </w:r>
          </w:p>
        </w:tc>
      </w:tr>
      <w:tr w:rsidTr="00472E3C">
        <w:tblPrEx>
          <w:tblW w:w="737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2694" w:type="dxa"/>
            <w:shd w:val="clear" w:color="auto" w:fill="auto"/>
            <w:vAlign w:val="center"/>
          </w:tcPr>
          <w:p w:rsidR="00D5118B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灵活配置型账户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118B" w:rsidRPr="00DA7A5F" w:rsidP="00D5118B">
            <w:pPr>
              <w:jc w:val="center"/>
              <w:rPr>
                <w:rFonts w:ascii="宋体" w:eastAsia="宋体" w:hAnsi="宋体"/>
                <w:color w:val="FF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-0.10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118B" w:rsidRPr="00DA7A5F" w:rsidP="00D5118B">
            <w:pPr>
              <w:jc w:val="center"/>
              <w:rPr>
                <w:rFonts w:ascii="宋体" w:eastAsia="宋体" w:hAnsi="宋体"/>
                <w:color w:val="FF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-0.</w:t>
            </w: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13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5118B" w:rsidRPr="00DA7A5F" w:rsidP="00D5118B">
            <w:pPr>
              <w:jc w:val="center"/>
              <w:rPr>
                <w:rFonts w:ascii="宋体" w:eastAsia="宋体" w:hAnsi="宋体"/>
                <w:color w:val="FF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-0.76</w:t>
            </w:r>
          </w:p>
        </w:tc>
      </w:tr>
      <w:tr w:rsidTr="00472E3C">
        <w:tblPrEx>
          <w:tblW w:w="737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2694" w:type="dxa"/>
            <w:shd w:val="clear" w:color="auto" w:fill="auto"/>
            <w:vAlign w:val="center"/>
          </w:tcPr>
          <w:p w:rsidR="000A19A8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债券型账户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19A8" w:rsidRPr="00DA7A5F" w:rsidP="00472E3C">
            <w:pPr>
              <w:suppressOverlap/>
              <w:jc w:val="center"/>
              <w:rPr>
                <w:rFonts w:ascii="宋体" w:eastAsia="宋体" w:hAnsi="宋体"/>
                <w:color w:val="000000"/>
                <w:szCs w:val="18"/>
              </w:rPr>
            </w:pPr>
            <w:r w:rsidRPr="00DA7A5F">
              <w:rPr>
                <w:rFonts w:ascii="宋体" w:eastAsia="宋体" w:hAnsi="宋体"/>
                <w:color w:val="000000"/>
                <w:szCs w:val="18"/>
              </w:rPr>
              <w:t>——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19A8" w:rsidRPr="00DA7A5F" w:rsidP="00472E3C">
            <w:pPr>
              <w:suppressOverlap/>
              <w:jc w:val="center"/>
              <w:rPr>
                <w:rFonts w:ascii="宋体" w:eastAsia="宋体" w:hAnsi="宋体"/>
                <w:color w:val="000000"/>
                <w:szCs w:val="18"/>
              </w:rPr>
            </w:pPr>
            <w:r w:rsidRPr="00DA7A5F">
              <w:rPr>
                <w:rFonts w:ascii="宋体" w:eastAsia="宋体" w:hAnsi="宋体"/>
                <w:color w:val="000000"/>
                <w:szCs w:val="18"/>
              </w:rPr>
              <w:t>——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A19A8" w:rsidRPr="00DA7A5F" w:rsidP="00472E3C">
            <w:pPr>
              <w:suppressOverlap/>
              <w:jc w:val="center"/>
              <w:rPr>
                <w:rFonts w:ascii="宋体" w:eastAsia="宋体" w:hAnsi="宋体"/>
                <w:color w:val="000000"/>
                <w:szCs w:val="18"/>
              </w:rPr>
            </w:pPr>
            <w:r w:rsidRPr="00DA7A5F">
              <w:rPr>
                <w:rFonts w:ascii="宋体" w:eastAsia="宋体" w:hAnsi="宋体"/>
                <w:color w:val="000000"/>
                <w:szCs w:val="18"/>
              </w:rPr>
              <w:t>——</w:t>
            </w:r>
          </w:p>
        </w:tc>
      </w:tr>
      <w:tr w:rsidTr="00472E3C">
        <w:tblPrEx>
          <w:tblW w:w="737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2694" w:type="dxa"/>
            <w:shd w:val="clear" w:color="auto" w:fill="auto"/>
            <w:vAlign w:val="center"/>
          </w:tcPr>
          <w:p w:rsidR="00DA7A5F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混合偏债型账户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7A5F" w:rsidRPr="002155D2" w:rsidP="00DA7A5F">
            <w:pPr>
              <w:jc w:val="center"/>
              <w:rPr>
                <w:rFonts w:ascii="宋体" w:eastAsia="宋体" w:hAnsi="宋体"/>
                <w:color w:val="000000"/>
                <w:szCs w:val="18"/>
              </w:rPr>
            </w:pPr>
            <w:r w:rsidRPr="002155D2">
              <w:rPr>
                <w:rFonts w:ascii="宋体" w:eastAsia="宋体" w:hAnsi="宋体" w:hint="eastAsia"/>
                <w:color w:val="000000"/>
                <w:szCs w:val="18"/>
              </w:rPr>
              <w:t>0.00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/>
                <w:color w:val="00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000000"/>
                <w:szCs w:val="18"/>
              </w:rPr>
              <w:t>0.05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/>
                <w:color w:val="FF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-0.72</w:t>
            </w:r>
          </w:p>
        </w:tc>
      </w:tr>
      <w:tr w:rsidTr="00472E3C">
        <w:tblPrEx>
          <w:tblW w:w="737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269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0A19A8" w:rsidRPr="00084D2A" w:rsidP="00472E3C">
            <w:pPr>
              <w:suppressOverlap/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货币型账户</w:t>
            </w:r>
          </w:p>
        </w:tc>
        <w:tc>
          <w:tcPr>
            <w:tcW w:w="1701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0A19A8" w:rsidRPr="00DA7A5F" w:rsidP="00472E3C">
            <w:pPr>
              <w:jc w:val="center"/>
              <w:rPr>
                <w:rFonts w:ascii="宋体" w:eastAsia="宋体" w:hAnsi="宋体"/>
                <w:color w:val="000000"/>
                <w:szCs w:val="18"/>
              </w:rPr>
            </w:pPr>
            <w:r w:rsidRPr="00DA7A5F">
              <w:rPr>
                <w:rFonts w:ascii="宋体" w:eastAsia="宋体" w:hAnsi="宋体"/>
                <w:color w:val="000000"/>
                <w:szCs w:val="18"/>
              </w:rPr>
              <w:t>——</w:t>
            </w:r>
          </w:p>
        </w:tc>
        <w:tc>
          <w:tcPr>
            <w:tcW w:w="155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0A19A8" w:rsidRPr="00DA7A5F" w:rsidP="00472E3C">
            <w:pPr>
              <w:jc w:val="center"/>
              <w:rPr>
                <w:rFonts w:ascii="宋体" w:eastAsia="宋体" w:hAnsi="宋体"/>
                <w:color w:val="000000"/>
                <w:szCs w:val="18"/>
              </w:rPr>
            </w:pPr>
            <w:r w:rsidRPr="00DA7A5F">
              <w:rPr>
                <w:rFonts w:ascii="宋体" w:eastAsia="宋体" w:hAnsi="宋体"/>
                <w:color w:val="000000"/>
                <w:szCs w:val="18"/>
              </w:rPr>
              <w:t>——</w:t>
            </w:r>
          </w:p>
        </w:tc>
        <w:tc>
          <w:tcPr>
            <w:tcW w:w="141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0A19A8" w:rsidRPr="00DA7A5F" w:rsidP="00472E3C">
            <w:pPr>
              <w:jc w:val="center"/>
              <w:rPr>
                <w:rFonts w:ascii="宋体" w:eastAsia="宋体" w:hAnsi="宋体"/>
                <w:color w:val="000000"/>
                <w:szCs w:val="18"/>
              </w:rPr>
            </w:pPr>
            <w:r w:rsidRPr="00DA7A5F">
              <w:rPr>
                <w:rFonts w:ascii="宋体" w:eastAsia="宋体" w:hAnsi="宋体"/>
                <w:color w:val="000000"/>
                <w:szCs w:val="18"/>
              </w:rPr>
              <w:t>——</w:t>
            </w:r>
          </w:p>
        </w:tc>
      </w:tr>
      <w:tr w:rsidTr="00472E3C">
        <w:tblPrEx>
          <w:tblW w:w="737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2694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DA7A5F" w:rsidRPr="00084D2A" w:rsidP="00472E3C">
            <w:pPr>
              <w:suppressOverlap/>
              <w:jc w:val="center"/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</w:pPr>
            <w:r w:rsidRPr="00084D2A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沪深300</w:t>
            </w:r>
          </w:p>
        </w:tc>
        <w:tc>
          <w:tcPr>
            <w:tcW w:w="1701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/>
                <w:color w:val="FF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-0.41</w:t>
            </w:r>
          </w:p>
        </w:tc>
        <w:tc>
          <w:tcPr>
            <w:tcW w:w="155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/>
                <w:color w:val="FF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-0.10</w:t>
            </w:r>
          </w:p>
        </w:tc>
        <w:tc>
          <w:tcPr>
            <w:tcW w:w="1416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DA7A5F" w:rsidRPr="00DA7A5F" w:rsidP="00DA7A5F">
            <w:pPr>
              <w:jc w:val="center"/>
              <w:rPr>
                <w:rFonts w:ascii="宋体" w:eastAsia="宋体" w:hAnsi="宋体"/>
                <w:color w:val="FF0000"/>
                <w:szCs w:val="18"/>
              </w:rPr>
            </w:pPr>
            <w:r w:rsidRPr="00DA7A5F">
              <w:rPr>
                <w:rFonts w:ascii="宋体" w:eastAsia="宋体" w:hAnsi="宋体" w:hint="eastAsia"/>
                <w:color w:val="FF0000"/>
                <w:szCs w:val="18"/>
              </w:rPr>
              <w:t>-0.64</w:t>
            </w:r>
          </w:p>
        </w:tc>
      </w:tr>
      <w:tr w:rsidTr="00472E3C">
        <w:tblPrEx>
          <w:tblW w:w="737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12"/>
        </w:trPr>
        <w:tc>
          <w:tcPr>
            <w:tcW w:w="7370" w:type="dxa"/>
            <w:gridSpan w:val="4"/>
            <w:tcBorders>
              <w:top w:val="single" w:sz="4" w:space="0" w:color="00A0E9"/>
            </w:tcBorders>
            <w:shd w:val="clear" w:color="auto" w:fill="auto"/>
            <w:vAlign w:val="center"/>
          </w:tcPr>
          <w:p w:rsidR="000A19A8" w:rsidRPr="0056030B" w:rsidP="000A19A8">
            <w:pPr>
              <w:pStyle w:val="BodyText"/>
              <w:spacing w:after="0" w:line="10" w:lineRule="atLeast"/>
              <w:ind w:left="0"/>
              <w:suppressOverlap/>
              <w:jc w:val="left"/>
              <w:rPr>
                <w:rFonts w:hint="eastAsia"/>
                <w:color w:val="auto"/>
                <w:sz w:val="18"/>
                <w:szCs w:val="18"/>
              </w:rPr>
            </w:pPr>
            <w:r w:rsidRPr="0056030B">
              <w:rPr>
                <w:rFonts w:hint="eastAsia"/>
                <w:color w:val="auto"/>
                <w:sz w:val="18"/>
                <w:szCs w:val="18"/>
              </w:rPr>
              <w:t>注：数据截止201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3</w:t>
            </w:r>
            <w:r w:rsidRPr="0056030B">
              <w:rPr>
                <w:rFonts w:hint="eastAsia"/>
                <w:color w:val="auto"/>
                <w:sz w:val="18"/>
                <w:szCs w:val="18"/>
              </w:rPr>
              <w:t>年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12</w:t>
            </w:r>
            <w:r w:rsidRPr="0056030B">
              <w:rPr>
                <w:rFonts w:hint="eastAsia"/>
                <w:color w:val="auto"/>
                <w:sz w:val="18"/>
                <w:szCs w:val="18"/>
              </w:rPr>
              <w:t>月。</w:t>
            </w:r>
          </w:p>
        </w:tc>
      </w:tr>
      <w:tr w:rsidTr="00472E3C">
        <w:tblPrEx>
          <w:tblW w:w="737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00"/>
        </w:trPr>
        <w:tc>
          <w:tcPr>
            <w:tcW w:w="7370" w:type="dxa"/>
            <w:gridSpan w:val="4"/>
            <w:shd w:val="clear" w:color="auto" w:fill="auto"/>
          </w:tcPr>
          <w:p w:rsidR="000A19A8" w:rsidP="00472E3C">
            <w:pPr>
              <w:pStyle w:val="FootnoteNoline"/>
              <w:ind w:left="0"/>
              <w:suppressOverlap/>
              <w:rPr>
                <w:rFonts w:hint="eastAsia"/>
              </w:rPr>
            </w:pPr>
            <w:r>
              <w:rPr>
                <w:rFonts w:hint="eastAsia"/>
              </w:rPr>
              <w:t>来源：国金证券研究所</w:t>
            </w:r>
          </w:p>
        </w:tc>
      </w:tr>
    </w:tbl>
    <w:p w:rsidR="000A19A8" w:rsidRPr="000A19A8" w:rsidP="000A19A8">
      <w:pPr>
        <w:pStyle w:val="BodyText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eastAsia="zh-CN"/>
        </w:rPr>
        <w:t xml:space="preserve">   </w:t>
      </w:r>
    </w:p>
    <w:p w:rsidR="00883F1D" w:rsidRPr="00883F1D" w:rsidP="00883F1D">
      <w:pPr>
        <w:pStyle w:val="BodyText"/>
        <w:numPr>
          <w:ilvl w:val="4"/>
          <w:numId w:val="3"/>
        </w:numPr>
        <w:rPr>
          <w:rFonts w:hint="eastAsia"/>
          <w:color w:val="auto"/>
        </w:rPr>
        <w:sectPr w:rsidSect="009C0521">
          <w:headerReference w:type="default" r:id="rId32"/>
          <w:footerReference w:type="even" r:id="rId33"/>
          <w:footerReference w:type="default" r:id="rId34"/>
          <w:footerReference w:type="first" r:id="rId35"/>
          <w:type w:val="nextPage"/>
          <w:pgSz w:w="11907" w:h="16840" w:code="9"/>
          <w:pgMar w:top="1440" w:right="624" w:bottom="1440" w:left="624" w:header="851" w:footer="397" w:gutter="0"/>
          <w:pgNumType w:start="6"/>
          <w:cols w:space="720"/>
          <w:titlePg w:val="0"/>
        </w:sectPr>
      </w:pPr>
      <w:r w:rsidRPr="00971CC3" w:rsidR="00F93206">
        <w:rPr>
          <w:rFonts w:hint="eastAsia"/>
          <w:color w:val="auto"/>
          <w:lang w:eastAsia="zh-CN"/>
        </w:rPr>
        <w:t>近一年</w:t>
      </w:r>
      <w:r w:rsidR="0077327B">
        <w:rPr>
          <w:rFonts w:hint="eastAsia"/>
          <w:color w:val="auto"/>
          <w:lang w:eastAsia="zh-CN"/>
        </w:rPr>
        <w:t>来</w:t>
      </w:r>
      <w:r w:rsidR="00117D69">
        <w:rPr>
          <w:rFonts w:hint="eastAsia"/>
          <w:color w:val="auto"/>
          <w:lang w:eastAsia="zh-CN"/>
        </w:rPr>
        <w:t>股市震荡、反复</w:t>
      </w:r>
      <w:r w:rsidR="00F93206">
        <w:rPr>
          <w:rFonts w:hint="eastAsia"/>
          <w:color w:val="auto"/>
          <w:lang w:eastAsia="zh-CN"/>
        </w:rPr>
        <w:t>，</w:t>
      </w:r>
      <w:r w:rsidR="00117D69">
        <w:rPr>
          <w:rFonts w:hint="eastAsia"/>
          <w:color w:val="auto"/>
          <w:lang w:eastAsia="zh-CN"/>
        </w:rPr>
        <w:t>但</w:t>
      </w:r>
      <w:r w:rsidR="00F93206">
        <w:rPr>
          <w:rFonts w:hint="eastAsia"/>
          <w:color w:val="auto"/>
          <w:lang w:eastAsia="zh-CN"/>
        </w:rPr>
        <w:t>各类账</w:t>
      </w:r>
    </w:p>
    <w:p w:rsidR="00472E3C" w:rsidP="00472E3C">
      <w:pPr>
        <w:pStyle w:val="12"/>
        <w:ind w:left="3402" w:leftChars="1890"/>
        <w:rPr>
          <w:rFonts w:hint="eastAsia"/>
          <w:color w:val="auto"/>
          <w:lang w:eastAsia="zh-CN"/>
        </w:rPr>
      </w:pPr>
      <w:r w:rsidRPr="0099748C">
        <w:rPr>
          <w:rFonts w:hint="eastAsia"/>
          <w:color w:val="auto"/>
        </w:rPr>
        <w:t>第</w:t>
      </w:r>
      <w:r>
        <w:rPr>
          <w:rFonts w:hint="eastAsia"/>
          <w:color w:val="auto"/>
          <w:lang w:eastAsia="zh-CN"/>
        </w:rPr>
        <w:t>三</w:t>
      </w:r>
      <w:r w:rsidRPr="0099748C">
        <w:rPr>
          <w:rFonts w:hint="eastAsia"/>
          <w:color w:val="auto"/>
        </w:rPr>
        <w:t>部分：</w:t>
      </w:r>
      <w:r>
        <w:rPr>
          <w:rFonts w:hint="eastAsia"/>
          <w:color w:val="auto"/>
          <w:lang w:eastAsia="zh-CN"/>
        </w:rPr>
        <w:t>2013年11-12月份保险理财产品动态</w:t>
      </w:r>
    </w:p>
    <w:p w:rsidR="00472E3C" w:rsidP="00472E3C">
      <w:pPr>
        <w:pStyle w:val="BodyText"/>
        <w:numPr>
          <w:ilvl w:val="4"/>
          <w:numId w:val="35"/>
        </w:numPr>
        <w:rPr>
          <w:rFonts w:hint="eastAsia"/>
          <w:color w:val="auto"/>
        </w:rPr>
      </w:pPr>
      <w:r>
        <w:rPr>
          <w:rFonts w:hint="eastAsia"/>
          <w:color w:val="auto"/>
          <w:lang w:eastAsia="zh-CN"/>
        </w:rPr>
        <w:t>根据国金不完全统计，2013年</w:t>
      </w:r>
      <w:r w:rsidR="0067126B">
        <w:rPr>
          <w:rFonts w:hint="eastAsia"/>
          <w:color w:val="auto"/>
          <w:lang w:eastAsia="zh-CN"/>
        </w:rPr>
        <w:t>11-12</w:t>
      </w:r>
      <w:r>
        <w:rPr>
          <w:rFonts w:hint="eastAsia"/>
          <w:color w:val="auto"/>
          <w:lang w:eastAsia="zh-CN"/>
        </w:rPr>
        <w:t>月份</w:t>
      </w:r>
      <w:r w:rsidR="0067126B">
        <w:rPr>
          <w:rFonts w:hint="eastAsia"/>
          <w:color w:val="auto"/>
          <w:lang w:eastAsia="zh-CN"/>
        </w:rPr>
        <w:t>保险</w:t>
      </w:r>
      <w:r>
        <w:rPr>
          <w:rFonts w:hint="eastAsia"/>
          <w:color w:val="auto"/>
          <w:lang w:eastAsia="zh-CN"/>
        </w:rPr>
        <w:t>公司</w:t>
      </w:r>
      <w:r w:rsidR="0067126B">
        <w:rPr>
          <w:rFonts w:hint="eastAsia"/>
          <w:color w:val="auto"/>
          <w:lang w:eastAsia="zh-CN"/>
        </w:rPr>
        <w:t>共</w:t>
      </w:r>
      <w:r>
        <w:rPr>
          <w:rFonts w:hint="eastAsia"/>
          <w:color w:val="auto"/>
          <w:lang w:eastAsia="zh-CN"/>
        </w:rPr>
        <w:t>推出</w:t>
      </w:r>
      <w:r w:rsidR="0067126B">
        <w:rPr>
          <w:rFonts w:hint="eastAsia"/>
          <w:color w:val="auto"/>
          <w:lang w:eastAsia="zh-CN"/>
        </w:rPr>
        <w:t>8</w:t>
      </w:r>
      <w:r w:rsidRPr="000C138D">
        <w:rPr>
          <w:rFonts w:hint="eastAsia"/>
          <w:color w:val="auto"/>
          <w:lang w:eastAsia="zh-CN"/>
        </w:rPr>
        <w:t>只保险理财型新产品，</w:t>
      </w:r>
      <w:r w:rsidR="0067126B">
        <w:rPr>
          <w:rFonts w:hint="eastAsia"/>
          <w:color w:val="auto"/>
          <w:lang w:eastAsia="zh-CN"/>
        </w:rPr>
        <w:t>其中3只为万能型、3只为分红型、1只为分红型+万能型</w:t>
      </w:r>
      <w:r>
        <w:rPr>
          <w:rFonts w:hint="eastAsia"/>
          <w:color w:val="auto"/>
          <w:lang w:eastAsia="zh-CN"/>
        </w:rPr>
        <w:t>。</w:t>
      </w:r>
      <w:r w:rsidR="0067126B">
        <w:rPr>
          <w:rFonts w:hint="eastAsia"/>
          <w:color w:val="auto"/>
          <w:lang w:eastAsia="zh-CN"/>
        </w:rPr>
        <w:t>万能型分别为财星一号终身寿险、金娃娃少儿两全保险、国华附加财富金管家终身寿险C款；分红型分别为金色晚年年金保险、吉祥一生终身寿险、保得福两全保险；分红型+万能型为福享一生终身年金保险（主险）、福享一生附加随意领年金保险（附加险）。</w:t>
      </w:r>
    </w:p>
    <w:tbl>
      <w:tblPr>
        <w:tblStyle w:val="TableNormal"/>
        <w:tblW w:w="10600" w:type="dxa"/>
        <w:tblInd w:w="93" w:type="dxa"/>
        <w:tblLook w:val="04A0"/>
      </w:tblPr>
      <w:tblGrid>
        <w:gridCol w:w="2992"/>
        <w:gridCol w:w="1559"/>
        <w:gridCol w:w="993"/>
        <w:gridCol w:w="1156"/>
        <w:gridCol w:w="3900"/>
      </w:tblGrid>
      <w:tr w:rsidTr="0067126B">
        <w:tblPrEx>
          <w:tblW w:w="10600" w:type="dxa"/>
          <w:tblInd w:w="93" w:type="dxa"/>
          <w:tblLook w:val="04A0"/>
        </w:tblPrEx>
        <w:trPr>
          <w:trHeight w:val="285"/>
        </w:trPr>
        <w:tc>
          <w:tcPr>
            <w:tcW w:w="10600" w:type="dxa"/>
            <w:gridSpan w:val="5"/>
            <w:tcBorders>
              <w:top w:val="single" w:sz="8" w:space="0" w:color="00A0E9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67126B" w:rsidRPr="0067126B" w:rsidP="008F6148">
            <w:pPr>
              <w:pStyle w:val="SubTitleLargeTable"/>
              <w:pBdr>
                <w:top w:val="none" w:sz="0" w:space="0" w:color="auto"/>
              </w:pBdr>
              <w:rPr>
                <w:rFonts w:ascii="宋体" w:eastAsia="宋体" w:hAnsi="宋体" w:cs="宋体"/>
              </w:rPr>
            </w:pPr>
            <w:r w:rsidRPr="008F6148">
              <w:rPr>
                <w:rFonts w:hint="eastAsia"/>
              </w:rPr>
              <w:t>图表</w:t>
            </w:r>
            <w:r w:rsidR="008F6148">
              <w:rPr>
                <w:rFonts w:hint="eastAsia"/>
              </w:rPr>
              <w:t>8</w:t>
            </w:r>
            <w:r w:rsidRPr="008F6148">
              <w:rPr>
                <w:rFonts w:hint="eastAsia"/>
              </w:rPr>
              <w:t>：</w:t>
            </w:r>
            <w:r w:rsidRPr="008F6148">
              <w:t>11-12</w:t>
            </w:r>
            <w:r w:rsidRPr="008F6148">
              <w:rPr>
                <w:rFonts w:hint="eastAsia"/>
              </w:rPr>
              <w:t>月份保险产品发行概况</w:t>
            </w:r>
          </w:p>
        </w:tc>
      </w:tr>
      <w:tr w:rsidTr="0067126B">
        <w:tblPrEx>
          <w:tblW w:w="10600" w:type="dxa"/>
          <w:tblInd w:w="93" w:type="dxa"/>
          <w:tblLook w:val="04A0"/>
        </w:tblPrEx>
        <w:trPr>
          <w:trHeight w:val="285"/>
        </w:trPr>
        <w:tc>
          <w:tcPr>
            <w:tcW w:w="2992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000000" w:fill="D9D9D9"/>
            <w:vAlign w:val="center"/>
            <w:hideMark/>
          </w:tcPr>
          <w:p w:rsidR="0067126B" w:rsidRPr="0067126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产品名称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000000" w:fill="D9D9D9"/>
            <w:vAlign w:val="center"/>
            <w:hideMark/>
          </w:tcPr>
          <w:p w:rsidR="0067126B" w:rsidRPr="0067126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保险公司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000000" w:fill="D9D9D9"/>
            <w:vAlign w:val="center"/>
            <w:hideMark/>
          </w:tcPr>
          <w:p w:rsidR="0067126B" w:rsidRPr="0067126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类别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000000" w:fill="D9D9D9"/>
            <w:vAlign w:val="center"/>
            <w:hideMark/>
          </w:tcPr>
          <w:p w:rsidR="0067126B" w:rsidRPr="0067126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保障范围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000000" w:fill="D9D9D9"/>
            <w:vAlign w:val="center"/>
            <w:hideMark/>
          </w:tcPr>
          <w:p w:rsidR="0067126B" w:rsidRPr="0067126B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b/>
                <w:bCs/>
                <w:color w:val="000000"/>
                <w:szCs w:val="18"/>
              </w:rPr>
              <w:t>产品特点</w:t>
            </w:r>
          </w:p>
        </w:tc>
      </w:tr>
      <w:tr w:rsidTr="0067126B">
        <w:tblPrEx>
          <w:tblW w:w="10600" w:type="dxa"/>
          <w:tblInd w:w="93" w:type="dxa"/>
          <w:tblLook w:val="04A0"/>
        </w:tblPrEx>
        <w:trPr>
          <w:trHeight w:val="465"/>
        </w:trPr>
        <w:tc>
          <w:tcPr>
            <w:tcW w:w="2992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财星一号终身寿险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复星保德信人寿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 w:rsidP="0067126B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万能型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疾病身故、意外身故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不收取初始费用、保单管理费和风险保费，客户资金100%进入投资账户</w:t>
            </w:r>
          </w:p>
        </w:tc>
      </w:tr>
      <w:tr w:rsidTr="0067126B">
        <w:tblPrEx>
          <w:tblW w:w="10600" w:type="dxa"/>
          <w:tblInd w:w="93" w:type="dxa"/>
          <w:tblLook w:val="04A0"/>
        </w:tblPrEx>
        <w:trPr>
          <w:trHeight w:val="465"/>
        </w:trPr>
        <w:tc>
          <w:tcPr>
            <w:tcW w:w="2992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金娃娃少儿两全保险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阳光人寿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 w:rsidP="0067126B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万能型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意外身故、全残、疾病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如果投保人因发生意外导致身故或全残，可豁免保单前十年未交保费</w:t>
            </w:r>
          </w:p>
        </w:tc>
      </w:tr>
      <w:tr w:rsidTr="0067126B">
        <w:tblPrEx>
          <w:tblW w:w="10600" w:type="dxa"/>
          <w:tblInd w:w="93" w:type="dxa"/>
          <w:tblLook w:val="04A0"/>
        </w:tblPrEx>
        <w:trPr>
          <w:trHeight w:val="690"/>
        </w:trPr>
        <w:tc>
          <w:tcPr>
            <w:tcW w:w="2992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金色晚年年金保险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工银安盛人寿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 w:rsidP="0067126B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分红型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养老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将年金开始领取年龄设为50周岁、55周岁、60周岁、65周岁四档。自指定年金领取日开始，每年都可以领取10%保险金额的年金，直至100周岁</w:t>
            </w:r>
          </w:p>
        </w:tc>
      </w:tr>
      <w:tr w:rsidTr="0067126B">
        <w:tblPrEx>
          <w:tblW w:w="10600" w:type="dxa"/>
          <w:tblInd w:w="93" w:type="dxa"/>
          <w:tblLook w:val="04A0"/>
        </w:tblPrEx>
        <w:trPr>
          <w:trHeight w:val="465"/>
        </w:trPr>
        <w:tc>
          <w:tcPr>
            <w:tcW w:w="2992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吉祥一生终身寿险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大都会人寿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 w:rsidP="0067126B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分红型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身故、全残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包含身故保险金、全残保险金、生命关爱提前给付、保险费豁免、年金转换权等多种保障</w:t>
            </w:r>
          </w:p>
        </w:tc>
      </w:tr>
      <w:tr w:rsidTr="0067126B">
        <w:tblPrEx>
          <w:tblW w:w="10600" w:type="dxa"/>
          <w:tblInd w:w="93" w:type="dxa"/>
          <w:tblLook w:val="04A0"/>
        </w:tblPrEx>
        <w:trPr>
          <w:trHeight w:val="1140"/>
        </w:trPr>
        <w:tc>
          <w:tcPr>
            <w:tcW w:w="2992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保得福两全保险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复星保德信人寿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 w:rsidP="0067126B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分红型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生存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在第三个保单周年日，将给付被保险人保险金额的18%作为首期生存保险金。此后，在被保险人六十一周岁前和六十一周岁后，将分别每年给付保险金额的6%和12%作为生存保险金，也可将生存保险金留存公司累积生息</w:t>
            </w:r>
          </w:p>
        </w:tc>
      </w:tr>
      <w:tr w:rsidTr="0067126B">
        <w:tblPrEx>
          <w:tblW w:w="10600" w:type="dxa"/>
          <w:tblInd w:w="93" w:type="dxa"/>
          <w:tblLook w:val="04A0"/>
        </w:tblPrEx>
        <w:trPr>
          <w:trHeight w:val="345"/>
        </w:trPr>
        <w:tc>
          <w:tcPr>
            <w:tcW w:w="2992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福享一生终身年金保险（主险）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A0E9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新华保险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 w:rsidP="0067126B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分红型</w:t>
            </w:r>
          </w:p>
        </w:tc>
        <w:tc>
          <w:tcPr>
            <w:tcW w:w="1156" w:type="dxa"/>
            <w:vMerge w:val="restart"/>
            <w:tcBorders>
              <w:top w:val="nil"/>
              <w:left w:val="single" w:sz="8" w:space="0" w:color="00A0E9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生存、身故、全残</w:t>
            </w:r>
          </w:p>
        </w:tc>
        <w:tc>
          <w:tcPr>
            <w:tcW w:w="3900" w:type="dxa"/>
            <w:vMerge w:val="restart"/>
            <w:tcBorders>
              <w:top w:val="nil"/>
              <w:left w:val="single" w:sz="8" w:space="0" w:color="00A0E9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通过保单贷款功能，客户可以按照保单的现金价值的95%进行贷款；具有保额分红优势；生存金自动进入万能险账户</w:t>
            </w:r>
          </w:p>
        </w:tc>
      </w:tr>
      <w:tr w:rsidTr="0067126B">
        <w:tblPrEx>
          <w:tblW w:w="10600" w:type="dxa"/>
          <w:tblInd w:w="93" w:type="dxa"/>
          <w:tblLook w:val="04A0"/>
        </w:tblPrEx>
        <w:trPr>
          <w:trHeight w:val="420"/>
        </w:trPr>
        <w:tc>
          <w:tcPr>
            <w:tcW w:w="2992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福享一生附加随意领年金保险（附加险）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00A0E9"/>
              <w:bottom w:val="single" w:sz="8" w:space="0" w:color="00A0E9"/>
              <w:right w:val="single" w:sz="8" w:space="0" w:color="00A0E9"/>
            </w:tcBorders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 w:rsidP="0067126B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万能型</w:t>
            </w:r>
          </w:p>
        </w:tc>
        <w:tc>
          <w:tcPr>
            <w:tcW w:w="1156" w:type="dxa"/>
            <w:vMerge/>
            <w:tcBorders>
              <w:top w:val="nil"/>
              <w:left w:val="single" w:sz="8" w:space="0" w:color="00A0E9"/>
              <w:bottom w:val="single" w:sz="8" w:space="0" w:color="00A0E9"/>
              <w:right w:val="single" w:sz="8" w:space="0" w:color="00A0E9"/>
            </w:tcBorders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3900" w:type="dxa"/>
            <w:vMerge/>
            <w:tcBorders>
              <w:top w:val="nil"/>
              <w:left w:val="single" w:sz="8" w:space="0" w:color="00A0E9"/>
              <w:bottom w:val="single" w:sz="8" w:space="0" w:color="00A0E9"/>
              <w:right w:val="nil"/>
            </w:tcBorders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  <w:tr w:rsidTr="0067126B">
        <w:tblPrEx>
          <w:tblW w:w="10600" w:type="dxa"/>
          <w:tblInd w:w="93" w:type="dxa"/>
          <w:tblLook w:val="04A0"/>
        </w:tblPrEx>
        <w:trPr>
          <w:trHeight w:val="690"/>
        </w:trPr>
        <w:tc>
          <w:tcPr>
            <w:tcW w:w="2992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国华附加财富金管家终身寿险C款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国华人寿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 w:rsidP="0067126B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万能型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A0E9"/>
              <w:right w:val="single" w:sz="8" w:space="0" w:color="00A0E9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生存、教育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00A0E9"/>
              <w:right w:val="nil"/>
            </w:tcBorders>
            <w:shd w:val="clear" w:color="auto" w:fill="auto"/>
            <w:vAlign w:val="center"/>
            <w:hideMark/>
          </w:tcPr>
          <w:p w:rsidR="0067126B" w:rsidRPr="0067126B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67126B">
              <w:rPr>
                <w:rFonts w:ascii="宋体" w:eastAsia="宋体" w:hAnsi="宋体" w:hint="eastAsia"/>
                <w:color w:val="000000"/>
                <w:szCs w:val="18"/>
              </w:rPr>
              <w:t>预期结算利率为4.8%。该万能账户没有前后端扣费，支取灵活。生存金自动转入该万能账户，实现二次增值</w:t>
            </w:r>
          </w:p>
        </w:tc>
      </w:tr>
    </w:tbl>
    <w:p w:rsidR="00472E3C" w:rsidRPr="00DD70AF" w:rsidP="00472E3C">
      <w:pPr>
        <w:pStyle w:val="FootnoteNoline"/>
        <w:ind w:left="0"/>
        <w:rPr>
          <w:rFonts w:hint="eastAsia"/>
          <w:color w:val="auto"/>
          <w:lang w:val="en-US"/>
        </w:rPr>
      </w:pPr>
      <w:r>
        <w:rPr>
          <w:rFonts w:hint="eastAsia"/>
        </w:rPr>
        <w:t>来源：国金证券研究所</w:t>
      </w:r>
    </w:p>
    <w:p w:rsidR="00DD70AF" w:rsidRPr="003302CC" w:rsidP="00DD70AF">
      <w:pPr>
        <w:pStyle w:val="BodyText"/>
        <w:rPr>
          <w:rFonts w:hint="eastAsia"/>
          <w:color w:val="auto"/>
        </w:rPr>
      </w:pPr>
    </w:p>
    <w:p w:rsidR="009E7462" w:rsidRPr="00BC6EB7" w:rsidP="00A056CA">
      <w:pPr>
        <w:pStyle w:val="BodyText"/>
        <w:ind w:left="3430"/>
        <w:rPr>
          <w:color w:val="auto"/>
          <w:lang w:eastAsia="zh-CN"/>
        </w:rPr>
        <w:sectPr w:rsidSect="009C0521">
          <w:headerReference w:type="default" r:id="rId36"/>
          <w:footerReference w:type="even" r:id="rId37"/>
          <w:footerReference w:type="default" r:id="rId38"/>
          <w:footerReference w:type="first" r:id="rId39"/>
          <w:type w:val="nextPage"/>
          <w:pgSz w:w="11907" w:h="16840" w:code="9"/>
          <w:pgMar w:top="1440" w:right="624" w:bottom="1440" w:left="624" w:header="851" w:footer="397" w:gutter="0"/>
          <w:pgNumType w:start="7"/>
          <w:cols w:space="720"/>
          <w:titlePg w:val="0"/>
        </w:sectPr>
      </w:pPr>
    </w:p>
    <w:p w:rsidR="009E7462" w:rsidP="009E7462">
      <w:pPr>
        <w:pStyle w:val="12"/>
        <w:ind w:left="3402" w:leftChars="1890"/>
        <w:rPr>
          <w:rFonts w:hint="eastAsia"/>
          <w:color w:val="auto"/>
        </w:rPr>
      </w:pPr>
      <w:r w:rsidRPr="00234269">
        <w:rPr>
          <w:rFonts w:hint="eastAsia"/>
          <w:color w:val="auto"/>
        </w:rPr>
        <w:t>第</w:t>
      </w:r>
      <w:r w:rsidR="00472E3C">
        <w:rPr>
          <w:rFonts w:hint="eastAsia"/>
          <w:color w:val="auto"/>
          <w:lang w:eastAsia="zh-CN"/>
        </w:rPr>
        <w:t>四</w:t>
      </w:r>
      <w:r w:rsidRPr="00234269">
        <w:rPr>
          <w:rFonts w:hint="eastAsia"/>
          <w:color w:val="auto"/>
        </w:rPr>
        <w:t>部分：截止</w:t>
      </w:r>
      <w:r w:rsidRPr="00234269">
        <w:rPr>
          <w:rFonts w:hint="eastAsia"/>
          <w:color w:val="auto"/>
        </w:rPr>
        <w:t>201</w:t>
      </w:r>
      <w:r w:rsidR="00103D74">
        <w:rPr>
          <w:rFonts w:hint="eastAsia"/>
          <w:color w:val="auto"/>
          <w:lang w:eastAsia="zh-CN"/>
        </w:rPr>
        <w:t>3</w:t>
      </w:r>
      <w:r w:rsidRPr="00234269">
        <w:rPr>
          <w:rFonts w:hint="eastAsia"/>
          <w:color w:val="auto"/>
        </w:rPr>
        <w:t>年</w:t>
      </w:r>
      <w:r w:rsidR="00FD4CD0">
        <w:rPr>
          <w:rFonts w:hint="eastAsia"/>
          <w:color w:val="auto"/>
          <w:lang w:eastAsia="zh-CN"/>
        </w:rPr>
        <w:t>12</w:t>
      </w:r>
      <w:r w:rsidR="00FE040D">
        <w:rPr>
          <w:rFonts w:hint="eastAsia"/>
          <w:color w:val="auto"/>
          <w:lang w:eastAsia="zh-CN"/>
        </w:rPr>
        <w:t>月底</w:t>
      </w:r>
      <w:r w:rsidRPr="00234269">
        <w:rPr>
          <w:rFonts w:hint="eastAsia"/>
          <w:color w:val="auto"/>
        </w:rPr>
        <w:t>投资连结保险账户</w:t>
      </w:r>
      <w:r>
        <w:rPr>
          <w:rFonts w:hint="eastAsia"/>
          <w:color w:val="auto"/>
        </w:rPr>
        <w:t>风险</w:t>
      </w:r>
      <w:r w:rsidRPr="00234269">
        <w:rPr>
          <w:rFonts w:hint="eastAsia"/>
          <w:color w:val="auto"/>
        </w:rPr>
        <w:t>收益</w:t>
      </w:r>
      <w:r>
        <w:rPr>
          <w:rFonts w:hint="eastAsia"/>
          <w:color w:val="auto"/>
        </w:rPr>
        <w:t>指标</w:t>
      </w:r>
    </w:p>
    <w:tbl>
      <w:tblPr>
        <w:tblStyle w:val="TableNormal"/>
        <w:tblW w:w="15601" w:type="dxa"/>
        <w:jc w:val="center"/>
        <w:tblBorders>
          <w:top w:val="single" w:sz="4" w:space="0" w:color="00A0E9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A0E9"/>
          <w:insideV w:val="single" w:sz="4" w:space="0" w:color="00A0E9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3"/>
        <w:gridCol w:w="1276"/>
        <w:gridCol w:w="992"/>
        <w:gridCol w:w="709"/>
        <w:gridCol w:w="969"/>
        <w:gridCol w:w="748"/>
        <w:gridCol w:w="748"/>
        <w:gridCol w:w="750"/>
        <w:gridCol w:w="748"/>
        <w:gridCol w:w="748"/>
        <w:gridCol w:w="749"/>
        <w:gridCol w:w="748"/>
        <w:gridCol w:w="748"/>
        <w:gridCol w:w="749"/>
        <w:gridCol w:w="748"/>
        <w:gridCol w:w="748"/>
        <w:gridCol w:w="749"/>
        <w:gridCol w:w="21"/>
      </w:tblGrid>
      <w:tr w:rsidTr="0016719E">
        <w:tblPrEx>
          <w:tblW w:w="15601" w:type="dxa"/>
          <w:jc w:val="center"/>
          <w:tblBorders>
            <w:top w:val="single" w:sz="4" w:space="0" w:color="00A0E9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00A0E9"/>
            <w:insideV w:val="single" w:sz="4" w:space="0" w:color="00A0E9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27"/>
          <w:tblHeader/>
          <w:jc w:val="center"/>
        </w:trPr>
        <w:tc>
          <w:tcPr>
            <w:tcW w:w="15601" w:type="dxa"/>
            <w:gridSpan w:val="18"/>
            <w:shd w:val="clear" w:color="auto" w:fill="auto"/>
          </w:tcPr>
          <w:p w:rsidR="00C06E40" w:rsidRPr="00495842" w:rsidP="008F6148">
            <w:pPr>
              <w:pStyle w:val="SubTitleLargeTable"/>
              <w:rPr>
                <w:rFonts w:ascii="楷体_GB2312" w:hint="eastAsia"/>
              </w:rPr>
            </w:pPr>
            <w:r w:rsidRPr="00495842">
              <w:rPr>
                <w:rFonts w:ascii="楷体_GB2312" w:hint="eastAsia"/>
              </w:rPr>
              <w:t>图表</w:t>
            </w:r>
            <w:r w:rsidR="008F6148">
              <w:rPr>
                <w:rFonts w:hint="eastAsia"/>
              </w:rPr>
              <w:t>9</w:t>
            </w:r>
            <w:r w:rsidRPr="00DB4BB6">
              <w:rPr>
                <w:rFonts w:hint="eastAsia"/>
              </w:rPr>
              <w:t>：</w:t>
            </w:r>
            <w:r w:rsidRPr="00495842">
              <w:rPr>
                <w:rFonts w:ascii="楷体_GB2312" w:hint="eastAsia"/>
                <w:lang w:val="en-US"/>
              </w:rPr>
              <w:t>股票型投连险账户（不含指数型）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227"/>
          <w:tblHeader/>
          <w:jc w:val="center"/>
        </w:trPr>
        <w:tc>
          <w:tcPr>
            <w:tcW w:w="2653" w:type="dxa"/>
            <w:vMerge w:val="restart"/>
            <w:shd w:val="clear" w:color="auto" w:fill="auto"/>
            <w:vAlign w:val="center"/>
          </w:tcPr>
          <w:p w:rsidR="00C06E40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公司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C06E40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投资账户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06E40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截止日期</w:t>
            </w:r>
          </w:p>
        </w:tc>
        <w:tc>
          <w:tcPr>
            <w:tcW w:w="3924" w:type="dxa"/>
            <w:gridSpan w:val="5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C06E40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绝对收益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C06E40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标准差(年化)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C06E40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下行风险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C06E40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夏普比率(年化)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227"/>
          <w:tblHeader/>
          <w:jc w:val="center"/>
        </w:trPr>
        <w:tc>
          <w:tcPr>
            <w:tcW w:w="2653" w:type="dxa"/>
            <w:vMerge/>
            <w:shd w:val="clear" w:color="auto" w:fill="auto"/>
            <w:vAlign w:val="center"/>
          </w:tcPr>
          <w:p w:rsidR="00392FDE" w:rsidRPr="00B022EE" w:rsidP="00C06E40">
            <w:pPr>
              <w:pStyle w:val="2"/>
              <w:spacing w:after="0" w:line="10" w:lineRule="atLeast"/>
              <w:ind w:left="0"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392FDE" w:rsidRPr="00B022EE" w:rsidP="00C06E40">
            <w:pPr>
              <w:pStyle w:val="2"/>
              <w:spacing w:after="0" w:line="10" w:lineRule="atLeast"/>
              <w:ind w:left="0"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92FDE" w:rsidRPr="00B022EE" w:rsidP="00C06E40">
            <w:pPr>
              <w:pStyle w:val="2"/>
              <w:spacing w:after="0" w:line="10" w:lineRule="atLeast"/>
              <w:ind w:left="0"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 w:rsidR="00A257A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近一月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 w:rsidR="00A257AA">
              <w:rPr>
                <w:rFonts w:ascii="宋体" w:eastAsia="宋体" w:hAnsi="宋体" w:cs="Arial" w:hint="eastAsia"/>
                <w:b/>
                <w:szCs w:val="18"/>
              </w:rPr>
              <w:t>近</w:t>
            </w:r>
            <w:r w:rsidR="006E111B">
              <w:rPr>
                <w:rFonts w:ascii="宋体" w:eastAsia="宋体" w:hAnsi="宋体" w:cs="Arial" w:hint="eastAsia"/>
                <w:b/>
                <w:szCs w:val="18"/>
              </w:rPr>
              <w:t>一季度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392FDE" w:rsidRPr="00B022EE" w:rsidP="00C06E40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太平人寿保险有限公司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价值先锋型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-2.59%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-3.58%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27.75%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24.83%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-5.42%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19.37%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18.03%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17.51%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45.72%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94.59%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156.82%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1.2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0.51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-0.27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太平人寿保险有限公司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蓝筹成长型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-1.21%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-3.85%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24.50%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26.87%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-10.19%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19.23%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18.86%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18.02%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47.51%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100.80%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166.04%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1.13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0.56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-0.35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泰康人寿保险股份有限公司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优选成长型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-3.26%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0.06%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20.39%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13.05%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19.37%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20.24%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44.29%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106.12%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0.95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汇丰人寿保险有限公司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汇锋进取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-0.66%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-6.24%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19.16%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17.09%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40.25%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0.88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生命人寿保险股份有限公司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精选股票型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-5.24%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3.74%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17.51%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20.08%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6.27%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21.25%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20.27%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17.46%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46.90%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92.68%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122.06%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0.77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0.40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-0.02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中荷人寿保险有限公司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成长型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-1.83%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-2.81%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16.10%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16.58%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-9.31%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15.80%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15.26%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15.50%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40.66%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83.50%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142.59%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0.89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0.37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-0.43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生命人寿保险股份有限公司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优选平衡型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-0.76%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12.07%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15.59%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14.75%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-1.02%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26.19%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22.32%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18.70%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61.03%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103.51%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130.30%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0.62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0.30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-0.13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平安养老保险股份有限公司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进取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2013-12-26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-4.00%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-5.94%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15.22%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30.06%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10.29%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12.85%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4.17%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13.95%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25.54%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61.89%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109.49%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0.95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0.80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-0.02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招商信诺人寿保险有限公司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锐取A型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-2.35%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-5.20%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14.72%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18.25%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-1.48%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13.99%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16.77%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17.40%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31.61%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86.74%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151.64%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0.83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0.41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-0.24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招商信诺人寿保险有限公司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先锋B型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-2.25%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-2.29%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13.94%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15.10%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-10.50%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13.17%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14.28%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5.32%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30.33%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74.07%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138.02%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0.79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-0.52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泰康人寿保险股份有限公司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进取型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-2.09%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-1.83%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13.79%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11.41%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-4.49%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16.73%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18.89%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18.25%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41.39%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100.95%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158.66%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0.72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0.20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-0.27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招商信诺人寿保险有限公司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先锋A型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-2.35%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-2.66%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13.59%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12.83%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-11.74%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13.33%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14.39%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15.44%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0.99%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75.19%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139.81%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0.76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0.27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-0.55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恒安标准人寿保险有限公司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成长型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-1.35%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-1.85%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12.91%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16.62%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-2.20%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9.09%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9.85%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10.59%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19.18%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48.93%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92.40%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1.06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0.48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-0.45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中国平安人寿保险股份有限公司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精选权益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-2.73%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-8.22%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12.74%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25.43%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-10.05%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19.38%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19.39%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18.28%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52.11%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104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.88%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167.72%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0.62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0.52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-0.35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中国人寿保险股份有限公司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进取股票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-2.30%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-2.23%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11.71%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7.12%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-18.77%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11.54%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12.97%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14.33%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26.42%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69.02%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133.42%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0.82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0.07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-0.73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中美联泰大都会人寿保险有限公司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股票型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-1.97%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-1.99%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11.50%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17.17%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-10.36%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13.62%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15.11%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16.03%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32.70%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79.15%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145.54%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0.64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0.36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-0.49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招商信诺人寿保险有限公司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积极型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-2.47%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-3.27%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11.38%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15.26%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-8.47%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16.94%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16.87%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16.61%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45.65%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93.41%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151.88%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0.62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0.32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-0.34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长生人寿保险有限公司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卓越成长型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-3.41%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0.72%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11.07%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17.31%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-3.08%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13.62%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14.31%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14.65%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34.05%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74.95%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132.42%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0.42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-0.35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建信人寿保险有限公司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主动积极型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-1.82%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-1.89%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10.64%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20.74%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0.89%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11.91%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11.95%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11.42%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31.55%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62.57%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102.44%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0.68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0.57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-0.31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太平人寿保险有限公司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策略成长型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-1.23%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10.47%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7.56%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-12.25%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18.82%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18.26%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17.10%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49.71%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102.81%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157.52%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0.54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0.11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</w:t>
            </w: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46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泰康人寿保险股份有限公司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基金精选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-1.35%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-1.69%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10.28%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18.15%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-5.77%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10.12%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10.79%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11.91%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25.20%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55.93%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108.09%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0.78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0.52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-0.50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瑞泰人寿保险有限公司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财智进取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0.84%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-2.71%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10.13%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17.97%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-11.13%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15.22%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15.48%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15.63%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41.52%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84.95%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144.40%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0.59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0.34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-0.44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光大永明人寿保险有限公司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进取型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-3.29%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-2.43%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9.46%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20.86%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-3.81%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17.11%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17.60%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17.44%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43.01%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90.99%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150.14%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0.52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-0.23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生命人寿保险股份有限公司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进取I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-2.30%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-3.77%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9.45%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10.42%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-5.47%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12.05%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14.14%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12.75%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28.85%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75.85%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111.23%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0.69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0.20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-0.39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中英人寿保险有限公司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积极型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-2.56%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-3.51%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9.10%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9.27%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-18.68%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14.43%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15.20%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15.21%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39.01%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84.76%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145.00%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0.57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0.16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-0.66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海康人寿保险有限公司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积极型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-3.50%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-3.72%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8.61%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13.84%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-12.31%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17.04%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16.33%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16.33%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47.03%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90.86%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151.72%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0.47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0.29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-0.45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信诚人寿保险有限公司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成长先锋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-2.14%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-1.97%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7.67%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11.94%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-12.19%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14.25%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14.03%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13.60%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39.82%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78.66%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127.54%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0.42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-0.54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招商信诺人寿保险有限公司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先锋C型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-2.83%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-4.00%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7.55%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9.36%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-11.94%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14.62%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15.00%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15.39%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37.40%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80.67%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139.93%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0.16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-0.56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中国平安人寿保险股份有限公司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基金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-2.65%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-4.52%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.28%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8.25%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-13.61%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13.87%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13.28%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13.01%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37.99%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74.71%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122.92%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0.43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0.12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-0.63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中英人寿保险有限公司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成长型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-2.50%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-3.26%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6.54%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6.09%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-21.23%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13.96%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15.12%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15.32%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38.97%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85.42%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147.21%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0.06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-0.75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汇丰人寿保险有限公司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积极进取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-1.88%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-4.11%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5.90%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2.96%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-19.</w:t>
            </w: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80%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12.25%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12.59%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13.21%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30.76%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69.87%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126.05%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-0.06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-0.85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中德安联人寿保险有限公司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财富成长型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-2.09%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-2.04%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5.53%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8.18%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-16.22%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13.10%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13.37%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13.19%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36.15%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75.20%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126.93%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0.32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0.12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-0.71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中英人寿保险有限公司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平衡型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-1.78%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-2.28%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5.48%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8.73%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-10.74%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10.28%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11.11%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11.38%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28.49%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60.23%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105.85%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-0.64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海康人寿保险有限公司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精彩型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-1.39%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-3.11%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5.27%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9.07%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-5.53%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6.23%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6.05%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6.94%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15.22%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30.89%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62.19%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0.42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0.23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-0.74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瑞泰人寿保险有限公司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财智成长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-0.42%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-3.29%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4.81%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12.20%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-13.84%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13.81%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14.62%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14.86%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39.95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82.87%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139.14%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0.27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0.19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-0.53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瑞泰人寿保险有限公司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进取型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0.51%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-4.47%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4.48%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14.47%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-14.56%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15.68%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16.02%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16.06%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45.42%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89.82%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150.14%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0.25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-0.51</w:t>
            </w:r>
          </w:p>
        </w:tc>
      </w:tr>
    </w:tbl>
    <w:p>
      <w:pPr>
        <w:sectPr w:rsidSect="009E7462">
          <w:headerReference w:type="default" r:id="rId40"/>
          <w:footerReference w:type="even" r:id="rId41"/>
          <w:footerReference w:type="default" r:id="rId42"/>
          <w:footerReference w:type="first" r:id="rId43"/>
          <w:pgSz w:w="16840" w:h="11907" w:orient="landscape" w:code="9"/>
          <w:pgMar w:top="624" w:right="1440" w:bottom="624" w:left="1440" w:header="851" w:footer="397" w:gutter="0"/>
          <w:pgNumType w:start="8"/>
          <w:cols w:space="720"/>
          <w:titlePg/>
          <w:docGrid w:linePitch="245"/>
        </w:sectPr>
      </w:pPr>
    </w:p>
    <w:tbl>
      <w:tblPr>
        <w:tblStyle w:val="TableNormal"/>
        <w:tblW w:w="15601" w:type="dxa"/>
        <w:jc w:val="center"/>
        <w:tblBorders>
          <w:top w:val="single" w:sz="4" w:space="0" w:color="00A0E9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A0E9"/>
          <w:insideV w:val="single" w:sz="4" w:space="0" w:color="00A0E9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3"/>
        <w:gridCol w:w="1276"/>
        <w:gridCol w:w="992"/>
        <w:gridCol w:w="709"/>
        <w:gridCol w:w="969"/>
        <w:gridCol w:w="748"/>
        <w:gridCol w:w="748"/>
        <w:gridCol w:w="750"/>
        <w:gridCol w:w="748"/>
        <w:gridCol w:w="748"/>
        <w:gridCol w:w="749"/>
        <w:gridCol w:w="748"/>
        <w:gridCol w:w="748"/>
        <w:gridCol w:w="749"/>
        <w:gridCol w:w="748"/>
        <w:gridCol w:w="748"/>
        <w:gridCol w:w="749"/>
        <w:gridCol w:w="21"/>
      </w:tblGrid>
      <w:tr w:rsidTr="001D060C">
        <w:tblPrEx>
          <w:tblW w:w="15601" w:type="dxa"/>
          <w:jc w:val="center"/>
          <w:tblBorders>
            <w:top w:val="single" w:sz="4" w:space="0" w:color="00A0E9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00A0E9"/>
            <w:insideV w:val="single" w:sz="4" w:space="0" w:color="00A0E9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国泰人寿保险有限责任公司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增长型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-2.65%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-2.79%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3.22%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7.14%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-18.84%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15.37%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15.38%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15.43%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45.00%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88.85%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148.6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0.09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-0.66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中英人寿保险有限公司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平衡配置型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-2.26%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-2.55%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2.60%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3.51%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-18.35%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10.26%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11.11%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11.68%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29.74%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62.92%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112.55%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-0.08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-0.91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信诚人寿保险有限公司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积极成长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-1.94%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-1.19%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2.19%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5.76%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-16.06%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12.32%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13.16%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13.00%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34.73%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74.38%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122.16%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0.06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0.03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-0.68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美国友邦保险有限公司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增长组合（上海）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-2.25%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2.07%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8.11%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-11.58%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14.48%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14.08%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13.61%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36.17%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72.33%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121.44%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0.12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0.13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-0.52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信诚人寿保险有限公司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季季长红利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-2.06%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-1.89%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1.98%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5.93%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-19.31%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9.54%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9.38%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10.28%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25.36%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49.05%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94.97%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-0.08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0.02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-0.99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生命人寿保险股份有限公司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进取II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-2.54%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-2.07%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-1.51%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-3.56%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-15.79%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20.24%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20.62%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18.25%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45.02%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104.66%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148.85%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-0.48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中德安联人寿保险有限公司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成长型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-4.41%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-3.44%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-2.12%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2.64%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-22.77%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16.51%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16.06%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15.54%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49.03%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92.33%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150.73%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-0.04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-0.76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中美联泰大都会人寿保险有限公司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8020进取型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-4.65%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-3.87%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-5.25%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0.23%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-17.53%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15.11%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14.24%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14.19%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44.49%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78.45%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132.06%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-0.19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-0.74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美国友邦保险有限公司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内需精选组合（上海）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-3.06%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-3.96%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-6.15%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16.33%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46.35%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-0.44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恒安标准人寿保险有限公司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进取型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-4.88%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-3.8</w:t>
            </w: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-6.82%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-3.58%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-22.96%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16.86%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15.91%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15.09%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50.13%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89.08%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141.73%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-0.53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-0.28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-0.85</w:t>
            </w:r>
          </w:p>
        </w:tc>
      </w:tr>
      <w:tr w:rsidTr="001D060C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227"/>
          <w:jc w:val="center"/>
        </w:trPr>
        <w:tc>
          <w:tcPr>
            <w:tcW w:w="2653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7F742D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7F742D">
              <w:rPr>
                <w:rFonts w:ascii="宋体" w:eastAsia="宋体" w:hAnsi="宋体" w:hint="eastAsia"/>
                <w:color w:val="000000"/>
                <w:szCs w:val="18"/>
              </w:rPr>
              <w:t>　</w:t>
            </w:r>
          </w:p>
        </w:tc>
        <w:tc>
          <w:tcPr>
            <w:tcW w:w="1276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7F742D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7F742D">
              <w:rPr>
                <w:rFonts w:ascii="宋体" w:eastAsia="宋体" w:hAnsi="宋体" w:hint="eastAsia"/>
                <w:color w:val="000000"/>
                <w:szCs w:val="18"/>
              </w:rPr>
              <w:t>　</w:t>
            </w:r>
          </w:p>
        </w:tc>
        <w:tc>
          <w:tcPr>
            <w:tcW w:w="992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7F742D">
            <w:pPr>
              <w:jc w:val="center"/>
              <w:rPr>
                <w:rFonts w:ascii="宋体" w:eastAsia="宋体" w:hAnsi="宋体" w:cs="宋体"/>
                <w:b/>
                <w:color w:val="000000"/>
                <w:szCs w:val="18"/>
              </w:rPr>
            </w:pPr>
            <w:r w:rsidRPr="007F742D">
              <w:rPr>
                <w:rFonts w:ascii="宋体" w:eastAsia="宋体" w:hAnsi="宋体" w:hint="eastAsia"/>
                <w:b/>
                <w:color w:val="000000"/>
                <w:szCs w:val="18"/>
              </w:rPr>
              <w:t>平均　</w:t>
            </w:r>
          </w:p>
        </w:tc>
        <w:tc>
          <w:tcPr>
            <w:tcW w:w="709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-2.30%</w:t>
            </w:r>
          </w:p>
        </w:tc>
        <w:tc>
          <w:tcPr>
            <w:tcW w:w="969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-2.49%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8.97%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12.25%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-10.74%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7F742D" w:rsidP="00201BB4">
            <w:pPr>
              <w:jc w:val="center"/>
              <w:rPr>
                <w:rFonts w:ascii="宋体" w:eastAsia="宋体" w:hAnsi="宋体" w:cs="Arial"/>
                <w:color w:val="000000"/>
                <w:szCs w:val="18"/>
              </w:rPr>
            </w:pPr>
            <w:r w:rsidRPr="007F742D">
              <w:rPr>
                <w:rFonts w:ascii="宋体" w:eastAsia="宋体" w:hAnsi="宋体" w:cs="Arial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7F742D" w:rsidP="00201BB4">
            <w:pPr>
              <w:jc w:val="center"/>
              <w:rPr>
                <w:rFonts w:ascii="宋体" w:eastAsia="宋体" w:hAnsi="宋体" w:cs="Arial"/>
                <w:color w:val="000000"/>
                <w:szCs w:val="18"/>
              </w:rPr>
            </w:pPr>
            <w:r w:rsidRPr="007F742D">
              <w:rPr>
                <w:rFonts w:ascii="宋体" w:eastAsia="宋体" w:hAnsi="宋体" w:cs="Arial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7F742D" w:rsidP="00201BB4">
            <w:pPr>
              <w:jc w:val="center"/>
              <w:rPr>
                <w:rFonts w:ascii="宋体" w:eastAsia="宋体" w:hAnsi="宋体" w:cs="Arial"/>
                <w:color w:val="000000"/>
                <w:szCs w:val="18"/>
              </w:rPr>
            </w:pPr>
            <w:r w:rsidRPr="007F742D">
              <w:rPr>
                <w:rFonts w:ascii="宋体" w:eastAsia="宋体" w:hAnsi="宋体" w:cs="Arial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7F742D" w:rsidP="00201BB4">
            <w:pPr>
              <w:jc w:val="center"/>
              <w:rPr>
                <w:rFonts w:ascii="宋体" w:eastAsia="宋体" w:hAnsi="宋体" w:cs="Arial"/>
                <w:color w:val="000000"/>
                <w:szCs w:val="18"/>
              </w:rPr>
            </w:pPr>
            <w:r w:rsidRPr="007F742D">
              <w:rPr>
                <w:rFonts w:ascii="宋体" w:eastAsia="宋体" w:hAnsi="宋体" w:cs="Arial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7F742D" w:rsidP="00201BB4">
            <w:pPr>
              <w:jc w:val="center"/>
              <w:rPr>
                <w:rFonts w:ascii="宋体" w:eastAsia="宋体" w:hAnsi="宋体" w:cs="Arial"/>
                <w:color w:val="000000"/>
                <w:szCs w:val="18"/>
              </w:rPr>
            </w:pPr>
            <w:r w:rsidRPr="007F742D">
              <w:rPr>
                <w:rFonts w:ascii="宋体" w:eastAsia="宋体" w:hAnsi="宋体" w:cs="Arial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7F742D" w:rsidP="00201BB4">
            <w:pPr>
              <w:jc w:val="center"/>
              <w:rPr>
                <w:rFonts w:ascii="宋体" w:eastAsia="宋体" w:hAnsi="宋体" w:cs="Arial"/>
                <w:color w:val="000000"/>
                <w:szCs w:val="18"/>
              </w:rPr>
            </w:pPr>
            <w:r w:rsidRPr="007F742D">
              <w:rPr>
                <w:rFonts w:ascii="宋体" w:eastAsia="宋体" w:hAnsi="宋体" w:cs="Arial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7F742D" w:rsidP="00201BB4">
            <w:pPr>
              <w:jc w:val="center"/>
              <w:rPr>
                <w:rFonts w:ascii="宋体" w:eastAsia="宋体" w:hAnsi="宋体" w:cs="Arial"/>
                <w:color w:val="000000"/>
                <w:szCs w:val="18"/>
              </w:rPr>
            </w:pPr>
            <w:r w:rsidRPr="007F742D">
              <w:rPr>
                <w:rFonts w:ascii="宋体" w:eastAsia="宋体" w:hAnsi="宋体" w:cs="Arial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7F742D" w:rsidP="00201BB4">
            <w:pPr>
              <w:jc w:val="center"/>
              <w:rPr>
                <w:rFonts w:ascii="宋体" w:eastAsia="宋体" w:hAnsi="宋体" w:cs="Arial"/>
                <w:color w:val="000000"/>
                <w:szCs w:val="18"/>
              </w:rPr>
            </w:pPr>
            <w:r w:rsidRPr="007F742D">
              <w:rPr>
                <w:rFonts w:ascii="宋体" w:eastAsia="宋体" w:hAnsi="宋体" w:cs="Arial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7F742D" w:rsidP="00201BB4">
            <w:pPr>
              <w:jc w:val="center"/>
              <w:rPr>
                <w:rFonts w:ascii="宋体" w:eastAsia="宋体" w:hAnsi="宋体" w:cs="Arial"/>
                <w:color w:val="000000"/>
                <w:szCs w:val="18"/>
              </w:rPr>
            </w:pPr>
            <w:r w:rsidRPr="007F742D">
              <w:rPr>
                <w:rFonts w:ascii="宋体" w:eastAsia="宋体" w:hAnsi="宋体" w:cs="Arial"/>
                <w:color w:val="000000"/>
                <w:szCs w:val="18"/>
              </w:rPr>
              <w:t>-</w:t>
            </w:r>
          </w:p>
        </w:tc>
      </w:tr>
      <w:tr w:rsidTr="0016719E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27"/>
          <w:jc w:val="center"/>
        </w:trPr>
        <w:tc>
          <w:tcPr>
            <w:tcW w:w="15601" w:type="dxa"/>
            <w:gridSpan w:val="18"/>
            <w:tcBorders>
              <w:top w:val="single" w:sz="4" w:space="0" w:color="00A0E9"/>
            </w:tcBorders>
            <w:shd w:val="clear" w:color="auto" w:fill="auto"/>
            <w:vAlign w:val="center"/>
          </w:tcPr>
          <w:p w:rsidR="00C06E40" w:rsidRPr="00EC1804" w:rsidP="00FD4CD0">
            <w:pPr>
              <w:jc w:val="left"/>
              <w:rPr>
                <w:rFonts w:cs="Arial"/>
                <w:bCs/>
                <w:color w:val="000000"/>
                <w:szCs w:val="18"/>
              </w:rPr>
            </w:pPr>
            <w:r w:rsidRPr="00EC1804">
              <w:rPr>
                <w:rFonts w:cs="Arial"/>
                <w:bCs/>
                <w:color w:val="000000"/>
                <w:szCs w:val="18"/>
              </w:rPr>
              <w:t>注：按照</w:t>
            </w:r>
            <w:r w:rsidR="009A68B2">
              <w:rPr>
                <w:rFonts w:cs="Arial" w:hint="eastAsia"/>
                <w:bCs/>
                <w:color w:val="000000"/>
                <w:szCs w:val="18"/>
              </w:rPr>
              <w:t>近一月</w:t>
            </w:r>
            <w:r w:rsidRPr="00EC1804">
              <w:rPr>
                <w:rFonts w:cs="Arial"/>
                <w:bCs/>
                <w:color w:val="000000"/>
                <w:szCs w:val="18"/>
              </w:rPr>
              <w:t>收益率由高到低顺序排列，数据截止201</w:t>
            </w:r>
            <w:r w:rsidR="0020652C">
              <w:rPr>
                <w:rFonts w:cs="Arial" w:hint="eastAsia"/>
                <w:bCs/>
                <w:color w:val="000000"/>
                <w:szCs w:val="18"/>
              </w:rPr>
              <w:t>3</w:t>
            </w:r>
            <w:r w:rsidRPr="00EC1804">
              <w:rPr>
                <w:rFonts w:cs="Arial"/>
                <w:bCs/>
                <w:color w:val="000000"/>
                <w:szCs w:val="18"/>
              </w:rPr>
              <w:t>年</w:t>
            </w:r>
            <w:r w:rsidR="00FD4CD0">
              <w:rPr>
                <w:rFonts w:cs="Arial" w:hint="eastAsia"/>
                <w:bCs/>
                <w:color w:val="000000"/>
                <w:szCs w:val="18"/>
              </w:rPr>
              <w:t>12</w:t>
            </w:r>
            <w:r w:rsidRPr="00EC1804">
              <w:rPr>
                <w:rFonts w:cs="Arial"/>
                <w:bCs/>
                <w:color w:val="000000"/>
                <w:szCs w:val="18"/>
              </w:rPr>
              <w:t>月。</w:t>
            </w:r>
          </w:p>
        </w:tc>
      </w:tr>
      <w:tr w:rsidTr="0016719E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27"/>
          <w:jc w:val="center"/>
        </w:trPr>
        <w:tc>
          <w:tcPr>
            <w:tcW w:w="15601" w:type="dxa"/>
            <w:gridSpan w:val="18"/>
            <w:shd w:val="clear" w:color="auto" w:fill="auto"/>
          </w:tcPr>
          <w:p w:rsidR="00C06E40" w:rsidRPr="00495842" w:rsidP="00C06E40">
            <w:pPr>
              <w:pStyle w:val="FootnoteNoline"/>
              <w:ind w:left="0"/>
              <w:rPr>
                <w:rFonts w:ascii="楷体_GB2312" w:hint="eastAsia"/>
              </w:rPr>
            </w:pPr>
            <w:r w:rsidRPr="00495842">
              <w:rPr>
                <w:rFonts w:ascii="楷体_GB2312" w:hint="eastAsia"/>
              </w:rPr>
              <w:t>来源：国金证券研究所</w:t>
            </w:r>
          </w:p>
        </w:tc>
      </w:tr>
    </w:tbl>
    <w:p w:rsidR="009E7462" w:rsidP="00891DD6">
      <w:pPr>
        <w:pStyle w:val="BodyText"/>
        <w:spacing w:after="0"/>
        <w:ind w:left="3430"/>
        <w:rPr>
          <w:rFonts w:hint="eastAsia"/>
          <w:color w:val="auto"/>
          <w:lang w:eastAsia="zh-CN"/>
        </w:rPr>
      </w:pPr>
    </w:p>
    <w:tbl>
      <w:tblPr>
        <w:tblStyle w:val="TableNormal"/>
        <w:tblW w:w="15601" w:type="dxa"/>
        <w:jc w:val="center"/>
        <w:tblBorders>
          <w:top w:val="single" w:sz="4" w:space="0" w:color="00A0E9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A0E9"/>
          <w:insideV w:val="single" w:sz="4" w:space="0" w:color="00A0E9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1304"/>
        <w:gridCol w:w="964"/>
        <w:gridCol w:w="748"/>
        <w:gridCol w:w="748"/>
        <w:gridCol w:w="748"/>
        <w:gridCol w:w="748"/>
        <w:gridCol w:w="750"/>
        <w:gridCol w:w="748"/>
        <w:gridCol w:w="748"/>
        <w:gridCol w:w="749"/>
        <w:gridCol w:w="748"/>
        <w:gridCol w:w="748"/>
        <w:gridCol w:w="749"/>
        <w:gridCol w:w="748"/>
        <w:gridCol w:w="748"/>
        <w:gridCol w:w="749"/>
        <w:gridCol w:w="21"/>
      </w:tblGrid>
      <w:tr w:rsidTr="00D80107">
        <w:tblPrEx>
          <w:tblW w:w="15601" w:type="dxa"/>
          <w:jc w:val="center"/>
          <w:tblBorders>
            <w:top w:val="single" w:sz="4" w:space="0" w:color="00A0E9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00A0E9"/>
            <w:insideV w:val="single" w:sz="4" w:space="0" w:color="00A0E9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27"/>
          <w:tblHeader/>
          <w:jc w:val="center"/>
        </w:trPr>
        <w:tc>
          <w:tcPr>
            <w:tcW w:w="15601" w:type="dxa"/>
            <w:gridSpan w:val="18"/>
            <w:shd w:val="clear" w:color="auto" w:fill="auto"/>
          </w:tcPr>
          <w:p w:rsidR="00392FDE" w:rsidRPr="00495842" w:rsidP="008F6148">
            <w:pPr>
              <w:pStyle w:val="SubTitleLargeTable"/>
              <w:rPr>
                <w:rFonts w:ascii="楷体_GB2312" w:hint="eastAsia"/>
              </w:rPr>
            </w:pPr>
            <w:r w:rsidRPr="00495842">
              <w:rPr>
                <w:rFonts w:ascii="楷体_GB2312" w:hint="eastAsia"/>
              </w:rPr>
              <w:t>图表</w:t>
            </w:r>
            <w:r w:rsidR="008F6148">
              <w:rPr>
                <w:rFonts w:hint="eastAsia"/>
              </w:rPr>
              <w:t>10</w:t>
            </w:r>
            <w:r w:rsidRPr="00DB4BB6">
              <w:rPr>
                <w:rFonts w:hint="eastAsia"/>
              </w:rPr>
              <w:t>：</w:t>
            </w:r>
            <w:r>
              <w:rPr>
                <w:rFonts w:hint="eastAsia"/>
                <w:lang w:val="en-US"/>
              </w:rPr>
              <w:t>股票-指数型</w:t>
            </w:r>
            <w:r w:rsidRPr="004301A2">
              <w:rPr>
                <w:rFonts w:hint="eastAsia"/>
                <w:lang w:val="en-US"/>
              </w:rPr>
              <w:t>投连险账户</w:t>
            </w:r>
          </w:p>
        </w:tc>
      </w:tr>
      <w:tr w:rsidTr="00B022EE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227"/>
          <w:tblHeader/>
          <w:jc w:val="center"/>
        </w:trPr>
        <w:tc>
          <w:tcPr>
            <w:tcW w:w="2835" w:type="dxa"/>
            <w:vMerge w:val="restart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公司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投资账户</w:t>
            </w:r>
          </w:p>
        </w:tc>
        <w:tc>
          <w:tcPr>
            <w:tcW w:w="964" w:type="dxa"/>
            <w:vMerge w:val="restart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截止日期</w:t>
            </w:r>
          </w:p>
        </w:tc>
        <w:tc>
          <w:tcPr>
            <w:tcW w:w="3742" w:type="dxa"/>
            <w:gridSpan w:val="5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绝对收益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标准差(年化)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下行风险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夏普比率(年化)</w:t>
            </w:r>
          </w:p>
        </w:tc>
      </w:tr>
      <w:tr w:rsidTr="00B022EE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227"/>
          <w:tblHeader/>
          <w:jc w:val="center"/>
        </w:trPr>
        <w:tc>
          <w:tcPr>
            <w:tcW w:w="2835" w:type="dxa"/>
            <w:vMerge/>
            <w:shd w:val="clear" w:color="auto" w:fill="auto"/>
            <w:vAlign w:val="center"/>
          </w:tcPr>
          <w:p w:rsidR="00392FDE" w:rsidRPr="00B022EE" w:rsidP="00747026">
            <w:pPr>
              <w:pStyle w:val="2"/>
              <w:spacing w:after="0" w:line="10" w:lineRule="atLeast"/>
              <w:ind w:left="0"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:rsidR="00392FDE" w:rsidRPr="00B022EE" w:rsidP="00747026">
            <w:pPr>
              <w:pStyle w:val="2"/>
              <w:spacing w:after="0" w:line="10" w:lineRule="atLeast"/>
              <w:ind w:left="0"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964" w:type="dxa"/>
            <w:vMerge/>
            <w:shd w:val="clear" w:color="auto" w:fill="auto"/>
            <w:vAlign w:val="center"/>
          </w:tcPr>
          <w:p w:rsidR="00392FDE" w:rsidRPr="00B022EE" w:rsidP="00747026">
            <w:pPr>
              <w:pStyle w:val="2"/>
              <w:spacing w:after="0" w:line="10" w:lineRule="atLeast"/>
              <w:ind w:left="0"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 w:rsidR="00EC1804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近一月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 w:rsidR="00EC1804">
              <w:rPr>
                <w:rFonts w:ascii="宋体" w:eastAsia="宋体" w:hAnsi="宋体" w:cs="Arial" w:hint="eastAsia"/>
                <w:b/>
                <w:szCs w:val="18"/>
              </w:rPr>
              <w:t>近</w:t>
            </w:r>
            <w:r w:rsidR="006E111B">
              <w:rPr>
                <w:rFonts w:ascii="宋体" w:eastAsia="宋体" w:hAnsi="宋体" w:cs="Arial" w:hint="eastAsia"/>
                <w:b/>
                <w:szCs w:val="18"/>
              </w:rPr>
              <w:t>一季度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392FDE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</w:tr>
      <w:tr w:rsidTr="000C138D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中英人寿保险有限公司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指数型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-4.10%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-3.78%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-5.56%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-2.27%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-27.51%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17.33%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18.41%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18.34%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52.23%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107.37%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177.41%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-0.34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-0.14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-0.74</w:t>
            </w:r>
          </w:p>
        </w:tc>
      </w:tr>
      <w:tr w:rsidTr="00E0724D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海康人寿保险有限公司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指数加强型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-5.41%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-4.37%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-6.14%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-0.48%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-22.66%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18.03%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18.41%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18.00%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54.59%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105.99%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170.28%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-0.34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-0.09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-0.62</w:t>
            </w:r>
          </w:p>
        </w:tc>
      </w:tr>
      <w:tr w:rsidTr="000C138D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招商信诺人寿保险有限公司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成长型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-5.21%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-4.18%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-6.72%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0.70%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-22.50%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18.94%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18.84%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18.46%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56.97%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107.46%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174.16%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-0.35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-0.05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-0.60</w:t>
            </w:r>
          </w:p>
        </w:tc>
      </w:tr>
      <w:tr w:rsidTr="00E0724D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中英人寿保险有限公司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指数增强型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-4.67%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-4.43%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-6.98%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-3.16%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-26.32%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17.32%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17.71%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52.60%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104.91%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169.45%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-0.43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-0.17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-0.72</w:t>
            </w:r>
          </w:p>
        </w:tc>
      </w:tr>
      <w:tr w:rsidTr="000C138D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建信人寿保险有限公司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指数成长型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-3.67%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-2.83%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-6.57%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-0.43%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-22.71%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16.71%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16.64%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16.36%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51.16%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96.18%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157.31%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-0.48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-0.72</w:t>
            </w:r>
          </w:p>
        </w:tc>
      </w:tr>
      <w:tr w:rsidTr="000C138D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光大永明人寿保险有限公司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指数型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-6.92%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-8.56%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-16.22%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-15.89%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-34.57%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18.16%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18.8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18.37%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59.21%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110.65%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176.45%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-1.08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-0.93</w:t>
            </w:r>
          </w:p>
        </w:tc>
      </w:tr>
      <w:tr w:rsidTr="000C138D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227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 w:rsidP="001831AC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 w:rsidRPr="007F742D">
              <w:rPr>
                <w:rFonts w:ascii="宋体" w:eastAsia="宋体" w:hAnsi="宋体" w:hint="eastAsia"/>
                <w:b/>
                <w:color w:val="000000"/>
                <w:szCs w:val="18"/>
              </w:rPr>
              <w:t>平均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 w:rsidP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-5.00%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 w:rsidP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-4.69%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 w:rsidP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-8.03%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 w:rsidP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-3.59%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 w:rsidP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-26.05%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</w:tr>
      <w:tr w:rsidTr="00D80107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27"/>
          <w:jc w:val="center"/>
        </w:trPr>
        <w:tc>
          <w:tcPr>
            <w:tcW w:w="15601" w:type="dxa"/>
            <w:gridSpan w:val="18"/>
            <w:tcBorders>
              <w:top w:val="single" w:sz="4" w:space="0" w:color="00A0E9"/>
            </w:tcBorders>
            <w:shd w:val="clear" w:color="auto" w:fill="auto"/>
            <w:vAlign w:val="center"/>
          </w:tcPr>
          <w:p w:rsidR="00392FDE" w:rsidRPr="00EC1804" w:rsidP="00FD4CD0">
            <w:pPr>
              <w:jc w:val="left"/>
              <w:rPr>
                <w:rFonts w:cs="Arial"/>
                <w:bCs/>
                <w:color w:val="000000"/>
                <w:szCs w:val="18"/>
              </w:rPr>
            </w:pPr>
            <w:r w:rsidRPr="00EC1804">
              <w:rPr>
                <w:rFonts w:cs="Arial"/>
                <w:bCs/>
                <w:color w:val="000000"/>
                <w:szCs w:val="18"/>
              </w:rPr>
              <w:t>注：按照</w:t>
            </w:r>
            <w:r w:rsidR="009A68B2">
              <w:rPr>
                <w:rFonts w:cs="Arial" w:hint="eastAsia"/>
                <w:bCs/>
                <w:color w:val="000000"/>
                <w:szCs w:val="18"/>
              </w:rPr>
              <w:t>近一月</w:t>
            </w:r>
            <w:r w:rsidRPr="00EC1804">
              <w:rPr>
                <w:rFonts w:cs="Arial"/>
                <w:bCs/>
                <w:color w:val="000000"/>
                <w:szCs w:val="18"/>
              </w:rPr>
              <w:t>收益率由高到低顺序排列，数据截止201</w:t>
            </w:r>
            <w:r w:rsidR="0032620F">
              <w:rPr>
                <w:rFonts w:cs="Arial" w:hint="eastAsia"/>
                <w:bCs/>
                <w:color w:val="000000"/>
                <w:szCs w:val="18"/>
              </w:rPr>
              <w:t>3</w:t>
            </w:r>
            <w:r w:rsidRPr="00EC1804">
              <w:rPr>
                <w:rFonts w:cs="Arial"/>
                <w:bCs/>
                <w:color w:val="000000"/>
                <w:szCs w:val="18"/>
              </w:rPr>
              <w:t>年</w:t>
            </w:r>
            <w:r w:rsidR="00FD4CD0">
              <w:rPr>
                <w:rFonts w:cs="Arial" w:hint="eastAsia"/>
                <w:bCs/>
                <w:color w:val="000000"/>
                <w:szCs w:val="18"/>
              </w:rPr>
              <w:t>12</w:t>
            </w:r>
            <w:r w:rsidRPr="00EC1804">
              <w:rPr>
                <w:rFonts w:cs="Arial"/>
                <w:bCs/>
                <w:color w:val="000000"/>
                <w:szCs w:val="18"/>
              </w:rPr>
              <w:t>月。</w:t>
            </w:r>
          </w:p>
        </w:tc>
      </w:tr>
      <w:tr w:rsidTr="00D80107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27"/>
          <w:jc w:val="center"/>
        </w:trPr>
        <w:tc>
          <w:tcPr>
            <w:tcW w:w="15601" w:type="dxa"/>
            <w:gridSpan w:val="18"/>
            <w:shd w:val="clear" w:color="auto" w:fill="auto"/>
          </w:tcPr>
          <w:p w:rsidR="00392FDE" w:rsidRPr="00495842" w:rsidP="00747026">
            <w:pPr>
              <w:pStyle w:val="FootnoteNoline"/>
              <w:ind w:left="0"/>
              <w:rPr>
                <w:rFonts w:ascii="楷体_GB2312" w:hint="eastAsia"/>
              </w:rPr>
            </w:pPr>
            <w:r w:rsidRPr="00495842">
              <w:rPr>
                <w:rFonts w:ascii="楷体_GB2312" w:hint="eastAsia"/>
              </w:rPr>
              <w:t>来源：国金证券研究所</w:t>
            </w:r>
          </w:p>
        </w:tc>
      </w:tr>
      <w:tr w:rsidTr="00D80107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27"/>
          <w:tblHeader/>
          <w:jc w:val="center"/>
        </w:trPr>
        <w:tc>
          <w:tcPr>
            <w:tcW w:w="15601" w:type="dxa"/>
            <w:gridSpan w:val="18"/>
            <w:shd w:val="clear" w:color="auto" w:fill="auto"/>
          </w:tcPr>
          <w:p w:rsidR="00392FDE" w:rsidRPr="00495842" w:rsidP="008F6148">
            <w:pPr>
              <w:pStyle w:val="SubTitleLargeTable"/>
              <w:rPr>
                <w:rFonts w:ascii="楷体_GB2312" w:hint="eastAsia"/>
              </w:rPr>
            </w:pPr>
            <w:r w:rsidRPr="00495842">
              <w:rPr>
                <w:rFonts w:ascii="楷体_GB2312" w:hint="eastAsia"/>
              </w:rPr>
              <w:t>图表</w:t>
            </w:r>
            <w:r w:rsidR="008F6148">
              <w:rPr>
                <w:rFonts w:hint="eastAsia"/>
              </w:rPr>
              <w:t>11</w:t>
            </w:r>
            <w:r w:rsidRPr="00DB4BB6">
              <w:rPr>
                <w:rFonts w:hint="eastAsia"/>
              </w:rPr>
              <w:t>：</w:t>
            </w:r>
            <w:r w:rsidRPr="00636F55">
              <w:rPr>
                <w:rFonts w:hint="eastAsia"/>
                <w:lang w:val="en-US"/>
              </w:rPr>
              <w:t>混合偏股型投连险账户</w:t>
            </w:r>
          </w:p>
        </w:tc>
      </w:tr>
      <w:tr w:rsidTr="00B022EE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227"/>
          <w:tblHeader/>
          <w:jc w:val="center"/>
        </w:trPr>
        <w:tc>
          <w:tcPr>
            <w:tcW w:w="2835" w:type="dxa"/>
            <w:vMerge w:val="restart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公司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投资账户</w:t>
            </w:r>
          </w:p>
        </w:tc>
        <w:tc>
          <w:tcPr>
            <w:tcW w:w="964" w:type="dxa"/>
            <w:vMerge w:val="restart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截止日期</w:t>
            </w:r>
          </w:p>
        </w:tc>
        <w:tc>
          <w:tcPr>
            <w:tcW w:w="3742" w:type="dxa"/>
            <w:gridSpan w:val="5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绝对收益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标准差(年化)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下行风险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夏普比率(年化)</w:t>
            </w:r>
          </w:p>
        </w:tc>
      </w:tr>
      <w:tr w:rsidTr="00B022EE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227"/>
          <w:tblHeader/>
          <w:jc w:val="center"/>
        </w:trPr>
        <w:tc>
          <w:tcPr>
            <w:tcW w:w="2835" w:type="dxa"/>
            <w:vMerge/>
            <w:shd w:val="clear" w:color="auto" w:fill="auto"/>
            <w:vAlign w:val="center"/>
          </w:tcPr>
          <w:p w:rsidR="00392FDE" w:rsidRPr="006B356A" w:rsidP="006B356A">
            <w:pPr>
              <w:pStyle w:val="2"/>
              <w:spacing w:after="0" w:line="10" w:lineRule="atLeast"/>
              <w:ind w:left="0"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:rsidR="00392FDE" w:rsidRPr="006B356A" w:rsidP="006B356A">
            <w:pPr>
              <w:pStyle w:val="2"/>
              <w:spacing w:after="0" w:line="10" w:lineRule="atLeast"/>
              <w:ind w:left="0"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964" w:type="dxa"/>
            <w:vMerge/>
            <w:shd w:val="clear" w:color="auto" w:fill="auto"/>
            <w:vAlign w:val="center"/>
          </w:tcPr>
          <w:p w:rsidR="00392FDE" w:rsidRPr="006B356A" w:rsidP="006B356A">
            <w:pPr>
              <w:pStyle w:val="2"/>
              <w:spacing w:after="0" w:line="10" w:lineRule="atLeast"/>
              <w:ind w:left="0"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6B356A" w:rsidR="00EC1804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近一月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6B356A" w:rsidR="00EC1804">
              <w:rPr>
                <w:rFonts w:ascii="宋体" w:eastAsia="宋体" w:hAnsi="宋体" w:cs="Arial" w:hint="eastAsia"/>
                <w:b/>
                <w:szCs w:val="18"/>
              </w:rPr>
              <w:t>近</w:t>
            </w:r>
            <w:r w:rsidR="006E111B">
              <w:rPr>
                <w:rFonts w:ascii="宋体" w:eastAsia="宋体" w:hAnsi="宋体" w:cs="Arial" w:hint="eastAsia"/>
                <w:b/>
                <w:szCs w:val="18"/>
              </w:rPr>
              <w:t>一季度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392FDE" w:rsidRPr="006B356A" w:rsidP="006B356A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6B356A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招商信诺人寿保险有限公司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和谐A型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-2.48%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-2.95%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16.89%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19.32%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-8.67%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13.76%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14.34%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14.40%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32.85%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75.40%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131.28%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0.95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0.46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-0.48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太平人寿保险有限公司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智选动力增长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2013-12-26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0.75%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2.56%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15.08%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38.50%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-1.31%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13.72%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10.99%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12.99%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27.27%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36.17%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101.08%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0.89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1.29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-0.30</w:t>
            </w:r>
          </w:p>
        </w:tc>
      </w:tr>
    </w:tbl>
    <w:p>
      <w:pPr>
        <w:sectPr w:rsidSect="009E7462">
          <w:headerReference w:type="default" r:id="rId44"/>
          <w:footerReference w:type="even" r:id="rId45"/>
          <w:footerReference w:type="default" r:id="rId46"/>
          <w:footerReference w:type="first" r:id="rId47"/>
          <w:type w:val="nextPage"/>
          <w:pgSz w:w="16840" w:h="11907" w:orient="landscape" w:code="9"/>
          <w:pgMar w:top="624" w:right="1440" w:bottom="624" w:left="1440" w:header="851" w:footer="397" w:gutter="0"/>
          <w:pgNumType w:start="9"/>
          <w:cols w:space="720"/>
          <w:titlePg w:val="0"/>
          <w:docGrid w:linePitch="245"/>
        </w:sectPr>
      </w:pPr>
    </w:p>
    <w:tbl>
      <w:tblPr>
        <w:tblStyle w:val="TableNormal"/>
        <w:tblW w:w="15601" w:type="dxa"/>
        <w:jc w:val="center"/>
        <w:tblBorders>
          <w:top w:val="single" w:sz="4" w:space="0" w:color="00A0E9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A0E9"/>
          <w:insideV w:val="single" w:sz="4" w:space="0" w:color="00A0E9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1304"/>
        <w:gridCol w:w="964"/>
        <w:gridCol w:w="748"/>
        <w:gridCol w:w="748"/>
        <w:gridCol w:w="748"/>
        <w:gridCol w:w="748"/>
        <w:gridCol w:w="750"/>
        <w:gridCol w:w="748"/>
        <w:gridCol w:w="748"/>
        <w:gridCol w:w="749"/>
        <w:gridCol w:w="748"/>
        <w:gridCol w:w="748"/>
        <w:gridCol w:w="749"/>
        <w:gridCol w:w="748"/>
        <w:gridCol w:w="748"/>
        <w:gridCol w:w="749"/>
        <w:gridCol w:w="21"/>
      </w:tblGrid>
      <w:tr w:rsidTr="00977D55">
        <w:tblPrEx>
          <w:tblW w:w="15601" w:type="dxa"/>
          <w:jc w:val="center"/>
          <w:tblBorders>
            <w:top w:val="single" w:sz="4" w:space="0" w:color="00A0E9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00A0E9"/>
            <w:insideV w:val="single" w:sz="4" w:space="0" w:color="00A0E9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招商信诺人寿保险有限公司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和谐B型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-2.72%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-2.00%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15.70%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18.48%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-6.89%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13.92%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14.51%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14.89%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34.86%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78.01%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135.03%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0.86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-0.42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招商信诺人寿保险有限公司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配置型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-3.53%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-3.22%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13.83%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19.09%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-5.46%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16.30%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15.81%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14.99%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42.07%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84.50%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134.51%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0.77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0.44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</w:t>
            </w: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2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建信人寿保险有限公司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平衡收益型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-2.51%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-3.17%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9.78%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12.61%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-4.99%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10.49%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9.93%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9.67%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27.01%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53.17%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89.38%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0.71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0.32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-0.54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太平人寿保险有限公司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智胜动力增长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2013-12-26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-1.91%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-3.60%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8.98%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3.15%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-13.56%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11.27%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10.76%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10.21%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27.69%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58.63%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96.71%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-0.10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-0.84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信诚人寿保险有限公司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策略成长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-1.32%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-1.10%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6.54%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9.84%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-7.04%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6.59%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7.14%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8.02%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17.26%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38.22%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73.77%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0.26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-0.75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中美联泰大都会人寿保险有限公司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混合偏股型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-1.65%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-1.33%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9.00%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12.54%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-13.30%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12.71%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14.19%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14.81%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31.92%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77.40%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137.43%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0.52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0.23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-0.59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生命人寿保险股份有限公司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平衡II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-2.41%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-2.72%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5.32%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3.57%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-5.67%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10.27%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12.50%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11.14%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23.74%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66.72%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95.68%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-0.05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-0.48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平安养老保险股份有限公司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平衡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2013-12-26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-2.20%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-3.23%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5.38%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2.47%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-11.18%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6.90%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6.53%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6.67%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17.01%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34.31%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62.95%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0.37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-0.27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-1.11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瑞泰人寿保险有限公司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成长型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-2.60%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5.89%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13.87%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-11.69%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13.64%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14.46%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14.81%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38.76%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80.86%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137.07%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0.35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0.24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-0.47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中德安联人寿保险有限公司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理财平衡型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-1.29%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-1.48%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3.99%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8.16%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-10.23%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8.76%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8.05%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8.36%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24.61%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44.20%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81.13%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0.13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-0.87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工银安盛人寿保险有限公司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进取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-2.49%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-4.44%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3.68%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3.43%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14.16%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14.48%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39.43%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80.24%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-0.03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瑞泰人寿保险有限公司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财智平衡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-2.89%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3.58%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12.48%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-6.68%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10.02%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9.92%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10.36%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28.24%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54.08%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96.03%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0.17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0.26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-0.53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汇丰人寿保险有限公司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平衡增长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-1.10%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-3.55%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4.09%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2.93%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-11.50%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8.60%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8.22%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8.60%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21.73%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45.6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82.08%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-0.16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-0.94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北大方正人寿保险有限公司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成长型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-2.92%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-2.86%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3.09%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1.50%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-23.02%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15.13%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16.84%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17.28%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40.15%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92.10%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161.43%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0.06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-0.06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-0.74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美国友邦保险有限公司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优选平衡组合（上海）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-1.62%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-0.61%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1.56%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6.45%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-6.69%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10.50%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10.04%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9.82%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28.41%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53.58%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88.71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0.04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0.06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-0.56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生命人寿保险股份有限公司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平衡I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-3.22%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-3.90%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0.85%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-4.40%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-13.81%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9.77%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9.77%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8.79%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24.79%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54.02%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77.61%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-0.52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-0.96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华泰人寿保险股份有限公司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进取型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-3.81%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-2.88%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-1.50%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8.22%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-12.02%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16.62%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16.47%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15.66%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46.54%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88.12%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141.60%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0.14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-0.47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华泰人寿保险股份有限公司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平衡型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-3.16%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-2.31%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-0.95%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9.30%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-6.65%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13.32%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12.91%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12.20%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37.11%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67.89%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109.21%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-0.15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0.18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-0.47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合众人寿保险股份有限公司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平衡型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2013-12-25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-3.87%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-6.50%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-1.36%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1.36%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-18.49%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13.41%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10.68%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10.90%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33.17%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49.60%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93.63%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-0.27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-0.18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-0.94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中德安联人寿保险有限公司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平衡型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-2.31%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-1.79%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-1.89%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2.41%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-9.48%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9.71%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8.92%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8.59%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28.89%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50.77%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81.65%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-0.39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-0.18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-0.79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中美联泰大都会人寿保险有限公司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5545平衡型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-3.43%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-3.41%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-2.11%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3.32%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-8.92%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10.45%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9.98%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9.94%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30.39%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54.12%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91.49%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-0.45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-0.14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-0.72</w:t>
            </w:r>
          </w:p>
        </w:tc>
      </w:tr>
      <w:tr w:rsidTr="000C138D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227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 w:rsidP="001831AC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 w:rsidRPr="007F742D">
              <w:rPr>
                <w:rFonts w:ascii="宋体" w:eastAsia="宋体" w:hAnsi="宋体" w:hint="eastAsia"/>
                <w:b/>
                <w:color w:val="000000"/>
                <w:szCs w:val="18"/>
              </w:rPr>
              <w:t>平均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-2.1</w:t>
            </w: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-2.61%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5.45%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9.07%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-9.88%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8DB3E2"/>
            <w:vAlign w:val="center"/>
          </w:tcPr>
          <w:p w:rsidR="00141EEA" w:rsidRPr="001831AC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831AC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</w:tr>
      <w:tr w:rsidTr="00D80107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27"/>
          <w:jc w:val="center"/>
        </w:trPr>
        <w:tc>
          <w:tcPr>
            <w:tcW w:w="15601" w:type="dxa"/>
            <w:gridSpan w:val="18"/>
            <w:tcBorders>
              <w:top w:val="single" w:sz="4" w:space="0" w:color="00A0E9"/>
            </w:tcBorders>
            <w:shd w:val="clear" w:color="auto" w:fill="auto"/>
            <w:vAlign w:val="center"/>
          </w:tcPr>
          <w:p w:rsidR="00392FDE" w:rsidRPr="00EC1804" w:rsidP="00FD4CD0">
            <w:pPr>
              <w:jc w:val="left"/>
              <w:rPr>
                <w:rFonts w:cs="Arial"/>
                <w:bCs/>
                <w:color w:val="000000"/>
                <w:szCs w:val="18"/>
              </w:rPr>
            </w:pPr>
            <w:r w:rsidRPr="00EC1804">
              <w:rPr>
                <w:rFonts w:cs="Arial"/>
                <w:bCs/>
                <w:color w:val="000000"/>
                <w:szCs w:val="18"/>
              </w:rPr>
              <w:t>注：按照</w:t>
            </w:r>
            <w:r w:rsidR="000113E8">
              <w:rPr>
                <w:rFonts w:cs="Arial" w:hint="eastAsia"/>
                <w:bCs/>
                <w:color w:val="000000"/>
                <w:szCs w:val="18"/>
              </w:rPr>
              <w:t>近一</w:t>
            </w:r>
            <w:r w:rsidR="009A68B2">
              <w:rPr>
                <w:rFonts w:cs="Arial" w:hint="eastAsia"/>
                <w:bCs/>
                <w:color w:val="000000"/>
                <w:szCs w:val="18"/>
              </w:rPr>
              <w:t>月</w:t>
            </w:r>
            <w:r w:rsidRPr="00EC1804">
              <w:rPr>
                <w:rFonts w:cs="Arial"/>
                <w:bCs/>
                <w:color w:val="000000"/>
                <w:szCs w:val="18"/>
              </w:rPr>
              <w:t>收益率由高到低顺序排列，数据截止201</w:t>
            </w:r>
            <w:r w:rsidR="00E67D51">
              <w:rPr>
                <w:rFonts w:cs="Arial" w:hint="eastAsia"/>
                <w:bCs/>
                <w:color w:val="000000"/>
                <w:szCs w:val="18"/>
              </w:rPr>
              <w:t>3</w:t>
            </w:r>
            <w:r w:rsidRPr="00EC1804">
              <w:rPr>
                <w:rFonts w:cs="Arial"/>
                <w:bCs/>
                <w:color w:val="000000"/>
                <w:szCs w:val="18"/>
              </w:rPr>
              <w:t>年</w:t>
            </w:r>
            <w:r w:rsidR="00FD4CD0">
              <w:rPr>
                <w:rFonts w:cs="Arial" w:hint="eastAsia"/>
                <w:bCs/>
                <w:color w:val="000000"/>
                <w:szCs w:val="18"/>
              </w:rPr>
              <w:t>12</w:t>
            </w:r>
            <w:r w:rsidRPr="00EC1804">
              <w:rPr>
                <w:rFonts w:cs="Arial"/>
                <w:bCs/>
                <w:color w:val="000000"/>
                <w:szCs w:val="18"/>
              </w:rPr>
              <w:t>月。</w:t>
            </w:r>
          </w:p>
        </w:tc>
      </w:tr>
      <w:tr w:rsidTr="00D80107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27"/>
          <w:jc w:val="center"/>
        </w:trPr>
        <w:tc>
          <w:tcPr>
            <w:tcW w:w="15601" w:type="dxa"/>
            <w:gridSpan w:val="18"/>
            <w:shd w:val="clear" w:color="auto" w:fill="auto"/>
          </w:tcPr>
          <w:p w:rsidR="00392FDE" w:rsidRPr="00495842" w:rsidP="00747026">
            <w:pPr>
              <w:pStyle w:val="FootnoteNoline"/>
              <w:ind w:left="0"/>
              <w:rPr>
                <w:rFonts w:ascii="楷体_GB2312" w:hint="eastAsia"/>
              </w:rPr>
            </w:pPr>
            <w:r w:rsidRPr="00495842">
              <w:rPr>
                <w:rFonts w:ascii="楷体_GB2312" w:hint="eastAsia"/>
              </w:rPr>
              <w:t>来源：国金证券研究所</w:t>
            </w:r>
          </w:p>
        </w:tc>
      </w:tr>
    </w:tbl>
    <w:p w:rsidR="00392FDE" w:rsidRPr="00392FDE" w:rsidP="00891DD6">
      <w:pPr>
        <w:pStyle w:val="BodyText"/>
        <w:spacing w:after="0"/>
        <w:ind w:left="3430"/>
        <w:rPr>
          <w:rFonts w:hint="eastAsia"/>
          <w:color w:val="auto"/>
          <w:lang w:eastAsia="zh-CN"/>
        </w:rPr>
      </w:pPr>
    </w:p>
    <w:tbl>
      <w:tblPr>
        <w:tblStyle w:val="TableNormal"/>
        <w:tblW w:w="15601" w:type="dxa"/>
        <w:jc w:val="center"/>
        <w:tblBorders>
          <w:top w:val="single" w:sz="4" w:space="0" w:color="00A0E9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A0E9"/>
          <w:insideV w:val="single" w:sz="4" w:space="0" w:color="00A0E9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1304"/>
        <w:gridCol w:w="964"/>
        <w:gridCol w:w="748"/>
        <w:gridCol w:w="748"/>
        <w:gridCol w:w="748"/>
        <w:gridCol w:w="748"/>
        <w:gridCol w:w="750"/>
        <w:gridCol w:w="748"/>
        <w:gridCol w:w="748"/>
        <w:gridCol w:w="749"/>
        <w:gridCol w:w="748"/>
        <w:gridCol w:w="748"/>
        <w:gridCol w:w="749"/>
        <w:gridCol w:w="748"/>
        <w:gridCol w:w="748"/>
        <w:gridCol w:w="749"/>
        <w:gridCol w:w="21"/>
      </w:tblGrid>
      <w:tr w:rsidTr="00D80107">
        <w:tblPrEx>
          <w:tblW w:w="15601" w:type="dxa"/>
          <w:jc w:val="center"/>
          <w:tblBorders>
            <w:top w:val="single" w:sz="4" w:space="0" w:color="00A0E9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00A0E9"/>
            <w:insideV w:val="single" w:sz="4" w:space="0" w:color="00A0E9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27"/>
          <w:tblHeader/>
          <w:jc w:val="center"/>
        </w:trPr>
        <w:tc>
          <w:tcPr>
            <w:tcW w:w="15601" w:type="dxa"/>
            <w:gridSpan w:val="18"/>
            <w:shd w:val="clear" w:color="auto" w:fill="auto"/>
          </w:tcPr>
          <w:p w:rsidR="00747026" w:rsidRPr="00495842" w:rsidP="008F6148">
            <w:pPr>
              <w:pStyle w:val="SubTitleLargeTable"/>
              <w:rPr>
                <w:rFonts w:ascii="楷体_GB2312" w:hint="eastAsia"/>
              </w:rPr>
            </w:pPr>
            <w:r w:rsidRPr="00495842">
              <w:rPr>
                <w:rFonts w:ascii="楷体_GB2312" w:hint="eastAsia"/>
              </w:rPr>
              <w:t>图表</w:t>
            </w:r>
            <w:r w:rsidR="007F3E3F">
              <w:rPr>
                <w:rFonts w:hint="eastAsia"/>
              </w:rPr>
              <w:t>1</w:t>
            </w:r>
            <w:r w:rsidR="008F6148">
              <w:rPr>
                <w:rFonts w:hint="eastAsia"/>
              </w:rPr>
              <w:t>2</w:t>
            </w:r>
            <w:r w:rsidRPr="00DB4BB6">
              <w:rPr>
                <w:rFonts w:hint="eastAsia"/>
              </w:rPr>
              <w:t>：</w:t>
            </w:r>
            <w:r>
              <w:rPr>
                <w:rFonts w:hint="eastAsia"/>
                <w:lang w:val="en-US"/>
              </w:rPr>
              <w:t>灵活配置型</w:t>
            </w:r>
            <w:r w:rsidRPr="00636F55">
              <w:rPr>
                <w:rFonts w:hint="eastAsia"/>
                <w:lang w:val="en-US"/>
              </w:rPr>
              <w:t>投连险账户</w:t>
            </w:r>
          </w:p>
        </w:tc>
      </w:tr>
      <w:tr w:rsidTr="00B022EE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227"/>
          <w:tblHeader/>
          <w:jc w:val="center"/>
        </w:trPr>
        <w:tc>
          <w:tcPr>
            <w:tcW w:w="2835" w:type="dxa"/>
            <w:vMerge w:val="restart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公司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投资账户</w:t>
            </w:r>
          </w:p>
        </w:tc>
        <w:tc>
          <w:tcPr>
            <w:tcW w:w="964" w:type="dxa"/>
            <w:vMerge w:val="restart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截止日期</w:t>
            </w:r>
          </w:p>
        </w:tc>
        <w:tc>
          <w:tcPr>
            <w:tcW w:w="3742" w:type="dxa"/>
            <w:gridSpan w:val="5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绝对收益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标准差(年化)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下行风险</w:t>
            </w:r>
          </w:p>
        </w:tc>
        <w:tc>
          <w:tcPr>
            <w:tcW w:w="2245" w:type="dxa"/>
            <w:gridSpan w:val="3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夏普比率(年化)</w:t>
            </w:r>
          </w:p>
        </w:tc>
      </w:tr>
      <w:tr w:rsidTr="00B022EE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227"/>
          <w:tblHeader/>
          <w:jc w:val="center"/>
        </w:trPr>
        <w:tc>
          <w:tcPr>
            <w:tcW w:w="2835" w:type="dxa"/>
            <w:vMerge/>
            <w:shd w:val="clear" w:color="auto" w:fill="auto"/>
            <w:vAlign w:val="center"/>
          </w:tcPr>
          <w:p w:rsidR="00747026" w:rsidRPr="00B022EE" w:rsidP="00747026">
            <w:pPr>
              <w:pStyle w:val="2"/>
              <w:spacing w:after="0" w:line="10" w:lineRule="atLeast"/>
              <w:ind w:left="0"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:rsidR="00747026" w:rsidRPr="00B022EE" w:rsidP="00747026">
            <w:pPr>
              <w:pStyle w:val="2"/>
              <w:spacing w:after="0" w:line="10" w:lineRule="atLeast"/>
              <w:ind w:left="0"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964" w:type="dxa"/>
            <w:vMerge/>
            <w:shd w:val="clear" w:color="auto" w:fill="auto"/>
            <w:vAlign w:val="center"/>
          </w:tcPr>
          <w:p w:rsidR="00747026" w:rsidRPr="00B022EE" w:rsidP="00747026">
            <w:pPr>
              <w:pStyle w:val="2"/>
              <w:spacing w:after="0" w:line="10" w:lineRule="atLeast"/>
              <w:ind w:left="0"/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 w:rsidR="00AE66D4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近一月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 w:rsidR="00AE66D4">
              <w:rPr>
                <w:rFonts w:ascii="宋体" w:eastAsia="宋体" w:hAnsi="宋体" w:cs="Arial" w:hint="eastAsia"/>
                <w:b/>
                <w:szCs w:val="18"/>
              </w:rPr>
              <w:t>近</w:t>
            </w:r>
            <w:r w:rsidR="006E111B">
              <w:rPr>
                <w:rFonts w:ascii="宋体" w:eastAsia="宋体" w:hAnsi="宋体" w:cs="Arial" w:hint="eastAsia"/>
                <w:b/>
                <w:szCs w:val="18"/>
              </w:rPr>
              <w:t>一季度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近一年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近两年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747026" w:rsidRPr="00B022EE" w:rsidP="00747026">
            <w:pPr>
              <w:jc w:val="center"/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</w:pPr>
            <w:r w:rsidRPr="00B022EE">
              <w:rPr>
                <w:rFonts w:ascii="宋体" w:eastAsia="宋体" w:hAnsi="宋体" w:cs="Arial" w:hint="eastAsia"/>
                <w:b/>
                <w:bCs/>
                <w:color w:val="000000"/>
                <w:szCs w:val="18"/>
              </w:rPr>
              <w:t>近三年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招商信诺人寿保险有限公司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灵动A型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-1.68%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-4.51%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18.75%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26.21%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13.50%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15.43%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27.12%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73.98%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1.17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0.65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-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招商信诺人寿保险有限公司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进取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-3.23%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-4.38%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10.57%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14.91%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-10.75%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16.86%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16.73%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16.63%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45.62%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92.72%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154.82%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0.58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0.31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-0.41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泰康人寿保险股份有限公司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平衡配置型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2013-12-31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-0.69%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-2.48%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9.29%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16.21%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2.97%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11.66%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2.36%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11.78%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28.91%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62.92%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100.20%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0.63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0.41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-0.21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招商信诺人寿保险有限公司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平衡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-3.52%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-5.29%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8.02%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15.10%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-10.77%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16.11%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14.73%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14.44%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42.26%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77.90%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131.81%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0.45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0.34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-0.47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中国平安人寿保险股份有限公司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发展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-1.44%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-2.88%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6.63%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9.36%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-3.49%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8.58%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8.62%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8.49%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22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.71%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46.89%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77.80%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0.52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0.20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-0.55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中国人寿保险股份有限公司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精选价值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0.35%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0.00%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4.59%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-17.77%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-29.97%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11.43%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18.37%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17.06%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26.69%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102.67%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141.15%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0.16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-0.64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-0.78</w:t>
            </w:r>
          </w:p>
        </w:tc>
      </w:tr>
      <w:tr w:rsidTr="00977D55">
        <w:tblPrEx>
          <w:tblW w:w="15601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gridAfter w:val="1"/>
          <w:wAfter w:w="21" w:type="dxa"/>
          <w:trHeight w:val="170"/>
          <w:jc w:val="center"/>
        </w:trPr>
        <w:tc>
          <w:tcPr>
            <w:tcW w:w="2835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海康人寿保险有限公司</w:t>
            </w:r>
          </w:p>
        </w:tc>
        <w:tc>
          <w:tcPr>
            <w:tcW w:w="130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成长型</w:t>
            </w:r>
          </w:p>
        </w:tc>
        <w:tc>
          <w:tcPr>
            <w:tcW w:w="964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2013-12-30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-1.04%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-2.12%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3.36%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5.66%</w:t>
            </w:r>
          </w:p>
        </w:tc>
        <w:tc>
          <w:tcPr>
            <w:tcW w:w="750" w:type="dxa"/>
            <w:tcBorders>
              <w:bottom w:val="single" w:sz="4" w:space="0" w:color="00A0E9"/>
            </w:tcBorders>
            <w:shd w:val="clear" w:color="auto" w:fill="D9D9D9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-9.14%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7.76%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6.98%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8.69%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20.37%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36.69%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77.2</w:t>
            </w: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7%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000000"/>
                <w:szCs w:val="18"/>
              </w:rPr>
              <w:t>0.15</w:t>
            </w:r>
          </w:p>
        </w:tc>
        <w:tc>
          <w:tcPr>
            <w:tcW w:w="748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-0.04</w:t>
            </w:r>
          </w:p>
        </w:tc>
        <w:tc>
          <w:tcPr>
            <w:tcW w:w="749" w:type="dxa"/>
            <w:tcBorders>
              <w:bottom w:val="single" w:sz="4" w:space="0" w:color="00A0E9"/>
            </w:tcBorders>
            <w:shd w:val="clear" w:color="auto" w:fill="auto"/>
            <w:vAlign w:val="center"/>
          </w:tcPr>
          <w:p w:rsidR="00141EEA" w:rsidRPr="00141EEA">
            <w:pPr>
              <w:jc w:val="center"/>
              <w:rPr>
                <w:rFonts w:ascii="宋体" w:eastAsia="宋体" w:hAnsi="宋体" w:cs="宋体"/>
                <w:color w:val="FF0000"/>
                <w:szCs w:val="18"/>
              </w:rPr>
            </w:pPr>
            <w:r w:rsidRPr="00141EEA">
              <w:rPr>
                <w:rFonts w:ascii="宋体" w:eastAsia="宋体" w:hAnsi="宋体" w:hint="eastAsia"/>
                <w:color w:val="FF0000"/>
                <w:szCs w:val="18"/>
              </w:rPr>
              <w:t>-0.79</w:t>
            </w:r>
          </w:p>
        </w:tc>
      </w:tr>
    </w:tbl>
    <w:p>
      <w:r>
        <w:br/>
      </w:r>
      <w:r>
        <w:br/>
      </w:r>
    </w:p>
    <w:p>
      <w:pPr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8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https://d.book118.com/898054075005006036</w:t>
        </w:r>
      </w:hyperlink>
    </w:p>
    <w:p/>
    <w:sectPr w:rsidSect="009E7462">
      <w:headerReference w:type="default" r:id="rId49"/>
      <w:footerReference w:type="even" r:id="rId50"/>
      <w:footerReference w:type="default" r:id="rId51"/>
      <w:footerReference w:type="first" r:id="rId52"/>
      <w:type w:val="nextPage"/>
      <w:pgSz w:w="16840" w:h="11907" w:orient="landscape" w:code="9"/>
      <w:pgMar w:top="624" w:right="1440" w:bottom="624" w:left="1440" w:header="851" w:footer="397" w:gutter="0"/>
      <w:pgNumType w:start="10"/>
      <w:cols w:space="720"/>
      <w:titlePg w:val="0"/>
      <w:docGrid w:linePitch="2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Courier New"/>
    <w:panose1 w:val="01010601010101010101"/>
    <w:charset w:val="02"/>
    <w:family w:val="auto"/>
    <w:notTrueType/>
    <w:pitch w:val="variable"/>
    <w:sig w:usb0="00000000" w:usb1="0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2E3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Header"/>
      <w:jc w:val="center"/>
      <w:rPr>
        <w:rFonts w:ascii="LucidaSans" w:hAnsi="LucidaSans" w:cs="Times New Roman" w:hint="eastAsia"/>
        <w:b/>
      </w:rPr>
    </w:pPr>
    <w:r>
      <w:rPr>
        <w:rFonts w:ascii="LucidaSans" w:hAnsi="LucidaSans" w:cs="Times New Roman"/>
        <w:b/>
        <w:noProof/>
        <w:szCs w:val="21"/>
        <w:lang w:val="en-US"/>
      </w:rPr>
      <w:pict>
        <v:line id="_x0000_s2053" style="mso-position-horizontal:center;position:absolute;z-index:251658240" from="-3.8pt,-1.2pt" to="544.3pt,-1.2pt" stroked="t" strokecolor="#00a0e9"/>
      </w:pict>
    </w:r>
    <w:r w:rsidRPr="00A30364">
      <w:rPr>
        <w:rFonts w:ascii="LucidaSans" w:hAnsi="LucidaSans" w:cs="Times New Roman"/>
        <w:b/>
        <w:szCs w:val="21"/>
      </w:rPr>
      <w:t xml:space="preserve">- </w:t>
    </w:r>
    <w:r w:rsidRPr="003C4E1B">
      <w:rPr>
        <w:b/>
        <w:szCs w:val="21"/>
      </w:rPr>
      <w:fldChar w:fldCharType="begin"/>
    </w:r>
    <w:r w:rsidRPr="003C4E1B">
      <w:rPr>
        <w:b/>
        <w:szCs w:val="21"/>
      </w:rPr>
      <w:instrText xml:space="preserve"> PAGE </w:instrText>
    </w:r>
    <w:r w:rsidRPr="003C4E1B">
      <w:rPr>
        <w:b/>
        <w:szCs w:val="21"/>
      </w:rPr>
      <w:fldChar w:fldCharType="separate"/>
    </w:r>
    <w:r w:rsidRPr="003C4E1B">
      <w:rPr>
        <w:b/>
        <w:szCs w:val="21"/>
      </w:rPr>
      <w:t>23</w:t>
    </w:r>
    <w:r w:rsidRPr="003C4E1B">
      <w:rPr>
        <w:b/>
        <w:szCs w:val="21"/>
      </w:rPr>
      <w:fldChar w:fldCharType="end"/>
    </w:r>
    <w:r w:rsidRPr="00A30364">
      <w:rPr>
        <w:rFonts w:ascii="LucidaSans" w:hAnsi="LucidaSans" w:cs="Times New Roman"/>
        <w:b/>
        <w:szCs w:val="21"/>
      </w:rPr>
      <w:t xml:space="preserve"> -</w:t>
    </w:r>
  </w:p>
  <w:p w:rsidR="00472E3C">
    <w:pPr>
      <w:pStyle w:val="Header"/>
      <w:rPr>
        <w:rFonts w:ascii="LucidaSans" w:hAnsi="LucidaSans" w:cs="Times New Roman" w:hint="eastAsia"/>
      </w:rPr>
    </w:pPr>
    <w:r>
      <w:rPr>
        <w:rFonts w:ascii="LucidaSans" w:hAnsi="LucidaSans" w:cs="Times New Roman" w:hint="eastAsia"/>
      </w:rPr>
      <w:t>敬请参阅最后一页特别声明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Footer"/>
      <w:pBdr>
        <w:top w:val="none" w:sz="0" w:space="0" w:color="auto"/>
      </w:pBdr>
      <w:tabs>
        <w:tab w:val="center" w:pos="5103"/>
      </w:tabs>
      <w:jc w:val="center"/>
      <w:rPr>
        <w:rFonts w:cs="Arial" w:hint="eastAsia"/>
        <w:b/>
        <w:sz w:val="18"/>
        <w:szCs w:val="18"/>
      </w:rPr>
    </w:pPr>
    <w:r>
      <w:rPr>
        <w:rFonts w:cs="Arial"/>
        <w:b/>
        <w:noProof/>
        <w:sz w:val="18"/>
        <w:szCs w:val="21"/>
      </w:rPr>
      <w:pict>
        <v:line id="_x0000_s2054" style="position:absolute;z-index:251660288" from="-31.8pt,0.5pt" to="570.3pt,0.5pt" stroked="t" strokecolor="#00a0e9"/>
      </w:pict>
    </w:r>
    <w:r w:rsidRPr="00A30364">
      <w:rPr>
        <w:rFonts w:cs="Arial"/>
        <w:b/>
        <w:sz w:val="18"/>
        <w:szCs w:val="21"/>
      </w:rPr>
      <w:t xml:space="preserve">- </w:t>
    </w:r>
    <w:r w:rsidRPr="00A30364">
      <w:rPr>
        <w:rFonts w:cs="Arial"/>
        <w:b/>
        <w:sz w:val="18"/>
        <w:szCs w:val="21"/>
      </w:rPr>
      <w:fldChar w:fldCharType="begin"/>
    </w:r>
    <w:r w:rsidRPr="00A30364">
      <w:rPr>
        <w:rFonts w:cs="Arial"/>
        <w:b/>
        <w:sz w:val="18"/>
        <w:szCs w:val="21"/>
      </w:rPr>
      <w:instrText xml:space="preserve"> PAGE </w:instrText>
    </w:r>
    <w:r w:rsidRPr="00A30364">
      <w:rPr>
        <w:rFonts w:cs="Arial"/>
        <w:b/>
        <w:sz w:val="18"/>
        <w:szCs w:val="21"/>
      </w:rPr>
      <w:fldChar w:fldCharType="separate"/>
    </w:r>
    <w:r w:rsidRPr="00A30364">
      <w:rPr>
        <w:rFonts w:cs="Arial"/>
        <w:b/>
        <w:sz w:val="18"/>
        <w:szCs w:val="21"/>
      </w:rPr>
      <w:t>1</w:t>
    </w:r>
    <w:r w:rsidRPr="00A30364">
      <w:rPr>
        <w:rFonts w:cs="Arial"/>
        <w:b/>
        <w:sz w:val="18"/>
        <w:szCs w:val="21"/>
      </w:rPr>
      <w:fldChar w:fldCharType="end"/>
    </w:r>
    <w:r w:rsidRPr="00A30364">
      <w:rPr>
        <w:rFonts w:cs="Arial"/>
        <w:b/>
        <w:sz w:val="18"/>
        <w:szCs w:val="21"/>
      </w:rPr>
      <w:t xml:space="preserve"> -</w:t>
    </w:r>
  </w:p>
  <w:p w:rsidR="00472E3C">
    <w:pPr>
      <w:rPr>
        <w:lang w:val="en-US"/>
      </w:rPr>
    </w:pPr>
    <w:r>
      <w:rPr>
        <w:rFonts w:cs="Arial" w:hint="eastAsia"/>
        <w:noProof/>
        <w:szCs w:val="18"/>
        <w:lang w:val="en-US"/>
      </w:rPr>
      <w:pict>
        <v:rect id="_x0000_s2055" style="width:596.1pt;height:19.25pt;margin-top:13.85pt;margin-left:-31.8pt;position:absolute;z-index:251659264" filled="t" fillcolor="#eaeaea" stroked="f" strokecolor="#f8f8f8" insetpen="f">
          <v:fill opacity="39322f" rotate="t"/>
          <v:textbox>
            <w:txbxContent>
              <w:p w:rsidR="00472E3C" w:rsidRPr="00331FA7" w:rsidP="005F1929">
                <w:pPr>
                  <w:rPr>
                    <w:rFonts w:hint="eastAsia"/>
                  </w:rPr>
                </w:pPr>
              </w:p>
            </w:txbxContent>
          </v:textbox>
        </v:rect>
      </w:pict>
    </w:r>
    <w:r>
      <w:rPr>
        <w:rFonts w:cs="Arial" w:hint="eastAsia"/>
        <w:szCs w:val="18"/>
      </w:rPr>
      <w:t>敬请参阅最后一页特别声明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2E3C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Header"/>
      <w:jc w:val="center"/>
      <w:rPr>
        <w:rFonts w:ascii="LucidaSans" w:hAnsi="LucidaSans" w:cs="Times New Roman" w:hint="eastAsia"/>
        <w:b/>
      </w:rPr>
    </w:pPr>
    <w:r>
      <w:rPr>
        <w:rFonts w:ascii="LucidaSans" w:hAnsi="LucidaSans" w:cs="Times New Roman"/>
        <w:b/>
        <w:noProof/>
        <w:szCs w:val="21"/>
        <w:lang w:val="en-US"/>
      </w:rPr>
      <w:pict>
        <v:line id="_x0000_s2060" style="mso-position-horizontal:center;position:absolute;z-index:251661312" from="-3.8pt,-1.2pt" to="544.3pt,-1.2pt" stroked="t" strokecolor="#00a0e9"/>
      </w:pict>
    </w:r>
    <w:r w:rsidRPr="00A30364">
      <w:rPr>
        <w:rFonts w:ascii="LucidaSans" w:hAnsi="LucidaSans" w:cs="Times New Roman"/>
        <w:b/>
        <w:szCs w:val="21"/>
      </w:rPr>
      <w:t xml:space="preserve">- </w:t>
    </w:r>
    <w:r w:rsidRPr="003C4E1B">
      <w:rPr>
        <w:b/>
        <w:szCs w:val="21"/>
      </w:rPr>
      <w:fldChar w:fldCharType="begin"/>
    </w:r>
    <w:r w:rsidRPr="003C4E1B">
      <w:rPr>
        <w:b/>
        <w:szCs w:val="21"/>
      </w:rPr>
      <w:instrText xml:space="preserve"> PAGE </w:instrText>
    </w:r>
    <w:r w:rsidRPr="003C4E1B">
      <w:rPr>
        <w:b/>
        <w:szCs w:val="21"/>
      </w:rPr>
      <w:fldChar w:fldCharType="separate"/>
    </w:r>
    <w:r w:rsidRPr="003C4E1B">
      <w:rPr>
        <w:b/>
        <w:szCs w:val="21"/>
      </w:rPr>
      <w:t>2</w:t>
    </w:r>
    <w:r w:rsidRPr="003C4E1B">
      <w:rPr>
        <w:b/>
        <w:szCs w:val="21"/>
      </w:rPr>
      <w:fldChar w:fldCharType="end"/>
    </w:r>
    <w:r w:rsidRPr="00A30364">
      <w:rPr>
        <w:rFonts w:ascii="LucidaSans" w:hAnsi="LucidaSans" w:cs="Times New Roman"/>
        <w:b/>
        <w:szCs w:val="21"/>
      </w:rPr>
      <w:t xml:space="preserve"> -</w:t>
    </w:r>
  </w:p>
  <w:p w:rsidR="00472E3C">
    <w:pPr>
      <w:pStyle w:val="Header"/>
      <w:rPr>
        <w:rFonts w:ascii="LucidaSans" w:hAnsi="LucidaSans" w:cs="Times New Roman" w:hint="eastAsia"/>
      </w:rPr>
    </w:pPr>
    <w:r>
      <w:rPr>
        <w:rFonts w:ascii="LucidaSans" w:hAnsi="LucidaSans" w:cs="Times New Roman" w:hint="eastAsia"/>
      </w:rPr>
      <w:t>敬请参阅最后一页特别声明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Footer"/>
      <w:pBdr>
        <w:top w:val="none" w:sz="0" w:space="0" w:color="auto"/>
      </w:pBdr>
      <w:tabs>
        <w:tab w:val="center" w:pos="5103"/>
      </w:tabs>
      <w:jc w:val="center"/>
      <w:rPr>
        <w:rFonts w:cs="Arial" w:hint="eastAsia"/>
        <w:b/>
        <w:sz w:val="18"/>
        <w:szCs w:val="18"/>
      </w:rPr>
    </w:pPr>
    <w:r>
      <w:rPr>
        <w:rFonts w:cs="Arial"/>
        <w:b/>
        <w:noProof/>
        <w:sz w:val="18"/>
        <w:szCs w:val="21"/>
      </w:rPr>
      <w:pict>
        <v:line id="_x0000_s2061" style="position:absolute;z-index:251663360" from="-31.8pt,0.5pt" to="570.3pt,0.5pt" stroked="t" strokecolor="#00a0e9"/>
      </w:pict>
    </w:r>
    <w:r w:rsidRPr="00A30364">
      <w:rPr>
        <w:rFonts w:cs="Arial"/>
        <w:b/>
        <w:sz w:val="18"/>
        <w:szCs w:val="21"/>
      </w:rPr>
      <w:t xml:space="preserve">- </w:t>
    </w:r>
    <w:r w:rsidRPr="00A30364">
      <w:rPr>
        <w:rFonts w:cs="Arial"/>
        <w:b/>
        <w:sz w:val="18"/>
        <w:szCs w:val="21"/>
      </w:rPr>
      <w:fldChar w:fldCharType="begin"/>
    </w:r>
    <w:r w:rsidRPr="00A30364">
      <w:rPr>
        <w:rFonts w:cs="Arial"/>
        <w:b/>
        <w:sz w:val="18"/>
        <w:szCs w:val="21"/>
      </w:rPr>
      <w:instrText xml:space="preserve"> PAGE </w:instrText>
    </w:r>
    <w:r w:rsidRPr="00A30364">
      <w:rPr>
        <w:rFonts w:cs="Arial"/>
        <w:b/>
        <w:sz w:val="18"/>
        <w:szCs w:val="21"/>
      </w:rPr>
      <w:fldChar w:fldCharType="separate"/>
    </w:r>
    <w:r w:rsidRPr="00A30364">
      <w:rPr>
        <w:rFonts w:cs="Arial"/>
        <w:b/>
        <w:sz w:val="18"/>
        <w:szCs w:val="21"/>
      </w:rPr>
      <w:t>15</w:t>
    </w:r>
    <w:r w:rsidRPr="00A30364">
      <w:rPr>
        <w:rFonts w:cs="Arial"/>
        <w:b/>
        <w:sz w:val="18"/>
        <w:szCs w:val="21"/>
      </w:rPr>
      <w:fldChar w:fldCharType="end"/>
    </w:r>
    <w:r w:rsidRPr="00A30364">
      <w:rPr>
        <w:rFonts w:cs="Arial"/>
        <w:b/>
        <w:sz w:val="18"/>
        <w:szCs w:val="21"/>
      </w:rPr>
      <w:t xml:space="preserve"> -</w:t>
    </w:r>
  </w:p>
  <w:p w:rsidR="00472E3C">
    <w:pPr>
      <w:rPr>
        <w:lang w:val="en-US"/>
      </w:rPr>
    </w:pPr>
    <w:r>
      <w:rPr>
        <w:rFonts w:cs="Arial" w:hint="eastAsia"/>
        <w:noProof/>
        <w:szCs w:val="18"/>
        <w:lang w:val="en-US"/>
      </w:rPr>
      <w:pict>
        <v:rect id="_x0000_s2062" style="width:596.1pt;height:19.25pt;margin-top:13.85pt;margin-left:-31.8pt;position:absolute;z-index:251662336" filled="t" fillcolor="#eaeaea" stroked="f" strokecolor="#f8f8f8" insetpen="f">
          <v:fill opacity="39322f" rotate="t"/>
          <v:textbox>
            <w:txbxContent>
              <w:p w:rsidR="00472E3C" w:rsidRPr="00331FA7" w:rsidP="005F1929">
                <w:pPr>
                  <w:rPr>
                    <w:rFonts w:hint="eastAsia"/>
                  </w:rPr>
                </w:pPr>
              </w:p>
            </w:txbxContent>
          </v:textbox>
        </v:rect>
      </w:pict>
    </w:r>
    <w:r>
      <w:rPr>
        <w:rFonts w:cs="Arial" w:hint="eastAsia"/>
        <w:szCs w:val="18"/>
      </w:rPr>
      <w:t>敬请参阅最后一页特别声明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2E3C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Header"/>
      <w:jc w:val="center"/>
      <w:rPr>
        <w:rFonts w:ascii="LucidaSans" w:hAnsi="LucidaSans" w:cs="Times New Roman" w:hint="eastAsia"/>
        <w:b/>
      </w:rPr>
    </w:pPr>
    <w:r>
      <w:rPr>
        <w:rFonts w:ascii="LucidaSans" w:hAnsi="LucidaSans" w:cs="Times New Roman"/>
        <w:b/>
        <w:noProof/>
        <w:szCs w:val="21"/>
        <w:lang w:val="en-US"/>
      </w:rPr>
      <w:pict>
        <v:line id="_x0000_s2067" style="mso-position-horizontal:center;position:absolute;z-index:251664384" from="-3.8pt,-1.2pt" to="544.3pt,-1.2pt" stroked="t" strokecolor="#00a0e9"/>
      </w:pict>
    </w:r>
    <w:r w:rsidRPr="00A30364">
      <w:rPr>
        <w:rFonts w:ascii="LucidaSans" w:hAnsi="LucidaSans" w:cs="Times New Roman"/>
        <w:b/>
        <w:szCs w:val="21"/>
      </w:rPr>
      <w:t xml:space="preserve">- </w:t>
    </w:r>
    <w:r w:rsidRPr="003C4E1B">
      <w:rPr>
        <w:b/>
        <w:szCs w:val="21"/>
      </w:rPr>
      <w:fldChar w:fldCharType="begin"/>
    </w:r>
    <w:r w:rsidRPr="003C4E1B">
      <w:rPr>
        <w:b/>
        <w:szCs w:val="21"/>
      </w:rPr>
      <w:instrText xml:space="preserve"> PAGE </w:instrText>
    </w:r>
    <w:r w:rsidRPr="003C4E1B">
      <w:rPr>
        <w:b/>
        <w:szCs w:val="21"/>
      </w:rPr>
      <w:fldChar w:fldCharType="separate"/>
    </w:r>
    <w:r w:rsidRPr="003C4E1B">
      <w:rPr>
        <w:b/>
        <w:szCs w:val="21"/>
      </w:rPr>
      <w:t>3</w:t>
    </w:r>
    <w:r w:rsidRPr="003C4E1B">
      <w:rPr>
        <w:b/>
        <w:szCs w:val="21"/>
      </w:rPr>
      <w:fldChar w:fldCharType="end"/>
    </w:r>
    <w:r w:rsidRPr="00A30364">
      <w:rPr>
        <w:rFonts w:ascii="LucidaSans" w:hAnsi="LucidaSans" w:cs="Times New Roman"/>
        <w:b/>
        <w:szCs w:val="21"/>
      </w:rPr>
      <w:t xml:space="preserve"> -</w:t>
    </w:r>
  </w:p>
  <w:p w:rsidR="00472E3C">
    <w:pPr>
      <w:pStyle w:val="Header"/>
      <w:rPr>
        <w:rFonts w:ascii="LucidaSans" w:hAnsi="LucidaSans" w:cs="Times New Roman" w:hint="eastAsia"/>
      </w:rPr>
    </w:pPr>
    <w:r>
      <w:rPr>
        <w:rFonts w:ascii="LucidaSans" w:hAnsi="LucidaSans" w:cs="Times New Roman" w:hint="eastAsia"/>
      </w:rPr>
      <w:t>敬请参阅最后一页特别声明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Footer"/>
      <w:pBdr>
        <w:top w:val="none" w:sz="0" w:space="0" w:color="auto"/>
      </w:pBdr>
      <w:tabs>
        <w:tab w:val="center" w:pos="5103"/>
      </w:tabs>
      <w:jc w:val="center"/>
      <w:rPr>
        <w:rFonts w:cs="Arial" w:hint="eastAsia"/>
        <w:b/>
        <w:sz w:val="18"/>
        <w:szCs w:val="18"/>
      </w:rPr>
    </w:pPr>
    <w:r>
      <w:rPr>
        <w:rFonts w:cs="Arial"/>
        <w:b/>
        <w:noProof/>
        <w:sz w:val="18"/>
        <w:szCs w:val="21"/>
      </w:rPr>
      <w:pict>
        <v:line id="_x0000_s2068" style="position:absolute;z-index:251666432" from="-31.8pt,0.5pt" to="570.3pt,0.5pt" stroked="t" strokecolor="#00a0e9"/>
      </w:pict>
    </w:r>
    <w:r w:rsidRPr="00A30364">
      <w:rPr>
        <w:rFonts w:cs="Arial"/>
        <w:b/>
        <w:sz w:val="18"/>
        <w:szCs w:val="21"/>
      </w:rPr>
      <w:t xml:space="preserve">- </w:t>
    </w:r>
    <w:r w:rsidRPr="00A30364">
      <w:rPr>
        <w:rFonts w:cs="Arial"/>
        <w:b/>
        <w:sz w:val="18"/>
        <w:szCs w:val="21"/>
      </w:rPr>
      <w:fldChar w:fldCharType="begin"/>
    </w:r>
    <w:r w:rsidRPr="00A30364">
      <w:rPr>
        <w:rFonts w:cs="Arial"/>
        <w:b/>
        <w:sz w:val="18"/>
        <w:szCs w:val="21"/>
      </w:rPr>
      <w:instrText xml:space="preserve"> PAGE </w:instrText>
    </w:r>
    <w:r w:rsidRPr="00A30364">
      <w:rPr>
        <w:rFonts w:cs="Arial"/>
        <w:b/>
        <w:sz w:val="18"/>
        <w:szCs w:val="21"/>
      </w:rPr>
      <w:fldChar w:fldCharType="separate"/>
    </w:r>
    <w:r w:rsidRPr="00A30364">
      <w:rPr>
        <w:rFonts w:cs="Arial"/>
        <w:b/>
        <w:sz w:val="18"/>
        <w:szCs w:val="21"/>
      </w:rPr>
      <w:t>15</w:t>
    </w:r>
    <w:r w:rsidRPr="00A30364">
      <w:rPr>
        <w:rFonts w:cs="Arial"/>
        <w:b/>
        <w:sz w:val="18"/>
        <w:szCs w:val="21"/>
      </w:rPr>
      <w:fldChar w:fldCharType="end"/>
    </w:r>
    <w:r w:rsidRPr="00A30364">
      <w:rPr>
        <w:rFonts w:cs="Arial"/>
        <w:b/>
        <w:sz w:val="18"/>
        <w:szCs w:val="21"/>
      </w:rPr>
      <w:t xml:space="preserve"> -</w:t>
    </w:r>
  </w:p>
  <w:p w:rsidR="00472E3C">
    <w:pPr>
      <w:rPr>
        <w:lang w:val="en-US"/>
      </w:rPr>
    </w:pPr>
    <w:r>
      <w:rPr>
        <w:rFonts w:cs="Arial" w:hint="eastAsia"/>
        <w:noProof/>
        <w:szCs w:val="18"/>
        <w:lang w:val="en-US"/>
      </w:rPr>
      <w:pict>
        <v:rect id="_x0000_s2069" style="width:596.1pt;height:19.25pt;margin-top:13.85pt;margin-left:-31.8pt;position:absolute;z-index:251665408" filled="t" fillcolor="#eaeaea" stroked="f" strokecolor="#f8f8f8" insetpen="f">
          <v:fill opacity="39322f" rotate="t"/>
          <v:textbox>
            <w:txbxContent>
              <w:p w:rsidR="00472E3C" w:rsidRPr="00331FA7" w:rsidP="005F1929">
                <w:pPr>
                  <w:rPr>
                    <w:rFonts w:hint="eastAsia"/>
                  </w:rPr>
                </w:pPr>
              </w:p>
            </w:txbxContent>
          </v:textbox>
        </v:rect>
      </w:pict>
    </w:r>
    <w:r>
      <w:rPr>
        <w:rFonts w:cs="Arial" w:hint="eastAsia"/>
        <w:szCs w:val="18"/>
      </w:rPr>
      <w:t>敬请参阅最后一页特别声明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2E3C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Header"/>
      <w:jc w:val="center"/>
      <w:rPr>
        <w:rFonts w:ascii="LucidaSans" w:hAnsi="LucidaSans" w:cs="Times New Roman" w:hint="eastAsia"/>
        <w:b/>
      </w:rPr>
    </w:pPr>
    <w:r>
      <w:rPr>
        <w:rFonts w:ascii="LucidaSans" w:hAnsi="LucidaSans" w:cs="Times New Roman"/>
        <w:b/>
        <w:noProof/>
        <w:szCs w:val="21"/>
        <w:lang w:val="en-US"/>
      </w:rPr>
      <w:pict>
        <v:line id="_x0000_s2074" style="mso-position-horizontal:center;position:absolute;z-index:251667456" from="-3.8pt,-1.2pt" to="544.3pt,-1.2pt" stroked="t" strokecolor="#00a0e9"/>
      </w:pict>
    </w:r>
    <w:r w:rsidRPr="00A30364">
      <w:rPr>
        <w:rFonts w:ascii="LucidaSans" w:hAnsi="LucidaSans" w:cs="Times New Roman"/>
        <w:b/>
        <w:szCs w:val="21"/>
      </w:rPr>
      <w:t xml:space="preserve">- </w:t>
    </w:r>
    <w:r w:rsidRPr="003C4E1B">
      <w:rPr>
        <w:b/>
        <w:szCs w:val="21"/>
      </w:rPr>
      <w:fldChar w:fldCharType="begin"/>
    </w:r>
    <w:r w:rsidRPr="003C4E1B">
      <w:rPr>
        <w:b/>
        <w:szCs w:val="21"/>
      </w:rPr>
      <w:instrText xml:space="preserve"> PAGE </w:instrText>
    </w:r>
    <w:r w:rsidRPr="003C4E1B">
      <w:rPr>
        <w:b/>
        <w:szCs w:val="21"/>
      </w:rPr>
      <w:fldChar w:fldCharType="separate"/>
    </w:r>
    <w:r w:rsidRPr="003C4E1B">
      <w:rPr>
        <w:b/>
        <w:szCs w:val="21"/>
      </w:rPr>
      <w:t>4</w:t>
    </w:r>
    <w:r w:rsidRPr="003C4E1B">
      <w:rPr>
        <w:b/>
        <w:szCs w:val="21"/>
      </w:rPr>
      <w:fldChar w:fldCharType="end"/>
    </w:r>
    <w:r w:rsidRPr="00A30364">
      <w:rPr>
        <w:rFonts w:ascii="LucidaSans" w:hAnsi="LucidaSans" w:cs="Times New Roman"/>
        <w:b/>
        <w:szCs w:val="21"/>
      </w:rPr>
      <w:t xml:space="preserve"> -</w:t>
    </w:r>
  </w:p>
  <w:p w:rsidR="00472E3C">
    <w:pPr>
      <w:pStyle w:val="Header"/>
      <w:rPr>
        <w:rFonts w:ascii="LucidaSans" w:hAnsi="LucidaSans" w:cs="Times New Roman" w:hint="eastAsia"/>
      </w:rPr>
    </w:pPr>
    <w:r>
      <w:rPr>
        <w:rFonts w:ascii="LucidaSans" w:hAnsi="LucidaSans" w:cs="Times New Roman" w:hint="eastAsia"/>
      </w:rPr>
      <w:t>敬请参阅最后一页特别声明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Footer"/>
      <w:pBdr>
        <w:top w:val="none" w:sz="0" w:space="0" w:color="auto"/>
      </w:pBdr>
      <w:tabs>
        <w:tab w:val="center" w:pos="5103"/>
      </w:tabs>
      <w:jc w:val="center"/>
      <w:rPr>
        <w:rFonts w:cs="Arial" w:hint="eastAsia"/>
        <w:b/>
        <w:sz w:val="18"/>
        <w:szCs w:val="18"/>
      </w:rPr>
    </w:pPr>
    <w:r>
      <w:rPr>
        <w:rFonts w:cs="Arial"/>
        <w:b/>
        <w:noProof/>
        <w:sz w:val="18"/>
        <w:szCs w:val="21"/>
      </w:rPr>
      <w:pict>
        <v:line id="_x0000_s2075" style="position:absolute;z-index:251669504" from="-31.8pt,0.5pt" to="570.3pt,0.5pt" stroked="t" strokecolor="#00a0e9"/>
      </w:pict>
    </w:r>
    <w:r w:rsidRPr="00A30364">
      <w:rPr>
        <w:rFonts w:cs="Arial"/>
        <w:b/>
        <w:sz w:val="18"/>
        <w:szCs w:val="21"/>
      </w:rPr>
      <w:t xml:space="preserve">- </w:t>
    </w:r>
    <w:r w:rsidRPr="00A30364">
      <w:rPr>
        <w:rFonts w:cs="Arial"/>
        <w:b/>
        <w:sz w:val="18"/>
        <w:szCs w:val="21"/>
      </w:rPr>
      <w:fldChar w:fldCharType="begin"/>
    </w:r>
    <w:r w:rsidRPr="00A30364">
      <w:rPr>
        <w:rFonts w:cs="Arial"/>
        <w:b/>
        <w:sz w:val="18"/>
        <w:szCs w:val="21"/>
      </w:rPr>
      <w:instrText xml:space="preserve"> PAGE </w:instrText>
    </w:r>
    <w:r w:rsidRPr="00A30364">
      <w:rPr>
        <w:rFonts w:cs="Arial"/>
        <w:b/>
        <w:sz w:val="18"/>
        <w:szCs w:val="21"/>
      </w:rPr>
      <w:fldChar w:fldCharType="separate"/>
    </w:r>
    <w:r w:rsidRPr="00A30364">
      <w:rPr>
        <w:rFonts w:cs="Arial"/>
        <w:b/>
        <w:sz w:val="18"/>
        <w:szCs w:val="21"/>
      </w:rPr>
      <w:t>15</w:t>
    </w:r>
    <w:r w:rsidRPr="00A30364">
      <w:rPr>
        <w:rFonts w:cs="Arial"/>
        <w:b/>
        <w:sz w:val="18"/>
        <w:szCs w:val="21"/>
      </w:rPr>
      <w:fldChar w:fldCharType="end"/>
    </w:r>
    <w:r w:rsidRPr="00A30364">
      <w:rPr>
        <w:rFonts w:cs="Arial"/>
        <w:b/>
        <w:sz w:val="18"/>
        <w:szCs w:val="21"/>
      </w:rPr>
      <w:t xml:space="preserve"> -</w:t>
    </w:r>
  </w:p>
  <w:p w:rsidR="00472E3C">
    <w:pPr>
      <w:rPr>
        <w:lang w:val="en-US"/>
      </w:rPr>
    </w:pPr>
    <w:r>
      <w:rPr>
        <w:rFonts w:cs="Arial" w:hint="eastAsia"/>
        <w:noProof/>
        <w:szCs w:val="18"/>
        <w:lang w:val="en-US"/>
      </w:rPr>
      <w:pict>
        <v:rect id="_x0000_s2076" style="width:596.1pt;height:19.25pt;margin-top:13.85pt;margin-left:-31.8pt;position:absolute;z-index:251668480" filled="t" fillcolor="#eaeaea" stroked="f" strokecolor="#f8f8f8" insetpen="f">
          <v:fill opacity="39322f" rotate="t"/>
          <v:textbox>
            <w:txbxContent>
              <w:p w:rsidR="00472E3C" w:rsidRPr="00331FA7" w:rsidP="005F1929">
                <w:pPr>
                  <w:rPr>
                    <w:rFonts w:hint="eastAsia"/>
                  </w:rPr>
                </w:pPr>
              </w:p>
            </w:txbxContent>
          </v:textbox>
        </v:rect>
      </w:pict>
    </w:r>
    <w:r>
      <w:rPr>
        <w:rFonts w:cs="Arial" w:hint="eastAsia"/>
        <w:szCs w:val="18"/>
      </w:rPr>
      <w:t>敬请参阅最后一页特别声明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2E3C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Header"/>
      <w:jc w:val="center"/>
      <w:rPr>
        <w:rFonts w:ascii="LucidaSans" w:hAnsi="LucidaSans" w:cs="Times New Roman" w:hint="eastAsia"/>
        <w:b/>
      </w:rPr>
    </w:pPr>
    <w:r>
      <w:rPr>
        <w:rFonts w:ascii="LucidaSans" w:hAnsi="LucidaSans" w:cs="Times New Roman"/>
        <w:b/>
        <w:noProof/>
        <w:szCs w:val="21"/>
        <w:lang w:val="en-US"/>
      </w:rPr>
      <w:pict>
        <v:line id="_x0000_s2081" style="mso-position-horizontal:center;position:absolute;z-index:251670528" from="-3.8pt,-1.2pt" to="544.3pt,-1.2pt" stroked="t" strokecolor="#00a0e9"/>
      </w:pict>
    </w:r>
    <w:r w:rsidRPr="00A30364">
      <w:rPr>
        <w:rFonts w:ascii="LucidaSans" w:hAnsi="LucidaSans" w:cs="Times New Roman"/>
        <w:b/>
        <w:szCs w:val="21"/>
      </w:rPr>
      <w:t xml:space="preserve">- </w:t>
    </w:r>
    <w:r w:rsidRPr="003C4E1B">
      <w:rPr>
        <w:b/>
        <w:szCs w:val="21"/>
      </w:rPr>
      <w:fldChar w:fldCharType="begin"/>
    </w:r>
    <w:r w:rsidRPr="003C4E1B">
      <w:rPr>
        <w:b/>
        <w:szCs w:val="21"/>
      </w:rPr>
      <w:instrText xml:space="preserve"> PAGE </w:instrText>
    </w:r>
    <w:r w:rsidRPr="003C4E1B">
      <w:rPr>
        <w:b/>
        <w:szCs w:val="21"/>
      </w:rPr>
      <w:fldChar w:fldCharType="separate"/>
    </w:r>
    <w:r w:rsidRPr="003C4E1B">
      <w:rPr>
        <w:b/>
        <w:szCs w:val="21"/>
      </w:rPr>
      <w:t>5</w:t>
    </w:r>
    <w:r w:rsidRPr="003C4E1B">
      <w:rPr>
        <w:b/>
        <w:szCs w:val="21"/>
      </w:rPr>
      <w:fldChar w:fldCharType="end"/>
    </w:r>
    <w:r w:rsidRPr="00A30364">
      <w:rPr>
        <w:rFonts w:ascii="LucidaSans" w:hAnsi="LucidaSans" w:cs="Times New Roman"/>
        <w:b/>
        <w:szCs w:val="21"/>
      </w:rPr>
      <w:t xml:space="preserve"> -</w:t>
    </w:r>
  </w:p>
  <w:p w:rsidR="00472E3C">
    <w:pPr>
      <w:pStyle w:val="Header"/>
      <w:rPr>
        <w:rFonts w:ascii="LucidaSans" w:hAnsi="LucidaSans" w:cs="Times New Roman" w:hint="eastAsia"/>
      </w:rPr>
    </w:pPr>
    <w:r>
      <w:rPr>
        <w:rFonts w:ascii="LucidaSans" w:hAnsi="LucidaSans" w:cs="Times New Roman" w:hint="eastAsia"/>
      </w:rPr>
      <w:t>敬请参阅最后一页特别声明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Footer"/>
      <w:pBdr>
        <w:top w:val="none" w:sz="0" w:space="0" w:color="auto"/>
      </w:pBdr>
      <w:tabs>
        <w:tab w:val="center" w:pos="5103"/>
      </w:tabs>
      <w:jc w:val="center"/>
      <w:rPr>
        <w:rFonts w:cs="Arial" w:hint="eastAsia"/>
        <w:b/>
        <w:sz w:val="18"/>
        <w:szCs w:val="18"/>
      </w:rPr>
    </w:pPr>
    <w:r>
      <w:rPr>
        <w:rFonts w:cs="Arial"/>
        <w:b/>
        <w:noProof/>
        <w:sz w:val="18"/>
        <w:szCs w:val="21"/>
      </w:rPr>
      <w:pict>
        <v:line id="_x0000_s2082" style="position:absolute;z-index:251672576" from="-31.8pt,0.5pt" to="570.3pt,0.5pt" stroked="t" strokecolor="#00a0e9"/>
      </w:pict>
    </w:r>
    <w:r w:rsidRPr="00A30364">
      <w:rPr>
        <w:rFonts w:cs="Arial"/>
        <w:b/>
        <w:sz w:val="18"/>
        <w:szCs w:val="21"/>
      </w:rPr>
      <w:t xml:space="preserve">- </w:t>
    </w:r>
    <w:r w:rsidRPr="00A30364">
      <w:rPr>
        <w:rFonts w:cs="Arial"/>
        <w:b/>
        <w:sz w:val="18"/>
        <w:szCs w:val="21"/>
      </w:rPr>
      <w:fldChar w:fldCharType="begin"/>
    </w:r>
    <w:r w:rsidRPr="00A30364">
      <w:rPr>
        <w:rFonts w:cs="Arial"/>
        <w:b/>
        <w:sz w:val="18"/>
        <w:szCs w:val="21"/>
      </w:rPr>
      <w:instrText xml:space="preserve"> PAGE </w:instrText>
    </w:r>
    <w:r w:rsidRPr="00A30364">
      <w:rPr>
        <w:rFonts w:cs="Arial"/>
        <w:b/>
        <w:sz w:val="18"/>
        <w:szCs w:val="21"/>
      </w:rPr>
      <w:fldChar w:fldCharType="separate"/>
    </w:r>
    <w:r w:rsidRPr="00A30364">
      <w:rPr>
        <w:rFonts w:cs="Arial"/>
        <w:b/>
        <w:sz w:val="18"/>
        <w:szCs w:val="21"/>
      </w:rPr>
      <w:t>15</w:t>
    </w:r>
    <w:r w:rsidRPr="00A30364">
      <w:rPr>
        <w:rFonts w:cs="Arial"/>
        <w:b/>
        <w:sz w:val="18"/>
        <w:szCs w:val="21"/>
      </w:rPr>
      <w:fldChar w:fldCharType="end"/>
    </w:r>
    <w:r w:rsidRPr="00A30364">
      <w:rPr>
        <w:rFonts w:cs="Arial"/>
        <w:b/>
        <w:sz w:val="18"/>
        <w:szCs w:val="21"/>
      </w:rPr>
      <w:t xml:space="preserve"> -</w:t>
    </w:r>
  </w:p>
  <w:p w:rsidR="00472E3C">
    <w:pPr>
      <w:rPr>
        <w:lang w:val="en-US"/>
      </w:rPr>
    </w:pPr>
    <w:r>
      <w:rPr>
        <w:rFonts w:cs="Arial" w:hint="eastAsia"/>
        <w:noProof/>
        <w:szCs w:val="18"/>
        <w:lang w:val="en-US"/>
      </w:rPr>
      <w:pict>
        <v:rect id="_x0000_s2083" style="width:596.1pt;height:19.25pt;margin-top:13.85pt;margin-left:-31.8pt;position:absolute;z-index:251671552" filled="t" fillcolor="#eaeaea" stroked="f" strokecolor="#f8f8f8" insetpen="f">
          <v:fill opacity="39322f" rotate="t"/>
          <v:textbox>
            <w:txbxContent>
              <w:p w:rsidR="00472E3C" w:rsidRPr="00331FA7" w:rsidP="005F1929">
                <w:pPr>
                  <w:rPr>
                    <w:rFonts w:hint="eastAsia"/>
                  </w:rPr>
                </w:pPr>
              </w:p>
            </w:txbxContent>
          </v:textbox>
        </v:rect>
      </w:pict>
    </w:r>
    <w:r>
      <w:rPr>
        <w:rFonts w:cs="Arial" w:hint="eastAsia"/>
        <w:szCs w:val="18"/>
      </w:rPr>
      <w:t>敬请参阅最后一页特别声明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2E3C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Header"/>
      <w:jc w:val="center"/>
      <w:rPr>
        <w:rFonts w:ascii="LucidaSans" w:hAnsi="LucidaSans" w:cs="Times New Roman" w:hint="eastAsia"/>
        <w:b/>
      </w:rPr>
    </w:pPr>
    <w:r>
      <w:rPr>
        <w:rFonts w:ascii="LucidaSans" w:hAnsi="LucidaSans" w:cs="Times New Roman"/>
        <w:b/>
        <w:noProof/>
        <w:szCs w:val="21"/>
        <w:lang w:val="en-US"/>
      </w:rPr>
      <w:pict>
        <v:line id="_x0000_s2088" style="mso-position-horizontal:center;position:absolute;z-index:251673600" from="-3.8pt,-1.2pt" to="544.3pt,-1.2pt" stroked="t" strokecolor="#00a0e9"/>
      </w:pict>
    </w:r>
    <w:r w:rsidRPr="00A30364">
      <w:rPr>
        <w:rFonts w:ascii="LucidaSans" w:hAnsi="LucidaSans" w:cs="Times New Roman"/>
        <w:b/>
        <w:szCs w:val="21"/>
      </w:rPr>
      <w:t xml:space="preserve">- </w:t>
    </w:r>
    <w:r w:rsidRPr="003C4E1B">
      <w:rPr>
        <w:b/>
        <w:szCs w:val="21"/>
      </w:rPr>
      <w:fldChar w:fldCharType="begin"/>
    </w:r>
    <w:r w:rsidRPr="003C4E1B">
      <w:rPr>
        <w:b/>
        <w:szCs w:val="21"/>
      </w:rPr>
      <w:instrText xml:space="preserve"> PAGE </w:instrText>
    </w:r>
    <w:r w:rsidRPr="003C4E1B">
      <w:rPr>
        <w:b/>
        <w:szCs w:val="21"/>
      </w:rPr>
      <w:fldChar w:fldCharType="separate"/>
    </w:r>
    <w:r w:rsidRPr="003C4E1B">
      <w:rPr>
        <w:b/>
        <w:szCs w:val="21"/>
      </w:rPr>
      <w:t>6</w:t>
    </w:r>
    <w:r w:rsidRPr="003C4E1B">
      <w:rPr>
        <w:b/>
        <w:szCs w:val="21"/>
      </w:rPr>
      <w:fldChar w:fldCharType="end"/>
    </w:r>
    <w:r w:rsidRPr="00A30364">
      <w:rPr>
        <w:rFonts w:ascii="LucidaSans" w:hAnsi="LucidaSans" w:cs="Times New Roman"/>
        <w:b/>
        <w:szCs w:val="21"/>
      </w:rPr>
      <w:t xml:space="preserve"> -</w:t>
    </w:r>
  </w:p>
  <w:p w:rsidR="00472E3C">
    <w:pPr>
      <w:pStyle w:val="Header"/>
      <w:rPr>
        <w:rFonts w:ascii="LucidaSans" w:hAnsi="LucidaSans" w:cs="Times New Roman" w:hint="eastAsia"/>
      </w:rPr>
    </w:pPr>
    <w:r>
      <w:rPr>
        <w:rFonts w:ascii="LucidaSans" w:hAnsi="LucidaSans" w:cs="Times New Roman" w:hint="eastAsia"/>
      </w:rPr>
      <w:t>敬请参阅最后一页特别声明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Footer"/>
      <w:pBdr>
        <w:top w:val="none" w:sz="0" w:space="0" w:color="auto"/>
      </w:pBdr>
      <w:tabs>
        <w:tab w:val="center" w:pos="5103"/>
      </w:tabs>
      <w:jc w:val="center"/>
      <w:rPr>
        <w:rFonts w:cs="Arial" w:hint="eastAsia"/>
        <w:b/>
        <w:sz w:val="18"/>
        <w:szCs w:val="18"/>
      </w:rPr>
    </w:pPr>
    <w:r>
      <w:rPr>
        <w:rFonts w:cs="Arial"/>
        <w:b/>
        <w:noProof/>
        <w:sz w:val="18"/>
        <w:szCs w:val="21"/>
      </w:rPr>
      <w:pict>
        <v:line id="_x0000_s2089" style="position:absolute;z-index:251675648" from="-31.8pt,0.5pt" to="570.3pt,0.5pt" stroked="t" strokecolor="#00a0e9"/>
      </w:pict>
    </w:r>
    <w:r w:rsidRPr="00A30364">
      <w:rPr>
        <w:rFonts w:cs="Arial"/>
        <w:b/>
        <w:sz w:val="18"/>
        <w:szCs w:val="21"/>
      </w:rPr>
      <w:t xml:space="preserve">- </w:t>
    </w:r>
    <w:r w:rsidRPr="00A30364">
      <w:rPr>
        <w:rFonts w:cs="Arial"/>
        <w:b/>
        <w:sz w:val="18"/>
        <w:szCs w:val="21"/>
      </w:rPr>
      <w:fldChar w:fldCharType="begin"/>
    </w:r>
    <w:r w:rsidRPr="00A30364">
      <w:rPr>
        <w:rFonts w:cs="Arial"/>
        <w:b/>
        <w:sz w:val="18"/>
        <w:szCs w:val="21"/>
      </w:rPr>
      <w:instrText xml:space="preserve"> PAGE </w:instrText>
    </w:r>
    <w:r w:rsidRPr="00A30364">
      <w:rPr>
        <w:rFonts w:cs="Arial"/>
        <w:b/>
        <w:sz w:val="18"/>
        <w:szCs w:val="21"/>
      </w:rPr>
      <w:fldChar w:fldCharType="separate"/>
    </w:r>
    <w:r w:rsidRPr="00A30364">
      <w:rPr>
        <w:rFonts w:cs="Arial"/>
        <w:b/>
        <w:sz w:val="18"/>
        <w:szCs w:val="21"/>
      </w:rPr>
      <w:t>15</w:t>
    </w:r>
    <w:r w:rsidRPr="00A30364">
      <w:rPr>
        <w:rFonts w:cs="Arial"/>
        <w:b/>
        <w:sz w:val="18"/>
        <w:szCs w:val="21"/>
      </w:rPr>
      <w:fldChar w:fldCharType="end"/>
    </w:r>
    <w:r w:rsidRPr="00A30364">
      <w:rPr>
        <w:rFonts w:cs="Arial"/>
        <w:b/>
        <w:sz w:val="18"/>
        <w:szCs w:val="21"/>
      </w:rPr>
      <w:t xml:space="preserve"> -</w:t>
    </w:r>
  </w:p>
  <w:p w:rsidR="00472E3C">
    <w:pPr>
      <w:rPr>
        <w:lang w:val="en-US"/>
      </w:rPr>
    </w:pPr>
    <w:r>
      <w:rPr>
        <w:rFonts w:cs="Arial" w:hint="eastAsia"/>
        <w:noProof/>
        <w:szCs w:val="18"/>
        <w:lang w:val="en-US"/>
      </w:rPr>
      <w:pict>
        <v:rect id="_x0000_s2090" style="width:596.1pt;height:19.25pt;margin-top:13.85pt;margin-left:-31.8pt;position:absolute;z-index:251674624" filled="t" fillcolor="#eaeaea" stroked="f" strokecolor="#f8f8f8" insetpen="f">
          <v:fill opacity="39322f" rotate="t"/>
          <v:textbox>
            <w:txbxContent>
              <w:p w:rsidR="00472E3C" w:rsidRPr="00331FA7" w:rsidP="005F1929">
                <w:pPr>
                  <w:rPr>
                    <w:rFonts w:hint="eastAsia"/>
                  </w:rPr>
                </w:pPr>
              </w:p>
            </w:txbxContent>
          </v:textbox>
        </v:rect>
      </w:pict>
    </w:r>
    <w:r>
      <w:rPr>
        <w:rFonts w:cs="Arial" w:hint="eastAsia"/>
        <w:szCs w:val="18"/>
      </w:rPr>
      <w:t>敬请参阅最后一页特别声明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2E3C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Header"/>
      <w:jc w:val="center"/>
      <w:rPr>
        <w:rFonts w:ascii="LucidaSans" w:hAnsi="LucidaSans" w:cs="Times New Roman" w:hint="eastAsia"/>
        <w:b/>
      </w:rPr>
    </w:pPr>
    <w:r>
      <w:rPr>
        <w:rFonts w:ascii="LucidaSans" w:hAnsi="LucidaSans" w:cs="Times New Roman"/>
        <w:b/>
        <w:noProof/>
        <w:szCs w:val="21"/>
        <w:lang w:val="en-US"/>
      </w:rPr>
      <w:pict>
        <v:line id="_x0000_s2095" style="mso-position-horizontal:center;position:absolute;z-index:251676672" from="-3.8pt,-1.2pt" to="544.3pt,-1.2pt" stroked="t" strokecolor="#00a0e9"/>
      </w:pict>
    </w:r>
    <w:r w:rsidRPr="00A30364">
      <w:rPr>
        <w:rFonts w:ascii="LucidaSans" w:hAnsi="LucidaSans" w:cs="Times New Roman"/>
        <w:b/>
        <w:szCs w:val="21"/>
      </w:rPr>
      <w:t xml:space="preserve">- </w:t>
    </w:r>
    <w:r w:rsidRPr="003C4E1B">
      <w:rPr>
        <w:b/>
        <w:szCs w:val="21"/>
      </w:rPr>
      <w:fldChar w:fldCharType="begin"/>
    </w:r>
    <w:r w:rsidRPr="003C4E1B">
      <w:rPr>
        <w:b/>
        <w:szCs w:val="21"/>
      </w:rPr>
      <w:instrText xml:space="preserve"> PAGE </w:instrText>
    </w:r>
    <w:r w:rsidRPr="003C4E1B">
      <w:rPr>
        <w:b/>
        <w:szCs w:val="21"/>
      </w:rPr>
      <w:fldChar w:fldCharType="separate"/>
    </w:r>
    <w:r w:rsidRPr="003C4E1B">
      <w:rPr>
        <w:b/>
        <w:szCs w:val="21"/>
      </w:rPr>
      <w:t>7</w:t>
    </w:r>
    <w:r w:rsidRPr="003C4E1B">
      <w:rPr>
        <w:b/>
        <w:szCs w:val="21"/>
      </w:rPr>
      <w:fldChar w:fldCharType="end"/>
    </w:r>
    <w:r w:rsidRPr="00A30364">
      <w:rPr>
        <w:rFonts w:ascii="LucidaSans" w:hAnsi="LucidaSans" w:cs="Times New Roman"/>
        <w:b/>
        <w:szCs w:val="21"/>
      </w:rPr>
      <w:t xml:space="preserve"> -</w:t>
    </w:r>
  </w:p>
  <w:p w:rsidR="00472E3C">
    <w:pPr>
      <w:pStyle w:val="Header"/>
      <w:rPr>
        <w:rFonts w:ascii="LucidaSans" w:hAnsi="LucidaSans" w:cs="Times New Roman" w:hint="eastAsia"/>
      </w:rPr>
    </w:pPr>
    <w:r>
      <w:rPr>
        <w:rFonts w:ascii="LucidaSans" w:hAnsi="LucidaSans" w:cs="Times New Roman" w:hint="eastAsia"/>
      </w:rPr>
      <w:t>敬请参阅最后一页特别声明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Footer"/>
      <w:pBdr>
        <w:top w:val="none" w:sz="0" w:space="0" w:color="auto"/>
      </w:pBdr>
      <w:tabs>
        <w:tab w:val="center" w:pos="5103"/>
      </w:tabs>
      <w:jc w:val="center"/>
      <w:rPr>
        <w:rFonts w:cs="Arial" w:hint="eastAsia"/>
        <w:b/>
        <w:sz w:val="18"/>
        <w:szCs w:val="18"/>
      </w:rPr>
    </w:pPr>
    <w:r>
      <w:rPr>
        <w:rFonts w:cs="Arial"/>
        <w:b/>
        <w:noProof/>
        <w:sz w:val="18"/>
        <w:szCs w:val="21"/>
      </w:rPr>
      <w:pict>
        <v:line id="_x0000_s2096" style="position:absolute;z-index:251678720" from="-31.8pt,0.5pt" to="570.3pt,0.5pt" stroked="t" strokecolor="#00a0e9"/>
      </w:pict>
    </w:r>
    <w:r w:rsidRPr="00A30364">
      <w:rPr>
        <w:rFonts w:cs="Arial"/>
        <w:b/>
        <w:sz w:val="18"/>
        <w:szCs w:val="21"/>
      </w:rPr>
      <w:t xml:space="preserve">- </w:t>
    </w:r>
    <w:r w:rsidRPr="00A30364">
      <w:rPr>
        <w:rFonts w:cs="Arial"/>
        <w:b/>
        <w:sz w:val="18"/>
        <w:szCs w:val="21"/>
      </w:rPr>
      <w:fldChar w:fldCharType="begin"/>
    </w:r>
    <w:r w:rsidRPr="00A30364">
      <w:rPr>
        <w:rFonts w:cs="Arial"/>
        <w:b/>
        <w:sz w:val="18"/>
        <w:szCs w:val="21"/>
      </w:rPr>
      <w:instrText xml:space="preserve"> PAGE </w:instrText>
    </w:r>
    <w:r w:rsidRPr="00A30364">
      <w:rPr>
        <w:rFonts w:cs="Arial"/>
        <w:b/>
        <w:sz w:val="18"/>
        <w:szCs w:val="21"/>
      </w:rPr>
      <w:fldChar w:fldCharType="separate"/>
    </w:r>
    <w:r w:rsidRPr="00A30364">
      <w:rPr>
        <w:rFonts w:cs="Arial"/>
        <w:b/>
        <w:sz w:val="18"/>
        <w:szCs w:val="21"/>
      </w:rPr>
      <w:t>15</w:t>
    </w:r>
    <w:r w:rsidRPr="00A30364">
      <w:rPr>
        <w:rFonts w:cs="Arial"/>
        <w:b/>
        <w:sz w:val="18"/>
        <w:szCs w:val="21"/>
      </w:rPr>
      <w:fldChar w:fldCharType="end"/>
    </w:r>
    <w:r w:rsidRPr="00A30364">
      <w:rPr>
        <w:rFonts w:cs="Arial"/>
        <w:b/>
        <w:sz w:val="18"/>
        <w:szCs w:val="21"/>
      </w:rPr>
      <w:t xml:space="preserve"> -</w:t>
    </w:r>
  </w:p>
  <w:p w:rsidR="00472E3C">
    <w:pPr>
      <w:rPr>
        <w:lang w:val="en-US"/>
      </w:rPr>
    </w:pPr>
    <w:r>
      <w:rPr>
        <w:rFonts w:cs="Arial" w:hint="eastAsia"/>
        <w:noProof/>
        <w:szCs w:val="18"/>
        <w:lang w:val="en-US"/>
      </w:rPr>
      <w:pict>
        <v:rect id="_x0000_s2097" style="width:596.1pt;height:19.25pt;margin-top:13.85pt;margin-left:-31.8pt;position:absolute;z-index:251677696" filled="t" fillcolor="#eaeaea" stroked="f" strokecolor="#f8f8f8" insetpen="f">
          <v:fill opacity="39322f" rotate="t"/>
          <v:textbox>
            <w:txbxContent>
              <w:p w:rsidR="00472E3C" w:rsidRPr="00331FA7" w:rsidP="005F1929">
                <w:pPr>
                  <w:rPr>
                    <w:rFonts w:hint="eastAsia"/>
                  </w:rPr>
                </w:pPr>
              </w:p>
            </w:txbxContent>
          </v:textbox>
        </v:rect>
      </w:pict>
    </w:r>
    <w:r>
      <w:rPr>
        <w:rFonts w:cs="Arial" w:hint="eastAsia"/>
        <w:szCs w:val="18"/>
      </w:rPr>
      <w:t>敬请参阅最后一页特别声明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2E3C">
    <w:pPr>
      <w:pStyle w:val="Footer"/>
      <w:ind w:right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Header"/>
      <w:jc w:val="center"/>
      <w:rPr>
        <w:rFonts w:ascii="LucidaSans" w:hAnsi="LucidaSans" w:cs="Times New Roman" w:hint="eastAsia"/>
        <w:b/>
      </w:rPr>
    </w:pPr>
    <w:r>
      <w:rPr>
        <w:rFonts w:ascii="LucidaSans" w:hAnsi="LucidaSans" w:cs="Times New Roman"/>
        <w:b/>
        <w:noProof/>
        <w:szCs w:val="21"/>
        <w:lang w:val="en-US"/>
      </w:rPr>
      <w:pict>
        <v:line id="_x0000_s2102" style="mso-position-horizontal:center;position:absolute;z-index:251679744" from="-3.8pt,-1.2pt" to="544.3pt,-1.2pt" stroked="t" strokecolor="#00a0e9"/>
      </w:pict>
    </w:r>
    <w:r w:rsidRPr="00A30364">
      <w:rPr>
        <w:rFonts w:ascii="LucidaSans" w:hAnsi="LucidaSans" w:cs="Times New Roman"/>
        <w:b/>
        <w:szCs w:val="21"/>
      </w:rPr>
      <w:t xml:space="preserve">- </w:t>
    </w:r>
    <w:r w:rsidRPr="003C4E1B">
      <w:rPr>
        <w:b/>
        <w:szCs w:val="21"/>
      </w:rPr>
      <w:fldChar w:fldCharType="begin"/>
    </w:r>
    <w:r w:rsidRPr="003C4E1B">
      <w:rPr>
        <w:b/>
        <w:szCs w:val="21"/>
      </w:rPr>
      <w:instrText xml:space="preserve"> PAGE </w:instrText>
    </w:r>
    <w:r w:rsidRPr="003C4E1B">
      <w:rPr>
        <w:b/>
        <w:szCs w:val="21"/>
      </w:rPr>
      <w:fldChar w:fldCharType="separate"/>
    </w:r>
    <w:r w:rsidRPr="003C4E1B">
      <w:rPr>
        <w:b/>
        <w:szCs w:val="21"/>
      </w:rPr>
      <w:t>23</w:t>
    </w:r>
    <w:r w:rsidRPr="003C4E1B">
      <w:rPr>
        <w:b/>
        <w:szCs w:val="21"/>
      </w:rPr>
      <w:fldChar w:fldCharType="end"/>
    </w:r>
    <w:r w:rsidRPr="00A30364">
      <w:rPr>
        <w:rFonts w:ascii="LucidaSans" w:hAnsi="LucidaSans" w:cs="Times New Roman"/>
        <w:b/>
        <w:szCs w:val="21"/>
      </w:rPr>
      <w:t xml:space="preserve"> -</w:t>
    </w:r>
  </w:p>
  <w:p w:rsidR="00472E3C">
    <w:pPr>
      <w:pStyle w:val="Header"/>
      <w:rPr>
        <w:rFonts w:ascii="LucidaSans" w:hAnsi="LucidaSans" w:cs="Times New Roman" w:hint="eastAsia"/>
      </w:rPr>
    </w:pPr>
    <w:r>
      <w:rPr>
        <w:rFonts w:ascii="LucidaSans" w:hAnsi="LucidaSans" w:cs="Times New Roman" w:hint="eastAsia"/>
      </w:rPr>
      <w:t>敬请参阅最后一页特别声明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Footer"/>
      <w:pBdr>
        <w:top w:val="none" w:sz="0" w:space="0" w:color="auto"/>
      </w:pBdr>
      <w:tabs>
        <w:tab w:val="center" w:pos="5103"/>
      </w:tabs>
      <w:jc w:val="center"/>
      <w:rPr>
        <w:rFonts w:cs="Arial" w:hint="eastAsia"/>
        <w:b/>
        <w:sz w:val="18"/>
        <w:szCs w:val="18"/>
      </w:rPr>
    </w:pPr>
    <w:r>
      <w:rPr>
        <w:rFonts w:cs="Arial"/>
        <w:b/>
        <w:noProof/>
        <w:sz w:val="18"/>
        <w:szCs w:val="21"/>
      </w:rPr>
      <w:pict>
        <v:line id="_x0000_s2103" style="position:absolute;z-index:251681792" from="-31.8pt,0.5pt" to="570.3pt,0.5pt" stroked="t" strokecolor="#00a0e9"/>
      </w:pict>
    </w:r>
    <w:r w:rsidRPr="00A30364">
      <w:rPr>
        <w:rFonts w:cs="Arial"/>
        <w:b/>
        <w:sz w:val="18"/>
        <w:szCs w:val="21"/>
      </w:rPr>
      <w:t xml:space="preserve">- </w:t>
    </w:r>
    <w:r w:rsidRPr="00A30364">
      <w:rPr>
        <w:rFonts w:cs="Arial"/>
        <w:b/>
        <w:sz w:val="18"/>
        <w:szCs w:val="21"/>
      </w:rPr>
      <w:fldChar w:fldCharType="begin"/>
    </w:r>
    <w:r w:rsidRPr="00A30364">
      <w:rPr>
        <w:rFonts w:cs="Arial"/>
        <w:b/>
        <w:sz w:val="18"/>
        <w:szCs w:val="21"/>
      </w:rPr>
      <w:instrText xml:space="preserve"> PAGE </w:instrText>
    </w:r>
    <w:r w:rsidRPr="00A30364">
      <w:rPr>
        <w:rFonts w:cs="Arial"/>
        <w:b/>
        <w:sz w:val="18"/>
        <w:szCs w:val="21"/>
      </w:rPr>
      <w:fldChar w:fldCharType="separate"/>
    </w:r>
    <w:r w:rsidRPr="00A30364">
      <w:rPr>
        <w:rFonts w:cs="Arial"/>
        <w:b/>
        <w:sz w:val="18"/>
        <w:szCs w:val="21"/>
      </w:rPr>
      <w:t>8</w:t>
    </w:r>
    <w:r w:rsidRPr="00A30364">
      <w:rPr>
        <w:rFonts w:cs="Arial"/>
        <w:b/>
        <w:sz w:val="18"/>
        <w:szCs w:val="21"/>
      </w:rPr>
      <w:fldChar w:fldCharType="end"/>
    </w:r>
    <w:r w:rsidRPr="00A30364">
      <w:rPr>
        <w:rFonts w:cs="Arial"/>
        <w:b/>
        <w:sz w:val="18"/>
        <w:szCs w:val="21"/>
      </w:rPr>
      <w:t xml:space="preserve"> -</w:t>
    </w:r>
  </w:p>
  <w:p w:rsidR="00472E3C">
    <w:pPr>
      <w:rPr>
        <w:lang w:val="en-US"/>
      </w:rPr>
    </w:pPr>
    <w:r>
      <w:rPr>
        <w:rFonts w:cs="Arial" w:hint="eastAsia"/>
        <w:noProof/>
        <w:szCs w:val="18"/>
        <w:lang w:val="en-US"/>
      </w:rPr>
      <w:pict>
        <v:rect id="_x0000_s2104" style="width:596.1pt;height:19.25pt;margin-top:13.85pt;margin-left:-31.8pt;position:absolute;z-index:251680768" filled="t" fillcolor="#eaeaea" stroked="f" strokecolor="#f8f8f8" insetpen="f">
          <v:fill opacity="39322f" rotate="t"/>
          <v:textbox>
            <w:txbxContent>
              <w:p w:rsidR="00472E3C" w:rsidRPr="00331FA7" w:rsidP="005F1929">
                <w:pPr>
                  <w:rPr>
                    <w:rFonts w:hint="eastAsia"/>
                  </w:rPr>
                </w:pPr>
              </w:p>
            </w:txbxContent>
          </v:textbox>
        </v:rect>
      </w:pict>
    </w:r>
    <w:r>
      <w:rPr>
        <w:rFonts w:cs="Arial" w:hint="eastAsia"/>
        <w:szCs w:val="18"/>
      </w:rPr>
      <w:t>敬请参阅最后一页特别声明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2E3C">
    <w:pPr>
      <w:pStyle w:val="Footer"/>
      <w:ind w:right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Header"/>
      <w:jc w:val="center"/>
      <w:rPr>
        <w:rFonts w:ascii="LucidaSans" w:hAnsi="LucidaSans" w:cs="Times New Roman" w:hint="eastAsia"/>
        <w:b/>
      </w:rPr>
    </w:pPr>
    <w:r>
      <w:rPr>
        <w:rFonts w:ascii="LucidaSans" w:hAnsi="LucidaSans" w:cs="Times New Roman"/>
        <w:b/>
        <w:noProof/>
        <w:szCs w:val="21"/>
        <w:lang w:val="en-US"/>
      </w:rPr>
      <w:pict>
        <v:line id="_x0000_s2109" style="mso-position-horizontal:center;position:absolute;z-index:251682816" from="-3.8pt,-1.2pt" to="544.3pt,-1.2pt" stroked="t" strokecolor="#00a0e9"/>
      </w:pict>
    </w:r>
    <w:r w:rsidRPr="00A30364">
      <w:rPr>
        <w:rFonts w:ascii="LucidaSans" w:hAnsi="LucidaSans" w:cs="Times New Roman"/>
        <w:b/>
        <w:szCs w:val="21"/>
      </w:rPr>
      <w:t xml:space="preserve">- </w:t>
    </w:r>
    <w:r w:rsidRPr="003C4E1B">
      <w:rPr>
        <w:b/>
        <w:szCs w:val="21"/>
      </w:rPr>
      <w:fldChar w:fldCharType="begin"/>
    </w:r>
    <w:r w:rsidRPr="003C4E1B">
      <w:rPr>
        <w:b/>
        <w:szCs w:val="21"/>
      </w:rPr>
      <w:instrText xml:space="preserve"> PAGE </w:instrText>
    </w:r>
    <w:r w:rsidRPr="003C4E1B">
      <w:rPr>
        <w:b/>
        <w:szCs w:val="21"/>
      </w:rPr>
      <w:fldChar w:fldCharType="separate"/>
    </w:r>
    <w:r w:rsidRPr="003C4E1B">
      <w:rPr>
        <w:b/>
        <w:szCs w:val="21"/>
      </w:rPr>
      <w:t>9</w:t>
    </w:r>
    <w:r w:rsidRPr="003C4E1B">
      <w:rPr>
        <w:b/>
        <w:szCs w:val="21"/>
      </w:rPr>
      <w:fldChar w:fldCharType="end"/>
    </w:r>
    <w:r w:rsidRPr="00A30364">
      <w:rPr>
        <w:rFonts w:ascii="LucidaSans" w:hAnsi="LucidaSans" w:cs="Times New Roman"/>
        <w:b/>
        <w:szCs w:val="21"/>
      </w:rPr>
      <w:t xml:space="preserve"> -</w:t>
    </w:r>
  </w:p>
  <w:p w:rsidR="00472E3C">
    <w:pPr>
      <w:pStyle w:val="Header"/>
      <w:rPr>
        <w:rFonts w:ascii="LucidaSans" w:hAnsi="LucidaSans" w:cs="Times New Roman" w:hint="eastAsia"/>
      </w:rPr>
    </w:pPr>
    <w:r>
      <w:rPr>
        <w:rFonts w:ascii="LucidaSans" w:hAnsi="LucidaSans" w:cs="Times New Roman" w:hint="eastAsia"/>
      </w:rPr>
      <w:t>敬请参阅最后一页特别声明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Footer"/>
      <w:pBdr>
        <w:top w:val="none" w:sz="0" w:space="0" w:color="auto"/>
      </w:pBdr>
      <w:tabs>
        <w:tab w:val="center" w:pos="5103"/>
      </w:tabs>
      <w:jc w:val="center"/>
      <w:rPr>
        <w:rFonts w:cs="Arial" w:hint="eastAsia"/>
        <w:b/>
        <w:sz w:val="18"/>
        <w:szCs w:val="18"/>
      </w:rPr>
    </w:pPr>
    <w:r>
      <w:rPr>
        <w:rFonts w:cs="Arial"/>
        <w:b/>
        <w:noProof/>
        <w:sz w:val="18"/>
        <w:szCs w:val="21"/>
      </w:rPr>
      <w:pict>
        <v:line id="_x0000_s2110" style="position:absolute;z-index:251684864" from="-31.8pt,0.5pt" to="570.3pt,0.5pt" stroked="t" strokecolor="#00a0e9"/>
      </w:pict>
    </w:r>
    <w:r w:rsidRPr="00A30364">
      <w:rPr>
        <w:rFonts w:cs="Arial"/>
        <w:b/>
        <w:sz w:val="18"/>
        <w:szCs w:val="21"/>
      </w:rPr>
      <w:t xml:space="preserve">- </w:t>
    </w:r>
    <w:r w:rsidRPr="00A30364">
      <w:rPr>
        <w:rFonts w:cs="Arial"/>
        <w:b/>
        <w:sz w:val="18"/>
        <w:szCs w:val="21"/>
      </w:rPr>
      <w:fldChar w:fldCharType="begin"/>
    </w:r>
    <w:r w:rsidRPr="00A30364">
      <w:rPr>
        <w:rFonts w:cs="Arial"/>
        <w:b/>
        <w:sz w:val="18"/>
        <w:szCs w:val="21"/>
      </w:rPr>
      <w:instrText xml:space="preserve"> PAGE </w:instrText>
    </w:r>
    <w:r w:rsidRPr="00A30364">
      <w:rPr>
        <w:rFonts w:cs="Arial"/>
        <w:b/>
        <w:sz w:val="18"/>
        <w:szCs w:val="21"/>
      </w:rPr>
      <w:fldChar w:fldCharType="separate"/>
    </w:r>
    <w:r w:rsidRPr="00A30364">
      <w:rPr>
        <w:rFonts w:cs="Arial"/>
        <w:b/>
        <w:sz w:val="18"/>
        <w:szCs w:val="21"/>
      </w:rPr>
      <w:t>15</w:t>
    </w:r>
    <w:r w:rsidRPr="00A30364">
      <w:rPr>
        <w:rFonts w:cs="Arial"/>
        <w:b/>
        <w:sz w:val="18"/>
        <w:szCs w:val="21"/>
      </w:rPr>
      <w:fldChar w:fldCharType="end"/>
    </w:r>
    <w:r w:rsidRPr="00A30364">
      <w:rPr>
        <w:rFonts w:cs="Arial"/>
        <w:b/>
        <w:sz w:val="18"/>
        <w:szCs w:val="21"/>
      </w:rPr>
      <w:t xml:space="preserve"> -</w:t>
    </w:r>
  </w:p>
  <w:p w:rsidR="00472E3C">
    <w:pPr>
      <w:rPr>
        <w:lang w:val="en-US"/>
      </w:rPr>
    </w:pPr>
    <w:r>
      <w:rPr>
        <w:rFonts w:cs="Arial" w:hint="eastAsia"/>
        <w:noProof/>
        <w:szCs w:val="18"/>
        <w:lang w:val="en-US"/>
      </w:rPr>
      <w:pict>
        <v:rect id="_x0000_s2111" style="width:596.1pt;height:19.25pt;margin-top:13.85pt;margin-left:-31.8pt;position:absolute;z-index:251683840" filled="t" fillcolor="#eaeaea" stroked="f" strokecolor="#f8f8f8" insetpen="f">
          <v:fill opacity="39322f" rotate="t"/>
          <v:textbox>
            <w:txbxContent>
              <w:p w:rsidR="00472E3C" w:rsidRPr="00331FA7" w:rsidP="005F1929">
                <w:pPr>
                  <w:rPr>
                    <w:rFonts w:hint="eastAsia"/>
                  </w:rPr>
                </w:pPr>
              </w:p>
            </w:txbxContent>
          </v:textbox>
        </v:rect>
      </w:pict>
    </w:r>
    <w:r>
      <w:rPr>
        <w:rFonts w:cs="Arial" w:hint="eastAsia"/>
        <w:szCs w:val="18"/>
      </w:rPr>
      <w:t>敬请参阅最后一页特别声明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2E3C">
    <w:pPr>
      <w:pStyle w:val="Footer"/>
      <w:ind w:right="360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Header"/>
      <w:jc w:val="center"/>
      <w:rPr>
        <w:rFonts w:ascii="LucidaSans" w:hAnsi="LucidaSans" w:cs="Times New Roman" w:hint="eastAsia"/>
        <w:b/>
      </w:rPr>
    </w:pPr>
    <w:r>
      <w:rPr>
        <w:rFonts w:ascii="LucidaSans" w:hAnsi="LucidaSans" w:cs="Times New Roman"/>
        <w:b/>
        <w:noProof/>
        <w:szCs w:val="21"/>
        <w:lang w:val="en-US"/>
      </w:rPr>
      <w:pict>
        <v:line id="_x0000_s2116" style="mso-position-horizontal:center;position:absolute;z-index:251685888" from="-3.8pt,-1.2pt" to="544.3pt,-1.2pt" stroked="t" strokecolor="#00a0e9"/>
      </w:pict>
    </w:r>
    <w:r w:rsidRPr="00A30364">
      <w:rPr>
        <w:rFonts w:ascii="LucidaSans" w:hAnsi="LucidaSans" w:cs="Times New Roman"/>
        <w:b/>
        <w:szCs w:val="21"/>
      </w:rPr>
      <w:t xml:space="preserve">- </w:t>
    </w:r>
    <w:r w:rsidRPr="003C4E1B">
      <w:rPr>
        <w:b/>
        <w:szCs w:val="21"/>
      </w:rPr>
      <w:fldChar w:fldCharType="begin"/>
    </w:r>
    <w:r w:rsidRPr="003C4E1B">
      <w:rPr>
        <w:b/>
        <w:szCs w:val="21"/>
      </w:rPr>
      <w:instrText xml:space="preserve"> PAGE </w:instrText>
    </w:r>
    <w:r w:rsidRPr="003C4E1B">
      <w:rPr>
        <w:b/>
        <w:szCs w:val="21"/>
      </w:rPr>
      <w:fldChar w:fldCharType="separate"/>
    </w:r>
    <w:r w:rsidRPr="003C4E1B">
      <w:rPr>
        <w:b/>
        <w:szCs w:val="21"/>
      </w:rPr>
      <w:t>10</w:t>
    </w:r>
    <w:r w:rsidRPr="003C4E1B">
      <w:rPr>
        <w:b/>
        <w:szCs w:val="21"/>
      </w:rPr>
      <w:fldChar w:fldCharType="end"/>
    </w:r>
    <w:r w:rsidRPr="00A30364">
      <w:rPr>
        <w:rFonts w:ascii="LucidaSans" w:hAnsi="LucidaSans" w:cs="Times New Roman"/>
        <w:b/>
        <w:szCs w:val="21"/>
      </w:rPr>
      <w:t xml:space="preserve"> -</w:t>
    </w:r>
  </w:p>
  <w:p w:rsidR="00472E3C">
    <w:pPr>
      <w:pStyle w:val="Header"/>
      <w:rPr>
        <w:rFonts w:ascii="LucidaSans" w:hAnsi="LucidaSans" w:cs="Times New Roman" w:hint="eastAsia"/>
      </w:rPr>
    </w:pPr>
    <w:r>
      <w:rPr>
        <w:rFonts w:ascii="LucidaSans" w:hAnsi="LucidaSans" w:cs="Times New Roman" w:hint="eastAsia"/>
      </w:rPr>
      <w:t>敬请参阅最后一页特别声明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RPr="00A30364" w:rsidP="00A30364">
    <w:pPr>
      <w:pStyle w:val="Footer"/>
      <w:pBdr>
        <w:top w:val="none" w:sz="0" w:space="0" w:color="auto"/>
      </w:pBdr>
      <w:tabs>
        <w:tab w:val="center" w:pos="5103"/>
      </w:tabs>
      <w:jc w:val="center"/>
      <w:rPr>
        <w:rFonts w:cs="Arial" w:hint="eastAsia"/>
        <w:b/>
        <w:sz w:val="18"/>
        <w:szCs w:val="18"/>
      </w:rPr>
    </w:pPr>
    <w:r>
      <w:rPr>
        <w:rFonts w:cs="Arial"/>
        <w:b/>
        <w:noProof/>
        <w:sz w:val="18"/>
        <w:szCs w:val="21"/>
      </w:rPr>
      <w:pict>
        <v:line id="_x0000_s2117" style="position:absolute;z-index:251687936" from="-31.8pt,0.5pt" to="570.3pt,0.5pt" stroked="t" strokecolor="#00a0e9"/>
      </w:pict>
    </w:r>
    <w:r w:rsidRPr="00A30364">
      <w:rPr>
        <w:rFonts w:cs="Arial"/>
        <w:b/>
        <w:sz w:val="18"/>
        <w:szCs w:val="21"/>
      </w:rPr>
      <w:t xml:space="preserve">- </w:t>
    </w:r>
    <w:r w:rsidRPr="00A30364">
      <w:rPr>
        <w:rFonts w:cs="Arial"/>
        <w:b/>
        <w:sz w:val="18"/>
        <w:szCs w:val="21"/>
      </w:rPr>
      <w:fldChar w:fldCharType="begin"/>
    </w:r>
    <w:r w:rsidRPr="00A30364">
      <w:rPr>
        <w:rFonts w:cs="Arial"/>
        <w:b/>
        <w:sz w:val="18"/>
        <w:szCs w:val="21"/>
      </w:rPr>
      <w:instrText xml:space="preserve"> PAGE </w:instrText>
    </w:r>
    <w:r w:rsidRPr="00A30364">
      <w:rPr>
        <w:rFonts w:cs="Arial"/>
        <w:b/>
        <w:sz w:val="18"/>
        <w:szCs w:val="21"/>
      </w:rPr>
      <w:fldChar w:fldCharType="separate"/>
    </w:r>
    <w:r w:rsidRPr="00A30364">
      <w:rPr>
        <w:rFonts w:cs="Arial"/>
        <w:b/>
        <w:sz w:val="18"/>
        <w:szCs w:val="21"/>
      </w:rPr>
      <w:t>15</w:t>
    </w:r>
    <w:r w:rsidRPr="00A30364">
      <w:rPr>
        <w:rFonts w:cs="Arial"/>
        <w:b/>
        <w:sz w:val="18"/>
        <w:szCs w:val="21"/>
      </w:rPr>
      <w:fldChar w:fldCharType="end"/>
    </w:r>
    <w:r w:rsidRPr="00A30364">
      <w:rPr>
        <w:rFonts w:cs="Arial"/>
        <w:b/>
        <w:sz w:val="18"/>
        <w:szCs w:val="21"/>
      </w:rPr>
      <w:t xml:space="preserve"> -</w:t>
    </w:r>
  </w:p>
  <w:p w:rsidR="00472E3C">
    <w:pPr>
      <w:rPr>
        <w:lang w:val="en-US"/>
      </w:rPr>
    </w:pPr>
    <w:r>
      <w:rPr>
        <w:rFonts w:cs="Arial" w:hint="eastAsia"/>
        <w:noProof/>
        <w:szCs w:val="18"/>
        <w:lang w:val="en-US"/>
      </w:rPr>
      <w:pict>
        <v:rect id="_x0000_s2118" style="width:596.1pt;height:19.25pt;margin-top:13.85pt;margin-left:-31.8pt;position:absolute;z-index:251686912" filled="t" fillcolor="#eaeaea" stroked="f" strokecolor="#f8f8f8" insetpen="f">
          <v:fill opacity="39322f" rotate="t"/>
          <v:textbox>
            <w:txbxContent>
              <w:p w:rsidR="00472E3C" w:rsidRPr="00331FA7" w:rsidP="005F1929">
                <w:pPr>
                  <w:rPr>
                    <w:rFonts w:hint="eastAsia"/>
                  </w:rPr>
                </w:pPr>
              </w:p>
            </w:txbxContent>
          </v:textbox>
        </v:rect>
      </w:pict>
    </w:r>
    <w:r>
      <w:rPr>
        <w:rFonts w:cs="Arial" w:hint="eastAsia"/>
        <w:szCs w:val="18"/>
      </w:rPr>
      <w:t>敬请参阅最后一页特别声明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P="00555C07">
    <w:pPr>
      <w:pStyle w:val="Header"/>
      <w:rPr>
        <w:rFonts w:hint="eastAsia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HeaderText" o:spid="_x0000_s2049" type="#_x0000_t202" style="width:446.7pt;height:11.35pt;margin-top:0.15pt;margin-left:94.2pt;mso-height-relative:margin;mso-width-relative:margin;position:absolute;z-index:251660288" filled="f" stroked="t" strokecolor="white">
          <v:fill opacity="0"/>
          <v:textbox inset="0,0,0,0">
            <w:txbxContent>
              <w:p w:rsidR="00472E3C" w:rsidRPr="00D1767E" w:rsidP="00D1767E">
                <w:pPr>
                  <w:jc w:val="right"/>
                </w:pPr>
                <w:r w:rsidR="00065559">
                  <w:rPr>
                    <w:rFonts w:hint="eastAsia"/>
                  </w:rPr>
                  <w:t>投连险2013年行业分析报告</w:t>
                </w:r>
              </w:p>
            </w:txbxContent>
          </v:textbox>
        </v:shape>
      </w:pict>
    </w:r>
    <w:r>
      <w:rPr>
        <w:noProof/>
        <w:lang w:val="en-US"/>
      </w:rPr>
      <w:pict>
        <v:shape id="_x0000_s2050" type="#_x0000_t202" style="width:100.8pt;height:28.55pt;margin-top:31.05pt;margin-left:-16.2pt;mso-position-vertical-relative:page;mso-wrap-style:none;position:absolute;z-index:251658240" filled="f" stroked="f">
          <v:textbox style="mso-fit-shape-to-text:t">
            <w:txbxContent>
              <w:p w:rsidR="00472E3C" w:rsidRPr="00E17DD1" w:rsidP="005721EB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51" type="#_x0000_t75" style="width:86.34pt;height:21.45pt" stroked="f">
                      <v:imagedata r:id="rId1" o:title="未命名的-2"/>
                    </v:shape>
                  </w:pict>
                </w:r>
              </w:p>
            </w:txbxContent>
          </v:textbox>
        </v:shape>
      </w:pict>
    </w:r>
    <w:r>
      <w:rPr>
        <w:noProof/>
        <w:lang w:val="en-US"/>
      </w:rPr>
      <w:pict>
        <v:line id="_x0000_s2052" style="mso-position-horizontal:center;position:absolute;z-index:251659264" from="-7.05pt,13.8pt" to="541.05pt,13.8pt" stroked="t" strokecolor="#00a0e9"/>
      </w:pict>
    </w: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P="00555C07">
    <w:pPr>
      <w:pStyle w:val="Header"/>
      <w:rPr>
        <w:rFonts w:hint="eastAsia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HeaderText" o:spid="_x0000_s2056" type="#_x0000_t202" style="width:446.7pt;height:11.35pt;margin-top:0.15pt;margin-left:94.2pt;mso-height-relative:margin;mso-width-relative:margin;position:absolute;z-index:251663360" filled="f" stroked="t" strokecolor="white">
          <v:fill opacity="0"/>
          <v:textbox inset="0,0,0,0">
            <w:txbxContent>
              <w:p w:rsidR="00472E3C" w:rsidRPr="00D1767E" w:rsidP="00D1767E">
                <w:pPr>
                  <w:jc w:val="right"/>
                </w:pPr>
                <w:r w:rsidR="00065559">
                  <w:rPr>
                    <w:rFonts w:hint="eastAsia"/>
                  </w:rPr>
                  <w:t>投连险2013年行业分析报告</w:t>
                </w:r>
              </w:p>
            </w:txbxContent>
          </v:textbox>
        </v:shape>
      </w:pict>
    </w:r>
    <w:r>
      <w:rPr>
        <w:noProof/>
        <w:lang w:val="en-US"/>
      </w:rPr>
      <w:pict>
        <v:shape id="_x0000_s2057" type="#_x0000_t202" style="width:100.8pt;height:28.55pt;margin-top:31.05pt;margin-left:-16.2pt;mso-position-vertical-relative:page;mso-wrap-style:none;position:absolute;z-index:251661312" filled="f" stroked="f">
          <v:textbox style="mso-fit-shape-to-text:t">
            <w:txbxContent>
              <w:p w:rsidR="00472E3C" w:rsidRPr="00E17DD1" w:rsidP="005721EB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58" type="#_x0000_t75" style="width:86.34pt;height:21.45pt" stroked="f">
                      <v:imagedata r:id="rId1" o:title="未命名的-2"/>
                    </v:shape>
                  </w:pict>
                </w:r>
              </w:p>
            </w:txbxContent>
          </v:textbox>
        </v:shape>
      </w:pict>
    </w:r>
    <w:r>
      <w:rPr>
        <w:noProof/>
        <w:lang w:val="en-US"/>
      </w:rPr>
      <w:pict>
        <v:line id="_x0000_s2059" style="mso-position-horizontal:center;position:absolute;z-index:251662336" from="-7.05pt,13.8pt" to="541.05pt,13.8pt" stroked="t" strokecolor="#00a0e9"/>
      </w:pict>
    </w: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P="00555C07">
    <w:pPr>
      <w:pStyle w:val="Header"/>
      <w:rPr>
        <w:rFonts w:hint="eastAsia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HeaderText" o:spid="_x0000_s2063" type="#_x0000_t202" style="width:446.7pt;height:11.35pt;margin-top:0.15pt;margin-left:94.2pt;mso-height-relative:margin;mso-width-relative:margin;position:absolute;z-index:251666432" filled="f" stroked="t" strokecolor="white">
          <v:fill opacity="0"/>
          <v:textbox inset="0,0,0,0">
            <w:txbxContent>
              <w:p w:rsidR="00472E3C" w:rsidRPr="00D1767E" w:rsidP="00D1767E">
                <w:pPr>
                  <w:jc w:val="right"/>
                </w:pPr>
                <w:r w:rsidR="00065559">
                  <w:rPr>
                    <w:rFonts w:hint="eastAsia"/>
                  </w:rPr>
                  <w:t>投连险2013年行业分析报告</w:t>
                </w:r>
              </w:p>
            </w:txbxContent>
          </v:textbox>
        </v:shape>
      </w:pict>
    </w:r>
    <w:r>
      <w:rPr>
        <w:noProof/>
        <w:lang w:val="en-US"/>
      </w:rPr>
      <w:pict>
        <v:shape id="_x0000_s2064" type="#_x0000_t202" style="width:100.8pt;height:28.55pt;margin-top:31.05pt;margin-left:-16.2pt;mso-position-vertical-relative:page;mso-wrap-style:none;position:absolute;z-index:251664384" filled="f" stroked="f">
          <v:textbox style="mso-fit-shape-to-text:t">
            <w:txbxContent>
              <w:p w:rsidR="00472E3C" w:rsidRPr="00E17DD1" w:rsidP="005721EB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65" type="#_x0000_t75" style="width:86.34pt;height:21.45pt" stroked="f">
                      <v:imagedata r:id="rId1" o:title="未命名的-2"/>
                    </v:shape>
                  </w:pict>
                </w:r>
              </w:p>
            </w:txbxContent>
          </v:textbox>
        </v:shape>
      </w:pict>
    </w:r>
    <w:r>
      <w:rPr>
        <w:noProof/>
        <w:lang w:val="en-US"/>
      </w:rPr>
      <w:pict>
        <v:line id="_x0000_s2066" style="mso-position-horizontal:center;position:absolute;z-index:251665408" from="-7.05pt,13.8pt" to="541.05pt,13.8pt" stroked="t" strokecolor="#00a0e9"/>
      </w:pict>
    </w: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P="00555C07">
    <w:pPr>
      <w:pStyle w:val="Header"/>
      <w:rPr>
        <w:rFonts w:hint="eastAsia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HeaderText" o:spid="_x0000_s2070" type="#_x0000_t202" style="width:446.7pt;height:11.35pt;margin-top:0.15pt;margin-left:94.2pt;mso-height-relative:margin;mso-width-relative:margin;position:absolute;z-index:251669504" filled="f" stroked="t" strokecolor="white">
          <v:fill opacity="0"/>
          <v:textbox inset="0,0,0,0">
            <w:txbxContent>
              <w:p w:rsidR="00472E3C" w:rsidRPr="00D1767E" w:rsidP="00D1767E">
                <w:pPr>
                  <w:jc w:val="right"/>
                </w:pPr>
                <w:r w:rsidR="00065559">
                  <w:rPr>
                    <w:rFonts w:hint="eastAsia"/>
                  </w:rPr>
                  <w:t>投连险2013年行业分析报告</w:t>
                </w:r>
              </w:p>
            </w:txbxContent>
          </v:textbox>
        </v:shape>
      </w:pict>
    </w:r>
    <w:r>
      <w:rPr>
        <w:noProof/>
        <w:lang w:val="en-US"/>
      </w:rPr>
      <w:pict>
        <v:shape id="_x0000_s2071" type="#_x0000_t202" style="width:100.8pt;height:28.55pt;margin-top:31.05pt;margin-left:-16.2pt;mso-position-vertical-relative:page;mso-wrap-style:none;position:absolute;z-index:251667456" filled="f" stroked="f">
          <v:textbox style="mso-fit-shape-to-text:t">
            <w:txbxContent>
              <w:p w:rsidR="00472E3C" w:rsidRPr="00E17DD1" w:rsidP="005721EB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72" type="#_x0000_t75" style="width:86.34pt;height:21.45pt" stroked="f">
                      <v:imagedata r:id="rId1" o:title="未命名的-2"/>
                    </v:shape>
                  </w:pict>
                </w:r>
              </w:p>
            </w:txbxContent>
          </v:textbox>
        </v:shape>
      </w:pict>
    </w:r>
    <w:r>
      <w:rPr>
        <w:noProof/>
        <w:lang w:val="en-US"/>
      </w:rPr>
      <w:pict>
        <v:line id="_x0000_s2073" style="mso-position-horizontal:center;position:absolute;z-index:251668480" from="-7.05pt,13.8pt" to="541.05pt,13.8pt" stroked="t" strokecolor="#00a0e9"/>
      </w:pict>
    </w: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P="00555C07">
    <w:pPr>
      <w:pStyle w:val="Header"/>
      <w:rPr>
        <w:rFonts w:hint="eastAsia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HeaderText" o:spid="_x0000_s2077" type="#_x0000_t202" style="width:446.7pt;height:11.35pt;margin-top:0.15pt;margin-left:94.2pt;mso-height-relative:margin;mso-width-relative:margin;position:absolute;z-index:251672576" filled="f" stroked="t" strokecolor="white">
          <v:fill opacity="0"/>
          <v:textbox inset="0,0,0,0">
            <w:txbxContent>
              <w:p w:rsidR="00472E3C" w:rsidRPr="00D1767E" w:rsidP="00D1767E">
                <w:pPr>
                  <w:jc w:val="right"/>
                </w:pPr>
                <w:r w:rsidR="00065559">
                  <w:rPr>
                    <w:rFonts w:hint="eastAsia"/>
                  </w:rPr>
                  <w:t>投连险2013年行业分析报告</w:t>
                </w:r>
              </w:p>
            </w:txbxContent>
          </v:textbox>
        </v:shape>
      </w:pict>
    </w:r>
    <w:r>
      <w:rPr>
        <w:noProof/>
        <w:lang w:val="en-US"/>
      </w:rPr>
      <w:pict>
        <v:shape id="_x0000_s2078" type="#_x0000_t202" style="width:100.8pt;height:28.55pt;margin-top:31.05pt;margin-left:-16.2pt;mso-position-vertical-relative:page;mso-wrap-style:none;position:absolute;z-index:251670528" filled="f" stroked="f">
          <v:textbox style="mso-fit-shape-to-text:t">
            <w:txbxContent>
              <w:p w:rsidR="00472E3C" w:rsidRPr="00E17DD1" w:rsidP="005721EB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79" type="#_x0000_t75" style="width:86.34pt;height:21.45pt" stroked="f">
                      <v:imagedata r:id="rId1" o:title="未命名的-2"/>
                    </v:shape>
                  </w:pict>
                </w:r>
              </w:p>
            </w:txbxContent>
          </v:textbox>
        </v:shape>
      </w:pict>
    </w:r>
    <w:r>
      <w:rPr>
        <w:noProof/>
        <w:lang w:val="en-US"/>
      </w:rPr>
      <w:pict>
        <v:line id="_x0000_s2080" style="mso-position-horizontal:center;position:absolute;z-index:251671552" from="-7.05pt,13.8pt" to="541.05pt,13.8pt" stroked="t" strokecolor="#00a0e9"/>
      </w:pict>
    </w: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P="00555C07">
    <w:pPr>
      <w:pStyle w:val="Header"/>
      <w:rPr>
        <w:rFonts w:hint="eastAsia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HeaderText" o:spid="_x0000_s2084" type="#_x0000_t202" style="width:446.7pt;height:11.35pt;margin-top:0.15pt;margin-left:94.2pt;mso-height-relative:margin;mso-width-relative:margin;position:absolute;z-index:251675648" filled="f" stroked="t" strokecolor="white">
          <v:fill opacity="0"/>
          <v:textbox inset="0,0,0,0">
            <w:txbxContent>
              <w:p w:rsidR="00472E3C" w:rsidRPr="00D1767E" w:rsidP="00D1767E">
                <w:pPr>
                  <w:jc w:val="right"/>
                </w:pPr>
                <w:r w:rsidR="00065559">
                  <w:rPr>
                    <w:rFonts w:hint="eastAsia"/>
                  </w:rPr>
                  <w:t>投连险2013年行业分析报告</w:t>
                </w:r>
              </w:p>
            </w:txbxContent>
          </v:textbox>
        </v:shape>
      </w:pict>
    </w:r>
    <w:r>
      <w:rPr>
        <w:noProof/>
        <w:lang w:val="en-US"/>
      </w:rPr>
      <w:pict>
        <v:shape id="_x0000_s2085" type="#_x0000_t202" style="width:100.8pt;height:28.55pt;margin-top:31.05pt;margin-left:-16.2pt;mso-position-vertical-relative:page;mso-wrap-style:none;position:absolute;z-index:251673600" filled="f" stroked="f">
          <v:textbox style="mso-fit-shape-to-text:t">
            <w:txbxContent>
              <w:p w:rsidR="00472E3C" w:rsidRPr="00E17DD1" w:rsidP="005721EB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86" type="#_x0000_t75" style="width:86.34pt;height:21.45pt" stroked="f">
                      <v:imagedata r:id="rId1" o:title="未命名的-2"/>
                    </v:shape>
                  </w:pict>
                </w:r>
              </w:p>
            </w:txbxContent>
          </v:textbox>
        </v:shape>
      </w:pict>
    </w:r>
    <w:r>
      <w:rPr>
        <w:noProof/>
        <w:lang w:val="en-US"/>
      </w:rPr>
      <w:pict>
        <v:line id="_x0000_s2087" style="mso-position-horizontal:center;position:absolute;z-index:251674624" from="-7.05pt,13.8pt" to="541.05pt,13.8pt" stroked="t" strokecolor="#00a0e9"/>
      </w:pict>
    </w: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P="00555C07">
    <w:pPr>
      <w:pStyle w:val="Header"/>
      <w:rPr>
        <w:rFonts w:hint="eastAsia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HeaderText" o:spid="_x0000_s2091" type="#_x0000_t202" style="width:446.7pt;height:11.35pt;margin-top:0.15pt;margin-left:94.2pt;mso-height-relative:margin;mso-width-relative:margin;position:absolute;z-index:251678720" filled="f" stroked="t" strokecolor="white">
          <v:fill opacity="0"/>
          <v:textbox inset="0,0,0,0">
            <w:txbxContent>
              <w:p w:rsidR="00472E3C" w:rsidRPr="00D1767E" w:rsidP="00D1767E">
                <w:pPr>
                  <w:jc w:val="right"/>
                </w:pPr>
                <w:r w:rsidR="00065559">
                  <w:rPr>
                    <w:rFonts w:hint="eastAsia"/>
                  </w:rPr>
                  <w:t>投连险2013年行业分析报告</w:t>
                </w:r>
              </w:p>
            </w:txbxContent>
          </v:textbox>
        </v:shape>
      </w:pict>
    </w:r>
    <w:r>
      <w:rPr>
        <w:noProof/>
        <w:lang w:val="en-US"/>
      </w:rPr>
      <w:pict>
        <v:shape id="_x0000_s2092" type="#_x0000_t202" style="width:100.8pt;height:28.55pt;margin-top:31.05pt;margin-left:-16.2pt;mso-position-vertical-relative:page;mso-wrap-style:none;position:absolute;z-index:251676672" filled="f" stroked="f">
          <v:textbox style="mso-fit-shape-to-text:t">
            <w:txbxContent>
              <w:p w:rsidR="00472E3C" w:rsidRPr="00E17DD1" w:rsidP="005721EB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93" type="#_x0000_t75" style="width:86.34pt;height:21.45pt" stroked="f">
                      <v:imagedata r:id="rId1" o:title="未命名的-2"/>
                    </v:shape>
                  </w:pict>
                </w:r>
              </w:p>
            </w:txbxContent>
          </v:textbox>
        </v:shape>
      </w:pict>
    </w:r>
    <w:r>
      <w:rPr>
        <w:noProof/>
        <w:lang w:val="en-US"/>
      </w:rPr>
      <w:pict>
        <v:line id="_x0000_s2094" style="mso-position-horizontal:center;position:absolute;z-index:251677696" from="-7.05pt,13.8pt" to="541.05pt,13.8pt" stroked="t" strokecolor="#00a0e9"/>
      </w:pict>
    </w: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P="00555C07">
    <w:pPr>
      <w:pStyle w:val="Header"/>
      <w:rPr>
        <w:rFonts w:hint="eastAsia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HeaderText" o:spid="_x0000_s2098" type="#_x0000_t202" style="width:446.7pt;height:11.35pt;margin-top:0.15pt;margin-left:94.2pt;mso-height-relative:margin;mso-width-relative:margin;position:absolute;z-index:251681792" filled="f" stroked="t" strokecolor="white">
          <v:fill opacity="0"/>
          <v:textbox inset="0,0,0,0">
            <w:txbxContent>
              <w:p w:rsidR="00472E3C" w:rsidRPr="00D1767E" w:rsidP="00D1767E">
                <w:pPr>
                  <w:jc w:val="right"/>
                </w:pPr>
                <w:r w:rsidR="00065559">
                  <w:rPr>
                    <w:rFonts w:hint="eastAsia"/>
                  </w:rPr>
                  <w:t>投连险2013年行业分析报告</w:t>
                </w:r>
              </w:p>
            </w:txbxContent>
          </v:textbox>
        </v:shape>
      </w:pict>
    </w:r>
    <w:r>
      <w:rPr>
        <w:noProof/>
        <w:lang w:val="en-US"/>
      </w:rPr>
      <w:pict>
        <v:shape id="_x0000_s2099" type="#_x0000_t202" style="width:100.8pt;height:28.55pt;margin-top:31.05pt;margin-left:-16.2pt;mso-position-vertical-relative:page;mso-wrap-style:none;position:absolute;z-index:251679744" filled="f" stroked="f">
          <v:textbox style="mso-fit-shape-to-text:t">
            <w:txbxContent>
              <w:p w:rsidR="00472E3C" w:rsidRPr="00E17DD1" w:rsidP="005721EB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100" type="#_x0000_t75" style="width:86.34pt;height:21.45pt" stroked="f">
                      <v:imagedata r:id="rId1" o:title="未命名的-2"/>
                    </v:shape>
                  </w:pict>
                </w:r>
              </w:p>
            </w:txbxContent>
          </v:textbox>
        </v:shape>
      </w:pict>
    </w:r>
    <w:r>
      <w:rPr>
        <w:noProof/>
        <w:lang w:val="en-US"/>
      </w:rPr>
      <w:pict>
        <v:line id="_x0000_s2101" style="mso-position-horizontal:center;position:absolute;z-index:251680768" from="-7.05pt,13.8pt" to="541.05pt,13.8pt" stroked="t" strokecolor="#00a0e9"/>
      </w:pict>
    </w: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P="00555C07">
    <w:pPr>
      <w:pStyle w:val="Header"/>
      <w:rPr>
        <w:rFonts w:hint="eastAsia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HeaderText" o:spid="_x0000_s2105" type="#_x0000_t202" style="width:446.7pt;height:11.35pt;margin-top:0.15pt;margin-left:94.2pt;mso-height-relative:margin;mso-width-relative:margin;position:absolute;z-index:251684864" filled="f" stroked="t" strokecolor="white">
          <v:fill opacity="0"/>
          <v:textbox inset="0,0,0,0">
            <w:txbxContent>
              <w:p w:rsidR="00472E3C" w:rsidRPr="00D1767E" w:rsidP="00D1767E">
                <w:pPr>
                  <w:jc w:val="right"/>
                </w:pPr>
                <w:r w:rsidR="00065559">
                  <w:rPr>
                    <w:rFonts w:hint="eastAsia"/>
                  </w:rPr>
                  <w:t>投连险2013年行业分析报告</w:t>
                </w:r>
              </w:p>
            </w:txbxContent>
          </v:textbox>
        </v:shape>
      </w:pict>
    </w:r>
    <w:r>
      <w:rPr>
        <w:noProof/>
        <w:lang w:val="en-US"/>
      </w:rPr>
      <w:pict>
        <v:shape id="_x0000_s2106" type="#_x0000_t202" style="width:100.8pt;height:28.55pt;margin-top:31.05pt;margin-left:-16.2pt;mso-position-vertical-relative:page;mso-wrap-style:none;position:absolute;z-index:251682816" filled="f" stroked="f">
          <v:textbox style="mso-fit-shape-to-text:t">
            <w:txbxContent>
              <w:p w:rsidR="00472E3C" w:rsidRPr="00E17DD1" w:rsidP="005721EB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107" type="#_x0000_t75" style="width:86.34pt;height:21.45pt" stroked="f">
                      <v:imagedata r:id="rId1" o:title="未命名的-2"/>
                    </v:shape>
                  </w:pict>
                </w:r>
              </w:p>
            </w:txbxContent>
          </v:textbox>
        </v:shape>
      </w:pict>
    </w:r>
    <w:r>
      <w:rPr>
        <w:noProof/>
        <w:lang w:val="en-US"/>
      </w:rPr>
      <w:pict>
        <v:line id="_x0000_s2108" style="mso-position-horizontal:center;position:absolute;z-index:251683840" from="-7.05pt,13.8pt" to="541.05pt,13.8pt" stroked="t" strokecolor="#00a0e9"/>
      </w:pict>
    </w: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3C" w:rsidP="00555C07">
    <w:pPr>
      <w:pStyle w:val="Header"/>
      <w:rPr>
        <w:rFonts w:hint="eastAsia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HeaderText" o:spid="_x0000_s2112" type="#_x0000_t202" style="width:446.7pt;height:11.35pt;margin-top:0.15pt;margin-left:94.2pt;mso-height-relative:margin;mso-width-relative:margin;position:absolute;z-index:251687936" filled="f" stroked="t" strokecolor="white">
          <v:fill opacity="0"/>
          <v:textbox inset="0,0,0,0">
            <w:txbxContent>
              <w:p w:rsidR="00472E3C" w:rsidRPr="00D1767E" w:rsidP="00D1767E">
                <w:pPr>
                  <w:jc w:val="right"/>
                </w:pPr>
                <w:r w:rsidR="00065559">
                  <w:rPr>
                    <w:rFonts w:hint="eastAsia"/>
                  </w:rPr>
                  <w:t>投连险2013年行业分析报告</w:t>
                </w:r>
              </w:p>
            </w:txbxContent>
          </v:textbox>
        </v:shape>
      </w:pict>
    </w:r>
    <w:r>
      <w:rPr>
        <w:noProof/>
        <w:lang w:val="en-US"/>
      </w:rPr>
      <w:pict>
        <v:shape id="_x0000_s2113" type="#_x0000_t202" style="width:100.8pt;height:28.55pt;margin-top:31.05pt;margin-left:-16.2pt;mso-position-vertical-relative:page;mso-wrap-style:none;position:absolute;z-index:251685888" filled="f" stroked="f">
          <v:textbox style="mso-fit-shape-to-text:t">
            <w:txbxContent>
              <w:p w:rsidR="00472E3C" w:rsidRPr="00E17DD1" w:rsidP="005721EB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114" type="#_x0000_t75" style="width:86.34pt;height:21.45pt" stroked="f">
                      <v:imagedata r:id="rId1" o:title="未命名的-2"/>
                    </v:shape>
                  </w:pict>
                </w:r>
              </w:p>
            </w:txbxContent>
          </v:textbox>
        </v:shape>
      </w:pict>
    </w:r>
    <w:r>
      <w:rPr>
        <w:noProof/>
        <w:lang w:val="en-US"/>
      </w:rPr>
      <w:pict>
        <v:line id="_x0000_s2115" style="mso-position-horizontal:center;position:absolute;z-index:251686912" from="-7.05pt,13.8pt" to="541.05pt,13.8pt" stroked="t" strokecolor="#00a0e9"/>
      </w:pict>
    </w: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903E1"/>
    <w:multiLevelType w:val="hybridMultilevel"/>
    <w:tmpl w:val="08282B8C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"/>
      <w:lvlJc w:val="left"/>
      <w:pPr>
        <w:tabs>
          <w:tab w:val="num" w:pos="3799"/>
        </w:tabs>
        <w:ind w:left="3799" w:hanging="369"/>
      </w:pPr>
      <w:rPr>
        <w:rFonts w:ascii="Wingdings" w:eastAsia="楷体_GB2312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"/>
      <w:lvlJc w:val="left"/>
      <w:pPr>
        <w:tabs>
          <w:tab w:val="num" w:pos="5922"/>
        </w:tabs>
        <w:ind w:left="5922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1">
    <w:nsid w:val="022169C9"/>
    <w:multiLevelType w:val="multilevel"/>
    <w:tmpl w:val="566CCEC0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850"/>
        </w:tabs>
        <w:ind w:left="3850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"/>
      <w:lvlJc w:val="left"/>
      <w:pPr>
        <w:tabs>
          <w:tab w:val="num" w:pos="5922"/>
        </w:tabs>
        <w:ind w:left="592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2">
    <w:nsid w:val="07D47304"/>
    <w:multiLevelType w:val="hybridMultilevel"/>
    <w:tmpl w:val="566CCEC0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850"/>
        </w:tabs>
        <w:ind w:left="3850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"/>
      <w:lvlJc w:val="left"/>
      <w:pPr>
        <w:tabs>
          <w:tab w:val="num" w:pos="5922"/>
        </w:tabs>
        <w:ind w:left="5922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3">
    <w:nsid w:val="08014C42"/>
    <w:multiLevelType w:val="singleLevel"/>
    <w:tmpl w:val="B4861D4C"/>
    <w:lvl w:ilvl="0">
      <w:start w:val="1"/>
      <w:numFmt w:val="bullet"/>
      <w:pStyle w:val="Cover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color w:val="FF0000"/>
        <w:sz w:val="20"/>
        <w:szCs w:val="20"/>
      </w:rPr>
    </w:lvl>
  </w:abstractNum>
  <w:abstractNum w:abstractNumId="4">
    <w:nsid w:val="08AF5ED3"/>
    <w:multiLevelType w:val="hybridMultilevel"/>
    <w:tmpl w:val="1FD23C90"/>
    <w:lvl w:ilvl="0">
      <w:start w:val="1"/>
      <w:numFmt w:val="bullet"/>
      <w:lvlText w:val=""/>
      <w:lvlJc w:val="left"/>
      <w:pPr>
        <w:ind w:left="1241" w:hanging="420"/>
      </w:pPr>
      <w:rPr>
        <w:rFonts w:ascii="Wingdings 2" w:hAnsi="Wingdings 2" w:hint="default"/>
        <w:b w:val="0"/>
        <w:i w:val="0"/>
        <w:color w:val="auto"/>
        <w:sz w:val="18"/>
      </w:rPr>
    </w:lvl>
    <w:lvl w:ilvl="1" w:tentative="1">
      <w:start w:val="1"/>
      <w:numFmt w:val="bullet"/>
      <w:lvlText w:val=""/>
      <w:lvlJc w:val="left"/>
      <w:pPr>
        <w:ind w:left="1661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2081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501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921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341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761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4181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601" w:hanging="420"/>
      </w:pPr>
      <w:rPr>
        <w:rFonts w:ascii="Wingdings" w:hAnsi="Wingdings" w:hint="default"/>
      </w:rPr>
    </w:lvl>
  </w:abstractNum>
  <w:abstractNum w:abstractNumId="5">
    <w:nsid w:val="08CB1463"/>
    <w:multiLevelType w:val="hybridMultilevel"/>
    <w:tmpl w:val="B0240A5A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850"/>
        </w:tabs>
        <w:ind w:left="3850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"/>
      <w:lvlJc w:val="left"/>
      <w:pPr>
        <w:tabs>
          <w:tab w:val="num" w:pos="5922"/>
        </w:tabs>
        <w:ind w:left="5922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6">
    <w:nsid w:val="093F6D8F"/>
    <w:multiLevelType w:val="hybridMultilevel"/>
    <w:tmpl w:val="B5F61258"/>
    <w:lvl w:ilvl="0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0EED5DEE"/>
    <w:multiLevelType w:val="hybridMultilevel"/>
    <w:tmpl w:val="9EAE1D04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"/>
      <w:lvlJc w:val="left"/>
      <w:pPr>
        <w:tabs>
          <w:tab w:val="num" w:pos="4191"/>
        </w:tabs>
        <w:ind w:left="4191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8">
    <w:nsid w:val="131A2B5E"/>
    <w:multiLevelType w:val="hybridMultilevel"/>
    <w:tmpl w:val="6B68E90C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799"/>
        </w:tabs>
        <w:ind w:left="3799" w:hanging="369"/>
      </w:pPr>
      <w:rPr>
        <w:rFonts w:ascii="Wingdings" w:eastAsia="楷体_GB2312" w:hAnsi="Wingdings" w:hint="default"/>
        <w:b w:val="0"/>
        <w:i w:val="0"/>
        <w:color w:val="auto"/>
        <w:sz w:val="18"/>
      </w:rPr>
    </w:lvl>
    <w:lvl w:ilvl="5">
      <w:start w:val="1"/>
      <w:numFmt w:val="bullet"/>
      <w:lvlText w:val=""/>
      <w:lvlJc w:val="left"/>
      <w:pPr>
        <w:tabs>
          <w:tab w:val="num" w:pos="5922"/>
        </w:tabs>
        <w:ind w:left="5922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9">
    <w:nsid w:val="17275950"/>
    <w:multiLevelType w:val="hybridMultilevel"/>
    <w:tmpl w:val="3078EC30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"/>
      <w:lvlJc w:val="left"/>
      <w:pPr>
        <w:tabs>
          <w:tab w:val="num" w:pos="4140"/>
        </w:tabs>
        <w:ind w:left="4140" w:hanging="369"/>
      </w:pPr>
      <w:rPr>
        <w:rFonts w:ascii="Wingdings" w:eastAsia="楷体_GB2312" w:hAnsi="Wingdings" w:hint="default"/>
        <w:b w:val="0"/>
        <w:i w:val="0"/>
        <w:color w:val="auto"/>
        <w:sz w:val="18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10">
    <w:nsid w:val="1D1F733A"/>
    <w:multiLevelType w:val="hybridMultilevel"/>
    <w:tmpl w:val="73702B2C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"/>
      <w:lvlJc w:val="left"/>
      <w:pPr>
        <w:tabs>
          <w:tab w:val="num" w:pos="3850"/>
        </w:tabs>
        <w:ind w:left="3850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"/>
      <w:lvlJc w:val="left"/>
      <w:pPr>
        <w:tabs>
          <w:tab w:val="num" w:pos="5922"/>
        </w:tabs>
        <w:ind w:left="5922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11">
    <w:nsid w:val="208243A2"/>
    <w:multiLevelType w:val="multilevel"/>
    <w:tmpl w:val="477E2314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"/>
      <w:lvlJc w:val="left"/>
      <w:pPr>
        <w:tabs>
          <w:tab w:val="num" w:pos="4191"/>
        </w:tabs>
        <w:ind w:left="4191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6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12">
    <w:nsid w:val="20842A74"/>
    <w:multiLevelType w:val="hybridMultilevel"/>
    <w:tmpl w:val="A8EC0B64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"/>
      <w:lvlJc w:val="left"/>
      <w:pPr>
        <w:tabs>
          <w:tab w:val="num" w:pos="4191"/>
        </w:tabs>
        <w:ind w:left="4191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13">
    <w:nsid w:val="226D6F70"/>
    <w:multiLevelType w:val="hybridMultilevel"/>
    <w:tmpl w:val="C9E4C4A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33877569"/>
    <w:multiLevelType w:val="hybridMultilevel"/>
    <w:tmpl w:val="2FA8D094"/>
    <w:lvl w:ilvl="0">
      <w:start w:val="1"/>
      <w:numFmt w:val="bullet"/>
      <w:lvlText w:val=""/>
      <w:lvlJc w:val="left"/>
      <w:pPr>
        <w:ind w:left="840" w:hanging="420"/>
      </w:pPr>
      <w:rPr>
        <w:rFonts w:ascii="Wingdings 2" w:hAnsi="Wingdings 2" w:hint="default"/>
        <w:b w:val="0"/>
        <w:i w:val="0"/>
        <w:color w:val="auto"/>
        <w:sz w:val="18"/>
      </w:rPr>
    </w:lvl>
    <w:lvl w:ilvl="1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>
    <w:nsid w:val="37587075"/>
    <w:multiLevelType w:val="hybridMultilevel"/>
    <w:tmpl w:val="EE64F8AE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850"/>
        </w:tabs>
        <w:ind w:left="3850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"/>
      <w:lvlJc w:val="left"/>
      <w:pPr>
        <w:tabs>
          <w:tab w:val="num" w:pos="5922"/>
        </w:tabs>
        <w:ind w:left="5922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16">
    <w:nsid w:val="39605017"/>
    <w:multiLevelType w:val="multilevel"/>
    <w:tmpl w:val="FB0E139E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"/>
      <w:lvlJc w:val="left"/>
      <w:pPr>
        <w:tabs>
          <w:tab w:val="num" w:pos="4191"/>
        </w:tabs>
        <w:ind w:left="4191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6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17">
    <w:nsid w:val="3E9C28A8"/>
    <w:multiLevelType w:val="hybridMultilevel"/>
    <w:tmpl w:val="FB0E139E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"/>
      <w:lvlJc w:val="left"/>
      <w:pPr>
        <w:tabs>
          <w:tab w:val="num" w:pos="4191"/>
        </w:tabs>
        <w:ind w:left="4191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18">
    <w:nsid w:val="41A47E82"/>
    <w:multiLevelType w:val="hybridMultilevel"/>
    <w:tmpl w:val="3E20CC50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"/>
      <w:lvlJc w:val="left"/>
      <w:pPr>
        <w:tabs>
          <w:tab w:val="num" w:pos="4191"/>
        </w:tabs>
        <w:ind w:left="4191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19">
    <w:nsid w:val="43A01E05"/>
    <w:multiLevelType w:val="multilevel"/>
    <w:tmpl w:val="6B68E90C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"/>
      <w:lvlJc w:val="left"/>
      <w:pPr>
        <w:tabs>
          <w:tab w:val="num" w:pos="4139"/>
        </w:tabs>
        <w:ind w:left="4139" w:hanging="368"/>
      </w:pPr>
      <w:rPr>
        <w:rFonts w:ascii="Wingdings 2" w:eastAsia="楷体_GB2312" w:hAnsi="Wingdings 2" w:hint="default"/>
        <w:b w:val="0"/>
        <w:i w:val="0"/>
        <w:sz w:val="18"/>
      </w:rPr>
    </w:lvl>
    <w:lvl w:ilvl="6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20">
    <w:nsid w:val="492C6DD3"/>
    <w:multiLevelType w:val="hybridMultilevel"/>
    <w:tmpl w:val="6B68E90C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799"/>
        </w:tabs>
        <w:ind w:left="3799" w:hanging="369"/>
      </w:pPr>
      <w:rPr>
        <w:rFonts w:ascii="Wingdings" w:eastAsia="楷体_GB2312" w:hAnsi="Wingdings" w:hint="default"/>
        <w:b w:val="0"/>
        <w:i w:val="0"/>
        <w:color w:val="auto"/>
        <w:sz w:val="18"/>
      </w:rPr>
    </w:lvl>
    <w:lvl w:ilvl="5">
      <w:start w:val="1"/>
      <w:numFmt w:val="bullet"/>
      <w:lvlText w:val=""/>
      <w:lvlJc w:val="left"/>
      <w:pPr>
        <w:tabs>
          <w:tab w:val="num" w:pos="5922"/>
        </w:tabs>
        <w:ind w:left="5922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21">
    <w:nsid w:val="4D655856"/>
    <w:multiLevelType w:val="multilevel"/>
    <w:tmpl w:val="1EF4D7A6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"/>
      <w:lvlJc w:val="left"/>
      <w:pPr>
        <w:tabs>
          <w:tab w:val="num" w:pos="4191"/>
        </w:tabs>
        <w:ind w:left="4191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6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22">
    <w:nsid w:val="4E53A788"/>
    <w:multiLevelType w:val="hybridMultilevel"/>
    <w:tmpl w:val="6B68E90C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799"/>
        </w:tabs>
        <w:ind w:left="3799" w:hanging="369"/>
      </w:pPr>
      <w:rPr>
        <w:rFonts w:ascii="Wingdings" w:eastAsia="楷体_GB2312" w:hAnsi="Wingdings" w:hint="default"/>
        <w:b w:val="0"/>
        <w:i w:val="0"/>
        <w:color w:val="auto"/>
        <w:sz w:val="18"/>
      </w:rPr>
    </w:lvl>
    <w:lvl w:ilvl="5">
      <w:start w:val="1"/>
      <w:numFmt w:val="bullet"/>
      <w:lvlText w:val=""/>
      <w:lvlJc w:val="left"/>
      <w:pPr>
        <w:tabs>
          <w:tab w:val="num" w:pos="5922"/>
        </w:tabs>
        <w:ind w:left="5922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23">
    <w:nsid w:val="4E7C3CC1"/>
    <w:multiLevelType w:val="hybridMultilevel"/>
    <w:tmpl w:val="60FAACEA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"/>
      <w:lvlJc w:val="left"/>
      <w:pPr>
        <w:tabs>
          <w:tab w:val="num" w:pos="4191"/>
        </w:tabs>
        <w:ind w:left="4191" w:hanging="420"/>
      </w:pPr>
      <w:rPr>
        <w:rFonts w:ascii="Wingdings 2" w:hAnsi="Wingdings 2" w:hint="default"/>
        <w:b w:val="0"/>
        <w:i w:val="0"/>
        <w:color w:val="auto"/>
        <w:sz w:val="18"/>
      </w:rPr>
    </w:lvl>
    <w:lvl w:ilvl="6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24">
    <w:nsid w:val="53687F7B"/>
    <w:multiLevelType w:val="multilevel"/>
    <w:tmpl w:val="9EAE1D04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"/>
      <w:lvlJc w:val="left"/>
      <w:pPr>
        <w:tabs>
          <w:tab w:val="num" w:pos="4191"/>
        </w:tabs>
        <w:ind w:left="4191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6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25">
    <w:nsid w:val="5E8271C1"/>
    <w:multiLevelType w:val="hybridMultilevel"/>
    <w:tmpl w:val="6B68E90C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"/>
      <w:lvlJc w:val="left"/>
      <w:pPr>
        <w:tabs>
          <w:tab w:val="num" w:pos="4139"/>
        </w:tabs>
        <w:ind w:left="4139" w:hanging="368"/>
      </w:pPr>
      <w:rPr>
        <w:rFonts w:ascii="Wingdings 2" w:eastAsia="楷体_GB2312" w:hAnsi="Wingdings 2" w:hint="default"/>
        <w:b w:val="0"/>
        <w:i w:val="0"/>
        <w:sz w:val="18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26">
    <w:nsid w:val="66145FDE"/>
    <w:multiLevelType w:val="singleLevel"/>
    <w:tmpl w:val="918C41C0"/>
    <w:lvl w:ilvl="0">
      <w:start w:val="1"/>
      <w:numFmt w:val="bullet"/>
      <w:pStyle w:val="BulletCoverpage"/>
      <w:lvlText w:val=""/>
      <w:lvlJc w:val="left"/>
      <w:pPr>
        <w:tabs>
          <w:tab w:val="num" w:pos="0"/>
        </w:tabs>
        <w:ind w:left="227" w:hanging="227"/>
      </w:pPr>
      <w:rPr>
        <w:rFonts w:ascii="Monotype Sorts" w:hAnsi="Monotype Sorts" w:cs="Times New Roman" w:hint="default"/>
        <w:color w:val="FF0000"/>
        <w:sz w:val="16"/>
        <w:szCs w:val="16"/>
      </w:rPr>
    </w:lvl>
  </w:abstractNum>
  <w:abstractNum w:abstractNumId="27">
    <w:nsid w:val="676E2BE1"/>
    <w:multiLevelType w:val="hybridMultilevel"/>
    <w:tmpl w:val="1EF4D7A6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"/>
      <w:lvlJc w:val="left"/>
      <w:pPr>
        <w:tabs>
          <w:tab w:val="num" w:pos="4191"/>
        </w:tabs>
        <w:ind w:left="4191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28">
    <w:nsid w:val="690417D8"/>
    <w:multiLevelType w:val="multilevel"/>
    <w:tmpl w:val="3078EC30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"/>
      <w:lvlJc w:val="left"/>
      <w:pPr>
        <w:tabs>
          <w:tab w:val="num" w:pos="4140"/>
        </w:tabs>
        <w:ind w:left="4140" w:hanging="369"/>
      </w:pPr>
      <w:rPr>
        <w:rFonts w:ascii="Wingdings" w:eastAsia="楷体_GB2312" w:hAnsi="Wingdings" w:hint="default"/>
        <w:b w:val="0"/>
        <w:i w:val="0"/>
        <w:color w:val="auto"/>
        <w:sz w:val="18"/>
      </w:rPr>
    </w:lvl>
    <w:lvl w:ilvl="6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29">
    <w:nsid w:val="699A05DD"/>
    <w:multiLevelType w:val="hybridMultilevel"/>
    <w:tmpl w:val="28DE4DB8"/>
    <w:lvl w:ilvl="0">
      <w:start w:val="1"/>
      <w:numFmt w:val="bullet"/>
      <w:lvlText w:val=""/>
      <w:lvlJc w:val="left"/>
      <w:pPr>
        <w:ind w:left="838" w:hanging="420"/>
      </w:pPr>
      <w:rPr>
        <w:rFonts w:ascii="Wingdings" w:eastAsia="楷体_GB2312" w:hAnsi="Wingdings" w:hint="default"/>
        <w:b w:val="0"/>
        <w:i w:val="0"/>
        <w:color w:val="auto"/>
        <w:sz w:val="18"/>
      </w:rPr>
    </w:lvl>
    <w:lvl w:ilvl="1" w:tentative="1">
      <w:start w:val="1"/>
      <w:numFmt w:val="bullet"/>
      <w:lvlText w:val=""/>
      <w:lvlJc w:val="left"/>
      <w:pPr>
        <w:ind w:left="1258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678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098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18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938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358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778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198" w:hanging="420"/>
      </w:pPr>
      <w:rPr>
        <w:rFonts w:ascii="Wingdings" w:hAnsi="Wingdings" w:hint="default"/>
      </w:rPr>
    </w:lvl>
  </w:abstractNum>
  <w:abstractNum w:abstractNumId="30">
    <w:nsid w:val="6B3802CD"/>
    <w:multiLevelType w:val="hybridMultilevel"/>
    <w:tmpl w:val="477E2314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"/>
      <w:lvlJc w:val="left"/>
      <w:pPr>
        <w:tabs>
          <w:tab w:val="num" w:pos="4191"/>
        </w:tabs>
        <w:ind w:left="4191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31">
    <w:nsid w:val="74757358"/>
    <w:multiLevelType w:val="hybridMultilevel"/>
    <w:tmpl w:val="7CA42916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 w:tentative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"/>
      <w:lvlJc w:val="left"/>
      <w:pPr>
        <w:tabs>
          <w:tab w:val="num" w:pos="4191"/>
        </w:tabs>
        <w:ind w:left="4191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32">
    <w:nsid w:val="7535761F"/>
    <w:multiLevelType w:val="hybridMultilevel"/>
    <w:tmpl w:val="6B68E90C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799"/>
        </w:tabs>
        <w:ind w:left="3799" w:hanging="369"/>
      </w:pPr>
      <w:rPr>
        <w:rFonts w:ascii="Wingdings" w:eastAsia="楷体_GB2312" w:hAnsi="Wingdings" w:hint="default"/>
        <w:b w:val="0"/>
        <w:i w:val="0"/>
        <w:color w:val="auto"/>
        <w:sz w:val="18"/>
      </w:rPr>
    </w:lvl>
    <w:lvl w:ilvl="5">
      <w:start w:val="1"/>
      <w:numFmt w:val="bullet"/>
      <w:lvlText w:val=""/>
      <w:lvlJc w:val="left"/>
      <w:pPr>
        <w:tabs>
          <w:tab w:val="num" w:pos="5922"/>
        </w:tabs>
        <w:ind w:left="5922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33">
    <w:nsid w:val="75E35386"/>
    <w:multiLevelType w:val="multilevel"/>
    <w:tmpl w:val="73702B2C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"/>
      <w:lvlJc w:val="left"/>
      <w:pPr>
        <w:tabs>
          <w:tab w:val="num" w:pos="3850"/>
        </w:tabs>
        <w:ind w:left="3850" w:hanging="420"/>
      </w:pPr>
      <w:rPr>
        <w:rFonts w:ascii="Wingdings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"/>
      <w:lvlJc w:val="left"/>
      <w:pPr>
        <w:tabs>
          <w:tab w:val="num" w:pos="5922"/>
        </w:tabs>
        <w:ind w:left="592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abstractNum w:abstractNumId="34">
    <w:nsid w:val="7D700D02"/>
    <w:multiLevelType w:val="multilevel"/>
    <w:tmpl w:val="3078EC30"/>
    <w:lvl w:ilvl="0">
      <w:start w:val="1"/>
      <w:numFmt w:val="bullet"/>
      <w:lvlText w:val=""/>
      <w:lvlJc w:val="left"/>
      <w:pPr>
        <w:tabs>
          <w:tab w:val="num" w:pos="4329"/>
        </w:tabs>
        <w:ind w:left="3969" w:firstLine="0"/>
      </w:pPr>
      <w:rPr>
        <w:rFonts w:hint="default"/>
        <w:b w:val="0"/>
        <w:i w:val="0"/>
        <w:color w:val="000565"/>
        <w:sz w:val="18"/>
      </w:rPr>
    </w:lvl>
    <w:lvl w:ilvl="1">
      <w:start w:val="1"/>
      <w:numFmt w:val="bullet"/>
      <w:lvlText w:val=""/>
      <w:lvlJc w:val="left"/>
      <w:pPr>
        <w:tabs>
          <w:tab w:val="num" w:pos="4242"/>
        </w:tabs>
        <w:ind w:left="424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662"/>
        </w:tabs>
        <w:ind w:left="466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5082"/>
        </w:tabs>
        <w:ind w:left="508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649"/>
        </w:tabs>
        <w:ind w:left="3289" w:firstLine="0"/>
      </w:pPr>
      <w:rPr>
        <w:rFonts w:ascii="Wingdings" w:eastAsia="宋体" w:hAnsi="Wingdings" w:hint="default"/>
        <w:b w:val="0"/>
        <w:i w:val="0"/>
        <w:color w:val="000565"/>
        <w:sz w:val="18"/>
      </w:rPr>
    </w:lvl>
    <w:lvl w:ilvl="5">
      <w:start w:val="1"/>
      <w:numFmt w:val="bullet"/>
      <w:lvlText w:val=""/>
      <w:lvlJc w:val="left"/>
      <w:pPr>
        <w:tabs>
          <w:tab w:val="num" w:pos="4140"/>
        </w:tabs>
        <w:ind w:left="4140" w:hanging="369"/>
      </w:pPr>
      <w:rPr>
        <w:rFonts w:ascii="Wingdings" w:eastAsia="楷体_GB2312" w:hAnsi="Wingdings" w:hint="default"/>
        <w:b w:val="0"/>
        <w:i w:val="0"/>
        <w:color w:val="auto"/>
        <w:sz w:val="18"/>
      </w:rPr>
    </w:lvl>
    <w:lvl w:ilvl="6">
      <w:start w:val="1"/>
      <w:numFmt w:val="bullet"/>
      <w:lvlText w:val=""/>
      <w:lvlJc w:val="left"/>
      <w:pPr>
        <w:tabs>
          <w:tab w:val="num" w:pos="6342"/>
        </w:tabs>
        <w:ind w:left="634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6762"/>
        </w:tabs>
        <w:ind w:left="676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7182"/>
        </w:tabs>
        <w:ind w:left="7182" w:hanging="42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20"/>
  </w:num>
  <w:num w:numId="4">
    <w:abstractNumId w:val="7"/>
  </w:num>
  <w:num w:numId="5">
    <w:abstractNumId w:val="2"/>
  </w:num>
  <w:num w:numId="6">
    <w:abstractNumId w:val="15"/>
  </w:num>
  <w:num w:numId="7">
    <w:abstractNumId w:val="5"/>
  </w:num>
  <w:num w:numId="8">
    <w:abstractNumId w:val="9"/>
  </w:num>
  <w:num w:numId="9">
    <w:abstractNumId w:val="1"/>
  </w:num>
  <w:num w:numId="10">
    <w:abstractNumId w:val="10"/>
  </w:num>
  <w:num w:numId="11">
    <w:abstractNumId w:val="34"/>
  </w:num>
  <w:num w:numId="12">
    <w:abstractNumId w:val="17"/>
  </w:num>
  <w:num w:numId="13">
    <w:abstractNumId w:val="28"/>
  </w:num>
  <w:num w:numId="14">
    <w:abstractNumId w:val="31"/>
  </w:num>
  <w:num w:numId="15">
    <w:abstractNumId w:val="33"/>
  </w:num>
  <w:num w:numId="16">
    <w:abstractNumId w:val="0"/>
  </w:num>
  <w:num w:numId="17">
    <w:abstractNumId w:val="16"/>
  </w:num>
  <w:num w:numId="18">
    <w:abstractNumId w:val="18"/>
  </w:num>
  <w:num w:numId="19">
    <w:abstractNumId w:val="24"/>
  </w:num>
  <w:num w:numId="20">
    <w:abstractNumId w:val="30"/>
  </w:num>
  <w:num w:numId="21">
    <w:abstractNumId w:val="11"/>
  </w:num>
  <w:num w:numId="22">
    <w:abstractNumId w:val="27"/>
  </w:num>
  <w:num w:numId="23">
    <w:abstractNumId w:val="21"/>
  </w:num>
  <w:num w:numId="24">
    <w:abstractNumId w:val="12"/>
  </w:num>
  <w:num w:numId="25">
    <w:abstractNumId w:val="25"/>
  </w:num>
  <w:num w:numId="26">
    <w:abstractNumId w:val="19"/>
  </w:num>
  <w:num w:numId="27">
    <w:abstractNumId w:val="23"/>
  </w:num>
  <w:num w:numId="28">
    <w:abstractNumId w:val="13"/>
  </w:num>
  <w:num w:numId="29">
    <w:abstractNumId w:val="29"/>
  </w:num>
  <w:num w:numId="30">
    <w:abstractNumId w:val="4"/>
  </w:num>
  <w:num w:numId="31">
    <w:abstractNumId w:val="6"/>
  </w:num>
  <w:num w:numId="32">
    <w:abstractNumId w:val="14"/>
  </w:num>
  <w:num w:numId="33">
    <w:abstractNumId w:val="8"/>
  </w:num>
  <w:num w:numId="34">
    <w:abstractNumId w:val="22"/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displayBackgroundShape/>
  <w:attachedTemplate r:id="rId1"/>
  <w:stylePaneFormatFilter w:val="3F01"/>
  <w:doNotTrackMoves/>
  <w:defaultTabStop w:val="720"/>
  <w:doNotHyphenateCaps/>
  <w:drawingGridHorizontalSpacing w:val="90"/>
  <w:drawingGridVerticalSpacing w:val="6"/>
  <w:displayHorizontalDrawingGridEvery w:val="0"/>
  <w:displayVerticalDrawingGridEvery w:val="0"/>
  <w:characterSpacingControl w:val="doNotCompress"/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0EE0"/>
    <w:rsid w:val="00000291"/>
    <w:rsid w:val="00001B67"/>
    <w:rsid w:val="00002BE4"/>
    <w:rsid w:val="000042B8"/>
    <w:rsid w:val="0000572E"/>
    <w:rsid w:val="00010B14"/>
    <w:rsid w:val="000113E8"/>
    <w:rsid w:val="00012DCF"/>
    <w:rsid w:val="00012FB1"/>
    <w:rsid w:val="00012FC6"/>
    <w:rsid w:val="00013EB2"/>
    <w:rsid w:val="00014B77"/>
    <w:rsid w:val="0001577B"/>
    <w:rsid w:val="000178A8"/>
    <w:rsid w:val="0002045A"/>
    <w:rsid w:val="000216AC"/>
    <w:rsid w:val="000218B9"/>
    <w:rsid w:val="00021A32"/>
    <w:rsid w:val="00021AE9"/>
    <w:rsid w:val="00023220"/>
    <w:rsid w:val="0002347C"/>
    <w:rsid w:val="00023F64"/>
    <w:rsid w:val="000241C1"/>
    <w:rsid w:val="00025049"/>
    <w:rsid w:val="00027CA2"/>
    <w:rsid w:val="00030007"/>
    <w:rsid w:val="000336C0"/>
    <w:rsid w:val="000339A4"/>
    <w:rsid w:val="00033DAD"/>
    <w:rsid w:val="000343B3"/>
    <w:rsid w:val="00036F44"/>
    <w:rsid w:val="000374D7"/>
    <w:rsid w:val="00037F15"/>
    <w:rsid w:val="00041760"/>
    <w:rsid w:val="000424AC"/>
    <w:rsid w:val="00043630"/>
    <w:rsid w:val="00044041"/>
    <w:rsid w:val="00044C1E"/>
    <w:rsid w:val="00045BB2"/>
    <w:rsid w:val="00050BBB"/>
    <w:rsid w:val="00051253"/>
    <w:rsid w:val="0005161F"/>
    <w:rsid w:val="00051747"/>
    <w:rsid w:val="000528AB"/>
    <w:rsid w:val="00054005"/>
    <w:rsid w:val="000546FF"/>
    <w:rsid w:val="00055611"/>
    <w:rsid w:val="000576EE"/>
    <w:rsid w:val="0006128E"/>
    <w:rsid w:val="00065559"/>
    <w:rsid w:val="00065B1A"/>
    <w:rsid w:val="00067FE5"/>
    <w:rsid w:val="00070B6F"/>
    <w:rsid w:val="00070EA5"/>
    <w:rsid w:val="000717E4"/>
    <w:rsid w:val="00071EB8"/>
    <w:rsid w:val="00072602"/>
    <w:rsid w:val="000748FA"/>
    <w:rsid w:val="00075B87"/>
    <w:rsid w:val="000800F5"/>
    <w:rsid w:val="00080A89"/>
    <w:rsid w:val="00080AF3"/>
    <w:rsid w:val="000810F3"/>
    <w:rsid w:val="0008264D"/>
    <w:rsid w:val="000833BC"/>
    <w:rsid w:val="000837BB"/>
    <w:rsid w:val="00084D2A"/>
    <w:rsid w:val="0008503E"/>
    <w:rsid w:val="0008677E"/>
    <w:rsid w:val="00087485"/>
    <w:rsid w:val="00091670"/>
    <w:rsid w:val="00092200"/>
    <w:rsid w:val="00093311"/>
    <w:rsid w:val="00096DCC"/>
    <w:rsid w:val="00097413"/>
    <w:rsid w:val="0009779C"/>
    <w:rsid w:val="000A0724"/>
    <w:rsid w:val="000A0FFD"/>
    <w:rsid w:val="000A19A8"/>
    <w:rsid w:val="000A23F4"/>
    <w:rsid w:val="000A24ED"/>
    <w:rsid w:val="000A2596"/>
    <w:rsid w:val="000A2612"/>
    <w:rsid w:val="000A44D7"/>
    <w:rsid w:val="000A4D13"/>
    <w:rsid w:val="000A5B39"/>
    <w:rsid w:val="000A697B"/>
    <w:rsid w:val="000A6D82"/>
    <w:rsid w:val="000A6EA6"/>
    <w:rsid w:val="000A7233"/>
    <w:rsid w:val="000B07ED"/>
    <w:rsid w:val="000B1013"/>
    <w:rsid w:val="000B4E06"/>
    <w:rsid w:val="000B51D8"/>
    <w:rsid w:val="000B5C96"/>
    <w:rsid w:val="000B665F"/>
    <w:rsid w:val="000C065B"/>
    <w:rsid w:val="000C0AFB"/>
    <w:rsid w:val="000C138D"/>
    <w:rsid w:val="000C2404"/>
    <w:rsid w:val="000C2DEA"/>
    <w:rsid w:val="000C2EDE"/>
    <w:rsid w:val="000C416C"/>
    <w:rsid w:val="000C484B"/>
    <w:rsid w:val="000C6829"/>
    <w:rsid w:val="000C6F2D"/>
    <w:rsid w:val="000C79B0"/>
    <w:rsid w:val="000C7EB1"/>
    <w:rsid w:val="000D075E"/>
    <w:rsid w:val="000D0FB7"/>
    <w:rsid w:val="000D1CE8"/>
    <w:rsid w:val="000D3153"/>
    <w:rsid w:val="000D331D"/>
    <w:rsid w:val="000D688F"/>
    <w:rsid w:val="000E12FC"/>
    <w:rsid w:val="000E244A"/>
    <w:rsid w:val="000E4643"/>
    <w:rsid w:val="000E4825"/>
    <w:rsid w:val="000E6203"/>
    <w:rsid w:val="000E6D22"/>
    <w:rsid w:val="000F01C9"/>
    <w:rsid w:val="000F3E0E"/>
    <w:rsid w:val="000F631F"/>
    <w:rsid w:val="000F72BA"/>
    <w:rsid w:val="000F7A4C"/>
    <w:rsid w:val="0010073B"/>
    <w:rsid w:val="00100D39"/>
    <w:rsid w:val="00102313"/>
    <w:rsid w:val="00102BB2"/>
    <w:rsid w:val="001031A5"/>
    <w:rsid w:val="00103D74"/>
    <w:rsid w:val="001049B6"/>
    <w:rsid w:val="00105AF1"/>
    <w:rsid w:val="001064A9"/>
    <w:rsid w:val="0010686C"/>
    <w:rsid w:val="00106FF6"/>
    <w:rsid w:val="00107AAA"/>
    <w:rsid w:val="001123AE"/>
    <w:rsid w:val="00113F7E"/>
    <w:rsid w:val="0011478F"/>
    <w:rsid w:val="00115771"/>
    <w:rsid w:val="00117D69"/>
    <w:rsid w:val="00117F84"/>
    <w:rsid w:val="00120802"/>
    <w:rsid w:val="00120906"/>
    <w:rsid w:val="00120D54"/>
    <w:rsid w:val="00121612"/>
    <w:rsid w:val="00121739"/>
    <w:rsid w:val="00122319"/>
    <w:rsid w:val="00123AF2"/>
    <w:rsid w:val="00125D05"/>
    <w:rsid w:val="00127D52"/>
    <w:rsid w:val="00127EBA"/>
    <w:rsid w:val="00132E65"/>
    <w:rsid w:val="00132E70"/>
    <w:rsid w:val="00133402"/>
    <w:rsid w:val="0013446F"/>
    <w:rsid w:val="00134A34"/>
    <w:rsid w:val="001353C7"/>
    <w:rsid w:val="0013611E"/>
    <w:rsid w:val="0013641C"/>
    <w:rsid w:val="001377EB"/>
    <w:rsid w:val="00141C88"/>
    <w:rsid w:val="00141EEA"/>
    <w:rsid w:val="00142642"/>
    <w:rsid w:val="0014285A"/>
    <w:rsid w:val="0014331D"/>
    <w:rsid w:val="0014388E"/>
    <w:rsid w:val="00143912"/>
    <w:rsid w:val="001440BE"/>
    <w:rsid w:val="00144F1F"/>
    <w:rsid w:val="00145DB0"/>
    <w:rsid w:val="00146321"/>
    <w:rsid w:val="00150313"/>
    <w:rsid w:val="00150417"/>
    <w:rsid w:val="00151B62"/>
    <w:rsid w:val="001531FF"/>
    <w:rsid w:val="00154EED"/>
    <w:rsid w:val="0015543F"/>
    <w:rsid w:val="0015629E"/>
    <w:rsid w:val="001569D3"/>
    <w:rsid w:val="00157A5A"/>
    <w:rsid w:val="00160D51"/>
    <w:rsid w:val="0016153B"/>
    <w:rsid w:val="00161CE1"/>
    <w:rsid w:val="00162138"/>
    <w:rsid w:val="00164037"/>
    <w:rsid w:val="001641A1"/>
    <w:rsid w:val="001656B4"/>
    <w:rsid w:val="0016719E"/>
    <w:rsid w:val="00167202"/>
    <w:rsid w:val="00167358"/>
    <w:rsid w:val="00167C04"/>
    <w:rsid w:val="00170C24"/>
    <w:rsid w:val="00170ECE"/>
    <w:rsid w:val="00170FC1"/>
    <w:rsid w:val="00171026"/>
    <w:rsid w:val="001725C0"/>
    <w:rsid w:val="00172880"/>
    <w:rsid w:val="0017456D"/>
    <w:rsid w:val="0017774F"/>
    <w:rsid w:val="001809E2"/>
    <w:rsid w:val="0018164D"/>
    <w:rsid w:val="00181FBF"/>
    <w:rsid w:val="001820B7"/>
    <w:rsid w:val="001831AC"/>
    <w:rsid w:val="00183409"/>
    <w:rsid w:val="00183676"/>
    <w:rsid w:val="001837D0"/>
    <w:rsid w:val="00183995"/>
    <w:rsid w:val="001856AD"/>
    <w:rsid w:val="00185E42"/>
    <w:rsid w:val="001865C6"/>
    <w:rsid w:val="00186750"/>
    <w:rsid w:val="001868FB"/>
    <w:rsid w:val="0019279E"/>
    <w:rsid w:val="00194D9A"/>
    <w:rsid w:val="001953A5"/>
    <w:rsid w:val="0019593B"/>
    <w:rsid w:val="00196125"/>
    <w:rsid w:val="00197022"/>
    <w:rsid w:val="001A218F"/>
    <w:rsid w:val="001A24EA"/>
    <w:rsid w:val="001A2AD4"/>
    <w:rsid w:val="001A2C79"/>
    <w:rsid w:val="001A3573"/>
    <w:rsid w:val="001A3994"/>
    <w:rsid w:val="001A4819"/>
    <w:rsid w:val="001A4E6C"/>
    <w:rsid w:val="001A67A0"/>
    <w:rsid w:val="001A71DB"/>
    <w:rsid w:val="001B07C4"/>
    <w:rsid w:val="001B0FED"/>
    <w:rsid w:val="001B1289"/>
    <w:rsid w:val="001B225E"/>
    <w:rsid w:val="001B33FB"/>
    <w:rsid w:val="001B47B2"/>
    <w:rsid w:val="001B6452"/>
    <w:rsid w:val="001C1047"/>
    <w:rsid w:val="001C118C"/>
    <w:rsid w:val="001C1C32"/>
    <w:rsid w:val="001C1D68"/>
    <w:rsid w:val="001C279B"/>
    <w:rsid w:val="001C4BFB"/>
    <w:rsid w:val="001C52BA"/>
    <w:rsid w:val="001C6FB9"/>
    <w:rsid w:val="001C7914"/>
    <w:rsid w:val="001C7A9A"/>
    <w:rsid w:val="001D060C"/>
    <w:rsid w:val="001D24A0"/>
    <w:rsid w:val="001D2D1E"/>
    <w:rsid w:val="001D3958"/>
    <w:rsid w:val="001D3BFE"/>
    <w:rsid w:val="001D3DC3"/>
    <w:rsid w:val="001D3FBF"/>
    <w:rsid w:val="001D4A05"/>
    <w:rsid w:val="001D4ED8"/>
    <w:rsid w:val="001D70B4"/>
    <w:rsid w:val="001D7403"/>
    <w:rsid w:val="001E0695"/>
    <w:rsid w:val="001E1FDB"/>
    <w:rsid w:val="001E28A6"/>
    <w:rsid w:val="001E4A6D"/>
    <w:rsid w:val="001E64B4"/>
    <w:rsid w:val="001E72F3"/>
    <w:rsid w:val="001E7B3E"/>
    <w:rsid w:val="001F020F"/>
    <w:rsid w:val="001F0514"/>
    <w:rsid w:val="001F0D75"/>
    <w:rsid w:val="001F1ABD"/>
    <w:rsid w:val="001F1AE5"/>
    <w:rsid w:val="001F2D26"/>
    <w:rsid w:val="001F357C"/>
    <w:rsid w:val="001F3758"/>
    <w:rsid w:val="001F4E1E"/>
    <w:rsid w:val="001F79C4"/>
    <w:rsid w:val="001F7CD4"/>
    <w:rsid w:val="0020009A"/>
    <w:rsid w:val="00200909"/>
    <w:rsid w:val="00201BB4"/>
    <w:rsid w:val="00203DB2"/>
    <w:rsid w:val="00205425"/>
    <w:rsid w:val="00205E10"/>
    <w:rsid w:val="0020652C"/>
    <w:rsid w:val="002068F7"/>
    <w:rsid w:val="00206A8D"/>
    <w:rsid w:val="002078CF"/>
    <w:rsid w:val="00212F4D"/>
    <w:rsid w:val="00215058"/>
    <w:rsid w:val="0021559C"/>
    <w:rsid w:val="002155D2"/>
    <w:rsid w:val="00215752"/>
    <w:rsid w:val="0021621F"/>
    <w:rsid w:val="0021766A"/>
    <w:rsid w:val="00217CB3"/>
    <w:rsid w:val="00220363"/>
    <w:rsid w:val="002203A0"/>
    <w:rsid w:val="002212D6"/>
    <w:rsid w:val="002234E4"/>
    <w:rsid w:val="00223AB2"/>
    <w:rsid w:val="00226807"/>
    <w:rsid w:val="0022768D"/>
    <w:rsid w:val="00227EBA"/>
    <w:rsid w:val="00233063"/>
    <w:rsid w:val="00234269"/>
    <w:rsid w:val="002347F7"/>
    <w:rsid w:val="00234C04"/>
    <w:rsid w:val="00235DEC"/>
    <w:rsid w:val="00240FC4"/>
    <w:rsid w:val="00242888"/>
    <w:rsid w:val="00242E1F"/>
    <w:rsid w:val="002441A9"/>
    <w:rsid w:val="00244305"/>
    <w:rsid w:val="0024447F"/>
    <w:rsid w:val="0024569B"/>
    <w:rsid w:val="00246AB1"/>
    <w:rsid w:val="00253EC1"/>
    <w:rsid w:val="00254660"/>
    <w:rsid w:val="002550B7"/>
    <w:rsid w:val="00256A95"/>
    <w:rsid w:val="00256D4A"/>
    <w:rsid w:val="00257A73"/>
    <w:rsid w:val="00261E81"/>
    <w:rsid w:val="00262373"/>
    <w:rsid w:val="00264D37"/>
    <w:rsid w:val="002666A4"/>
    <w:rsid w:val="00267704"/>
    <w:rsid w:val="00267C69"/>
    <w:rsid w:val="0027242A"/>
    <w:rsid w:val="00273AF6"/>
    <w:rsid w:val="00274B13"/>
    <w:rsid w:val="00276344"/>
    <w:rsid w:val="00276CBF"/>
    <w:rsid w:val="00276D65"/>
    <w:rsid w:val="002807D9"/>
    <w:rsid w:val="00280FE8"/>
    <w:rsid w:val="00281A84"/>
    <w:rsid w:val="00282291"/>
    <w:rsid w:val="00283303"/>
    <w:rsid w:val="002838A3"/>
    <w:rsid w:val="00285D59"/>
    <w:rsid w:val="00286B24"/>
    <w:rsid w:val="0028733D"/>
    <w:rsid w:val="00287FAF"/>
    <w:rsid w:val="00287FC6"/>
    <w:rsid w:val="00290004"/>
    <w:rsid w:val="002904C9"/>
    <w:rsid w:val="00290BA0"/>
    <w:rsid w:val="0029164C"/>
    <w:rsid w:val="00291848"/>
    <w:rsid w:val="00292EB6"/>
    <w:rsid w:val="0029344E"/>
    <w:rsid w:val="002A1CCE"/>
    <w:rsid w:val="002A4A81"/>
    <w:rsid w:val="002A4CDB"/>
    <w:rsid w:val="002A673A"/>
    <w:rsid w:val="002A6F88"/>
    <w:rsid w:val="002A7176"/>
    <w:rsid w:val="002B01EF"/>
    <w:rsid w:val="002B34E3"/>
    <w:rsid w:val="002B42AE"/>
    <w:rsid w:val="002C0205"/>
    <w:rsid w:val="002C0377"/>
    <w:rsid w:val="002C5AE2"/>
    <w:rsid w:val="002C6022"/>
    <w:rsid w:val="002C7B84"/>
    <w:rsid w:val="002D08AF"/>
    <w:rsid w:val="002D14E8"/>
    <w:rsid w:val="002D185C"/>
    <w:rsid w:val="002D1D0F"/>
    <w:rsid w:val="002D2BB6"/>
    <w:rsid w:val="002D3454"/>
    <w:rsid w:val="002D4069"/>
    <w:rsid w:val="002D553C"/>
    <w:rsid w:val="002E0D03"/>
    <w:rsid w:val="002E1B35"/>
    <w:rsid w:val="002E215B"/>
    <w:rsid w:val="002E2E08"/>
    <w:rsid w:val="002E341F"/>
    <w:rsid w:val="002E40C0"/>
    <w:rsid w:val="002E5974"/>
    <w:rsid w:val="002E5F48"/>
    <w:rsid w:val="002E61EA"/>
    <w:rsid w:val="002E6511"/>
    <w:rsid w:val="002E685A"/>
    <w:rsid w:val="002E75AF"/>
    <w:rsid w:val="002F0CCF"/>
    <w:rsid w:val="002F10E2"/>
    <w:rsid w:val="002F16C6"/>
    <w:rsid w:val="002F25DE"/>
    <w:rsid w:val="002F355F"/>
    <w:rsid w:val="002F388F"/>
    <w:rsid w:val="002F4447"/>
    <w:rsid w:val="00301D9B"/>
    <w:rsid w:val="00302B7E"/>
    <w:rsid w:val="00305CFD"/>
    <w:rsid w:val="00307994"/>
    <w:rsid w:val="00307B0F"/>
    <w:rsid w:val="003107F0"/>
    <w:rsid w:val="00310CFC"/>
    <w:rsid w:val="00311D3D"/>
    <w:rsid w:val="003127AF"/>
    <w:rsid w:val="003127F4"/>
    <w:rsid w:val="0031589B"/>
    <w:rsid w:val="00317099"/>
    <w:rsid w:val="00323161"/>
    <w:rsid w:val="00324685"/>
    <w:rsid w:val="00324CC3"/>
    <w:rsid w:val="003257B9"/>
    <w:rsid w:val="0032620F"/>
    <w:rsid w:val="00326BCA"/>
    <w:rsid w:val="00327E9F"/>
    <w:rsid w:val="003302CC"/>
    <w:rsid w:val="0033090C"/>
    <w:rsid w:val="00331FA7"/>
    <w:rsid w:val="00333957"/>
    <w:rsid w:val="00333CDF"/>
    <w:rsid w:val="00334566"/>
    <w:rsid w:val="00335D3D"/>
    <w:rsid w:val="00337956"/>
    <w:rsid w:val="00337A55"/>
    <w:rsid w:val="0034053C"/>
    <w:rsid w:val="00340945"/>
    <w:rsid w:val="00341662"/>
    <w:rsid w:val="003425F7"/>
    <w:rsid w:val="0034445D"/>
    <w:rsid w:val="003453BD"/>
    <w:rsid w:val="00346E26"/>
    <w:rsid w:val="00347600"/>
    <w:rsid w:val="00347A3C"/>
    <w:rsid w:val="00347FF1"/>
    <w:rsid w:val="00350521"/>
    <w:rsid w:val="00350B33"/>
    <w:rsid w:val="0035208F"/>
    <w:rsid w:val="0035298D"/>
    <w:rsid w:val="003551E8"/>
    <w:rsid w:val="00355A8C"/>
    <w:rsid w:val="00355EBD"/>
    <w:rsid w:val="00357DE5"/>
    <w:rsid w:val="00362193"/>
    <w:rsid w:val="00362D8A"/>
    <w:rsid w:val="0036382E"/>
    <w:rsid w:val="00366D76"/>
    <w:rsid w:val="003670AC"/>
    <w:rsid w:val="003677CF"/>
    <w:rsid w:val="00370F65"/>
    <w:rsid w:val="003717FE"/>
    <w:rsid w:val="003727F7"/>
    <w:rsid w:val="00373BE5"/>
    <w:rsid w:val="00374401"/>
    <w:rsid w:val="00375560"/>
    <w:rsid w:val="003758B6"/>
    <w:rsid w:val="003770F6"/>
    <w:rsid w:val="00377F62"/>
    <w:rsid w:val="00380602"/>
    <w:rsid w:val="00380A4C"/>
    <w:rsid w:val="00381369"/>
    <w:rsid w:val="0038171D"/>
    <w:rsid w:val="003827E8"/>
    <w:rsid w:val="003835FD"/>
    <w:rsid w:val="00383847"/>
    <w:rsid w:val="00383ECB"/>
    <w:rsid w:val="0038506F"/>
    <w:rsid w:val="0038525A"/>
    <w:rsid w:val="00385FE5"/>
    <w:rsid w:val="003872DC"/>
    <w:rsid w:val="00390757"/>
    <w:rsid w:val="00391640"/>
    <w:rsid w:val="00392AE5"/>
    <w:rsid w:val="00392C9F"/>
    <w:rsid w:val="00392FDE"/>
    <w:rsid w:val="00397D33"/>
    <w:rsid w:val="003A06B8"/>
    <w:rsid w:val="003A0998"/>
    <w:rsid w:val="003A2784"/>
    <w:rsid w:val="003A2C5F"/>
    <w:rsid w:val="003A2F11"/>
    <w:rsid w:val="003A6A16"/>
    <w:rsid w:val="003A6A7D"/>
    <w:rsid w:val="003A7FF3"/>
    <w:rsid w:val="003B0AFC"/>
    <w:rsid w:val="003B0DF7"/>
    <w:rsid w:val="003B1653"/>
    <w:rsid w:val="003B398E"/>
    <w:rsid w:val="003B5687"/>
    <w:rsid w:val="003B638C"/>
    <w:rsid w:val="003B66EA"/>
    <w:rsid w:val="003B78A2"/>
    <w:rsid w:val="003C07FD"/>
    <w:rsid w:val="003C1F77"/>
    <w:rsid w:val="003C3975"/>
    <w:rsid w:val="003C3B56"/>
    <w:rsid w:val="003C402B"/>
    <w:rsid w:val="003C4E1B"/>
    <w:rsid w:val="003C54EA"/>
    <w:rsid w:val="003C5C9B"/>
    <w:rsid w:val="003C5F06"/>
    <w:rsid w:val="003C5F3F"/>
    <w:rsid w:val="003C7B8D"/>
    <w:rsid w:val="003D1A7B"/>
    <w:rsid w:val="003D2AB8"/>
    <w:rsid w:val="003D4119"/>
    <w:rsid w:val="003D495A"/>
    <w:rsid w:val="003D52D4"/>
    <w:rsid w:val="003D7790"/>
    <w:rsid w:val="003E0FDC"/>
    <w:rsid w:val="003E182D"/>
    <w:rsid w:val="003E1BF3"/>
    <w:rsid w:val="003E1CE9"/>
    <w:rsid w:val="003E497D"/>
    <w:rsid w:val="003E5127"/>
    <w:rsid w:val="003E588D"/>
    <w:rsid w:val="003F3102"/>
    <w:rsid w:val="003F4374"/>
    <w:rsid w:val="003F44DF"/>
    <w:rsid w:val="003F52E6"/>
    <w:rsid w:val="003F5EB3"/>
    <w:rsid w:val="003F5FAF"/>
    <w:rsid w:val="003F5FC8"/>
    <w:rsid w:val="003F69AD"/>
    <w:rsid w:val="003F6C8C"/>
    <w:rsid w:val="003F70C5"/>
    <w:rsid w:val="003F7791"/>
    <w:rsid w:val="00400104"/>
    <w:rsid w:val="00400662"/>
    <w:rsid w:val="00400CBF"/>
    <w:rsid w:val="00401411"/>
    <w:rsid w:val="004036ED"/>
    <w:rsid w:val="004039A8"/>
    <w:rsid w:val="00404001"/>
    <w:rsid w:val="00405E6E"/>
    <w:rsid w:val="00406323"/>
    <w:rsid w:val="00411188"/>
    <w:rsid w:val="00412212"/>
    <w:rsid w:val="0041414C"/>
    <w:rsid w:val="00414BC0"/>
    <w:rsid w:val="004150CF"/>
    <w:rsid w:val="00416995"/>
    <w:rsid w:val="004173B9"/>
    <w:rsid w:val="004201B5"/>
    <w:rsid w:val="00422733"/>
    <w:rsid w:val="00422B94"/>
    <w:rsid w:val="004245BA"/>
    <w:rsid w:val="00426BFF"/>
    <w:rsid w:val="0042748D"/>
    <w:rsid w:val="004301A2"/>
    <w:rsid w:val="004301E3"/>
    <w:rsid w:val="004305C0"/>
    <w:rsid w:val="00431183"/>
    <w:rsid w:val="00431896"/>
    <w:rsid w:val="00432354"/>
    <w:rsid w:val="0043239D"/>
    <w:rsid w:val="00433301"/>
    <w:rsid w:val="00435086"/>
    <w:rsid w:val="00436046"/>
    <w:rsid w:val="004377EF"/>
    <w:rsid w:val="00440922"/>
    <w:rsid w:val="00440D65"/>
    <w:rsid w:val="004426FD"/>
    <w:rsid w:val="00442D78"/>
    <w:rsid w:val="00442EC3"/>
    <w:rsid w:val="00445BE4"/>
    <w:rsid w:val="00451748"/>
    <w:rsid w:val="00452B26"/>
    <w:rsid w:val="00455E37"/>
    <w:rsid w:val="00460FFC"/>
    <w:rsid w:val="0046331E"/>
    <w:rsid w:val="00465037"/>
    <w:rsid w:val="004652B5"/>
    <w:rsid w:val="004664A7"/>
    <w:rsid w:val="00466860"/>
    <w:rsid w:val="00467218"/>
    <w:rsid w:val="00467264"/>
    <w:rsid w:val="00470E0A"/>
    <w:rsid w:val="00471869"/>
    <w:rsid w:val="004720B7"/>
    <w:rsid w:val="0047260A"/>
    <w:rsid w:val="00472E3C"/>
    <w:rsid w:val="004733CD"/>
    <w:rsid w:val="0047486C"/>
    <w:rsid w:val="00475F78"/>
    <w:rsid w:val="004763E7"/>
    <w:rsid w:val="00476412"/>
    <w:rsid w:val="00476E1D"/>
    <w:rsid w:val="00480C35"/>
    <w:rsid w:val="00481704"/>
    <w:rsid w:val="00482FE1"/>
    <w:rsid w:val="00484816"/>
    <w:rsid w:val="00484FAC"/>
    <w:rsid w:val="00485168"/>
    <w:rsid w:val="00487051"/>
    <w:rsid w:val="0048789C"/>
    <w:rsid w:val="00490982"/>
    <w:rsid w:val="00490A54"/>
    <w:rsid w:val="0049101B"/>
    <w:rsid w:val="00491683"/>
    <w:rsid w:val="004922CA"/>
    <w:rsid w:val="00495842"/>
    <w:rsid w:val="0049607D"/>
    <w:rsid w:val="00496669"/>
    <w:rsid w:val="00496FBF"/>
    <w:rsid w:val="004A0D0B"/>
    <w:rsid w:val="004A2B2A"/>
    <w:rsid w:val="004A505E"/>
    <w:rsid w:val="004A6FBD"/>
    <w:rsid w:val="004B15F5"/>
    <w:rsid w:val="004B1651"/>
    <w:rsid w:val="004B5127"/>
    <w:rsid w:val="004B5940"/>
    <w:rsid w:val="004B5A59"/>
    <w:rsid w:val="004B6D46"/>
    <w:rsid w:val="004C1765"/>
    <w:rsid w:val="004C267B"/>
    <w:rsid w:val="004C2B22"/>
    <w:rsid w:val="004C4283"/>
    <w:rsid w:val="004C4A3F"/>
    <w:rsid w:val="004C5021"/>
    <w:rsid w:val="004C548E"/>
    <w:rsid w:val="004C58EF"/>
    <w:rsid w:val="004C68A2"/>
    <w:rsid w:val="004C6B50"/>
    <w:rsid w:val="004C7949"/>
    <w:rsid w:val="004D05E9"/>
    <w:rsid w:val="004D0A5D"/>
    <w:rsid w:val="004D3BFA"/>
    <w:rsid w:val="004D44E0"/>
    <w:rsid w:val="004D5C9F"/>
    <w:rsid w:val="004D76AE"/>
    <w:rsid w:val="004D7AA4"/>
    <w:rsid w:val="004D7D64"/>
    <w:rsid w:val="004E0A1B"/>
    <w:rsid w:val="004E2B78"/>
    <w:rsid w:val="004E2F6D"/>
    <w:rsid w:val="004E30B3"/>
    <w:rsid w:val="004E3213"/>
    <w:rsid w:val="004E4D0F"/>
    <w:rsid w:val="004E5C53"/>
    <w:rsid w:val="004E7058"/>
    <w:rsid w:val="004E75D0"/>
    <w:rsid w:val="004E76C4"/>
    <w:rsid w:val="004E76D0"/>
    <w:rsid w:val="004E7711"/>
    <w:rsid w:val="004F03CC"/>
    <w:rsid w:val="004F0729"/>
    <w:rsid w:val="004F1172"/>
    <w:rsid w:val="004F1512"/>
    <w:rsid w:val="004F298A"/>
    <w:rsid w:val="004F2BEE"/>
    <w:rsid w:val="004F3338"/>
    <w:rsid w:val="004F3AE7"/>
    <w:rsid w:val="004F3F17"/>
    <w:rsid w:val="004F3FCF"/>
    <w:rsid w:val="004F4D91"/>
    <w:rsid w:val="004F5D04"/>
    <w:rsid w:val="004F61C1"/>
    <w:rsid w:val="004F633E"/>
    <w:rsid w:val="00500FFD"/>
    <w:rsid w:val="005057DF"/>
    <w:rsid w:val="00507170"/>
    <w:rsid w:val="00511280"/>
    <w:rsid w:val="00512111"/>
    <w:rsid w:val="00514344"/>
    <w:rsid w:val="005147A7"/>
    <w:rsid w:val="00514B09"/>
    <w:rsid w:val="005157E6"/>
    <w:rsid w:val="00515D58"/>
    <w:rsid w:val="00517348"/>
    <w:rsid w:val="0052062C"/>
    <w:rsid w:val="00523011"/>
    <w:rsid w:val="0052506B"/>
    <w:rsid w:val="00525A34"/>
    <w:rsid w:val="005264A1"/>
    <w:rsid w:val="0052755F"/>
    <w:rsid w:val="0052756A"/>
    <w:rsid w:val="00527CB3"/>
    <w:rsid w:val="005342F0"/>
    <w:rsid w:val="005355C5"/>
    <w:rsid w:val="005363E6"/>
    <w:rsid w:val="005368C3"/>
    <w:rsid w:val="00536940"/>
    <w:rsid w:val="00537946"/>
    <w:rsid w:val="0054081F"/>
    <w:rsid w:val="005416D3"/>
    <w:rsid w:val="0054218B"/>
    <w:rsid w:val="00543CCD"/>
    <w:rsid w:val="00544037"/>
    <w:rsid w:val="00545371"/>
    <w:rsid w:val="00545414"/>
    <w:rsid w:val="00546268"/>
    <w:rsid w:val="00547BF1"/>
    <w:rsid w:val="005503AF"/>
    <w:rsid w:val="0055054C"/>
    <w:rsid w:val="005519C0"/>
    <w:rsid w:val="00551CD3"/>
    <w:rsid w:val="005553CC"/>
    <w:rsid w:val="00555C07"/>
    <w:rsid w:val="005577B5"/>
    <w:rsid w:val="0056030B"/>
    <w:rsid w:val="00561E96"/>
    <w:rsid w:val="005631D5"/>
    <w:rsid w:val="00565360"/>
    <w:rsid w:val="005657EA"/>
    <w:rsid w:val="00567DC4"/>
    <w:rsid w:val="00570A71"/>
    <w:rsid w:val="00570B11"/>
    <w:rsid w:val="00570D00"/>
    <w:rsid w:val="00570E6A"/>
    <w:rsid w:val="005721EB"/>
    <w:rsid w:val="00572FFB"/>
    <w:rsid w:val="005739BD"/>
    <w:rsid w:val="005767D4"/>
    <w:rsid w:val="00576948"/>
    <w:rsid w:val="0057793A"/>
    <w:rsid w:val="00580535"/>
    <w:rsid w:val="00581E5D"/>
    <w:rsid w:val="0058200E"/>
    <w:rsid w:val="005820FB"/>
    <w:rsid w:val="00583909"/>
    <w:rsid w:val="00587714"/>
    <w:rsid w:val="00587C3D"/>
    <w:rsid w:val="005906EE"/>
    <w:rsid w:val="00590956"/>
    <w:rsid w:val="00590D75"/>
    <w:rsid w:val="00592AA9"/>
    <w:rsid w:val="00592FA9"/>
    <w:rsid w:val="005930C5"/>
    <w:rsid w:val="005944B0"/>
    <w:rsid w:val="00594E62"/>
    <w:rsid w:val="005957D0"/>
    <w:rsid w:val="0059688E"/>
    <w:rsid w:val="005973E6"/>
    <w:rsid w:val="00597D9C"/>
    <w:rsid w:val="00597F4E"/>
    <w:rsid w:val="005A00E4"/>
    <w:rsid w:val="005A19D8"/>
    <w:rsid w:val="005A26BC"/>
    <w:rsid w:val="005A4369"/>
    <w:rsid w:val="005A49F2"/>
    <w:rsid w:val="005A54B5"/>
    <w:rsid w:val="005A5CE7"/>
    <w:rsid w:val="005A6A6A"/>
    <w:rsid w:val="005A753C"/>
    <w:rsid w:val="005B0E67"/>
    <w:rsid w:val="005B1602"/>
    <w:rsid w:val="005B247E"/>
    <w:rsid w:val="005B3793"/>
    <w:rsid w:val="005B4965"/>
    <w:rsid w:val="005B6EB9"/>
    <w:rsid w:val="005B707E"/>
    <w:rsid w:val="005C05F9"/>
    <w:rsid w:val="005C2514"/>
    <w:rsid w:val="005C2EE3"/>
    <w:rsid w:val="005C5EA4"/>
    <w:rsid w:val="005C63C0"/>
    <w:rsid w:val="005C7118"/>
    <w:rsid w:val="005C75E8"/>
    <w:rsid w:val="005D0C99"/>
    <w:rsid w:val="005D19EF"/>
    <w:rsid w:val="005D2D72"/>
    <w:rsid w:val="005D3C8E"/>
    <w:rsid w:val="005D402F"/>
    <w:rsid w:val="005D7268"/>
    <w:rsid w:val="005D7B38"/>
    <w:rsid w:val="005E0E69"/>
    <w:rsid w:val="005E19BF"/>
    <w:rsid w:val="005E2091"/>
    <w:rsid w:val="005E2B56"/>
    <w:rsid w:val="005E36A8"/>
    <w:rsid w:val="005E3AC3"/>
    <w:rsid w:val="005E3EAC"/>
    <w:rsid w:val="005E48AE"/>
    <w:rsid w:val="005E4C41"/>
    <w:rsid w:val="005E54E0"/>
    <w:rsid w:val="005E7F08"/>
    <w:rsid w:val="005F0A63"/>
    <w:rsid w:val="005F0B93"/>
    <w:rsid w:val="005F0CF4"/>
    <w:rsid w:val="005F0D29"/>
    <w:rsid w:val="005F1387"/>
    <w:rsid w:val="005F1929"/>
    <w:rsid w:val="005F30C9"/>
    <w:rsid w:val="005F5901"/>
    <w:rsid w:val="005F59CA"/>
    <w:rsid w:val="005F77FF"/>
    <w:rsid w:val="00602216"/>
    <w:rsid w:val="006024C8"/>
    <w:rsid w:val="006029BD"/>
    <w:rsid w:val="00602E71"/>
    <w:rsid w:val="00603C4F"/>
    <w:rsid w:val="00603F23"/>
    <w:rsid w:val="006041F6"/>
    <w:rsid w:val="00605DF2"/>
    <w:rsid w:val="00611CEF"/>
    <w:rsid w:val="00612794"/>
    <w:rsid w:val="00613A9E"/>
    <w:rsid w:val="00614208"/>
    <w:rsid w:val="00614A26"/>
    <w:rsid w:val="00615281"/>
    <w:rsid w:val="00615CB2"/>
    <w:rsid w:val="00616ECD"/>
    <w:rsid w:val="00617F9E"/>
    <w:rsid w:val="00622F16"/>
    <w:rsid w:val="00623A3A"/>
    <w:rsid w:val="00626256"/>
    <w:rsid w:val="00626305"/>
    <w:rsid w:val="00626AB0"/>
    <w:rsid w:val="0062762D"/>
    <w:rsid w:val="0063017C"/>
    <w:rsid w:val="006306C7"/>
    <w:rsid w:val="00631C3D"/>
    <w:rsid w:val="00635558"/>
    <w:rsid w:val="00635816"/>
    <w:rsid w:val="00635B0F"/>
    <w:rsid w:val="00635E49"/>
    <w:rsid w:val="0063628C"/>
    <w:rsid w:val="00636F55"/>
    <w:rsid w:val="00637800"/>
    <w:rsid w:val="006413D0"/>
    <w:rsid w:val="00642709"/>
    <w:rsid w:val="00645394"/>
    <w:rsid w:val="0064599D"/>
    <w:rsid w:val="00645FA8"/>
    <w:rsid w:val="00646D2F"/>
    <w:rsid w:val="00650D9B"/>
    <w:rsid w:val="00650FD9"/>
    <w:rsid w:val="00651244"/>
    <w:rsid w:val="00652861"/>
    <w:rsid w:val="00652C9C"/>
    <w:rsid w:val="00652D45"/>
    <w:rsid w:val="0065312B"/>
    <w:rsid w:val="00653352"/>
    <w:rsid w:val="00654D29"/>
    <w:rsid w:val="00656F2C"/>
    <w:rsid w:val="00660D70"/>
    <w:rsid w:val="00661252"/>
    <w:rsid w:val="00661ABE"/>
    <w:rsid w:val="006632A4"/>
    <w:rsid w:val="006674BF"/>
    <w:rsid w:val="006679ED"/>
    <w:rsid w:val="00667EF5"/>
    <w:rsid w:val="00670230"/>
    <w:rsid w:val="00670B50"/>
    <w:rsid w:val="0067126B"/>
    <w:rsid w:val="006720E3"/>
    <w:rsid w:val="006734B1"/>
    <w:rsid w:val="0067350A"/>
    <w:rsid w:val="00673E6E"/>
    <w:rsid w:val="00675BCF"/>
    <w:rsid w:val="006762EA"/>
    <w:rsid w:val="0067664C"/>
    <w:rsid w:val="0067770C"/>
    <w:rsid w:val="0067789C"/>
    <w:rsid w:val="0068056C"/>
    <w:rsid w:val="00684512"/>
    <w:rsid w:val="0068469E"/>
    <w:rsid w:val="00686C0A"/>
    <w:rsid w:val="00687D39"/>
    <w:rsid w:val="006911D9"/>
    <w:rsid w:val="00691529"/>
    <w:rsid w:val="00692C07"/>
    <w:rsid w:val="00692C17"/>
    <w:rsid w:val="00694461"/>
    <w:rsid w:val="00695547"/>
    <w:rsid w:val="0069572C"/>
    <w:rsid w:val="00695970"/>
    <w:rsid w:val="00697F39"/>
    <w:rsid w:val="006A3BDA"/>
    <w:rsid w:val="006A4257"/>
    <w:rsid w:val="006A53A0"/>
    <w:rsid w:val="006A5674"/>
    <w:rsid w:val="006A5A9C"/>
    <w:rsid w:val="006A6902"/>
    <w:rsid w:val="006A6D90"/>
    <w:rsid w:val="006B02AD"/>
    <w:rsid w:val="006B02B5"/>
    <w:rsid w:val="006B0416"/>
    <w:rsid w:val="006B0553"/>
    <w:rsid w:val="006B05D9"/>
    <w:rsid w:val="006B0AA8"/>
    <w:rsid w:val="006B0F68"/>
    <w:rsid w:val="006B146F"/>
    <w:rsid w:val="006B356A"/>
    <w:rsid w:val="006B3B63"/>
    <w:rsid w:val="006B46C4"/>
    <w:rsid w:val="006B65A4"/>
    <w:rsid w:val="006B74A8"/>
    <w:rsid w:val="006B75C5"/>
    <w:rsid w:val="006B7A68"/>
    <w:rsid w:val="006C0DD9"/>
    <w:rsid w:val="006C248C"/>
    <w:rsid w:val="006C2895"/>
    <w:rsid w:val="006C2AFD"/>
    <w:rsid w:val="006C4713"/>
    <w:rsid w:val="006C4C88"/>
    <w:rsid w:val="006C6347"/>
    <w:rsid w:val="006C6997"/>
    <w:rsid w:val="006C7622"/>
    <w:rsid w:val="006C7FAF"/>
    <w:rsid w:val="006D0435"/>
    <w:rsid w:val="006D08C1"/>
    <w:rsid w:val="006D12B4"/>
    <w:rsid w:val="006D26A6"/>
    <w:rsid w:val="006D2979"/>
    <w:rsid w:val="006D493F"/>
    <w:rsid w:val="006D5602"/>
    <w:rsid w:val="006D5CDF"/>
    <w:rsid w:val="006D60D0"/>
    <w:rsid w:val="006D64A3"/>
    <w:rsid w:val="006D6F62"/>
    <w:rsid w:val="006D770C"/>
    <w:rsid w:val="006D7D3E"/>
    <w:rsid w:val="006E010D"/>
    <w:rsid w:val="006E0324"/>
    <w:rsid w:val="006E0415"/>
    <w:rsid w:val="006E0D43"/>
    <w:rsid w:val="006E111B"/>
    <w:rsid w:val="006E1B4B"/>
    <w:rsid w:val="006E4121"/>
    <w:rsid w:val="006E4448"/>
    <w:rsid w:val="006E516D"/>
    <w:rsid w:val="006E5381"/>
    <w:rsid w:val="006E551C"/>
    <w:rsid w:val="006E5D02"/>
    <w:rsid w:val="006E7425"/>
    <w:rsid w:val="006F35CD"/>
    <w:rsid w:val="006F3D09"/>
    <w:rsid w:val="006F5B97"/>
    <w:rsid w:val="006F5DE4"/>
    <w:rsid w:val="006F6FF9"/>
    <w:rsid w:val="006F79A1"/>
    <w:rsid w:val="007007AC"/>
    <w:rsid w:val="0070117D"/>
    <w:rsid w:val="00701B02"/>
    <w:rsid w:val="00701FE5"/>
    <w:rsid w:val="007028C9"/>
    <w:rsid w:val="00702BA4"/>
    <w:rsid w:val="00705D4B"/>
    <w:rsid w:val="007065B7"/>
    <w:rsid w:val="007066DB"/>
    <w:rsid w:val="007137DB"/>
    <w:rsid w:val="00714506"/>
    <w:rsid w:val="00716EA2"/>
    <w:rsid w:val="007172E8"/>
    <w:rsid w:val="0072118C"/>
    <w:rsid w:val="00722B64"/>
    <w:rsid w:val="00722D30"/>
    <w:rsid w:val="0072360F"/>
    <w:rsid w:val="00730B16"/>
    <w:rsid w:val="00730B1B"/>
    <w:rsid w:val="00731D58"/>
    <w:rsid w:val="007331A2"/>
    <w:rsid w:val="0073322D"/>
    <w:rsid w:val="00733A91"/>
    <w:rsid w:val="007348B4"/>
    <w:rsid w:val="00734EDE"/>
    <w:rsid w:val="00737C31"/>
    <w:rsid w:val="00740470"/>
    <w:rsid w:val="00744098"/>
    <w:rsid w:val="00745778"/>
    <w:rsid w:val="00745F64"/>
    <w:rsid w:val="007461E4"/>
    <w:rsid w:val="00746A51"/>
    <w:rsid w:val="00747026"/>
    <w:rsid w:val="00752E70"/>
    <w:rsid w:val="00753CB5"/>
    <w:rsid w:val="00754356"/>
    <w:rsid w:val="0075491B"/>
    <w:rsid w:val="0075590C"/>
    <w:rsid w:val="00763539"/>
    <w:rsid w:val="00763EC1"/>
    <w:rsid w:val="00763F69"/>
    <w:rsid w:val="00765E43"/>
    <w:rsid w:val="0076629A"/>
    <w:rsid w:val="00766A5A"/>
    <w:rsid w:val="00766B29"/>
    <w:rsid w:val="00766E71"/>
    <w:rsid w:val="007708F3"/>
    <w:rsid w:val="0077327B"/>
    <w:rsid w:val="00774A3C"/>
    <w:rsid w:val="0077592D"/>
    <w:rsid w:val="0077601C"/>
    <w:rsid w:val="00776739"/>
    <w:rsid w:val="007774CA"/>
    <w:rsid w:val="0077794F"/>
    <w:rsid w:val="00777CF2"/>
    <w:rsid w:val="00777DA8"/>
    <w:rsid w:val="00780392"/>
    <w:rsid w:val="00780653"/>
    <w:rsid w:val="00780B6F"/>
    <w:rsid w:val="0078216B"/>
    <w:rsid w:val="007823D1"/>
    <w:rsid w:val="00782E53"/>
    <w:rsid w:val="00784C2A"/>
    <w:rsid w:val="00784D23"/>
    <w:rsid w:val="007867E9"/>
    <w:rsid w:val="007877F9"/>
    <w:rsid w:val="00791DC7"/>
    <w:rsid w:val="007927F9"/>
    <w:rsid w:val="00792DAA"/>
    <w:rsid w:val="00795251"/>
    <w:rsid w:val="0079581C"/>
    <w:rsid w:val="007969D6"/>
    <w:rsid w:val="00796F6C"/>
    <w:rsid w:val="0079741C"/>
    <w:rsid w:val="00797B05"/>
    <w:rsid w:val="007A0639"/>
    <w:rsid w:val="007A0F8B"/>
    <w:rsid w:val="007A1B7A"/>
    <w:rsid w:val="007A51E2"/>
    <w:rsid w:val="007A67F7"/>
    <w:rsid w:val="007A7414"/>
    <w:rsid w:val="007B0744"/>
    <w:rsid w:val="007B1C81"/>
    <w:rsid w:val="007B2445"/>
    <w:rsid w:val="007B2943"/>
    <w:rsid w:val="007B33CC"/>
    <w:rsid w:val="007B4918"/>
    <w:rsid w:val="007B4F41"/>
    <w:rsid w:val="007B51C1"/>
    <w:rsid w:val="007B7701"/>
    <w:rsid w:val="007C03B5"/>
    <w:rsid w:val="007C549D"/>
    <w:rsid w:val="007C55DD"/>
    <w:rsid w:val="007C6A62"/>
    <w:rsid w:val="007C7992"/>
    <w:rsid w:val="007D26F7"/>
    <w:rsid w:val="007D364A"/>
    <w:rsid w:val="007D4315"/>
    <w:rsid w:val="007D44C5"/>
    <w:rsid w:val="007D5778"/>
    <w:rsid w:val="007D5A8A"/>
    <w:rsid w:val="007D6D43"/>
    <w:rsid w:val="007D6EA9"/>
    <w:rsid w:val="007D7EA2"/>
    <w:rsid w:val="007E1530"/>
    <w:rsid w:val="007E34E5"/>
    <w:rsid w:val="007E3630"/>
    <w:rsid w:val="007E3DE9"/>
    <w:rsid w:val="007E5BA0"/>
    <w:rsid w:val="007E6A11"/>
    <w:rsid w:val="007E7B9C"/>
    <w:rsid w:val="007F0089"/>
    <w:rsid w:val="007F139B"/>
    <w:rsid w:val="007F1A21"/>
    <w:rsid w:val="007F233A"/>
    <w:rsid w:val="007F2BDF"/>
    <w:rsid w:val="007F3965"/>
    <w:rsid w:val="007F3E0D"/>
    <w:rsid w:val="007F3E3F"/>
    <w:rsid w:val="007F4141"/>
    <w:rsid w:val="007F49F3"/>
    <w:rsid w:val="007F55E1"/>
    <w:rsid w:val="007F742D"/>
    <w:rsid w:val="00801574"/>
    <w:rsid w:val="0080225C"/>
    <w:rsid w:val="00803125"/>
    <w:rsid w:val="008048F5"/>
    <w:rsid w:val="00810AF3"/>
    <w:rsid w:val="0081271C"/>
    <w:rsid w:val="008141B3"/>
    <w:rsid w:val="00815A4C"/>
    <w:rsid w:val="008166BC"/>
    <w:rsid w:val="00817DEC"/>
    <w:rsid w:val="00820454"/>
    <w:rsid w:val="008205A3"/>
    <w:rsid w:val="00823BFC"/>
    <w:rsid w:val="00824183"/>
    <w:rsid w:val="008255F7"/>
    <w:rsid w:val="00825E50"/>
    <w:rsid w:val="00826B81"/>
    <w:rsid w:val="008277E9"/>
    <w:rsid w:val="0083078B"/>
    <w:rsid w:val="00830A03"/>
    <w:rsid w:val="0083144B"/>
    <w:rsid w:val="00832335"/>
    <w:rsid w:val="0083236D"/>
    <w:rsid w:val="008328BD"/>
    <w:rsid w:val="00832CE4"/>
    <w:rsid w:val="0083429C"/>
    <w:rsid w:val="00834A4D"/>
    <w:rsid w:val="00835EBF"/>
    <w:rsid w:val="00837739"/>
    <w:rsid w:val="008401A6"/>
    <w:rsid w:val="00842447"/>
    <w:rsid w:val="00842E3F"/>
    <w:rsid w:val="00843E82"/>
    <w:rsid w:val="00851CB4"/>
    <w:rsid w:val="00851E51"/>
    <w:rsid w:val="008553AC"/>
    <w:rsid w:val="008569BF"/>
    <w:rsid w:val="008571C1"/>
    <w:rsid w:val="0085754E"/>
    <w:rsid w:val="0085773D"/>
    <w:rsid w:val="00860476"/>
    <w:rsid w:val="008612FF"/>
    <w:rsid w:val="008613D5"/>
    <w:rsid w:val="00862963"/>
    <w:rsid w:val="00864B33"/>
    <w:rsid w:val="00864BB3"/>
    <w:rsid w:val="008658D1"/>
    <w:rsid w:val="00865CC6"/>
    <w:rsid w:val="008714F4"/>
    <w:rsid w:val="0087209E"/>
    <w:rsid w:val="008726A5"/>
    <w:rsid w:val="008747F2"/>
    <w:rsid w:val="008755DD"/>
    <w:rsid w:val="00875D81"/>
    <w:rsid w:val="00876116"/>
    <w:rsid w:val="0087732C"/>
    <w:rsid w:val="0087795A"/>
    <w:rsid w:val="008810A9"/>
    <w:rsid w:val="00881545"/>
    <w:rsid w:val="008838B0"/>
    <w:rsid w:val="00883961"/>
    <w:rsid w:val="00883F1D"/>
    <w:rsid w:val="00885197"/>
    <w:rsid w:val="00890060"/>
    <w:rsid w:val="00890FB0"/>
    <w:rsid w:val="00891C68"/>
    <w:rsid w:val="00891DD6"/>
    <w:rsid w:val="00892B55"/>
    <w:rsid w:val="0089303C"/>
    <w:rsid w:val="00896296"/>
    <w:rsid w:val="008970A1"/>
    <w:rsid w:val="00897B61"/>
    <w:rsid w:val="008A177A"/>
    <w:rsid w:val="008A204D"/>
    <w:rsid w:val="008A3A22"/>
    <w:rsid w:val="008A4A51"/>
    <w:rsid w:val="008A4E0D"/>
    <w:rsid w:val="008A5083"/>
    <w:rsid w:val="008A56B1"/>
    <w:rsid w:val="008A5FB1"/>
    <w:rsid w:val="008A6B4E"/>
    <w:rsid w:val="008A7651"/>
    <w:rsid w:val="008B0B7B"/>
    <w:rsid w:val="008B1894"/>
    <w:rsid w:val="008B3AC1"/>
    <w:rsid w:val="008B50D7"/>
    <w:rsid w:val="008B5E06"/>
    <w:rsid w:val="008B73C1"/>
    <w:rsid w:val="008B74A9"/>
    <w:rsid w:val="008C0BD0"/>
    <w:rsid w:val="008C2547"/>
    <w:rsid w:val="008C2784"/>
    <w:rsid w:val="008C2981"/>
    <w:rsid w:val="008C2DA3"/>
    <w:rsid w:val="008C3894"/>
    <w:rsid w:val="008C5A46"/>
    <w:rsid w:val="008C62F3"/>
    <w:rsid w:val="008D018C"/>
    <w:rsid w:val="008D0456"/>
    <w:rsid w:val="008D108A"/>
    <w:rsid w:val="008D1275"/>
    <w:rsid w:val="008D129E"/>
    <w:rsid w:val="008D2C56"/>
    <w:rsid w:val="008D3683"/>
    <w:rsid w:val="008D5CE5"/>
    <w:rsid w:val="008D618B"/>
    <w:rsid w:val="008E01DA"/>
    <w:rsid w:val="008E1E42"/>
    <w:rsid w:val="008E28B1"/>
    <w:rsid w:val="008E38AD"/>
    <w:rsid w:val="008E48A4"/>
    <w:rsid w:val="008E4CDF"/>
    <w:rsid w:val="008E55CD"/>
    <w:rsid w:val="008E76F6"/>
    <w:rsid w:val="008F0FA8"/>
    <w:rsid w:val="008F1AFB"/>
    <w:rsid w:val="008F3450"/>
    <w:rsid w:val="008F451A"/>
    <w:rsid w:val="008F4F6A"/>
    <w:rsid w:val="008F6148"/>
    <w:rsid w:val="008F6E63"/>
    <w:rsid w:val="008F7164"/>
    <w:rsid w:val="008F7F0C"/>
    <w:rsid w:val="009004DC"/>
    <w:rsid w:val="00900A1A"/>
    <w:rsid w:val="00900AD1"/>
    <w:rsid w:val="00901CCD"/>
    <w:rsid w:val="00901D05"/>
    <w:rsid w:val="00902A4E"/>
    <w:rsid w:val="00903607"/>
    <w:rsid w:val="00903C08"/>
    <w:rsid w:val="00904949"/>
    <w:rsid w:val="0090542D"/>
    <w:rsid w:val="00905C5D"/>
    <w:rsid w:val="009079C7"/>
    <w:rsid w:val="00907FE4"/>
    <w:rsid w:val="009109E1"/>
    <w:rsid w:val="00911C9E"/>
    <w:rsid w:val="0091374F"/>
    <w:rsid w:val="0091397D"/>
    <w:rsid w:val="00915990"/>
    <w:rsid w:val="009169AB"/>
    <w:rsid w:val="00917B41"/>
    <w:rsid w:val="00920C0B"/>
    <w:rsid w:val="00922EDC"/>
    <w:rsid w:val="009237EB"/>
    <w:rsid w:val="00923D91"/>
    <w:rsid w:val="0092411B"/>
    <w:rsid w:val="009254FC"/>
    <w:rsid w:val="00926480"/>
    <w:rsid w:val="00926A5F"/>
    <w:rsid w:val="00927DBB"/>
    <w:rsid w:val="0093075E"/>
    <w:rsid w:val="009308D9"/>
    <w:rsid w:val="009319F5"/>
    <w:rsid w:val="009335AD"/>
    <w:rsid w:val="00933643"/>
    <w:rsid w:val="00933863"/>
    <w:rsid w:val="0093464A"/>
    <w:rsid w:val="00935AB0"/>
    <w:rsid w:val="009373DF"/>
    <w:rsid w:val="0093755B"/>
    <w:rsid w:val="00940623"/>
    <w:rsid w:val="009409BF"/>
    <w:rsid w:val="009418D2"/>
    <w:rsid w:val="00941934"/>
    <w:rsid w:val="00941B94"/>
    <w:rsid w:val="00941F52"/>
    <w:rsid w:val="009432C8"/>
    <w:rsid w:val="00943682"/>
    <w:rsid w:val="00943DDB"/>
    <w:rsid w:val="00947621"/>
    <w:rsid w:val="00947640"/>
    <w:rsid w:val="00951643"/>
    <w:rsid w:val="0095245A"/>
    <w:rsid w:val="00952586"/>
    <w:rsid w:val="00954446"/>
    <w:rsid w:val="00954701"/>
    <w:rsid w:val="0095520B"/>
    <w:rsid w:val="009556ED"/>
    <w:rsid w:val="00956A24"/>
    <w:rsid w:val="009571E3"/>
    <w:rsid w:val="00960FC4"/>
    <w:rsid w:val="00961509"/>
    <w:rsid w:val="009615E3"/>
    <w:rsid w:val="009615E4"/>
    <w:rsid w:val="0096171F"/>
    <w:rsid w:val="00961A18"/>
    <w:rsid w:val="00962B43"/>
    <w:rsid w:val="00962ED2"/>
    <w:rsid w:val="00964270"/>
    <w:rsid w:val="0096451E"/>
    <w:rsid w:val="00965092"/>
    <w:rsid w:val="0096599B"/>
    <w:rsid w:val="00965CF2"/>
    <w:rsid w:val="00965DD4"/>
    <w:rsid w:val="009708CA"/>
    <w:rsid w:val="00971CC3"/>
    <w:rsid w:val="009720A2"/>
    <w:rsid w:val="009721BC"/>
    <w:rsid w:val="0097404C"/>
    <w:rsid w:val="00974941"/>
    <w:rsid w:val="00975EC5"/>
    <w:rsid w:val="009762A9"/>
    <w:rsid w:val="00977D55"/>
    <w:rsid w:val="00980398"/>
    <w:rsid w:val="00983E65"/>
    <w:rsid w:val="00984591"/>
    <w:rsid w:val="00985093"/>
    <w:rsid w:val="00985A04"/>
    <w:rsid w:val="00987F76"/>
    <w:rsid w:val="0099015F"/>
    <w:rsid w:val="00990DBD"/>
    <w:rsid w:val="00991C46"/>
    <w:rsid w:val="00993635"/>
    <w:rsid w:val="00995ACE"/>
    <w:rsid w:val="00995DD0"/>
    <w:rsid w:val="00996B9C"/>
    <w:rsid w:val="0099733E"/>
    <w:rsid w:val="0099748C"/>
    <w:rsid w:val="009A2024"/>
    <w:rsid w:val="009A3954"/>
    <w:rsid w:val="009A464C"/>
    <w:rsid w:val="009A55E0"/>
    <w:rsid w:val="009A68B2"/>
    <w:rsid w:val="009A6C6F"/>
    <w:rsid w:val="009A7844"/>
    <w:rsid w:val="009A7C65"/>
    <w:rsid w:val="009B046D"/>
    <w:rsid w:val="009B0D20"/>
    <w:rsid w:val="009B2174"/>
    <w:rsid w:val="009B4FE9"/>
    <w:rsid w:val="009B5B0E"/>
    <w:rsid w:val="009B70E5"/>
    <w:rsid w:val="009B735E"/>
    <w:rsid w:val="009B7C68"/>
    <w:rsid w:val="009C02AE"/>
    <w:rsid w:val="009C0521"/>
    <w:rsid w:val="009C1BB2"/>
    <w:rsid w:val="009C34D7"/>
    <w:rsid w:val="009C38EB"/>
    <w:rsid w:val="009C4A41"/>
    <w:rsid w:val="009C4FAD"/>
    <w:rsid w:val="009C50F8"/>
    <w:rsid w:val="009C52CC"/>
    <w:rsid w:val="009C5559"/>
    <w:rsid w:val="009C5D7B"/>
    <w:rsid w:val="009C66B9"/>
    <w:rsid w:val="009D05E0"/>
    <w:rsid w:val="009D111B"/>
    <w:rsid w:val="009D12EF"/>
    <w:rsid w:val="009D1B06"/>
    <w:rsid w:val="009D3D64"/>
    <w:rsid w:val="009D3FCD"/>
    <w:rsid w:val="009D44C7"/>
    <w:rsid w:val="009D471A"/>
    <w:rsid w:val="009D7E7E"/>
    <w:rsid w:val="009E0B75"/>
    <w:rsid w:val="009E270D"/>
    <w:rsid w:val="009E2E84"/>
    <w:rsid w:val="009E39FC"/>
    <w:rsid w:val="009E58FF"/>
    <w:rsid w:val="009E659D"/>
    <w:rsid w:val="009E7462"/>
    <w:rsid w:val="009F00DD"/>
    <w:rsid w:val="009F337F"/>
    <w:rsid w:val="009F4306"/>
    <w:rsid w:val="009F4C13"/>
    <w:rsid w:val="009F5333"/>
    <w:rsid w:val="009F5B23"/>
    <w:rsid w:val="009F6FB0"/>
    <w:rsid w:val="009F7128"/>
    <w:rsid w:val="00A00975"/>
    <w:rsid w:val="00A00CF8"/>
    <w:rsid w:val="00A00E03"/>
    <w:rsid w:val="00A01211"/>
    <w:rsid w:val="00A027F6"/>
    <w:rsid w:val="00A0308F"/>
    <w:rsid w:val="00A03249"/>
    <w:rsid w:val="00A033D7"/>
    <w:rsid w:val="00A056CA"/>
    <w:rsid w:val="00A06BC8"/>
    <w:rsid w:val="00A06D99"/>
    <w:rsid w:val="00A07072"/>
    <w:rsid w:val="00A07BC8"/>
    <w:rsid w:val="00A102CE"/>
    <w:rsid w:val="00A109B4"/>
    <w:rsid w:val="00A10F30"/>
    <w:rsid w:val="00A12AE5"/>
    <w:rsid w:val="00A15241"/>
    <w:rsid w:val="00A15CB2"/>
    <w:rsid w:val="00A22040"/>
    <w:rsid w:val="00A23EA1"/>
    <w:rsid w:val="00A24749"/>
    <w:rsid w:val="00A248EC"/>
    <w:rsid w:val="00A257AA"/>
    <w:rsid w:val="00A25AC1"/>
    <w:rsid w:val="00A25B6D"/>
    <w:rsid w:val="00A27310"/>
    <w:rsid w:val="00A30364"/>
    <w:rsid w:val="00A308A5"/>
    <w:rsid w:val="00A30984"/>
    <w:rsid w:val="00A31566"/>
    <w:rsid w:val="00A32549"/>
    <w:rsid w:val="00A325C7"/>
    <w:rsid w:val="00A32881"/>
    <w:rsid w:val="00A3322A"/>
    <w:rsid w:val="00A34620"/>
    <w:rsid w:val="00A34F6B"/>
    <w:rsid w:val="00A351CA"/>
    <w:rsid w:val="00A355E4"/>
    <w:rsid w:val="00A36146"/>
    <w:rsid w:val="00A369C7"/>
    <w:rsid w:val="00A36A55"/>
    <w:rsid w:val="00A36C1C"/>
    <w:rsid w:val="00A37F5A"/>
    <w:rsid w:val="00A37F99"/>
    <w:rsid w:val="00A44748"/>
    <w:rsid w:val="00A44BEA"/>
    <w:rsid w:val="00A47149"/>
    <w:rsid w:val="00A477C9"/>
    <w:rsid w:val="00A47C08"/>
    <w:rsid w:val="00A5033D"/>
    <w:rsid w:val="00A508B5"/>
    <w:rsid w:val="00A510AB"/>
    <w:rsid w:val="00A5593A"/>
    <w:rsid w:val="00A566AD"/>
    <w:rsid w:val="00A56C05"/>
    <w:rsid w:val="00A57A7B"/>
    <w:rsid w:val="00A57BE7"/>
    <w:rsid w:val="00A57DBE"/>
    <w:rsid w:val="00A607BC"/>
    <w:rsid w:val="00A6208B"/>
    <w:rsid w:val="00A6332F"/>
    <w:rsid w:val="00A63F59"/>
    <w:rsid w:val="00A64CA3"/>
    <w:rsid w:val="00A65F5A"/>
    <w:rsid w:val="00A663AD"/>
    <w:rsid w:val="00A670CE"/>
    <w:rsid w:val="00A67D48"/>
    <w:rsid w:val="00A67D93"/>
    <w:rsid w:val="00A70076"/>
    <w:rsid w:val="00A70D1D"/>
    <w:rsid w:val="00A7551A"/>
    <w:rsid w:val="00A77509"/>
    <w:rsid w:val="00A77640"/>
    <w:rsid w:val="00A83296"/>
    <w:rsid w:val="00A83CA1"/>
    <w:rsid w:val="00A8427D"/>
    <w:rsid w:val="00A85E1D"/>
    <w:rsid w:val="00A9092B"/>
    <w:rsid w:val="00A913FD"/>
    <w:rsid w:val="00A91F69"/>
    <w:rsid w:val="00A9200A"/>
    <w:rsid w:val="00A92924"/>
    <w:rsid w:val="00A92A4A"/>
    <w:rsid w:val="00A956DB"/>
    <w:rsid w:val="00A9581E"/>
    <w:rsid w:val="00A95D87"/>
    <w:rsid w:val="00AA0BF2"/>
    <w:rsid w:val="00AA190A"/>
    <w:rsid w:val="00AA1FCB"/>
    <w:rsid w:val="00AA3B31"/>
    <w:rsid w:val="00AA433A"/>
    <w:rsid w:val="00AA4382"/>
    <w:rsid w:val="00AA6DEB"/>
    <w:rsid w:val="00AB037B"/>
    <w:rsid w:val="00AB0C76"/>
    <w:rsid w:val="00AB17B5"/>
    <w:rsid w:val="00AB27F3"/>
    <w:rsid w:val="00AB29A6"/>
    <w:rsid w:val="00AB4DAC"/>
    <w:rsid w:val="00AB5C9C"/>
    <w:rsid w:val="00AB71EF"/>
    <w:rsid w:val="00AB7354"/>
    <w:rsid w:val="00AB74CB"/>
    <w:rsid w:val="00AB7B56"/>
    <w:rsid w:val="00AC093E"/>
    <w:rsid w:val="00AC13D1"/>
    <w:rsid w:val="00AC2F7D"/>
    <w:rsid w:val="00AC3E24"/>
    <w:rsid w:val="00AC440A"/>
    <w:rsid w:val="00AC6FE7"/>
    <w:rsid w:val="00AC71D8"/>
    <w:rsid w:val="00AD0301"/>
    <w:rsid w:val="00AD22F8"/>
    <w:rsid w:val="00AD2696"/>
    <w:rsid w:val="00AD29BB"/>
    <w:rsid w:val="00AD2A71"/>
    <w:rsid w:val="00AD505C"/>
    <w:rsid w:val="00AD5558"/>
    <w:rsid w:val="00AD5990"/>
    <w:rsid w:val="00AD6D9A"/>
    <w:rsid w:val="00AD72E7"/>
    <w:rsid w:val="00AE0BE5"/>
    <w:rsid w:val="00AE21B1"/>
    <w:rsid w:val="00AE3681"/>
    <w:rsid w:val="00AE3A9E"/>
    <w:rsid w:val="00AE3F64"/>
    <w:rsid w:val="00AE5A06"/>
    <w:rsid w:val="00AE66D4"/>
    <w:rsid w:val="00AE6C36"/>
    <w:rsid w:val="00AF0351"/>
    <w:rsid w:val="00AF06EF"/>
    <w:rsid w:val="00AF0F46"/>
    <w:rsid w:val="00AF1034"/>
    <w:rsid w:val="00AF1478"/>
    <w:rsid w:val="00AF1A71"/>
    <w:rsid w:val="00AF21C7"/>
    <w:rsid w:val="00AF38E6"/>
    <w:rsid w:val="00AF3C46"/>
    <w:rsid w:val="00AF4486"/>
    <w:rsid w:val="00AF4EDB"/>
    <w:rsid w:val="00AF54A3"/>
    <w:rsid w:val="00AF5906"/>
    <w:rsid w:val="00AF6158"/>
    <w:rsid w:val="00AF6816"/>
    <w:rsid w:val="00AF7049"/>
    <w:rsid w:val="00AF7797"/>
    <w:rsid w:val="00AF7B22"/>
    <w:rsid w:val="00B00210"/>
    <w:rsid w:val="00B008AE"/>
    <w:rsid w:val="00B00D1C"/>
    <w:rsid w:val="00B00D36"/>
    <w:rsid w:val="00B00F87"/>
    <w:rsid w:val="00B01A2D"/>
    <w:rsid w:val="00B01F67"/>
    <w:rsid w:val="00B022EE"/>
    <w:rsid w:val="00B04907"/>
    <w:rsid w:val="00B0689A"/>
    <w:rsid w:val="00B0799F"/>
    <w:rsid w:val="00B101FC"/>
    <w:rsid w:val="00B103B7"/>
    <w:rsid w:val="00B10465"/>
    <w:rsid w:val="00B10550"/>
    <w:rsid w:val="00B10C47"/>
    <w:rsid w:val="00B1288E"/>
    <w:rsid w:val="00B17211"/>
    <w:rsid w:val="00B17BB8"/>
    <w:rsid w:val="00B204CF"/>
    <w:rsid w:val="00B20A98"/>
    <w:rsid w:val="00B210A9"/>
    <w:rsid w:val="00B215DE"/>
    <w:rsid w:val="00B2248E"/>
    <w:rsid w:val="00B253B3"/>
    <w:rsid w:val="00B2541D"/>
    <w:rsid w:val="00B25F53"/>
    <w:rsid w:val="00B26659"/>
    <w:rsid w:val="00B26C3F"/>
    <w:rsid w:val="00B27EA0"/>
    <w:rsid w:val="00B27F06"/>
    <w:rsid w:val="00B30C90"/>
    <w:rsid w:val="00B31E57"/>
    <w:rsid w:val="00B32585"/>
    <w:rsid w:val="00B33A09"/>
    <w:rsid w:val="00B362E5"/>
    <w:rsid w:val="00B3640C"/>
    <w:rsid w:val="00B37541"/>
    <w:rsid w:val="00B3776F"/>
    <w:rsid w:val="00B378BB"/>
    <w:rsid w:val="00B37A82"/>
    <w:rsid w:val="00B41264"/>
    <w:rsid w:val="00B41C50"/>
    <w:rsid w:val="00B4245B"/>
    <w:rsid w:val="00B43BC6"/>
    <w:rsid w:val="00B43C18"/>
    <w:rsid w:val="00B43EC2"/>
    <w:rsid w:val="00B44789"/>
    <w:rsid w:val="00B4534A"/>
    <w:rsid w:val="00B45815"/>
    <w:rsid w:val="00B45BAA"/>
    <w:rsid w:val="00B460B3"/>
    <w:rsid w:val="00B464C7"/>
    <w:rsid w:val="00B466D5"/>
    <w:rsid w:val="00B470F3"/>
    <w:rsid w:val="00B50251"/>
    <w:rsid w:val="00B502CC"/>
    <w:rsid w:val="00B50BA6"/>
    <w:rsid w:val="00B519F1"/>
    <w:rsid w:val="00B536C2"/>
    <w:rsid w:val="00B553D5"/>
    <w:rsid w:val="00B57793"/>
    <w:rsid w:val="00B6136C"/>
    <w:rsid w:val="00B62EAA"/>
    <w:rsid w:val="00B66661"/>
    <w:rsid w:val="00B66B2A"/>
    <w:rsid w:val="00B66E74"/>
    <w:rsid w:val="00B70FCB"/>
    <w:rsid w:val="00B711CA"/>
    <w:rsid w:val="00B721E8"/>
    <w:rsid w:val="00B77266"/>
    <w:rsid w:val="00B777C6"/>
    <w:rsid w:val="00B80198"/>
    <w:rsid w:val="00B80444"/>
    <w:rsid w:val="00B81C0F"/>
    <w:rsid w:val="00B81E7E"/>
    <w:rsid w:val="00B822EF"/>
    <w:rsid w:val="00B92C98"/>
    <w:rsid w:val="00B94A44"/>
    <w:rsid w:val="00B94F90"/>
    <w:rsid w:val="00B96651"/>
    <w:rsid w:val="00BA08C9"/>
    <w:rsid w:val="00BA12B0"/>
    <w:rsid w:val="00BA14EB"/>
    <w:rsid w:val="00BA192B"/>
    <w:rsid w:val="00BA305D"/>
    <w:rsid w:val="00BA47AA"/>
    <w:rsid w:val="00BA669B"/>
    <w:rsid w:val="00BA6C78"/>
    <w:rsid w:val="00BA7362"/>
    <w:rsid w:val="00BB0945"/>
    <w:rsid w:val="00BB10EC"/>
    <w:rsid w:val="00BB1164"/>
    <w:rsid w:val="00BB12A8"/>
    <w:rsid w:val="00BB12ED"/>
    <w:rsid w:val="00BB130C"/>
    <w:rsid w:val="00BB20E6"/>
    <w:rsid w:val="00BB288E"/>
    <w:rsid w:val="00BB2CD0"/>
    <w:rsid w:val="00BB2F6B"/>
    <w:rsid w:val="00BB2FC8"/>
    <w:rsid w:val="00BB4794"/>
    <w:rsid w:val="00BB4A39"/>
    <w:rsid w:val="00BB5C0B"/>
    <w:rsid w:val="00BB782F"/>
    <w:rsid w:val="00BC1582"/>
    <w:rsid w:val="00BC271B"/>
    <w:rsid w:val="00BC2EFB"/>
    <w:rsid w:val="00BC32E9"/>
    <w:rsid w:val="00BC33EB"/>
    <w:rsid w:val="00BC43F5"/>
    <w:rsid w:val="00BC4CAC"/>
    <w:rsid w:val="00BC5610"/>
    <w:rsid w:val="00BC6EB7"/>
    <w:rsid w:val="00BD0261"/>
    <w:rsid w:val="00BD07BC"/>
    <w:rsid w:val="00BD08C7"/>
    <w:rsid w:val="00BD0A95"/>
    <w:rsid w:val="00BD1026"/>
    <w:rsid w:val="00BD203F"/>
    <w:rsid w:val="00BD2AF9"/>
    <w:rsid w:val="00BD36D4"/>
    <w:rsid w:val="00BD428E"/>
    <w:rsid w:val="00BD4485"/>
    <w:rsid w:val="00BD743F"/>
    <w:rsid w:val="00BE3825"/>
    <w:rsid w:val="00BE488E"/>
    <w:rsid w:val="00BE5B3E"/>
    <w:rsid w:val="00BE6413"/>
    <w:rsid w:val="00BF0430"/>
    <w:rsid w:val="00BF1F79"/>
    <w:rsid w:val="00BF3410"/>
    <w:rsid w:val="00BF3D08"/>
    <w:rsid w:val="00BF3E42"/>
    <w:rsid w:val="00BF426E"/>
    <w:rsid w:val="00BF49BB"/>
    <w:rsid w:val="00BF5998"/>
    <w:rsid w:val="00BF7897"/>
    <w:rsid w:val="00C0079A"/>
    <w:rsid w:val="00C01E70"/>
    <w:rsid w:val="00C02206"/>
    <w:rsid w:val="00C05285"/>
    <w:rsid w:val="00C06C0A"/>
    <w:rsid w:val="00C06E40"/>
    <w:rsid w:val="00C103AE"/>
    <w:rsid w:val="00C10894"/>
    <w:rsid w:val="00C10C34"/>
    <w:rsid w:val="00C12094"/>
    <w:rsid w:val="00C127B3"/>
    <w:rsid w:val="00C12CE5"/>
    <w:rsid w:val="00C130D1"/>
    <w:rsid w:val="00C14DA1"/>
    <w:rsid w:val="00C150F4"/>
    <w:rsid w:val="00C151B0"/>
    <w:rsid w:val="00C15488"/>
    <w:rsid w:val="00C16CDF"/>
    <w:rsid w:val="00C176E8"/>
    <w:rsid w:val="00C17D0A"/>
    <w:rsid w:val="00C20B7C"/>
    <w:rsid w:val="00C21513"/>
    <w:rsid w:val="00C215E1"/>
    <w:rsid w:val="00C228A7"/>
    <w:rsid w:val="00C22DC8"/>
    <w:rsid w:val="00C24E6D"/>
    <w:rsid w:val="00C266EF"/>
    <w:rsid w:val="00C26925"/>
    <w:rsid w:val="00C26FB6"/>
    <w:rsid w:val="00C27F00"/>
    <w:rsid w:val="00C32FCC"/>
    <w:rsid w:val="00C332AD"/>
    <w:rsid w:val="00C339DB"/>
    <w:rsid w:val="00C33AE6"/>
    <w:rsid w:val="00C33B35"/>
    <w:rsid w:val="00C343EF"/>
    <w:rsid w:val="00C356C0"/>
    <w:rsid w:val="00C35E42"/>
    <w:rsid w:val="00C37E99"/>
    <w:rsid w:val="00C41A11"/>
    <w:rsid w:val="00C41F9F"/>
    <w:rsid w:val="00C4401F"/>
    <w:rsid w:val="00C454E3"/>
    <w:rsid w:val="00C45674"/>
    <w:rsid w:val="00C45835"/>
    <w:rsid w:val="00C45E0E"/>
    <w:rsid w:val="00C50C3D"/>
    <w:rsid w:val="00C53609"/>
    <w:rsid w:val="00C5485C"/>
    <w:rsid w:val="00C56991"/>
    <w:rsid w:val="00C56B58"/>
    <w:rsid w:val="00C606F7"/>
    <w:rsid w:val="00C6147A"/>
    <w:rsid w:val="00C61578"/>
    <w:rsid w:val="00C61ADA"/>
    <w:rsid w:val="00C63440"/>
    <w:rsid w:val="00C6424D"/>
    <w:rsid w:val="00C6515F"/>
    <w:rsid w:val="00C66A60"/>
    <w:rsid w:val="00C70090"/>
    <w:rsid w:val="00C7043F"/>
    <w:rsid w:val="00C71AAB"/>
    <w:rsid w:val="00C71EC4"/>
    <w:rsid w:val="00C73873"/>
    <w:rsid w:val="00C75808"/>
    <w:rsid w:val="00C7580B"/>
    <w:rsid w:val="00C802C6"/>
    <w:rsid w:val="00C81367"/>
    <w:rsid w:val="00C819BF"/>
    <w:rsid w:val="00C8283C"/>
    <w:rsid w:val="00C85CD8"/>
    <w:rsid w:val="00C86160"/>
    <w:rsid w:val="00C863B4"/>
    <w:rsid w:val="00C86A4D"/>
    <w:rsid w:val="00C878FE"/>
    <w:rsid w:val="00C905C3"/>
    <w:rsid w:val="00C92A73"/>
    <w:rsid w:val="00C96F8B"/>
    <w:rsid w:val="00C970ED"/>
    <w:rsid w:val="00CA08F8"/>
    <w:rsid w:val="00CA12CC"/>
    <w:rsid w:val="00CA43BB"/>
    <w:rsid w:val="00CA4AD2"/>
    <w:rsid w:val="00CA5F38"/>
    <w:rsid w:val="00CA6D1B"/>
    <w:rsid w:val="00CA6DA2"/>
    <w:rsid w:val="00CA7DC8"/>
    <w:rsid w:val="00CB019D"/>
    <w:rsid w:val="00CB0817"/>
    <w:rsid w:val="00CB1A8F"/>
    <w:rsid w:val="00CB3E4E"/>
    <w:rsid w:val="00CB430F"/>
    <w:rsid w:val="00CB5A5A"/>
    <w:rsid w:val="00CB5DA3"/>
    <w:rsid w:val="00CB77AA"/>
    <w:rsid w:val="00CB7ED2"/>
    <w:rsid w:val="00CC01ED"/>
    <w:rsid w:val="00CC118C"/>
    <w:rsid w:val="00CC15A1"/>
    <w:rsid w:val="00CC15A4"/>
    <w:rsid w:val="00CC32C7"/>
    <w:rsid w:val="00CC3C0D"/>
    <w:rsid w:val="00CC4309"/>
    <w:rsid w:val="00CC567B"/>
    <w:rsid w:val="00CC5AFC"/>
    <w:rsid w:val="00CC6289"/>
    <w:rsid w:val="00CC6296"/>
    <w:rsid w:val="00CC6860"/>
    <w:rsid w:val="00CD0653"/>
    <w:rsid w:val="00CD359D"/>
    <w:rsid w:val="00CD3691"/>
    <w:rsid w:val="00CD3E92"/>
    <w:rsid w:val="00CD3F81"/>
    <w:rsid w:val="00CD493B"/>
    <w:rsid w:val="00CD49A0"/>
    <w:rsid w:val="00CD5A7A"/>
    <w:rsid w:val="00CD6510"/>
    <w:rsid w:val="00CD78A9"/>
    <w:rsid w:val="00CE0189"/>
    <w:rsid w:val="00CE0530"/>
    <w:rsid w:val="00CE05F9"/>
    <w:rsid w:val="00CE195C"/>
    <w:rsid w:val="00CE367B"/>
    <w:rsid w:val="00CE37A6"/>
    <w:rsid w:val="00CE4EE7"/>
    <w:rsid w:val="00CE5560"/>
    <w:rsid w:val="00CF077A"/>
    <w:rsid w:val="00CF208F"/>
    <w:rsid w:val="00CF22D4"/>
    <w:rsid w:val="00CF2E18"/>
    <w:rsid w:val="00CF34A1"/>
    <w:rsid w:val="00CF4912"/>
    <w:rsid w:val="00CF54ED"/>
    <w:rsid w:val="00CF572B"/>
    <w:rsid w:val="00CF64D2"/>
    <w:rsid w:val="00D00BC1"/>
    <w:rsid w:val="00D01098"/>
    <w:rsid w:val="00D01F68"/>
    <w:rsid w:val="00D02495"/>
    <w:rsid w:val="00D025A7"/>
    <w:rsid w:val="00D03E8D"/>
    <w:rsid w:val="00D03F79"/>
    <w:rsid w:val="00D045DB"/>
    <w:rsid w:val="00D05190"/>
    <w:rsid w:val="00D06BE7"/>
    <w:rsid w:val="00D06D42"/>
    <w:rsid w:val="00D1027F"/>
    <w:rsid w:val="00D10703"/>
    <w:rsid w:val="00D113B3"/>
    <w:rsid w:val="00D1245F"/>
    <w:rsid w:val="00D143ED"/>
    <w:rsid w:val="00D1466A"/>
    <w:rsid w:val="00D1767E"/>
    <w:rsid w:val="00D217A6"/>
    <w:rsid w:val="00D25A44"/>
    <w:rsid w:val="00D25E30"/>
    <w:rsid w:val="00D260F9"/>
    <w:rsid w:val="00D2667F"/>
    <w:rsid w:val="00D27825"/>
    <w:rsid w:val="00D311EE"/>
    <w:rsid w:val="00D3209A"/>
    <w:rsid w:val="00D3249E"/>
    <w:rsid w:val="00D326F5"/>
    <w:rsid w:val="00D33511"/>
    <w:rsid w:val="00D3680E"/>
    <w:rsid w:val="00D37A44"/>
    <w:rsid w:val="00D4047F"/>
    <w:rsid w:val="00D40EE0"/>
    <w:rsid w:val="00D41C33"/>
    <w:rsid w:val="00D43113"/>
    <w:rsid w:val="00D436B6"/>
    <w:rsid w:val="00D43B94"/>
    <w:rsid w:val="00D43EEE"/>
    <w:rsid w:val="00D44E53"/>
    <w:rsid w:val="00D4586E"/>
    <w:rsid w:val="00D46675"/>
    <w:rsid w:val="00D50A01"/>
    <w:rsid w:val="00D50E73"/>
    <w:rsid w:val="00D5118B"/>
    <w:rsid w:val="00D51476"/>
    <w:rsid w:val="00D51D53"/>
    <w:rsid w:val="00D51D5C"/>
    <w:rsid w:val="00D51E68"/>
    <w:rsid w:val="00D6002D"/>
    <w:rsid w:val="00D63B53"/>
    <w:rsid w:val="00D65BB4"/>
    <w:rsid w:val="00D67069"/>
    <w:rsid w:val="00D6796D"/>
    <w:rsid w:val="00D7090A"/>
    <w:rsid w:val="00D713D9"/>
    <w:rsid w:val="00D72160"/>
    <w:rsid w:val="00D7479F"/>
    <w:rsid w:val="00D75E4D"/>
    <w:rsid w:val="00D80107"/>
    <w:rsid w:val="00D8039A"/>
    <w:rsid w:val="00D8043F"/>
    <w:rsid w:val="00D8130E"/>
    <w:rsid w:val="00D8253F"/>
    <w:rsid w:val="00D85612"/>
    <w:rsid w:val="00D8702B"/>
    <w:rsid w:val="00D87AE1"/>
    <w:rsid w:val="00D87D96"/>
    <w:rsid w:val="00D906D1"/>
    <w:rsid w:val="00D90F5F"/>
    <w:rsid w:val="00D91695"/>
    <w:rsid w:val="00D94734"/>
    <w:rsid w:val="00D94C82"/>
    <w:rsid w:val="00D97A8C"/>
    <w:rsid w:val="00D97B08"/>
    <w:rsid w:val="00DA28BD"/>
    <w:rsid w:val="00DA470C"/>
    <w:rsid w:val="00DA754B"/>
    <w:rsid w:val="00DA7A5F"/>
    <w:rsid w:val="00DB00E5"/>
    <w:rsid w:val="00DB0468"/>
    <w:rsid w:val="00DB0BEB"/>
    <w:rsid w:val="00DB0E3C"/>
    <w:rsid w:val="00DB197D"/>
    <w:rsid w:val="00DB3E55"/>
    <w:rsid w:val="00DB4BB6"/>
    <w:rsid w:val="00DB4CDE"/>
    <w:rsid w:val="00DB60CE"/>
    <w:rsid w:val="00DB6C03"/>
    <w:rsid w:val="00DC0F79"/>
    <w:rsid w:val="00DC152E"/>
    <w:rsid w:val="00DC171E"/>
    <w:rsid w:val="00DC1E55"/>
    <w:rsid w:val="00DC2430"/>
    <w:rsid w:val="00DC2438"/>
    <w:rsid w:val="00DC351C"/>
    <w:rsid w:val="00DC397F"/>
    <w:rsid w:val="00DC44B1"/>
    <w:rsid w:val="00DC5A2A"/>
    <w:rsid w:val="00DC6285"/>
    <w:rsid w:val="00DC6C4B"/>
    <w:rsid w:val="00DD4128"/>
    <w:rsid w:val="00DD4422"/>
    <w:rsid w:val="00DD454D"/>
    <w:rsid w:val="00DD70AF"/>
    <w:rsid w:val="00DD73D8"/>
    <w:rsid w:val="00DE0170"/>
    <w:rsid w:val="00DE1144"/>
    <w:rsid w:val="00DE13DE"/>
    <w:rsid w:val="00DE3439"/>
    <w:rsid w:val="00DE3B39"/>
    <w:rsid w:val="00DE4246"/>
    <w:rsid w:val="00DE4D09"/>
    <w:rsid w:val="00DE56CC"/>
    <w:rsid w:val="00DE6670"/>
    <w:rsid w:val="00DE71F4"/>
    <w:rsid w:val="00DE77DD"/>
    <w:rsid w:val="00DF011E"/>
    <w:rsid w:val="00DF0EF8"/>
    <w:rsid w:val="00DF1321"/>
    <w:rsid w:val="00DF149A"/>
    <w:rsid w:val="00DF215E"/>
    <w:rsid w:val="00DF2462"/>
    <w:rsid w:val="00DF332A"/>
    <w:rsid w:val="00DF568C"/>
    <w:rsid w:val="00DF5D66"/>
    <w:rsid w:val="00DF63DF"/>
    <w:rsid w:val="00DF66CD"/>
    <w:rsid w:val="00DF673B"/>
    <w:rsid w:val="00DF6879"/>
    <w:rsid w:val="00DF6A40"/>
    <w:rsid w:val="00DF7336"/>
    <w:rsid w:val="00E0404B"/>
    <w:rsid w:val="00E0445C"/>
    <w:rsid w:val="00E044E1"/>
    <w:rsid w:val="00E04B45"/>
    <w:rsid w:val="00E0629A"/>
    <w:rsid w:val="00E06706"/>
    <w:rsid w:val="00E0690D"/>
    <w:rsid w:val="00E0724D"/>
    <w:rsid w:val="00E07FD8"/>
    <w:rsid w:val="00E1077C"/>
    <w:rsid w:val="00E111D5"/>
    <w:rsid w:val="00E1152A"/>
    <w:rsid w:val="00E11645"/>
    <w:rsid w:val="00E152CF"/>
    <w:rsid w:val="00E17DD1"/>
    <w:rsid w:val="00E2045E"/>
    <w:rsid w:val="00E21C16"/>
    <w:rsid w:val="00E22F31"/>
    <w:rsid w:val="00E24D7C"/>
    <w:rsid w:val="00E25A4C"/>
    <w:rsid w:val="00E2622B"/>
    <w:rsid w:val="00E27FAA"/>
    <w:rsid w:val="00E30954"/>
    <w:rsid w:val="00E33421"/>
    <w:rsid w:val="00E336A3"/>
    <w:rsid w:val="00E340EA"/>
    <w:rsid w:val="00E34829"/>
    <w:rsid w:val="00E34969"/>
    <w:rsid w:val="00E360F9"/>
    <w:rsid w:val="00E36AF4"/>
    <w:rsid w:val="00E408EE"/>
    <w:rsid w:val="00E40992"/>
    <w:rsid w:val="00E42423"/>
    <w:rsid w:val="00E42E1A"/>
    <w:rsid w:val="00E44E9A"/>
    <w:rsid w:val="00E52A4D"/>
    <w:rsid w:val="00E5409A"/>
    <w:rsid w:val="00E54B00"/>
    <w:rsid w:val="00E56CBE"/>
    <w:rsid w:val="00E56D1E"/>
    <w:rsid w:val="00E57A6C"/>
    <w:rsid w:val="00E57F29"/>
    <w:rsid w:val="00E606C1"/>
    <w:rsid w:val="00E6185E"/>
    <w:rsid w:val="00E65807"/>
    <w:rsid w:val="00E67D51"/>
    <w:rsid w:val="00E71160"/>
    <w:rsid w:val="00E71818"/>
    <w:rsid w:val="00E72E1E"/>
    <w:rsid w:val="00E73EF7"/>
    <w:rsid w:val="00E751AA"/>
    <w:rsid w:val="00E75747"/>
    <w:rsid w:val="00E76BB2"/>
    <w:rsid w:val="00E822A2"/>
    <w:rsid w:val="00E83728"/>
    <w:rsid w:val="00E83CEE"/>
    <w:rsid w:val="00E83CF2"/>
    <w:rsid w:val="00E83E8B"/>
    <w:rsid w:val="00E84B04"/>
    <w:rsid w:val="00E85C74"/>
    <w:rsid w:val="00E865BC"/>
    <w:rsid w:val="00E90378"/>
    <w:rsid w:val="00E929E7"/>
    <w:rsid w:val="00E92A43"/>
    <w:rsid w:val="00E930A4"/>
    <w:rsid w:val="00E937CA"/>
    <w:rsid w:val="00E9465F"/>
    <w:rsid w:val="00E94C5B"/>
    <w:rsid w:val="00E94CB4"/>
    <w:rsid w:val="00E94F0C"/>
    <w:rsid w:val="00E9516A"/>
    <w:rsid w:val="00E9690E"/>
    <w:rsid w:val="00E96A51"/>
    <w:rsid w:val="00E96B1B"/>
    <w:rsid w:val="00E96D51"/>
    <w:rsid w:val="00E97093"/>
    <w:rsid w:val="00EA05A4"/>
    <w:rsid w:val="00EA0E2C"/>
    <w:rsid w:val="00EA125B"/>
    <w:rsid w:val="00EA2168"/>
    <w:rsid w:val="00EA3B60"/>
    <w:rsid w:val="00EA445C"/>
    <w:rsid w:val="00EA712C"/>
    <w:rsid w:val="00EA7975"/>
    <w:rsid w:val="00EB1297"/>
    <w:rsid w:val="00EB1CB9"/>
    <w:rsid w:val="00EB24E7"/>
    <w:rsid w:val="00EB347E"/>
    <w:rsid w:val="00EB4811"/>
    <w:rsid w:val="00EB58BA"/>
    <w:rsid w:val="00EB5B69"/>
    <w:rsid w:val="00EB5D1D"/>
    <w:rsid w:val="00EC07DB"/>
    <w:rsid w:val="00EC0B61"/>
    <w:rsid w:val="00EC16D9"/>
    <w:rsid w:val="00EC1804"/>
    <w:rsid w:val="00EC1C73"/>
    <w:rsid w:val="00EC242E"/>
    <w:rsid w:val="00EC39AA"/>
    <w:rsid w:val="00EC6787"/>
    <w:rsid w:val="00EC7E3D"/>
    <w:rsid w:val="00ED04DF"/>
    <w:rsid w:val="00ED098D"/>
    <w:rsid w:val="00ED14D8"/>
    <w:rsid w:val="00ED3B60"/>
    <w:rsid w:val="00ED3DFF"/>
    <w:rsid w:val="00ED3FC7"/>
    <w:rsid w:val="00ED49B2"/>
    <w:rsid w:val="00ED49D6"/>
    <w:rsid w:val="00ED66F5"/>
    <w:rsid w:val="00ED7C65"/>
    <w:rsid w:val="00ED7C83"/>
    <w:rsid w:val="00EE0A5B"/>
    <w:rsid w:val="00EE1614"/>
    <w:rsid w:val="00EE2D19"/>
    <w:rsid w:val="00EE3BC4"/>
    <w:rsid w:val="00EE57AC"/>
    <w:rsid w:val="00EF0F62"/>
    <w:rsid w:val="00EF1E3E"/>
    <w:rsid w:val="00EF1EE3"/>
    <w:rsid w:val="00EF2325"/>
    <w:rsid w:val="00EF2532"/>
    <w:rsid w:val="00EF3B86"/>
    <w:rsid w:val="00EF459C"/>
    <w:rsid w:val="00EF48BA"/>
    <w:rsid w:val="00EF6A47"/>
    <w:rsid w:val="00EF6B2E"/>
    <w:rsid w:val="00EF701A"/>
    <w:rsid w:val="00EF75EB"/>
    <w:rsid w:val="00EF773D"/>
    <w:rsid w:val="00EF7A94"/>
    <w:rsid w:val="00F036B0"/>
    <w:rsid w:val="00F05F23"/>
    <w:rsid w:val="00F0625C"/>
    <w:rsid w:val="00F07692"/>
    <w:rsid w:val="00F07F3C"/>
    <w:rsid w:val="00F11D2B"/>
    <w:rsid w:val="00F125EE"/>
    <w:rsid w:val="00F1310D"/>
    <w:rsid w:val="00F131AA"/>
    <w:rsid w:val="00F17AD6"/>
    <w:rsid w:val="00F21C95"/>
    <w:rsid w:val="00F224E2"/>
    <w:rsid w:val="00F226CF"/>
    <w:rsid w:val="00F22C7B"/>
    <w:rsid w:val="00F22E6A"/>
    <w:rsid w:val="00F2300B"/>
    <w:rsid w:val="00F23173"/>
    <w:rsid w:val="00F268EE"/>
    <w:rsid w:val="00F27915"/>
    <w:rsid w:val="00F309E0"/>
    <w:rsid w:val="00F32B4B"/>
    <w:rsid w:val="00F36009"/>
    <w:rsid w:val="00F361C1"/>
    <w:rsid w:val="00F36359"/>
    <w:rsid w:val="00F364D7"/>
    <w:rsid w:val="00F405B7"/>
    <w:rsid w:val="00F410B3"/>
    <w:rsid w:val="00F4165F"/>
    <w:rsid w:val="00F4358A"/>
    <w:rsid w:val="00F439D9"/>
    <w:rsid w:val="00F43A6B"/>
    <w:rsid w:val="00F44303"/>
    <w:rsid w:val="00F45360"/>
    <w:rsid w:val="00F460E1"/>
    <w:rsid w:val="00F510EA"/>
    <w:rsid w:val="00F52A04"/>
    <w:rsid w:val="00F5381E"/>
    <w:rsid w:val="00F53A51"/>
    <w:rsid w:val="00F53E5B"/>
    <w:rsid w:val="00F54CF5"/>
    <w:rsid w:val="00F55670"/>
    <w:rsid w:val="00F57DCE"/>
    <w:rsid w:val="00F602E1"/>
    <w:rsid w:val="00F61B7A"/>
    <w:rsid w:val="00F61EDB"/>
    <w:rsid w:val="00F629A4"/>
    <w:rsid w:val="00F633BF"/>
    <w:rsid w:val="00F659CA"/>
    <w:rsid w:val="00F676B0"/>
    <w:rsid w:val="00F707F6"/>
    <w:rsid w:val="00F70C25"/>
    <w:rsid w:val="00F70D3B"/>
    <w:rsid w:val="00F71A76"/>
    <w:rsid w:val="00F737F3"/>
    <w:rsid w:val="00F7444E"/>
    <w:rsid w:val="00F748BB"/>
    <w:rsid w:val="00F74BD9"/>
    <w:rsid w:val="00F75C4D"/>
    <w:rsid w:val="00F75DDE"/>
    <w:rsid w:val="00F76949"/>
    <w:rsid w:val="00F7767D"/>
    <w:rsid w:val="00F80EA9"/>
    <w:rsid w:val="00F81232"/>
    <w:rsid w:val="00F82883"/>
    <w:rsid w:val="00F82C30"/>
    <w:rsid w:val="00F83F00"/>
    <w:rsid w:val="00F84E05"/>
    <w:rsid w:val="00F856C6"/>
    <w:rsid w:val="00F87C6C"/>
    <w:rsid w:val="00F901BC"/>
    <w:rsid w:val="00F9054F"/>
    <w:rsid w:val="00F906A6"/>
    <w:rsid w:val="00F909F4"/>
    <w:rsid w:val="00F90D6B"/>
    <w:rsid w:val="00F91FD0"/>
    <w:rsid w:val="00F92407"/>
    <w:rsid w:val="00F93206"/>
    <w:rsid w:val="00F932DD"/>
    <w:rsid w:val="00F93BD0"/>
    <w:rsid w:val="00F956E5"/>
    <w:rsid w:val="00F95964"/>
    <w:rsid w:val="00F969B5"/>
    <w:rsid w:val="00F97A03"/>
    <w:rsid w:val="00F97A2D"/>
    <w:rsid w:val="00FA0035"/>
    <w:rsid w:val="00FA1F69"/>
    <w:rsid w:val="00FA2451"/>
    <w:rsid w:val="00FA36E4"/>
    <w:rsid w:val="00FA62E5"/>
    <w:rsid w:val="00FA7DE7"/>
    <w:rsid w:val="00FB0441"/>
    <w:rsid w:val="00FB18D9"/>
    <w:rsid w:val="00FB2023"/>
    <w:rsid w:val="00FB32E9"/>
    <w:rsid w:val="00FB3475"/>
    <w:rsid w:val="00FB440C"/>
    <w:rsid w:val="00FB54FB"/>
    <w:rsid w:val="00FB5D38"/>
    <w:rsid w:val="00FB64B7"/>
    <w:rsid w:val="00FB64BF"/>
    <w:rsid w:val="00FB6ABD"/>
    <w:rsid w:val="00FC0459"/>
    <w:rsid w:val="00FC105D"/>
    <w:rsid w:val="00FC1D99"/>
    <w:rsid w:val="00FC3D73"/>
    <w:rsid w:val="00FC4A15"/>
    <w:rsid w:val="00FC5BFD"/>
    <w:rsid w:val="00FC6E0D"/>
    <w:rsid w:val="00FC6E86"/>
    <w:rsid w:val="00FD1356"/>
    <w:rsid w:val="00FD15EA"/>
    <w:rsid w:val="00FD264C"/>
    <w:rsid w:val="00FD2FD7"/>
    <w:rsid w:val="00FD3681"/>
    <w:rsid w:val="00FD4CD0"/>
    <w:rsid w:val="00FD54F0"/>
    <w:rsid w:val="00FD596E"/>
    <w:rsid w:val="00FD5F8A"/>
    <w:rsid w:val="00FD75EA"/>
    <w:rsid w:val="00FD76A4"/>
    <w:rsid w:val="00FE040D"/>
    <w:rsid w:val="00FE0656"/>
    <w:rsid w:val="00FE07B5"/>
    <w:rsid w:val="00FE1BAB"/>
    <w:rsid w:val="00FE1D8E"/>
    <w:rsid w:val="00FE240B"/>
    <w:rsid w:val="00FE247D"/>
    <w:rsid w:val="00FE3C9D"/>
    <w:rsid w:val="00FE5616"/>
    <w:rsid w:val="00FE66BA"/>
    <w:rsid w:val="00FE6787"/>
    <w:rsid w:val="00FF011B"/>
    <w:rsid w:val="00FF0390"/>
    <w:rsid w:val="00FF0DF0"/>
    <w:rsid w:val="00FF1AD6"/>
    <w:rsid w:val="00FF2B4F"/>
    <w:rsid w:val="00FF2B89"/>
    <w:rsid w:val="00FF2BBD"/>
    <w:rsid w:val="00FF5FAF"/>
    <w:rsid w:val="00FF64E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FA8"/>
    <w:pPr>
      <w:jc w:val="both"/>
    </w:pPr>
    <w:rPr>
      <w:rFonts w:ascii="Arial" w:eastAsia="楷体_GB2312" w:hAnsi="Arial"/>
      <w:sz w:val="18"/>
      <w:lang w:val="en-GB" w:eastAsia="zh-CN" w:bidi="ar-SA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spacing w:after="120"/>
      <w:ind w:left="2552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BodyText"/>
    <w:qFormat/>
    <w:pPr>
      <w:spacing w:before="120" w:after="120"/>
      <w:ind w:left="2552"/>
      <w:outlineLvl w:val="2"/>
    </w:pPr>
    <w:rPr>
      <w:b/>
      <w:bCs/>
      <w:color w:val="0000FF"/>
    </w:rPr>
  </w:style>
  <w:style w:type="paragraph" w:styleId="Heading4">
    <w:name w:val="heading 4"/>
    <w:basedOn w:val="Normal"/>
    <w:next w:val="BodyText"/>
    <w:qFormat/>
    <w:pPr>
      <w:keepNext/>
      <w:spacing w:before="120"/>
      <w:ind w:left="2552"/>
      <w:outlineLvl w:val="3"/>
    </w:pPr>
    <w:rPr>
      <w:b/>
      <w:bCs/>
      <w:sz w:val="18"/>
      <w:szCs w:val="18"/>
    </w:rPr>
  </w:style>
  <w:style w:type="paragraph" w:styleId="Heading5">
    <w:name w:val="heading 5"/>
    <w:basedOn w:val="Normal"/>
    <w:next w:val="Normal"/>
    <w:qFormat/>
    <w:pPr>
      <w:keepNext/>
      <w:framePr w:hSpace="180" w:vAnchor="text" w:hAnchor="page" w:x="1182" w:y="2599"/>
      <w:spacing w:before="40" w:after="200"/>
      <w:outlineLvl w:val="4"/>
    </w:pPr>
    <w:rPr>
      <w:i/>
      <w:iCs/>
      <w:sz w:val="16"/>
      <w:szCs w:val="16"/>
    </w:rPr>
  </w:style>
  <w:style w:type="paragraph" w:styleId="Heading6">
    <w:name w:val="heading 6"/>
    <w:basedOn w:val="Normal"/>
    <w:next w:val="Normal"/>
    <w:qFormat/>
    <w:pPr>
      <w:keepNext/>
      <w:ind w:left="112"/>
      <w:outlineLvl w:val="5"/>
    </w:pPr>
    <w:rPr>
      <w:b/>
      <w:bCs/>
      <w:color w:val="000000"/>
      <w:sz w:val="16"/>
      <w:szCs w:val="16"/>
      <w:lang w:val="en-AU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bCs/>
      <w:color w:val="000000"/>
      <w:sz w:val="15"/>
      <w:szCs w:val="15"/>
      <w:lang w:val="en-AU"/>
    </w:rPr>
  </w:style>
  <w:style w:type="paragraph" w:styleId="Heading8">
    <w:name w:val="heading 8"/>
    <w:basedOn w:val="Normal"/>
    <w:next w:val="Normal"/>
    <w:qFormat/>
    <w:pPr>
      <w:keepNext/>
      <w:spacing w:before="80" w:after="40"/>
      <w:ind w:left="86"/>
      <w:jc w:val="left"/>
      <w:outlineLvl w:val="7"/>
    </w:pPr>
    <w:rPr>
      <w:b/>
      <w:bCs/>
      <w:color w:val="000000"/>
      <w:sz w:val="16"/>
      <w:szCs w:val="16"/>
      <w:lang w:val="en-AU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Lucida Sans" w:hAnsi="Lucida Sans"/>
      <w:b/>
      <w:bCs/>
      <w:color w:val="000000"/>
      <w:sz w:val="14"/>
      <w:szCs w:val="1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link w:val="Char"/>
    <w:pPr>
      <w:spacing w:after="120" w:line="240" w:lineRule="exact"/>
      <w:ind w:left="3402"/>
    </w:pPr>
    <w:rPr>
      <w:color w:val="000000"/>
      <w:sz w:val="21"/>
      <w:lang w:eastAsia="x-none"/>
    </w:rPr>
  </w:style>
  <w:style w:type="paragraph" w:customStyle="1" w:styleId="Contact">
    <w:name w:val="Contact"/>
    <w:basedOn w:val="Normal"/>
    <w:pPr>
      <w:framePr w:w="2285" w:h="289" w:hRule="atLeast" w:hSpace="210" w:vAnchor="page" w:hAnchor="page" w:x="901" w:y="3571" w:anchorLock="1"/>
    </w:pPr>
    <w:rPr>
      <w:color w:val="000000"/>
      <w:sz w:val="16"/>
      <w:szCs w:val="16"/>
    </w:rPr>
  </w:style>
  <w:style w:type="paragraph" w:styleId="Footer">
    <w:name w:val="footer"/>
    <w:basedOn w:val="Normal"/>
    <w:pPr>
      <w:pBdr>
        <w:top w:val="single" w:sz="6" w:space="1" w:color="FF0000"/>
      </w:pBdr>
      <w:tabs>
        <w:tab w:val="right" w:pos="10206"/>
      </w:tabs>
    </w:pPr>
    <w:rPr>
      <w:color w:val="000000"/>
      <w:sz w:val="14"/>
      <w:szCs w:val="14"/>
      <w:lang w:val="en-US"/>
    </w:rPr>
  </w:style>
  <w:style w:type="paragraph" w:customStyle="1" w:styleId="FootnoteNoline">
    <w:name w:val="FootnoteNoline"/>
    <w:basedOn w:val="Normal"/>
    <w:next w:val="BodyText"/>
    <w:rsid w:val="00ED098D"/>
    <w:pPr>
      <w:tabs>
        <w:tab w:val="right" w:pos="10065"/>
      </w:tabs>
      <w:spacing w:before="40" w:after="160"/>
      <w:ind w:left="3402"/>
    </w:pPr>
    <w:rPr>
      <w:rFonts w:cs="Arial"/>
      <w:color w:val="000000"/>
      <w:sz w:val="15"/>
      <w:szCs w:val="14"/>
    </w:rPr>
  </w:style>
  <w:style w:type="paragraph" w:customStyle="1" w:styleId="Table">
    <w:name w:val="Table"/>
    <w:basedOn w:val="Normal"/>
    <w:pPr>
      <w:spacing w:before="20" w:after="20"/>
      <w:jc w:val="right"/>
    </w:pPr>
    <w:rPr>
      <w:rFonts w:ascii="Arial" w:hAnsi="Arial" w:cs="Arial"/>
      <w:color w:val="000000"/>
      <w:sz w:val="18"/>
      <w:szCs w:val="16"/>
    </w:rPr>
  </w:style>
  <w:style w:type="paragraph" w:customStyle="1" w:styleId="Headline">
    <w:name w:val="Headline"/>
    <w:next w:val="Normal"/>
    <w:pPr>
      <w:spacing w:line="1200" w:lineRule="exact"/>
      <w:ind w:left="-56"/>
      <w:jc w:val="both"/>
    </w:pPr>
    <w:rPr>
      <w:rFonts w:ascii="LucidaT" w:hAnsi="LucidaT"/>
      <w:color w:val="000000"/>
      <w:position w:val="6"/>
      <w:sz w:val="120"/>
      <w:szCs w:val="120"/>
      <w:lang w:val="en-GB" w:eastAsia="zh-CN" w:bidi="ar-SA"/>
    </w:rPr>
  </w:style>
  <w:style w:type="paragraph" w:customStyle="1" w:styleId="Disclaimer">
    <w:name w:val="Disclaimer"/>
    <w:basedOn w:val="Normal"/>
    <w:pPr>
      <w:pBdr>
        <w:top w:val="single" w:sz="6" w:space="3" w:color="FF0000"/>
      </w:pBdr>
      <w:spacing w:before="60"/>
    </w:pPr>
    <w:rPr>
      <w:sz w:val="12"/>
      <w:szCs w:val="12"/>
    </w:rPr>
  </w:style>
  <w:style w:type="paragraph" w:customStyle="1" w:styleId="Disclaimer1">
    <w:name w:val="Disclaimer1"/>
    <w:basedOn w:val="Disclaimer"/>
    <w:pPr>
      <w:pBdr>
        <w:top w:val="single" w:sz="6" w:space="2" w:color="auto"/>
        <w:bottom w:val="single" w:sz="6" w:space="2" w:color="auto"/>
      </w:pBdr>
      <w:ind w:right="-1"/>
    </w:pPr>
  </w:style>
  <w:style w:type="paragraph" w:customStyle="1" w:styleId="StoryTitle">
    <w:name w:val="StoryTitle"/>
    <w:basedOn w:val="Normal"/>
    <w:pPr>
      <w:spacing w:before="120" w:after="120"/>
      <w:ind w:left="2552"/>
    </w:pPr>
    <w:rPr>
      <w:b/>
      <w:bCs/>
      <w:color w:val="FF0000"/>
      <w:sz w:val="32"/>
      <w:szCs w:val="32"/>
    </w:rPr>
  </w:style>
  <w:style w:type="character" w:styleId="PageNumber">
    <w:name w:val="page number"/>
    <w:basedOn w:val="DefaultParagraphFont"/>
  </w:style>
  <w:style w:type="paragraph" w:customStyle="1" w:styleId="AnalystWk">
    <w:name w:val="AnalystWk"/>
    <w:basedOn w:val="Normal"/>
    <w:pPr>
      <w:framePr w:w="2285" w:h="289" w:hRule="atLeast" w:hSpace="210" w:vAnchor="page" w:hAnchor="page" w:x="901" w:y="3571" w:anchorLock="1"/>
      <w:spacing w:before="120"/>
      <w:ind w:right="-108"/>
      <w:jc w:val="left"/>
    </w:pPr>
    <w:rPr>
      <w:b/>
      <w:bCs/>
      <w:color w:val="0000FF"/>
      <w:sz w:val="18"/>
      <w:szCs w:val="18"/>
    </w:rPr>
  </w:style>
  <w:style w:type="paragraph" w:customStyle="1" w:styleId="Coverage">
    <w:name w:val="Coverage"/>
    <w:basedOn w:val="Normal"/>
    <w:pPr>
      <w:framePr w:w="2285" w:h="289" w:hRule="atLeast" w:hSpace="210" w:vAnchor="page" w:hAnchor="page" w:x="901" w:y="3571" w:anchorLock="1"/>
      <w:tabs>
        <w:tab w:val="center" w:pos="4320"/>
        <w:tab w:val="right" w:pos="8640"/>
      </w:tabs>
    </w:pPr>
    <w:rPr>
      <w:b/>
      <w:bCs/>
      <w:color w:val="FF0000"/>
      <w:sz w:val="16"/>
      <w:szCs w:val="16"/>
    </w:rPr>
  </w:style>
  <w:style w:type="paragraph" w:customStyle="1" w:styleId="Location">
    <w:name w:val="Location"/>
    <w:basedOn w:val="Normal"/>
    <w:pPr>
      <w:framePr w:w="2285" w:h="289" w:hRule="atLeast" w:hSpace="210" w:vAnchor="page" w:hAnchor="page" w:x="901" w:y="3571" w:anchorLock="1"/>
      <w:tabs>
        <w:tab w:val="center" w:pos="4320"/>
        <w:tab w:val="right" w:pos="8640"/>
      </w:tabs>
      <w:ind w:right="-108"/>
      <w:jc w:val="left"/>
    </w:pPr>
    <w:rPr>
      <w:color w:val="000000"/>
      <w:sz w:val="18"/>
      <w:szCs w:val="18"/>
    </w:rPr>
  </w:style>
  <w:style w:type="paragraph" w:styleId="Header">
    <w:name w:val="header"/>
    <w:basedOn w:val="Normal"/>
    <w:rPr>
      <w:rFonts w:ascii="Arial" w:hAnsi="Arial" w:cs="Arial"/>
    </w:rPr>
  </w:style>
  <w:style w:type="paragraph" w:customStyle="1" w:styleId="RecomPara">
    <w:name w:val="RecomPara"/>
    <w:basedOn w:val="Normal"/>
    <w:pPr>
      <w:shd w:val="pct5" w:color="000000" w:fill="FFFFFF"/>
      <w:spacing w:before="240" w:after="200"/>
    </w:pPr>
    <w:rPr>
      <w:color w:val="000000"/>
    </w:rPr>
  </w:style>
  <w:style w:type="paragraph" w:customStyle="1" w:styleId="RecomLine">
    <w:name w:val="RecomLine"/>
    <w:pPr>
      <w:spacing w:before="120"/>
    </w:pPr>
    <w:rPr>
      <w:rFonts w:ascii="LucidaSans" w:hAnsi="LucidaSans"/>
      <w:b/>
      <w:bCs/>
      <w:color w:val="000000"/>
      <w:lang w:val="en-GB" w:eastAsia="zh-CN" w:bidi="ar-SA"/>
    </w:rPr>
  </w:style>
  <w:style w:type="paragraph" w:customStyle="1" w:styleId="Marginnotes">
    <w:name w:val="Margin notes"/>
    <w:basedOn w:val="Normal"/>
    <w:pPr>
      <w:framePr w:w="2285" w:h="289" w:hRule="atLeast" w:hSpace="215" w:vAnchor="text" w:hAnchor="page" w:x="886" w:y="29" w:anchorLock="1"/>
      <w:shd w:val="solid" w:color="FFFFFF" w:fill="FFFFFF"/>
      <w:jc w:val="left"/>
    </w:pPr>
    <w:rPr>
      <w:b/>
      <w:bCs/>
      <w:color w:val="FF0000"/>
      <w:sz w:val="16"/>
      <w:szCs w:val="16"/>
    </w:rPr>
  </w:style>
  <w:style w:type="paragraph" w:customStyle="1" w:styleId="Logo">
    <w:name w:val="Logo"/>
    <w:basedOn w:val="Normal"/>
    <w:pPr>
      <w:jc w:val="left"/>
    </w:pPr>
    <w:rPr>
      <w:sz w:val="16"/>
      <w:szCs w:val="16"/>
    </w:rPr>
  </w:style>
  <w:style w:type="paragraph" w:customStyle="1" w:styleId="Dateline">
    <w:name w:val="Dateline"/>
    <w:basedOn w:val="Normal"/>
    <w:pPr>
      <w:tabs>
        <w:tab w:val="right" w:pos="7535"/>
        <w:tab w:val="right" w:pos="10206"/>
      </w:tabs>
      <w:spacing w:before="240"/>
      <w:jc w:val="left"/>
    </w:pPr>
    <w:rPr>
      <w:b/>
      <w:bCs/>
      <w:sz w:val="16"/>
      <w:szCs w:val="16"/>
    </w:rPr>
  </w:style>
  <w:style w:type="paragraph" w:customStyle="1" w:styleId="AnalystHJ">
    <w:name w:val="AnalystHJ"/>
    <w:basedOn w:val="Header"/>
    <w:pPr>
      <w:tabs>
        <w:tab w:val="clear" w:pos="4153"/>
        <w:tab w:val="center" w:pos="4320"/>
        <w:tab w:val="clear" w:pos="8306"/>
        <w:tab w:val="right" w:pos="8640"/>
      </w:tabs>
      <w:ind w:left="-80" w:right="-108"/>
      <w:jc w:val="left"/>
    </w:pPr>
    <w:rPr>
      <w:sz w:val="16"/>
      <w:szCs w:val="16"/>
    </w:rPr>
  </w:style>
  <w:style w:type="paragraph" w:customStyle="1" w:styleId="SourceLarge">
    <w:name w:val="SourceLarge"/>
    <w:pPr>
      <w:tabs>
        <w:tab w:val="left" w:pos="5216"/>
        <w:tab w:val="right" w:pos="9866"/>
      </w:tabs>
      <w:suppressAutoHyphens/>
      <w:spacing w:line="160" w:lineRule="atLeast"/>
    </w:pPr>
    <w:rPr>
      <w:rFonts w:ascii="LucidaSans" w:hAnsi="LucidaSans"/>
      <w:sz w:val="12"/>
      <w:szCs w:val="12"/>
      <w:lang w:val="en-GB" w:eastAsia="zh-CN" w:bidi="ar-SA"/>
    </w:rPr>
  </w:style>
  <w:style w:type="paragraph" w:customStyle="1" w:styleId="SourceSmall">
    <w:name w:val="SourceSmall"/>
    <w:pPr>
      <w:tabs>
        <w:tab w:val="left" w:pos="6521"/>
        <w:tab w:val="right" w:pos="9866"/>
      </w:tabs>
      <w:suppressAutoHyphens/>
      <w:spacing w:line="160" w:lineRule="atLeast"/>
      <w:ind w:left="2608"/>
    </w:pPr>
    <w:rPr>
      <w:rFonts w:ascii="LucidaSans" w:hAnsi="LucidaSans"/>
      <w:sz w:val="12"/>
      <w:szCs w:val="12"/>
      <w:lang w:val="en-GB" w:eastAsia="zh-CN" w:bidi="ar-SA"/>
    </w:rPr>
  </w:style>
  <w:style w:type="paragraph" w:customStyle="1" w:styleId="SubTitleLargeTable">
    <w:name w:val="SubTitleLargeTable"/>
    <w:rsid w:val="00ED098D"/>
    <w:pPr>
      <w:keepNext/>
      <w:pBdr>
        <w:top w:val="single" w:sz="6" w:space="1" w:color="666699"/>
      </w:pBdr>
      <w:suppressAutoHyphens/>
      <w:spacing w:after="40" w:line="240" w:lineRule="atLeast"/>
    </w:pPr>
    <w:rPr>
      <w:rFonts w:ascii="Arial" w:eastAsia="楷体_GB2312" w:hAnsi="Arial" w:cs="Arial"/>
      <w:b/>
      <w:bCs/>
      <w:i/>
      <w:iCs/>
      <w:color w:val="000000"/>
      <w:sz w:val="21"/>
      <w:szCs w:val="21"/>
      <w:lang w:val="en-GB" w:eastAsia="zh-CN" w:bidi="ar-SA"/>
    </w:rPr>
  </w:style>
  <w:style w:type="paragraph" w:customStyle="1" w:styleId="SubTitleSmallTable">
    <w:name w:val="SubTitleSmallTable"/>
    <w:pPr>
      <w:tabs>
        <w:tab w:val="left" w:pos="993"/>
      </w:tabs>
      <w:suppressAutoHyphens/>
      <w:spacing w:after="40"/>
      <w:ind w:left="2608"/>
    </w:pPr>
    <w:rPr>
      <w:rFonts w:ascii="LucidaSans" w:hAnsi="LucidaSans"/>
      <w:b/>
      <w:bCs/>
      <w:noProof/>
      <w:lang w:val="en-US" w:eastAsia="zh-CN" w:bidi="ar-SA"/>
    </w:rPr>
  </w:style>
  <w:style w:type="paragraph" w:customStyle="1" w:styleId="TitleLargeTable">
    <w:name w:val="TitleLargeTable"/>
    <w:next w:val="SubTitleLargeTable"/>
    <w:pPr>
      <w:keepNext/>
      <w:suppressAutoHyphens/>
      <w:spacing w:after="40" w:line="200" w:lineRule="atLeast"/>
    </w:pPr>
    <w:rPr>
      <w:rFonts w:ascii="Arial" w:eastAsia="楷体_GB2312" w:hAnsi="Arial" w:cs="Arial"/>
      <w:sz w:val="18"/>
      <w:szCs w:val="16"/>
      <w:lang w:val="en-GB" w:eastAsia="zh-CN" w:bidi="ar-SA"/>
    </w:rPr>
  </w:style>
  <w:style w:type="paragraph" w:customStyle="1" w:styleId="TitleSmallTable">
    <w:name w:val="TitleSmallTable"/>
    <w:next w:val="SubTitleSmallTable"/>
    <w:pPr>
      <w:keepNext/>
      <w:suppressAutoHyphens/>
      <w:spacing w:after="40" w:line="200" w:lineRule="atLeast"/>
      <w:ind w:left="2608"/>
    </w:pPr>
    <w:rPr>
      <w:rFonts w:ascii="LucidaSans" w:hAnsi="LucidaSans"/>
      <w:sz w:val="16"/>
      <w:szCs w:val="16"/>
      <w:lang w:val="en-GB" w:eastAsia="zh-CN" w:bidi="ar-SA"/>
    </w:rPr>
  </w:style>
  <w:style w:type="paragraph" w:customStyle="1" w:styleId="TableFirst">
    <w:name w:val="TableFirst"/>
    <w:basedOn w:val="Table"/>
    <w:pPr>
      <w:spacing w:before="60" w:after="0"/>
    </w:pPr>
    <w:rPr>
      <w:color w:val="auto"/>
      <w:lang w:val="en-AU"/>
    </w:rPr>
  </w:style>
  <w:style w:type="paragraph" w:customStyle="1" w:styleId="Descriptor">
    <w:name w:val="Descriptor"/>
    <w:basedOn w:val="Normal"/>
    <w:pPr>
      <w:spacing w:before="60"/>
      <w:jc w:val="left"/>
    </w:pPr>
    <w:rPr>
      <w:b/>
      <w:bCs/>
      <w:color w:val="000000"/>
    </w:rPr>
  </w:style>
  <w:style w:type="paragraph" w:customStyle="1" w:styleId="BulletCoverpage">
    <w:name w:val="Bullet Cover page"/>
    <w:basedOn w:val="Normal"/>
    <w:pPr>
      <w:numPr>
        <w:ilvl w:val="0"/>
        <w:numId w:val="1"/>
      </w:numPr>
      <w:suppressAutoHyphens/>
      <w:spacing w:after="200" w:line="240" w:lineRule="atLeast"/>
    </w:pPr>
  </w:style>
  <w:style w:type="paragraph" w:customStyle="1" w:styleId="BulletedHeading">
    <w:name w:val="Bulleted Heading"/>
    <w:basedOn w:val="Normal"/>
    <w:next w:val="Normal"/>
    <w:pPr>
      <w:numPr>
        <w:ilvl w:val="10"/>
        <w:numId w:val="0"/>
      </w:numPr>
      <w:suppressAutoHyphens/>
      <w:spacing w:after="60" w:line="240" w:lineRule="atLeast"/>
      <w:ind w:left="2609" w:hanging="352"/>
    </w:pPr>
    <w:rPr>
      <w:rFonts w:ascii="LucidaT" w:hAnsi="LucidaT"/>
      <w:sz w:val="18"/>
      <w:szCs w:val="18"/>
    </w:rPr>
  </w:style>
  <w:style w:type="paragraph" w:customStyle="1" w:styleId="SideComments">
    <w:name w:val="SideComments"/>
    <w:basedOn w:val="Normal"/>
    <w:pPr>
      <w:suppressAutoHyphens/>
      <w:spacing w:line="200" w:lineRule="atLeast"/>
      <w:ind w:firstLine="422" w:firstLineChars="200"/>
    </w:pPr>
    <w:rPr>
      <w:rFonts w:ascii="Arial" w:eastAsia="楷体_GB2312" w:hAnsi="Arial" w:cs="Arial"/>
      <w:b/>
      <w:bCs/>
      <w:color w:val="000000"/>
      <w:sz w:val="21"/>
      <w:szCs w:val="16"/>
    </w:rPr>
  </w:style>
  <w:style w:type="paragraph" w:customStyle="1" w:styleId="TableFirst-p1">
    <w:name w:val="TableFirst-p1"/>
    <w:pPr>
      <w:tabs>
        <w:tab w:val="right" w:pos="1871"/>
        <w:tab w:val="right" w:pos="3107"/>
        <w:tab w:val="right" w:pos="4258"/>
        <w:tab w:val="right" w:pos="5329"/>
        <w:tab w:val="right" w:pos="6406"/>
        <w:tab w:val="right" w:pos="7483"/>
      </w:tabs>
      <w:spacing w:before="40"/>
      <w:jc w:val="both"/>
    </w:pPr>
    <w:rPr>
      <w:rFonts w:ascii="LucidaSans" w:hAnsi="LucidaSans"/>
      <w:sz w:val="16"/>
      <w:szCs w:val="16"/>
      <w:lang w:val="en-GB" w:eastAsia="en-US" w:bidi="ar-SA"/>
    </w:rPr>
  </w:style>
  <w:style w:type="paragraph" w:customStyle="1" w:styleId="TableTitleFirst-p1">
    <w:name w:val="TableTitleFirst-p1"/>
    <w:pPr>
      <w:pBdr>
        <w:top w:val="single" w:sz="6" w:space="0" w:color="auto"/>
        <w:between w:val="single" w:sz="6" w:space="5" w:color="auto"/>
      </w:pBdr>
      <w:tabs>
        <w:tab w:val="right" w:pos="1871"/>
        <w:tab w:val="right" w:pos="4252"/>
        <w:tab w:val="right" w:pos="5329"/>
        <w:tab w:val="right" w:pos="6406"/>
        <w:tab w:val="right" w:pos="7483"/>
      </w:tabs>
      <w:spacing w:before="57"/>
      <w:jc w:val="both"/>
    </w:pPr>
    <w:rPr>
      <w:rFonts w:ascii="LucidaSans" w:hAnsi="LucidaSans"/>
      <w:b/>
      <w:bCs/>
      <w:sz w:val="16"/>
      <w:szCs w:val="16"/>
      <w:lang w:val="en-AU" w:eastAsia="en-US" w:bidi="ar-SA"/>
    </w:rPr>
  </w:style>
  <w:style w:type="paragraph" w:customStyle="1" w:styleId="TableTitle">
    <w:name w:val="TableTitle"/>
    <w:pPr>
      <w:keepNext/>
      <w:pBdr>
        <w:top w:val="single" w:sz="8" w:space="2" w:color="FF0000"/>
        <w:bottom w:val="single" w:sz="6" w:space="1" w:color="808080"/>
        <w:between w:val="single" w:sz="2" w:space="2" w:color="auto"/>
      </w:pBdr>
      <w:tabs>
        <w:tab w:val="right" w:pos="1928"/>
        <w:tab w:val="right" w:pos="3118"/>
        <w:tab w:val="right" w:pos="3969"/>
        <w:tab w:val="right" w:pos="4932"/>
        <w:tab w:val="right" w:pos="5777"/>
        <w:tab w:val="right" w:pos="6690"/>
        <w:tab w:val="right" w:pos="7483"/>
        <w:tab w:val="right" w:pos="8504"/>
        <w:tab w:val="right" w:pos="9354"/>
        <w:tab w:val="right" w:pos="10205"/>
      </w:tabs>
      <w:spacing w:before="20" w:after="20"/>
      <w:jc w:val="both"/>
    </w:pPr>
    <w:rPr>
      <w:rFonts w:ascii="LucidaSans" w:hAnsi="LucidaSans"/>
      <w:b/>
      <w:bCs/>
      <w:sz w:val="18"/>
      <w:szCs w:val="18"/>
      <w:lang w:val="en-GB" w:eastAsia="en-US" w:bidi="ar-SA"/>
    </w:rPr>
  </w:style>
  <w:style w:type="paragraph" w:customStyle="1" w:styleId="Analyst">
    <w:name w:val="Analyst"/>
    <w:pPr>
      <w:spacing w:before="1" w:after="1"/>
      <w:ind w:left="1" w:right="1" w:firstLine="1"/>
      <w:jc w:val="right"/>
    </w:pPr>
    <w:rPr>
      <w:rFonts w:ascii="LucidaSans" w:hAnsi="LucidaSans"/>
      <w:b/>
      <w:bCs/>
      <w:color w:val="000000"/>
      <w:sz w:val="18"/>
      <w:szCs w:val="18"/>
      <w:lang w:val="en-GB" w:eastAsia="zh-CN" w:bidi="ar-SA"/>
    </w:rPr>
  </w:style>
  <w:style w:type="paragraph" w:customStyle="1" w:styleId="CoverBullet">
    <w:name w:val="Cover Bullet"/>
    <w:pPr>
      <w:numPr>
        <w:ilvl w:val="0"/>
        <w:numId w:val="2"/>
      </w:numPr>
      <w:spacing w:before="120" w:after="120"/>
      <w:ind w:left="357" w:hanging="357"/>
    </w:pPr>
    <w:rPr>
      <w:rFonts w:ascii="LucidaSans" w:hAnsi="LucidaSans"/>
      <w:b/>
      <w:bCs/>
      <w:lang w:val="en-GB" w:eastAsia="zh-CN" w:bidi="ar-SA"/>
    </w:rPr>
  </w:style>
  <w:style w:type="paragraph" w:customStyle="1" w:styleId="Target">
    <w:name w:val="Target"/>
    <w:basedOn w:val="Call"/>
    <w:pPr>
      <w:pBdr>
        <w:top w:val="none" w:sz="0" w:space="0" w:color="auto"/>
        <w:bottom w:val="dashDotStroked" w:sz="24" w:space="1" w:color="FF0000"/>
      </w:pBdr>
    </w:pPr>
  </w:style>
  <w:style w:type="paragraph" w:customStyle="1" w:styleId="Call">
    <w:name w:val="Call"/>
    <w:basedOn w:val="Normal"/>
    <w:next w:val="RecomPara"/>
    <w:pPr>
      <w:pBdr>
        <w:top w:val="dashDotStroked" w:sz="24" w:space="4" w:color="FF0000"/>
      </w:pBdr>
      <w:shd w:val="pct5" w:color="000000" w:fill="FFFFFF"/>
      <w:tabs>
        <w:tab w:val="left" w:pos="2558"/>
      </w:tabs>
    </w:pPr>
    <w:rPr>
      <w:b/>
      <w:bCs/>
      <w:color w:val="0000FF"/>
    </w:rPr>
  </w:style>
  <w:style w:type="paragraph" w:customStyle="1" w:styleId="TableLast">
    <w:name w:val="TableLast"/>
    <w:basedOn w:val="Table"/>
    <w:pPr>
      <w:spacing w:before="0" w:after="60"/>
      <w:jc w:val="both"/>
    </w:pPr>
    <w:rPr>
      <w:color w:val="auto"/>
      <w:lang w:val="en-AU" w:eastAsia="en-US"/>
    </w:rPr>
  </w:style>
  <w:style w:type="paragraph" w:customStyle="1" w:styleId="Contents">
    <w:name w:val="Contents"/>
    <w:basedOn w:val="AnalystWk"/>
    <w:pPr>
      <w:tabs>
        <w:tab w:val="right" w:pos="2127"/>
      </w:tabs>
      <w:spacing w:before="240"/>
      <w:ind w:left="142" w:hanging="142"/>
    </w:pPr>
    <w:rPr>
      <w:sz w:val="16"/>
      <w:szCs w:val="16"/>
    </w:rPr>
  </w:style>
  <w:style w:type="paragraph" w:styleId="BodyTextIndent">
    <w:name w:val="Body Text Indent"/>
    <w:basedOn w:val="Normal"/>
    <w:pPr>
      <w:tabs>
        <w:tab w:val="left" w:pos="284"/>
        <w:tab w:val="left" w:pos="2520"/>
      </w:tabs>
    </w:pPr>
    <w:rPr>
      <w:rFonts w:ascii="Arial" w:hAnsi="Arial"/>
      <w:i/>
      <w:iCs/>
    </w:rPr>
  </w:style>
  <w:style w:type="paragraph" w:styleId="BodyTextIndent2">
    <w:name w:val="Body Text Indent 2"/>
    <w:basedOn w:val="Normal"/>
    <w:pPr>
      <w:ind w:left="2520"/>
    </w:pPr>
    <w:rPr>
      <w:rFonts w:ascii="Arial" w:hAnsi="Arial"/>
      <w:b/>
      <w:bCs/>
      <w:i/>
      <w:iCs/>
    </w:rPr>
  </w:style>
  <w:style w:type="paragraph" w:customStyle="1" w:styleId="bo">
    <w:name w:val="bo"/>
    <w:basedOn w:val="Heading1"/>
    <w:pPr>
      <w:tabs>
        <w:tab w:val="left" w:pos="284"/>
      </w:tabs>
    </w:pPr>
    <w:rPr>
      <w:i/>
      <w:iCs/>
    </w:rPr>
  </w:style>
  <w:style w:type="paragraph" w:customStyle="1" w:styleId="ChartComments">
    <w:name w:val="ChartComments"/>
    <w:basedOn w:val="Normal"/>
    <w:pPr>
      <w:shd w:val="solid" w:color="FFFFFF" w:fill="FFFFFF"/>
      <w:suppressAutoHyphens/>
      <w:spacing w:after="80" w:line="200" w:lineRule="atLeast"/>
      <w:ind w:right="284"/>
      <w:jc w:val="right"/>
    </w:pPr>
    <w:rPr>
      <w:b/>
      <w:bCs/>
      <w:color w:val="000000"/>
      <w:sz w:val="16"/>
      <w:szCs w:val="16"/>
    </w:rPr>
  </w:style>
  <w:style w:type="paragraph" w:customStyle="1" w:styleId="Celldata">
    <w:name w:val="Cell data"/>
    <w:basedOn w:val="Normal"/>
    <w:pPr>
      <w:spacing w:after="20" w:line="180" w:lineRule="atLeast"/>
      <w:ind w:left="28" w:right="57"/>
      <w:jc w:val="left"/>
    </w:pPr>
    <w:rPr>
      <w:sz w:val="14"/>
      <w:szCs w:val="14"/>
    </w:rPr>
  </w:style>
  <w:style w:type="paragraph" w:customStyle="1" w:styleId="SectionTitle">
    <w:name w:val="SectionTitle"/>
    <w:basedOn w:val="StoryTitle"/>
    <w:pPr>
      <w:spacing w:before="240"/>
    </w:pPr>
  </w:style>
  <w:style w:type="paragraph" w:customStyle="1" w:styleId="TableTitleFirst">
    <w:name w:val="TableTitleFirst"/>
    <w:basedOn w:val="Normal"/>
    <w:pPr>
      <w:spacing w:before="60" w:after="20"/>
    </w:pPr>
    <w:rPr>
      <w:b/>
      <w:bCs/>
      <w:color w:val="000000"/>
      <w:sz w:val="16"/>
      <w:szCs w:val="16"/>
      <w:lang w:eastAsia="en-US"/>
    </w:rPr>
  </w:style>
  <w:style w:type="paragraph" w:customStyle="1" w:styleId="TableTitleLast">
    <w:name w:val="TableTitleLast"/>
    <w:basedOn w:val="Table"/>
    <w:pPr>
      <w:spacing w:after="60"/>
      <w:jc w:val="both"/>
    </w:pPr>
    <w:rPr>
      <w:b/>
      <w:bCs/>
      <w:color w:val="auto"/>
      <w:lang w:eastAsia="en-US"/>
    </w:rPr>
  </w:style>
  <w:style w:type="paragraph" w:customStyle="1" w:styleId="CompanyHead">
    <w:name w:val="CompanyHead"/>
    <w:basedOn w:val="BodyText"/>
    <w:pPr>
      <w:tabs>
        <w:tab w:val="right" w:pos="2410"/>
        <w:tab w:val="left" w:pos="2552"/>
        <w:tab w:val="right" w:pos="10205"/>
      </w:tabs>
      <w:ind w:left="0"/>
    </w:pPr>
    <w:rPr>
      <w:b/>
      <w:bCs/>
      <w:color w:val="FF0000"/>
    </w:rPr>
  </w:style>
  <w:style w:type="paragraph" w:styleId="BodyText3">
    <w:name w:val="Body Text 3"/>
    <w:basedOn w:val="Normal"/>
    <w:pPr>
      <w:widowControl w:val="0"/>
    </w:pPr>
    <w:rPr>
      <w:rFonts w:ascii="Arial" w:hAnsi="Arial"/>
      <w:kern w:val="2"/>
      <w:sz w:val="18"/>
      <w:szCs w:val="18"/>
      <w:lang w:val="en-US"/>
    </w:rPr>
  </w:style>
  <w:style w:type="paragraph" w:customStyle="1" w:styleId="body">
    <w:name w:val="body"/>
    <w:basedOn w:val="Normal"/>
    <w:rPr>
      <w:rFonts w:ascii="Arial" w:hAnsi="Arial"/>
      <w:noProof/>
      <w:lang w:val="en-US"/>
    </w:rPr>
  </w:style>
  <w:style w:type="paragraph" w:customStyle="1" w:styleId="font5">
    <w:name w:val="font5"/>
    <w:basedOn w:val="Normal"/>
    <w:pPr>
      <w:spacing w:before="100" w:beforeAutospacing="1" w:after="100" w:afterAutospacing="1"/>
      <w:jc w:val="left"/>
    </w:pPr>
    <w:rPr>
      <w:rFonts w:ascii="宋体" w:hAnsi="宋体"/>
      <w:sz w:val="18"/>
      <w:szCs w:val="18"/>
      <w:lang w:val="en-US"/>
    </w:rPr>
  </w:style>
  <w:style w:type="paragraph" w:customStyle="1" w:styleId="font6">
    <w:name w:val="font6"/>
    <w:basedOn w:val="Normal"/>
    <w:pPr>
      <w:spacing w:before="100" w:beforeAutospacing="1" w:after="100" w:afterAutospacing="1"/>
      <w:jc w:val="left"/>
    </w:pPr>
    <w:rPr>
      <w:rFonts w:ascii="宋体" w:hAnsi="宋体"/>
      <w:lang w:val="en-US"/>
    </w:rPr>
  </w:style>
  <w:style w:type="paragraph" w:customStyle="1" w:styleId="font7">
    <w:name w:val="font7"/>
    <w:basedOn w:val="Normal"/>
    <w:pPr>
      <w:spacing w:before="100" w:beforeAutospacing="1" w:after="100" w:afterAutospacing="1"/>
      <w:jc w:val="left"/>
    </w:pPr>
    <w:rPr>
      <w:rFonts w:ascii="宋体" w:hAnsi="宋体"/>
      <w:b/>
      <w:bCs/>
      <w:lang w:val="en-US"/>
    </w:rPr>
  </w:style>
  <w:style w:type="paragraph" w:customStyle="1" w:styleId="xl24">
    <w:name w:val="xl24"/>
    <w:basedOn w:val="Normal"/>
    <w:pPr>
      <w:spacing w:before="100" w:beforeAutospacing="1" w:after="100" w:afterAutospacing="1"/>
      <w:jc w:val="left"/>
    </w:pPr>
    <w:rPr>
      <w:rFonts w:ascii="宋体" w:hAnsi="宋体"/>
      <w:sz w:val="24"/>
      <w:szCs w:val="24"/>
      <w:lang w:val="en-US"/>
    </w:rPr>
  </w:style>
  <w:style w:type="paragraph" w:customStyle="1" w:styleId="xl25">
    <w:name w:val="xl25"/>
    <w:basedOn w:val="Normal"/>
    <w:pPr>
      <w:spacing w:before="100" w:beforeAutospacing="1" w:after="100" w:afterAutospacing="1"/>
      <w:jc w:val="left"/>
    </w:pPr>
    <w:rPr>
      <w:rFonts w:ascii="宋体" w:hAnsi="宋体"/>
      <w:b/>
      <w:bCs/>
      <w:sz w:val="24"/>
      <w:szCs w:val="24"/>
      <w:lang w:val="en-US"/>
    </w:rPr>
  </w:style>
  <w:style w:type="paragraph" w:customStyle="1" w:styleId="xl27">
    <w:name w:val="xl27"/>
    <w:basedOn w:val="Normal"/>
    <w:pPr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hAnsi="宋体"/>
      <w:sz w:val="24"/>
      <w:szCs w:val="24"/>
      <w:lang w:val="en-US"/>
    </w:rPr>
  </w:style>
  <w:style w:type="paragraph" w:customStyle="1" w:styleId="xl28">
    <w:name w:val="xl28"/>
    <w:basedOn w:val="Normal"/>
    <w:pPr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hAnsi="宋体"/>
      <w:sz w:val="24"/>
      <w:szCs w:val="24"/>
      <w:lang w:val="en-US"/>
    </w:rPr>
  </w:style>
  <w:style w:type="paragraph" w:customStyle="1" w:styleId="xl30">
    <w:name w:val="xl30"/>
    <w:basedOn w:val="Normal"/>
    <w:pPr>
      <w:spacing w:before="100" w:beforeAutospacing="1" w:after="100" w:afterAutospacing="1"/>
      <w:jc w:val="right"/>
    </w:pPr>
    <w:rPr>
      <w:rFonts w:ascii="Arial Unicode MS" w:eastAsia="Arial Unicode MS" w:hAnsi="Arial Unicode MS"/>
      <w:sz w:val="24"/>
      <w:szCs w:val="24"/>
      <w:lang w:val="en-US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snapToGrid w:val="0"/>
      <w:jc w:val="left"/>
    </w:pPr>
    <w:rPr>
      <w:sz w:val="18"/>
      <w:szCs w:val="18"/>
    </w:rPr>
  </w:style>
  <w:style w:type="paragraph" w:styleId="BodyTextIndent3">
    <w:name w:val="Body Text Indent 3"/>
    <w:basedOn w:val="Normal"/>
    <w:pPr>
      <w:spacing w:line="288" w:lineRule="auto"/>
      <w:ind w:firstLine="295" w:firstLineChars="197"/>
    </w:pPr>
    <w:rPr>
      <w:rFonts w:ascii="宋体" w:hAnsi="宋体"/>
      <w:color w:val="0000FF"/>
      <w:sz w:val="15"/>
      <w:szCs w:val="15"/>
    </w:rPr>
  </w:style>
  <w:style w:type="character" w:styleId="Hyperlink">
    <w:name w:val="Hyperlink"/>
    <w:rPr>
      <w:color w:val="0000FF"/>
      <w:u w:val="single"/>
    </w:rPr>
  </w:style>
  <w:style w:type="paragraph" w:styleId="Date">
    <w:name w:val="Date"/>
    <w:basedOn w:val="Normal"/>
    <w:next w:val="Normal"/>
    <w:pPr>
      <w:ind w:left="100" w:leftChars="2500"/>
    </w:pPr>
    <w:rPr>
      <w:rFonts w:ascii="宋体" w:hAnsi="宋体"/>
      <w:sz w:val="18"/>
      <w:szCs w:val="18"/>
    </w:rPr>
  </w:style>
  <w:style w:type="paragraph" w:styleId="TableofFigures">
    <w:name w:val="table of figures"/>
    <w:basedOn w:val="Normal"/>
    <w:next w:val="Normal"/>
    <w:semiHidden/>
    <w:pPr>
      <w:spacing w:line="312" w:lineRule="auto"/>
      <w:ind w:left="1890" w:leftChars="1890"/>
    </w:pPr>
    <w:rPr>
      <w:sz w:val="21"/>
    </w:rPr>
  </w:style>
  <w:style w:type="character" w:styleId="FollowedHyperlink">
    <w:name w:val="FollowedHyperlink"/>
    <w:aliases w:val="已访问的超链接"/>
    <w:rPr>
      <w:color w:val="800080"/>
      <w:u w:val="single"/>
    </w:rPr>
  </w:style>
  <w:style w:type="paragraph" w:customStyle="1" w:styleId="2">
    <w:name w:val="模板标题2"/>
    <w:basedOn w:val="BodyText"/>
    <w:next w:val="BodyText"/>
    <w:pPr>
      <w:outlineLvl w:val="1"/>
    </w:pPr>
    <w:rPr>
      <w:b/>
      <w:bCs/>
      <w:color w:val="01659D"/>
    </w:rPr>
  </w:style>
  <w:style w:type="paragraph" w:customStyle="1" w:styleId="1">
    <w:name w:val="样式1"/>
    <w:basedOn w:val="BodyText"/>
    <w:next w:val="2"/>
    <w:rPr>
      <w:sz w:val="24"/>
    </w:rPr>
  </w:style>
  <w:style w:type="paragraph" w:customStyle="1" w:styleId="10">
    <w:name w:val="模板标题1"/>
    <w:basedOn w:val="2"/>
    <w:next w:val="BodyText"/>
    <w:pPr>
      <w:spacing w:after="240" w:line="300" w:lineRule="exact"/>
      <w:outlineLvl w:val="0"/>
    </w:pPr>
    <w:rPr>
      <w:sz w:val="24"/>
    </w:rPr>
  </w:style>
  <w:style w:type="paragraph" w:customStyle="1" w:styleId="a">
    <w:name w:val="模板目录标题"/>
    <w:basedOn w:val="BodyText"/>
    <w:next w:val="TOC1"/>
    <w:pPr>
      <w:tabs>
        <w:tab w:val="right" w:leader="dot" w:pos="10649"/>
      </w:tabs>
      <w:spacing w:line="480" w:lineRule="exact"/>
    </w:pPr>
    <w:rPr>
      <w:b/>
      <w:sz w:val="28"/>
      <w:lang w:val="en-US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10649"/>
      </w:tabs>
      <w:spacing w:line="312" w:lineRule="auto"/>
      <w:ind w:left="1890" w:leftChars="1890"/>
    </w:pPr>
    <w:rPr>
      <w:noProof/>
      <w:sz w:val="24"/>
    </w:rPr>
  </w:style>
  <w:style w:type="paragraph" w:styleId="TOC2">
    <w:name w:val="toc 2"/>
    <w:basedOn w:val="Normal"/>
    <w:next w:val="Normal"/>
    <w:semiHidden/>
    <w:rsid w:val="00730B1B"/>
    <w:pPr>
      <w:tabs>
        <w:tab w:val="right" w:leader="dot" w:pos="10649"/>
      </w:tabs>
      <w:spacing w:line="312" w:lineRule="auto"/>
      <w:ind w:left="2000" w:leftChars="2000"/>
    </w:pPr>
    <w:rPr>
      <w:noProof/>
      <w:sz w:val="21"/>
      <w:szCs w:val="21"/>
      <w:lang w:val="en-US"/>
    </w:rPr>
  </w:style>
  <w:style w:type="paragraph" w:customStyle="1" w:styleId="11">
    <w:name w:val="模板标题1(段前分页)"/>
    <w:basedOn w:val="10"/>
    <w:next w:val="2"/>
    <w:pPr>
      <w:pageBreakBefore/>
    </w:pPr>
    <w:rPr>
      <w:bCs w:val="0"/>
      <w:lang w:val="en-US"/>
    </w:rPr>
  </w:style>
  <w:style w:type="paragraph" w:styleId="TOC3">
    <w:name w:val="toc 3"/>
    <w:basedOn w:val="Normal"/>
    <w:next w:val="Normal"/>
    <w:autoRedefine/>
    <w:semiHidden/>
    <w:pPr>
      <w:ind w:left="840" w:leftChars="400"/>
    </w:pPr>
  </w:style>
  <w:style w:type="paragraph" w:styleId="TOC4">
    <w:name w:val="toc 4"/>
    <w:basedOn w:val="Normal"/>
    <w:next w:val="Normal"/>
    <w:autoRedefine/>
    <w:semiHidden/>
    <w:pPr>
      <w:ind w:left="1260" w:leftChars="600"/>
    </w:pPr>
  </w:style>
  <w:style w:type="paragraph" w:styleId="TOC5">
    <w:name w:val="toc 5"/>
    <w:basedOn w:val="Normal"/>
    <w:next w:val="Normal"/>
    <w:autoRedefine/>
    <w:semiHidden/>
    <w:pPr>
      <w:ind w:left="1680" w:leftChars="800"/>
    </w:pPr>
  </w:style>
  <w:style w:type="paragraph" w:styleId="TOC6">
    <w:name w:val="toc 6"/>
    <w:basedOn w:val="Normal"/>
    <w:next w:val="Normal"/>
    <w:autoRedefine/>
    <w:semiHidden/>
    <w:pPr>
      <w:ind w:left="2100" w:leftChars="1000"/>
    </w:pPr>
  </w:style>
  <w:style w:type="paragraph" w:styleId="TOC7">
    <w:name w:val="toc 7"/>
    <w:basedOn w:val="Normal"/>
    <w:next w:val="Normal"/>
    <w:autoRedefine/>
    <w:semiHidden/>
    <w:pPr>
      <w:ind w:left="2520" w:leftChars="1200"/>
    </w:pPr>
  </w:style>
  <w:style w:type="paragraph" w:styleId="TOC8">
    <w:name w:val="toc 8"/>
    <w:basedOn w:val="Normal"/>
    <w:next w:val="Normal"/>
    <w:autoRedefine/>
    <w:semiHidden/>
    <w:pPr>
      <w:ind w:left="2940" w:leftChars="1400"/>
    </w:pPr>
  </w:style>
  <w:style w:type="paragraph" w:styleId="TOC9">
    <w:name w:val="toc 9"/>
    <w:basedOn w:val="Normal"/>
    <w:next w:val="Normal"/>
    <w:autoRedefine/>
    <w:semiHidden/>
    <w:pPr>
      <w:ind w:left="3360" w:leftChars="1600"/>
    </w:pPr>
  </w:style>
  <w:style w:type="table" w:styleId="TableGrid">
    <w:name w:val="Table Grid"/>
    <w:basedOn w:val="TableNormal"/>
    <w:rsid w:val="000B07E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1">
    <w:name w:val="模板标题111"/>
    <w:basedOn w:val="10"/>
    <w:next w:val="SubTitleLargeTable"/>
    <w:rsid w:val="00AF1034"/>
    <w:pPr>
      <w:keepNext/>
    </w:pPr>
  </w:style>
  <w:style w:type="paragraph" w:customStyle="1" w:styleId="12">
    <w:name w:val="模板标题1（段前分页）"/>
    <w:basedOn w:val="10"/>
    <w:next w:val="2"/>
    <w:rsid w:val="00E54B00"/>
    <w:pPr>
      <w:pageBreakBefore/>
    </w:pPr>
  </w:style>
  <w:style w:type="paragraph" w:customStyle="1" w:styleId="20">
    <w:name w:val="正文2黑"/>
    <w:basedOn w:val="BodyText"/>
    <w:next w:val="Normal"/>
    <w:rsid w:val="005B4965"/>
    <w:rPr>
      <w:b/>
    </w:rPr>
  </w:style>
  <w:style w:type="character" w:customStyle="1" w:styleId="Char">
    <w:name w:val="正文文本 Char"/>
    <w:link w:val="BodyText"/>
    <w:rsid w:val="004C2B22"/>
    <w:rPr>
      <w:rFonts w:ascii="Arial" w:eastAsia="楷体_GB2312" w:hAnsi="Arial" w:cs="Arial"/>
      <w:color w:val="000000"/>
      <w:sz w:val="21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wmf" /><Relationship Id="rId11" Type="http://schemas.openxmlformats.org/officeDocument/2006/relationships/oleObject" Target="embeddings/oleObject1.bin" /><Relationship Id="rId12" Type="http://schemas.openxmlformats.org/officeDocument/2006/relationships/image" Target="media/image3.wmf" /><Relationship Id="rId13" Type="http://schemas.openxmlformats.org/officeDocument/2006/relationships/oleObject" Target="embeddings/oleObject2.bin" /><Relationship Id="rId14" Type="http://schemas.openxmlformats.org/officeDocument/2006/relationships/image" Target="media/image4.png" /><Relationship Id="rId15" Type="http://schemas.openxmlformats.org/officeDocument/2006/relationships/header" Target="header2.xml" /><Relationship Id="rId16" Type="http://schemas.openxmlformats.org/officeDocument/2006/relationships/footer" Target="footer4.xml" /><Relationship Id="rId17" Type="http://schemas.openxmlformats.org/officeDocument/2006/relationships/footer" Target="footer5.xml" /><Relationship Id="rId18" Type="http://schemas.openxmlformats.org/officeDocument/2006/relationships/footer" Target="footer6.xml" /><Relationship Id="rId19" Type="http://schemas.openxmlformats.org/officeDocument/2006/relationships/image" Target="media/image5.png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footer" Target="footer7.xml" /><Relationship Id="rId22" Type="http://schemas.openxmlformats.org/officeDocument/2006/relationships/footer" Target="footer8.xml" /><Relationship Id="rId23" Type="http://schemas.openxmlformats.org/officeDocument/2006/relationships/footer" Target="footer9.xml" /><Relationship Id="rId24" Type="http://schemas.openxmlformats.org/officeDocument/2006/relationships/header" Target="header4.xml" /><Relationship Id="rId25" Type="http://schemas.openxmlformats.org/officeDocument/2006/relationships/footer" Target="footer10.xml" /><Relationship Id="rId26" Type="http://schemas.openxmlformats.org/officeDocument/2006/relationships/footer" Target="footer11.xml" /><Relationship Id="rId27" Type="http://schemas.openxmlformats.org/officeDocument/2006/relationships/footer" Target="footer12.xml" /><Relationship Id="rId28" Type="http://schemas.openxmlformats.org/officeDocument/2006/relationships/header" Target="header5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footer" Target="footer14.xml" /><Relationship Id="rId31" Type="http://schemas.openxmlformats.org/officeDocument/2006/relationships/footer" Target="footer15.xml" /><Relationship Id="rId32" Type="http://schemas.openxmlformats.org/officeDocument/2006/relationships/header" Target="header6.xml" /><Relationship Id="rId33" Type="http://schemas.openxmlformats.org/officeDocument/2006/relationships/footer" Target="footer16.xml" /><Relationship Id="rId34" Type="http://schemas.openxmlformats.org/officeDocument/2006/relationships/footer" Target="footer17.xml" /><Relationship Id="rId35" Type="http://schemas.openxmlformats.org/officeDocument/2006/relationships/footer" Target="footer18.xml" /><Relationship Id="rId36" Type="http://schemas.openxmlformats.org/officeDocument/2006/relationships/header" Target="header7.xml" /><Relationship Id="rId37" Type="http://schemas.openxmlformats.org/officeDocument/2006/relationships/footer" Target="footer19.xml" /><Relationship Id="rId38" Type="http://schemas.openxmlformats.org/officeDocument/2006/relationships/footer" Target="footer20.xml" /><Relationship Id="rId39" Type="http://schemas.openxmlformats.org/officeDocument/2006/relationships/footer" Target="footer21.xml" /><Relationship Id="rId4" Type="http://schemas.openxmlformats.org/officeDocument/2006/relationships/customXml" Target="../customXml/item1.xml" /><Relationship Id="rId40" Type="http://schemas.openxmlformats.org/officeDocument/2006/relationships/header" Target="header8.xml" /><Relationship Id="rId41" Type="http://schemas.openxmlformats.org/officeDocument/2006/relationships/footer" Target="footer22.xml" /><Relationship Id="rId42" Type="http://schemas.openxmlformats.org/officeDocument/2006/relationships/footer" Target="footer23.xml" /><Relationship Id="rId43" Type="http://schemas.openxmlformats.org/officeDocument/2006/relationships/footer" Target="footer24.xml" /><Relationship Id="rId44" Type="http://schemas.openxmlformats.org/officeDocument/2006/relationships/header" Target="header9.xml" /><Relationship Id="rId45" Type="http://schemas.openxmlformats.org/officeDocument/2006/relationships/footer" Target="footer25.xml" /><Relationship Id="rId46" Type="http://schemas.openxmlformats.org/officeDocument/2006/relationships/footer" Target="footer26.xml" /><Relationship Id="rId47" Type="http://schemas.openxmlformats.org/officeDocument/2006/relationships/footer" Target="footer27.xml" /><Relationship Id="rId48" Type="http://schemas.openxmlformats.org/officeDocument/2006/relationships/hyperlink" Target="https://d.book118.com/898054075005006036" TargetMode="External" /><Relationship Id="rId49" Type="http://schemas.openxmlformats.org/officeDocument/2006/relationships/header" Target="header10.xml" /><Relationship Id="rId5" Type="http://schemas.openxmlformats.org/officeDocument/2006/relationships/image" Target="media/image1.png" /><Relationship Id="rId50" Type="http://schemas.openxmlformats.org/officeDocument/2006/relationships/footer" Target="footer28.xml" /><Relationship Id="rId51" Type="http://schemas.openxmlformats.org/officeDocument/2006/relationships/footer" Target="footer29.xml" /><Relationship Id="rId52" Type="http://schemas.openxmlformats.org/officeDocument/2006/relationships/footer" Target="footer30.xml" /><Relationship Id="rId53" Type="http://schemas.openxmlformats.org/officeDocument/2006/relationships/theme" Target="theme/theme1.xml" /><Relationship Id="rId54" Type="http://schemas.openxmlformats.org/officeDocument/2006/relationships/numbering" Target="numbering.xml" /><Relationship Id="rId55" Type="http://schemas.openxmlformats.org/officeDocument/2006/relationships/styles" Target="styles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Documents%20and%20Settings\user\Application%20Data\Microsoft\Templates\&#31354;&#30333;&#25253;&#21578;&#27169;&#26495;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3EE79A5-D516-4FA1-A8D7-42B842080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空白报告模板</Template>
  <TotalTime>1708</TotalTime>
  <Pages>10</Pages>
  <Words>6347</Words>
  <Characters>36179</Characters>
  <Application>Microsoft Office Word</Application>
  <DocSecurity>0</DocSecurity>
  <Lines>301</Lines>
  <Paragraphs>84</Paragraphs>
  <ScaleCrop>false</ScaleCrop>
  <Company/>
  <LinksUpToDate>false</LinksUpToDate>
  <CharactersWithSpaces>42442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专题报告</dc:title>
  <dc:subject>专题报告</dc:subject>
  <dc:creator>国金证券</dc:creator>
  <cp:keywords>模板</cp:keywords>
  <cp:lastModifiedBy>翁倩岚</cp:lastModifiedBy>
  <cp:revision>94</cp:revision>
  <cp:lastPrinted>2012-11-19T00:37:00Z</cp:lastPrinted>
  <dcterms:created xsi:type="dcterms:W3CDTF">2013-08-29T02:51:00Z</dcterms:created>
  <dcterms:modified xsi:type="dcterms:W3CDTF">2014-01-10T10:13:00Z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dm">
    <vt:lpwstr> </vt:lpwstr>
  </property>
  <property fmtid="{D5CDD505-2E9C-101B-9397-08002B2CF9AE}" pid="3" name="ListedCompany">
    <vt:lpwstr>No</vt:lpwstr>
  </property>
  <property fmtid="{D5CDD505-2E9C-101B-9397-08002B2CF9AE}" pid="4" name="MBMXType">
    <vt:lpwstr>ZhuanTiBaoGao</vt:lpwstr>
  </property>
  <property fmtid="{D5CDD505-2E9C-101B-9397-08002B2CF9AE}" pid="5" name="user1">
    <vt:lpwstr>姚晋琼</vt:lpwstr>
  </property>
  <property fmtid="{D5CDD505-2E9C-101B-9397-08002B2CF9AE}" pid="6" name="user2">
    <vt:lpwstr>张宇</vt:lpwstr>
  </property>
  <property fmtid="{D5CDD505-2E9C-101B-9397-08002B2CF9AE}" pid="7" name="user3">
    <vt:lpwstr> </vt:lpwstr>
  </property>
  <property fmtid="{D5CDD505-2E9C-101B-9397-08002B2CF9AE}" pid="8" name="UserName1">
    <vt:lpwstr>姚晋琼</vt:lpwstr>
  </property>
  <property fmtid="{D5CDD505-2E9C-101B-9397-08002B2CF9AE}" pid="9" name="UserName1ID">
    <vt:lpwstr>086002101000802500</vt:lpwstr>
  </property>
  <property fmtid="{D5CDD505-2E9C-101B-9397-08002B2CF9AE}" pid="10" name="UserName2">
    <vt:lpwstr>张宇</vt:lpwstr>
  </property>
  <property fmtid="{D5CDD505-2E9C-101B-9397-08002B2CF9AE}" pid="11" name="UserName2ID">
    <vt:lpwstr>086002102000187501</vt:lpwstr>
  </property>
  <property fmtid="{D5CDD505-2E9C-101B-9397-08002B2CF9AE}" pid="12" name="UserName3">
    <vt:lpwstr/>
  </property>
  <property fmtid="{D5CDD505-2E9C-101B-9397-08002B2CF9AE}" pid="13" name="UserName3ID">
    <vt:lpwstr> </vt:lpwstr>
  </property>
  <property fmtid="{D5CDD505-2E9C-101B-9397-08002B2CF9AE}" pid="14" name="Version">
    <vt:lpwstr>20091223</vt:lpwstr>
  </property>
  <property fmtid="{D5CDD505-2E9C-101B-9397-08002B2CF9AE}" pid="15" name="副标题">
    <vt:lpwstr>偏股类绝对收益较高，偏债类未达预期</vt:lpwstr>
  </property>
  <property fmtid="{D5CDD505-2E9C-101B-9397-08002B2CF9AE}" pid="16" name="报告日期">
    <vt:lpwstr>2014年01月10日</vt:lpwstr>
  </property>
  <property fmtid="{D5CDD505-2E9C-101B-9397-08002B2CF9AE}" pid="17" name="报告类型">
    <vt:lpwstr>投连险行业年报</vt:lpwstr>
  </property>
  <property fmtid="{D5CDD505-2E9C-101B-9397-08002B2CF9AE}" pid="18" name="标题">
    <vt:lpwstr>投连险2013年行业分析报告</vt:lpwstr>
  </property>
  <property fmtid="{D5CDD505-2E9C-101B-9397-08002B2CF9AE}" pid="19" name="目标价格">
    <vt:lpwstr> </vt:lpwstr>
  </property>
  <property fmtid="{D5CDD505-2E9C-101B-9397-08002B2CF9AE}" pid="20" name="竞争评级">
    <vt:lpwstr>高于行业均值</vt:lpwstr>
  </property>
  <property fmtid="{D5CDD505-2E9C-101B-9397-08002B2CF9AE}" pid="21" name="行业">
    <vt:lpwstr> </vt:lpwstr>
  </property>
  <property fmtid="{D5CDD505-2E9C-101B-9397-08002B2CF9AE}" pid="22" name="行业 ">
    <vt:lpwstr> </vt:lpwstr>
  </property>
  <property fmtid="{D5CDD505-2E9C-101B-9397-08002B2CF9AE}" pid="23" name="行业代码">
    <vt:lpwstr> </vt:lpwstr>
  </property>
  <property fmtid="{D5CDD505-2E9C-101B-9397-08002B2CF9AE}" pid="24" name="证券代码">
    <vt:lpwstr> </vt:lpwstr>
  </property>
  <property fmtid="{D5CDD505-2E9C-101B-9397-08002B2CF9AE}" pid="25" name="证券名称">
    <vt:lpwstr> </vt:lpwstr>
  </property>
</Properties>
</file>