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32" w:line="364" w:lineRule="auto"/>
        <w:ind w:left="6046" w:right="2832" w:hanging="3616"/>
        <w:jc w:val="left"/>
        <w:rPr>
          <w:b/>
          <w:sz w:val="48"/>
        </w:rPr>
      </w:pPr>
      <w:r>
        <w:rPr>
          <w:b/>
          <w:spacing w:val="-1"/>
          <w:w w:val="95"/>
          <w:sz w:val="48"/>
        </w:rPr>
        <w:t>阳城县县城生活垃圾处理工程设备采购安装工程</w:t>
      </w:r>
      <w:r>
        <w:rPr>
          <w:b/>
          <w:sz w:val="48"/>
        </w:rPr>
        <w:t>施工组织设计</w:t>
      </w:r>
    </w:p>
    <w:p>
      <w:pPr>
        <w:pStyle w:val="BodyText"/>
        <w:rPr>
          <w:b/>
          <w:sz w:val="48"/>
        </w:rPr>
      </w:pPr>
    </w:p>
    <w:p>
      <w:pPr>
        <w:pStyle w:val="Heading2"/>
        <w:spacing w:before="411"/>
        <w:ind w:left="5909"/>
      </w:pPr>
      <w:r>
        <w:rPr>
          <w:spacing w:val="-1"/>
        </w:rPr>
        <w:t>第一章 工程概述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 w:line="417" w:lineRule="auto"/>
        <w:ind w:left="1260" w:right="1588" w:firstLine="838"/>
      </w:pPr>
      <w:r>
        <w:t>阳城县县城生活垃圾处理工程设备采购安装工程主要内容包括</w:t>
      </w:r>
      <w:r>
        <w:rPr>
          <w:spacing w:val="-4"/>
        </w:rPr>
        <w:t xml:space="preserve">锅炉房设备采购安装、水泵房设备采购安装、地磅 </w:t>
      </w:r>
      <w:r>
        <w:t>30</w:t>
      </w:r>
      <w:r>
        <w:rPr>
          <w:spacing w:val="-11"/>
        </w:rPr>
        <w:t xml:space="preserve"> 吨电子计量衡</w:t>
      </w:r>
      <w:r>
        <w:t>器、地磅房轻钢屋工程。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Heading2"/>
        <w:tabs>
          <w:tab w:val="left" w:pos="7492"/>
        </w:tabs>
        <w:ind w:left="5804"/>
      </w:pPr>
      <w:r>
        <w:t>第二章</w:t>
        <w:tab/>
        <w:t>施工部署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2067"/>
      </w:pPr>
      <w:r>
        <w:t>二、施工部署：</w:t>
      </w:r>
    </w:p>
    <w:p>
      <w:pPr>
        <w:pStyle w:val="BodyText"/>
        <w:rPr>
          <w:sz w:val="31"/>
        </w:rPr>
      </w:pPr>
    </w:p>
    <w:p>
      <w:pPr>
        <w:pStyle w:val="BodyText"/>
        <w:ind w:left="2067"/>
      </w:pPr>
      <w:r>
        <w:t>（一）施工部署原则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1260" w:right="1420" w:firstLine="806"/>
      </w:pPr>
      <w:r>
        <w:t>1、集中力量保重点，保工期，在人力、物资、机具给予充分保证，各专业工作应协助指导该项目施工班子，组织好施工工作，搞好各方面的协调配合。</w:t>
      </w:r>
    </w:p>
    <w:p>
      <w:pPr>
        <w:pStyle w:val="BodyText"/>
        <w:spacing w:line="417" w:lineRule="auto"/>
        <w:ind w:left="1260" w:right="1662" w:firstLine="806"/>
      </w:pPr>
      <w:r>
        <w:t>2、组织配合施工，穿插作业，组织内部各工种平行流水作业， 互相创造施工条件，确保整个安装工程顺利进行。</w:t>
      </w:r>
    </w:p>
    <w:p>
      <w:pPr>
        <w:pStyle w:val="BodyText"/>
        <w:spacing w:line="417" w:lineRule="auto"/>
        <w:ind w:left="1260" w:right="1662" w:firstLine="806"/>
      </w:pPr>
      <w:r>
        <w:t>3、推行先进施工方法和施工机具，提高机械作业水平，提高作业效率。</w:t>
      </w:r>
    </w:p>
    <w:p>
      <w:pPr>
        <w:pStyle w:val="BodyText"/>
        <w:ind w:left="2067"/>
      </w:pPr>
      <w:r>
        <w:t>（二）施工配合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ind w:left="2067"/>
      </w:pPr>
      <w:r>
        <w:t>1、安装各部门之间的配合。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9"/>
        </w:numPr>
        <w:tabs>
          <w:tab w:val="left" w:pos="3123"/>
        </w:tabs>
        <w:spacing w:before="0" w:after="0" w:line="240" w:lineRule="auto"/>
        <w:ind w:left="3122" w:right="0" w:hanging="1056"/>
        <w:jc w:val="left"/>
        <w:rPr>
          <w:sz w:val="42"/>
        </w:rPr>
      </w:pPr>
      <w:r>
        <w:rPr>
          <w:sz w:val="42"/>
        </w:rPr>
        <w:t>设备管道电气安装的配合。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"/>
          <w:footerReference w:type="default" r:id="rId5"/>
          <w:type w:val="continuous"/>
          <w:pgSz w:w="17860" w:h="25260"/>
          <w:pgMar w:top="1320" w:right="1100" w:bottom="2120" w:left="1440" w:header="1132" w:footer="1922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458" w:firstLine="806"/>
      </w:pPr>
      <w:r>
        <w:t>设备到货后，应先办理开箱检查及交接手续，尽快安装就位，为管道配管与电气接线创造条件。</w:t>
      </w:r>
    </w:p>
    <w:p>
      <w:pPr>
        <w:pStyle w:val="ListParagraph"/>
        <w:numPr>
          <w:ilvl w:val="0"/>
          <w:numId w:val="49"/>
        </w:numPr>
        <w:tabs>
          <w:tab w:val="left" w:pos="3123"/>
        </w:tabs>
        <w:spacing w:before="0" w:after="0" w:line="537" w:lineRule="exact"/>
        <w:ind w:left="3122" w:right="0" w:hanging="1056"/>
        <w:jc w:val="left"/>
        <w:rPr>
          <w:sz w:val="42"/>
        </w:rPr>
      </w:pPr>
      <w:r>
        <w:rPr>
          <w:sz w:val="42"/>
        </w:rPr>
        <w:t>油漆施工配合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458" w:firstLine="806"/>
      </w:pPr>
      <w:r>
        <w:rPr>
          <w:spacing w:val="-1"/>
        </w:rPr>
        <w:t>焊接管、无缝管及各种管道支架均先除锈，刷防锈漆，不保温管</w:t>
      </w:r>
      <w:r>
        <w:rPr>
          <w:spacing w:val="-10"/>
        </w:rPr>
        <w:t>道及各种管支架再刷两遍面漆，镀锌钢管一般可不做防腐处理，但镀</w:t>
      </w:r>
      <w:r>
        <w:rPr>
          <w:spacing w:val="-18"/>
        </w:rPr>
        <w:t>锌层损坏部位应先刷底漆后刷银粉。电气与消防有关的穿线管刷防火漆两遍。</w:t>
      </w:r>
    </w:p>
    <w:p>
      <w:pPr>
        <w:pStyle w:val="ListParagraph"/>
        <w:numPr>
          <w:ilvl w:val="0"/>
          <w:numId w:val="49"/>
        </w:numPr>
        <w:tabs>
          <w:tab w:val="left" w:pos="3123"/>
        </w:tabs>
        <w:spacing w:before="0" w:after="0" w:line="538" w:lineRule="exact"/>
        <w:ind w:left="3122" w:right="0" w:hanging="1056"/>
        <w:jc w:val="left"/>
        <w:rPr>
          <w:sz w:val="42"/>
        </w:rPr>
      </w:pPr>
      <w:r>
        <w:rPr>
          <w:sz w:val="42"/>
        </w:rPr>
        <w:t>隔热保温施工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067" w:right="1375"/>
      </w:pPr>
      <w:r>
        <w:rPr>
          <w:spacing w:val="-21"/>
        </w:rPr>
        <w:t>按施工工作分段，分流，管道安装后及时试压合格，交保温施工。</w:t>
      </w:r>
      <w:r>
        <w:t>2、安装与土建的配合</w:t>
      </w:r>
    </w:p>
    <w:p>
      <w:pPr>
        <w:pStyle w:val="ListParagraph"/>
        <w:numPr>
          <w:ilvl w:val="0"/>
          <w:numId w:val="48"/>
        </w:numPr>
        <w:tabs>
          <w:tab w:val="left" w:pos="3123"/>
        </w:tabs>
        <w:spacing w:before="0" w:after="0" w:line="537" w:lineRule="exact"/>
        <w:ind w:left="3122" w:right="0" w:hanging="1056"/>
        <w:jc w:val="left"/>
        <w:rPr>
          <w:sz w:val="42"/>
        </w:rPr>
      </w:pPr>
      <w:r>
        <w:rPr>
          <w:sz w:val="42"/>
        </w:rPr>
        <w:t>予留予埋配合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1525" w:firstLine="806"/>
        <w:jc w:val="both"/>
      </w:pPr>
      <w:r>
        <w:rPr>
          <w:spacing w:val="-11"/>
        </w:rPr>
        <w:t>认真审核施工图纸，积极配合土建施工进行予留予埋工作，并仔</w:t>
      </w:r>
      <w:r>
        <w:rPr>
          <w:spacing w:val="-15"/>
        </w:rPr>
        <w:t>细进行复核，避免因予留予埋位置和尺寸不正确而增加以后施工的难</w:t>
      </w:r>
      <w:r>
        <w:rPr>
          <w:spacing w:val="-16"/>
        </w:rPr>
        <w:t>度。施工过程中，由于设计变更或其他原因需开墙或楼板洞时，应会</w:t>
      </w:r>
      <w:r>
        <w:t>同监理与土建协商处理。</w:t>
      </w:r>
    </w:p>
    <w:p>
      <w:pPr>
        <w:pStyle w:val="ListParagraph"/>
        <w:numPr>
          <w:ilvl w:val="0"/>
          <w:numId w:val="48"/>
        </w:numPr>
        <w:tabs>
          <w:tab w:val="left" w:pos="3123"/>
        </w:tabs>
        <w:spacing w:before="0" w:after="0" w:line="537" w:lineRule="exact"/>
        <w:ind w:left="3122" w:right="0" w:hanging="1056"/>
        <w:jc w:val="left"/>
        <w:rPr>
          <w:sz w:val="42"/>
        </w:rPr>
      </w:pPr>
      <w:r>
        <w:rPr>
          <w:sz w:val="42"/>
        </w:rPr>
        <w:t>设备基础及留孔的配合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581" w:firstLine="806"/>
      </w:pPr>
      <w:r>
        <w:rPr>
          <w:spacing w:val="-7"/>
        </w:rPr>
        <w:t xml:space="preserve">设备基础应尽早浇注，未达到强度 </w:t>
      </w:r>
      <w:r>
        <w:t>70</w:t>
      </w:r>
      <w:r>
        <w:rPr>
          <w:spacing w:val="-2"/>
        </w:rPr>
        <w:t>%，不得安装设备，基础位</w:t>
      </w:r>
      <w:r>
        <w:t>置尺寸及留孔由土建检查，安装复查，土建向安装办理交接记录。</w:t>
      </w:r>
    </w:p>
    <w:p>
      <w:pPr>
        <w:pStyle w:val="ListParagraph"/>
        <w:numPr>
          <w:ilvl w:val="0"/>
          <w:numId w:val="48"/>
        </w:numPr>
        <w:tabs>
          <w:tab w:val="left" w:pos="3123"/>
        </w:tabs>
        <w:spacing w:before="0" w:after="0" w:line="240" w:lineRule="auto"/>
        <w:ind w:left="3122" w:right="0" w:hanging="1056"/>
        <w:jc w:val="left"/>
        <w:rPr>
          <w:sz w:val="42"/>
        </w:rPr>
      </w:pPr>
      <w:r>
        <w:rPr>
          <w:sz w:val="42"/>
        </w:rPr>
        <w:t>成品保护的配合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420" w:firstLine="806"/>
      </w:pPr>
      <w:r>
        <w:t xml:space="preserve">安装施工不得随意在土建墙体上打洞安装施工不得随意在土建 </w:t>
      </w:r>
      <w:r>
        <w:rPr>
          <w:spacing w:val="-1"/>
        </w:rPr>
        <w:t>墙体上打洞，因特殊原因必须打洞时，应与土建协商，确定位置及孔</w:t>
      </w:r>
      <w:r>
        <w:t>洞大小，安装施工中应注意对墙面吊顶的保护，避免污染。</w:t>
      </w:r>
    </w:p>
    <w:p>
      <w:pPr>
        <w:spacing w:after="0" w:line="417" w:lineRule="auto"/>
        <w:sectPr>
          <w:headerReference w:type="default" r:id="rId6"/>
          <w:footerReference w:type="default" r:id="rId7"/>
          <w:pgSz w:w="17860" w:h="25260"/>
          <w:pgMar w:top="1320" w:right="1100" w:bottom="2120" w:left="1440" w:header="1132" w:footer="1922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878" w:firstLine="806"/>
      </w:pPr>
      <w:r>
        <w:t>通过工程建设指挥部与各施工单位协调，共同搞好安装成品保护，不得随意扳动已安装好的管道电路开关阀门等。</w:t>
      </w:r>
    </w:p>
    <w:p>
      <w:pPr>
        <w:pStyle w:val="BodyText"/>
        <w:spacing w:line="537" w:lineRule="exact"/>
        <w:ind w:left="2067"/>
      </w:pPr>
      <w:r>
        <w:t>4、安装与监理的配合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7"/>
        </w:numPr>
        <w:tabs>
          <w:tab w:val="left" w:pos="3421"/>
        </w:tabs>
        <w:spacing w:before="0" w:after="0" w:line="240" w:lineRule="auto"/>
        <w:ind w:left="3420" w:right="0" w:hanging="1354"/>
        <w:jc w:val="left"/>
        <w:rPr>
          <w:sz w:val="42"/>
        </w:rPr>
      </w:pPr>
      <w:r>
        <w:rPr>
          <w:sz w:val="42"/>
        </w:rPr>
        <w:t>材料进场应由监理验收，并提供产品合格证及准用证。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47"/>
        </w:numPr>
        <w:tabs>
          <w:tab w:val="left" w:pos="3130"/>
        </w:tabs>
        <w:spacing w:before="0" w:after="0" w:line="417" w:lineRule="auto"/>
        <w:ind w:left="1260" w:right="1658" w:firstLine="806"/>
        <w:jc w:val="left"/>
        <w:rPr>
          <w:sz w:val="42"/>
        </w:rPr>
      </w:pPr>
      <w:r>
        <w:rPr>
          <w:spacing w:val="-1"/>
          <w:sz w:val="42"/>
        </w:rPr>
        <w:t>安装施工每道工序完成后，应报监理验收，并办理验收记</w:t>
      </w:r>
      <w:r>
        <w:rPr>
          <w:sz w:val="42"/>
        </w:rPr>
        <w:t>录。</w:t>
      </w:r>
    </w:p>
    <w:p>
      <w:pPr>
        <w:pStyle w:val="ListParagraph"/>
        <w:numPr>
          <w:ilvl w:val="0"/>
          <w:numId w:val="47"/>
        </w:numPr>
        <w:tabs>
          <w:tab w:val="left" w:pos="3123"/>
        </w:tabs>
        <w:spacing w:before="0" w:after="0" w:line="240" w:lineRule="auto"/>
        <w:ind w:left="3122" w:right="0" w:hanging="1056"/>
        <w:jc w:val="left"/>
        <w:rPr>
          <w:sz w:val="42"/>
        </w:rPr>
      </w:pPr>
      <w:r>
        <w:rPr>
          <w:sz w:val="42"/>
        </w:rPr>
        <w:t>各种管道支吊架形式应经监理同意认可后施工。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7"/>
        </w:numPr>
        <w:tabs>
          <w:tab w:val="left" w:pos="3130"/>
        </w:tabs>
        <w:spacing w:before="1" w:after="0" w:line="417" w:lineRule="auto"/>
        <w:ind w:left="1260" w:right="1658" w:firstLine="806"/>
        <w:jc w:val="left"/>
        <w:rPr>
          <w:sz w:val="42"/>
        </w:rPr>
      </w:pPr>
      <w:r>
        <w:rPr>
          <w:spacing w:val="-1"/>
          <w:sz w:val="42"/>
        </w:rPr>
        <w:t xml:space="preserve">监理发来的通知单应认真对待，对提出的问题尽快处理， </w:t>
      </w:r>
      <w:r>
        <w:rPr>
          <w:sz w:val="42"/>
        </w:rPr>
        <w:t>需要图文的应将处理结果及时约请监理复查。</w:t>
      </w:r>
    </w:p>
    <w:p>
      <w:pPr>
        <w:pStyle w:val="BodyText"/>
      </w:pPr>
    </w:p>
    <w:p>
      <w:pPr>
        <w:pStyle w:val="BodyText"/>
        <w:spacing w:before="12"/>
        <w:rPr>
          <w:sz w:val="30"/>
        </w:rPr>
      </w:pPr>
    </w:p>
    <w:p>
      <w:pPr>
        <w:pStyle w:val="Heading2"/>
        <w:tabs>
          <w:tab w:val="left" w:pos="1688"/>
        </w:tabs>
        <w:ind w:right="335"/>
        <w:jc w:val="center"/>
      </w:pPr>
      <w:r>
        <w:t>第三章</w:t>
        <w:tab/>
      </w:r>
      <w:r>
        <w:rPr>
          <w:w w:val="95"/>
        </w:rPr>
        <w:t>施工准备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260"/>
      </w:pPr>
      <w:r>
        <w:t>一、 技术准备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386" w:firstLine="651"/>
      </w:pPr>
      <w:r>
        <w:t>积极参加设计单位的技术交底会议，做好图纸会审工作。并由项</w:t>
      </w:r>
      <w:r>
        <w:rPr>
          <w:spacing w:val="-18"/>
        </w:rPr>
        <w:t>目经理负责组织参加施工施工的技术人员、工人熟悉图纸、审查图纸、</w:t>
      </w:r>
      <w:r>
        <w:rPr>
          <w:spacing w:val="-10"/>
        </w:rPr>
        <w:t>组织编制好施工阶段的施工方案，学习有关施工验收规范，并在开工前由技术负责人向班组进行技术安全质量交底。</w:t>
      </w:r>
    </w:p>
    <w:p>
      <w:pPr>
        <w:pStyle w:val="BodyText"/>
        <w:spacing w:line="537" w:lineRule="exact"/>
        <w:ind w:left="1260"/>
      </w:pPr>
      <w:r>
        <w:t>二、工器具及车辆准备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067"/>
      </w:pPr>
      <w:r>
        <w:t>主要施工设备见下表。</w:t>
      </w:r>
    </w:p>
    <w:p>
      <w:pPr>
        <w:pStyle w:val="BodyText"/>
        <w:spacing w:before="2"/>
        <w:rPr>
          <w:sz w:val="31"/>
        </w:rPr>
      </w:pPr>
    </w:p>
    <w:p>
      <w:pPr>
        <w:pStyle w:val="Heading2"/>
        <w:ind w:right="342"/>
        <w:jc w:val="center"/>
      </w:pPr>
      <w:r>
        <w:t>主要施工机械设备表</w:t>
      </w:r>
    </w:p>
    <w:p>
      <w:pPr>
        <w:pStyle w:val="BodyText"/>
        <w:spacing w:before="9"/>
        <w:rPr>
          <w:b/>
          <w:sz w:val="16"/>
        </w:rPr>
      </w:pPr>
      <w:r>
        <w:pict>
          <v:group id="_x0000_s1025" style="width:641pt;height:145pt;margin-top:12.68pt;margin-left:134pt;mso-position-horizontal-relative:page;mso-wrap-distance-left:0;mso-wrap-distance-right:0;position:absolute;z-index:-251658240" coordorigin="2680,254" coordsize="12820,2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20;height:2900;left:2680;position:absolute;top:253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2956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2969;height:422;left:4605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机械或设备名称</w:t>
                    </w:r>
                  </w:p>
                </w:txbxContent>
              </v:textbox>
            </v:shape>
            <v:shape id="_x0000_s1029" type="#_x0000_t202" style="width:1705;height:422;left:8609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规格型号</w:t>
                    </w:r>
                  </w:p>
                </w:txbxContent>
              </v:textbox>
            </v:shape>
            <v:shape id="_x0000_s1030" type="#_x0000_t202" style="width:863;height:422;left:11190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031" type="#_x0000_t202" style="width:863;height:422;left:13521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备注</w:t>
                    </w:r>
                  </w:p>
                </w:txbxContent>
              </v:textbox>
            </v:shape>
            <v:shape id="_x0000_s1032" type="#_x0000_t202" style="width:231;height:422;left:3269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33" type="#_x0000_t202" style="width:2126;height:422;left:5026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交流电焊机</w:t>
                    </w:r>
                  </w:p>
                </w:txbxContent>
              </v:textbox>
            </v:shape>
            <v:shape id="_x0000_s1034" type="#_x0000_t202" style="width:1495;height:422;left:8717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BX1-400</w:t>
                    </w:r>
                  </w:p>
                </w:txbxContent>
              </v:textbox>
            </v:shape>
            <v:shape id="_x0000_s1035" type="#_x0000_t202" style="width:759;height:422;left:11244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52"/>
                        <w:sz w:val="42"/>
                      </w:rPr>
                      <w:t xml:space="preserve"> 台</w:t>
                    </w:r>
                  </w:p>
                </w:txbxContent>
              </v:textbox>
            </v:shape>
            <v:shape id="_x0000_s1036" type="#_x0000_t202" style="width:231;height:422;left:3280;position:absolute;top:23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37" type="#_x0000_t202" style="width:1705;height:422;left:5235;position:absolute;top:23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手拉葫芦</w:t>
                    </w:r>
                  </w:p>
                </w:txbxContent>
              </v:textbox>
            </v:shape>
            <v:shape id="_x0000_s1038" type="#_x0000_t202" style="width:652;height:422;left:9145;position:absolute;top:23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10T</w:t>
                    </w:r>
                  </w:p>
                </w:txbxContent>
              </v:textbox>
            </v:shape>
            <v:shape id="_x0000_s1039" type="#_x0000_t202" style="width:759;height:422;left:11244;position:absolute;top:23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52"/>
                        <w:sz w:val="42"/>
                      </w:rPr>
                      <w:t xml:space="preserve"> 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9"/>
          <w:footerReference w:type="default" r:id="rId10"/>
          <w:pgSz w:w="17860" w:h="25260"/>
          <w:pgMar w:top="1320" w:right="1100" w:bottom="2120" w:left="1440" w:header="1132" w:footer="1922"/>
          <w:pgNumType w:start="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ind w:left="1240"/>
        <w:rPr>
          <w:sz w:val="20"/>
        </w:rPr>
      </w:pPr>
      <w:r>
        <w:rPr>
          <w:sz w:val="20"/>
        </w:rPr>
        <w:pict>
          <v:group id="_x0000_i1040" style="width:641pt;height:98pt;mso-position-horizontal-relative:char;mso-position-vertical-relative:line" coordorigin="0,0" coordsize="12820,1960">
            <v:shape id="_x0000_s1041" type="#_x0000_t75" style="width:12820;height:1960;position:absolute" stroked="f">
              <v:imagedata r:id="rId11" o:title=""/>
            </v:shape>
            <v:shape id="_x0000_s1042" type="#_x0000_t202" style="width:231;height:422;left:600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043" type="#_x0000_t202" style="width:1705;height:422;left:2555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手拉葫芦</w:t>
                    </w:r>
                  </w:p>
                </w:txbxContent>
              </v:textbox>
            </v:shape>
            <v:shape id="_x0000_s1044" type="#_x0000_t202" style="width:442;height:422;left:6569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3T</w:t>
                    </w:r>
                  </w:p>
                </w:txbxContent>
              </v:textbox>
            </v:shape>
            <v:shape id="_x0000_s1045" type="#_x0000_t202" style="width:759;height:422;left:8564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52"/>
                        <w:sz w:val="42"/>
                      </w:rPr>
                      <w:t xml:space="preserve"> 台</w:t>
                    </w:r>
                  </w:p>
                </w:txbxContent>
              </v:textbox>
            </v:shape>
            <v:shape id="_x0000_s1046" type="#_x0000_t202" style="width:231;height:422;left:600;position:absolute;top:11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47" type="#_x0000_t202" style="width:1705;height:422;left:2555;position:absolute;top:11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手拉葫芦</w:t>
                    </w:r>
                  </w:p>
                </w:txbxContent>
              </v:textbox>
            </v:shape>
            <v:shape id="_x0000_s1048" type="#_x0000_t202" style="width:442;height:422;left:6569;position:absolute;top:11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5T</w:t>
                    </w:r>
                  </w:p>
                </w:txbxContent>
              </v:textbox>
            </v:shape>
            <v:shape id="_x0000_s1049" type="#_x0000_t202" style="width:759;height:422;left:8564;position:absolute;top:11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</w:t>
                    </w:r>
                    <w:r>
                      <w:rPr>
                        <w:spacing w:val="-52"/>
                        <w:sz w:val="42"/>
                      </w:rPr>
                      <w:t xml:space="preserve"> 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8"/>
        <w:ind w:left="1260" w:right="0" w:firstLine="0"/>
        <w:jc w:val="left"/>
        <w:rPr>
          <w:b/>
          <w:sz w:val="42"/>
        </w:rPr>
      </w:pPr>
      <w:r>
        <w:rPr>
          <w:b/>
          <w:sz w:val="42"/>
        </w:rPr>
        <w:t>三、施工工具准备：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 w:line="417" w:lineRule="auto"/>
        <w:ind w:left="1260" w:right="1380" w:firstLine="838"/>
      </w:pPr>
      <w:r>
        <w:rPr>
          <w:spacing w:val="-19"/>
        </w:rPr>
        <w:t xml:space="preserve">套筒扳手 </w:t>
      </w:r>
      <w:r>
        <w:t>4</w:t>
      </w:r>
      <w:r>
        <w:rPr>
          <w:spacing w:val="-25"/>
        </w:rPr>
        <w:t xml:space="preserve"> 套，水平尺、经纬仪、水准仪、方水平仪、长水平尺、</w:t>
      </w:r>
      <w:r>
        <w:t>直角规、钢卷尺、钢板尺、框式水平仪，个人工器具自备等。</w:t>
      </w:r>
    </w:p>
    <w:p>
      <w:pPr>
        <w:pStyle w:val="BodyText"/>
        <w:spacing w:line="417" w:lineRule="auto"/>
        <w:ind w:left="1260" w:right="2268" w:firstLine="838"/>
      </w:pPr>
      <w:r>
        <w:t>所有工器具经现场施工负责人检查确认完好后，方可使用。四、 施工材料准备</w:t>
      </w:r>
    </w:p>
    <w:p>
      <w:pPr>
        <w:pStyle w:val="BodyText"/>
        <w:spacing w:line="417" w:lineRule="auto"/>
        <w:ind w:left="1260" w:right="1420" w:firstLine="651"/>
      </w:pPr>
      <w:r>
        <w:t>工程用材料在开工前由施工技术员根据施工图作出材料计划表， 交供应部门采购、准备，在工程需要时，负责运至工地，由专职质检员检查合格后，方可用于工程，并收集各种资料做好记录。</w:t>
      </w:r>
    </w:p>
    <w:p>
      <w:pPr>
        <w:pStyle w:val="BodyText"/>
      </w:pPr>
    </w:p>
    <w:p>
      <w:pPr>
        <w:pStyle w:val="BodyText"/>
        <w:spacing w:before="11"/>
        <w:rPr>
          <w:sz w:val="30"/>
        </w:rPr>
      </w:pPr>
    </w:p>
    <w:p>
      <w:pPr>
        <w:pStyle w:val="Heading2"/>
        <w:tabs>
          <w:tab w:val="left" w:pos="6762"/>
        </w:tabs>
        <w:spacing w:before="1" w:line="417" w:lineRule="auto"/>
        <w:ind w:left="2070" w:right="4764" w:firstLine="3003"/>
      </w:pPr>
      <w:r>
        <w:t>第四章</w:t>
        <w:tab/>
        <w:t>施工工序及施工方</w:t>
      </w:r>
      <w:r>
        <w:rPr>
          <w:spacing w:val="-18"/>
        </w:rPr>
        <w:t>法</w:t>
      </w:r>
      <w:r>
        <w:t>锅炉房设备安装工程</w:t>
      </w:r>
    </w:p>
    <w:p>
      <w:pPr>
        <w:pStyle w:val="BodyText"/>
        <w:ind w:left="2067"/>
      </w:pPr>
      <w:r>
        <w:t>1、施工准备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6"/>
        </w:numPr>
        <w:tabs>
          <w:tab w:val="left" w:pos="3130"/>
        </w:tabs>
        <w:spacing w:before="0" w:after="0" w:line="417" w:lineRule="auto"/>
        <w:ind w:left="1260" w:right="1420" w:firstLine="806"/>
        <w:jc w:val="left"/>
        <w:rPr>
          <w:sz w:val="42"/>
        </w:rPr>
      </w:pPr>
      <w:r>
        <w:rPr>
          <w:sz w:val="42"/>
        </w:rPr>
        <w:t>施工力量准备：组建项目班子，由项目经理负责承包合同</w:t>
      </w:r>
      <w:r>
        <w:rPr>
          <w:spacing w:val="-1"/>
          <w:sz w:val="42"/>
        </w:rPr>
        <w:t>的实施和落实，在现场进行综合管理和统一指挥。设备、管道、电气</w:t>
      </w:r>
      <w:r>
        <w:rPr>
          <w:sz w:val="42"/>
        </w:rPr>
        <w:t>各专业组织施工班组，由班组长主抓，加强现场管理。</w:t>
      </w:r>
    </w:p>
    <w:p>
      <w:pPr>
        <w:pStyle w:val="ListParagraph"/>
        <w:numPr>
          <w:ilvl w:val="0"/>
          <w:numId w:val="46"/>
        </w:numPr>
        <w:tabs>
          <w:tab w:val="left" w:pos="3130"/>
        </w:tabs>
        <w:spacing w:before="0" w:after="0" w:line="417" w:lineRule="auto"/>
        <w:ind w:left="1260" w:right="1658" w:firstLine="806"/>
        <w:jc w:val="left"/>
        <w:rPr>
          <w:sz w:val="42"/>
        </w:rPr>
      </w:pPr>
      <w:r>
        <w:rPr>
          <w:spacing w:val="-1"/>
          <w:sz w:val="42"/>
        </w:rPr>
        <w:t>现场临时设备准备；临时用水、电源由甲方提供，现场设</w:t>
      </w:r>
      <w:r>
        <w:rPr>
          <w:sz w:val="42"/>
        </w:rPr>
        <w:t>备分配电箱将电源引至工作点，临时用水接至生活区。</w:t>
      </w:r>
    </w:p>
    <w:p>
      <w:pPr>
        <w:pStyle w:val="ListParagraph"/>
        <w:numPr>
          <w:ilvl w:val="0"/>
          <w:numId w:val="46"/>
        </w:numPr>
        <w:tabs>
          <w:tab w:val="left" w:pos="3123"/>
        </w:tabs>
        <w:spacing w:before="0" w:after="0" w:line="537" w:lineRule="exact"/>
        <w:ind w:left="3122" w:right="0" w:hanging="1056"/>
        <w:jc w:val="left"/>
        <w:rPr>
          <w:sz w:val="42"/>
        </w:rPr>
      </w:pPr>
      <w:r>
        <w:rPr>
          <w:sz w:val="42"/>
        </w:rPr>
        <w:t>技术准备工作：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420" w:firstLine="806"/>
      </w:pPr>
      <w:r>
        <w:t>a、各专业技术负责人员应认真熟悉图纸，作好图纸会审，图纸会审后作好记录，组织有关人员学习资料，熟悉《有机载热体炉安全</w:t>
      </w:r>
    </w:p>
    <w:p>
      <w:pPr>
        <w:spacing w:after="0" w:line="417" w:lineRule="auto"/>
        <w:sectPr>
          <w:headerReference w:type="default" r:id="rId12"/>
          <w:footerReference w:type="default" r:id="rId13"/>
          <w:pgSz w:w="17860" w:h="25260"/>
          <w:pgMar w:top="1320" w:right="1100" w:bottom="2120" w:left="1440" w:header="1132" w:footer="1922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576"/>
        <w:jc w:val="both"/>
      </w:pPr>
      <w:r>
        <w:rPr>
          <w:spacing w:val="-31"/>
        </w:rPr>
        <w:t>技术监察规范》</w:t>
      </w:r>
      <w:r>
        <w:rPr>
          <w:spacing w:val="-32"/>
        </w:rPr>
        <w:t>、《工业锅炉安装工程施工及验收规范》</w:t>
      </w:r>
      <w:r>
        <w:rPr>
          <w:spacing w:val="-42"/>
        </w:rPr>
        <w:t>、《机械设备安</w:t>
      </w:r>
      <w:r>
        <w:rPr>
          <w:spacing w:val="-57"/>
        </w:rPr>
        <w:t>装工程施工及验收通用规范》</w:t>
      </w:r>
      <w:r>
        <w:rPr>
          <w:spacing w:val="-25"/>
        </w:rPr>
        <w:t>、《建筑给排水及采暖工程施工质量验收</w:t>
      </w:r>
      <w:r>
        <w:rPr>
          <w:spacing w:val="-27"/>
        </w:rPr>
        <w:t>规范》、《通风与空调工程施工质量验收规范》《采暖与卫生工程施工</w:t>
      </w:r>
      <w:r>
        <w:rPr>
          <w:spacing w:val="-44"/>
        </w:rPr>
        <w:t>及验收规范》、《工业管道工程施工及验收规范》</w:t>
      </w:r>
      <w:r>
        <w:rPr>
          <w:spacing w:val="-30"/>
        </w:rPr>
        <w:t>、《电气装置安装工程施工及验收规范》等有关验收规定。</w:t>
      </w:r>
    </w:p>
    <w:p>
      <w:pPr>
        <w:pStyle w:val="BodyText"/>
        <w:spacing w:line="417" w:lineRule="auto"/>
        <w:ind w:left="2067" w:right="6300"/>
      </w:pPr>
      <w:r>
        <w:t>b</w:t>
      </w:r>
      <w:r>
        <w:rPr>
          <w:spacing w:val="-2"/>
        </w:rPr>
        <w:t>、对各施工班组进行技术安全交底。</w:t>
      </w:r>
      <w:r>
        <w:t>c、准备各种技术资料表格。</w:t>
      </w:r>
    </w:p>
    <w:p>
      <w:pPr>
        <w:pStyle w:val="BodyText"/>
        <w:ind w:left="2067"/>
      </w:pPr>
      <w:r>
        <w:t>2、工艺设备安装施工总工序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45"/>
        </w:numPr>
        <w:tabs>
          <w:tab w:val="left" w:pos="3130"/>
        </w:tabs>
        <w:spacing w:before="0" w:after="0" w:line="417" w:lineRule="auto"/>
        <w:ind w:left="1260" w:right="1658" w:firstLine="806"/>
        <w:jc w:val="left"/>
        <w:rPr>
          <w:sz w:val="42"/>
        </w:rPr>
      </w:pPr>
      <w:r>
        <w:rPr>
          <w:spacing w:val="-1"/>
          <w:sz w:val="42"/>
        </w:rPr>
        <w:t>指定岗位责任制，编制施工组织计划，向各专业人员进行</w:t>
      </w:r>
      <w:r>
        <w:rPr>
          <w:sz w:val="42"/>
        </w:rPr>
        <w:t>技术安全交底。</w:t>
      </w:r>
    </w:p>
    <w:p>
      <w:pPr>
        <w:pStyle w:val="ListParagraph"/>
        <w:numPr>
          <w:ilvl w:val="0"/>
          <w:numId w:val="45"/>
        </w:numPr>
        <w:tabs>
          <w:tab w:val="left" w:pos="3130"/>
        </w:tabs>
        <w:spacing w:before="0" w:after="0" w:line="417" w:lineRule="auto"/>
        <w:ind w:left="1260" w:right="1658" w:firstLine="806"/>
        <w:jc w:val="left"/>
        <w:rPr>
          <w:sz w:val="42"/>
        </w:rPr>
      </w:pPr>
      <w:r>
        <w:rPr>
          <w:spacing w:val="-1"/>
          <w:sz w:val="42"/>
        </w:rPr>
        <w:t>材料组织采购及进场，建立健全的材料采购、验收、保管</w:t>
      </w:r>
      <w:r>
        <w:rPr>
          <w:sz w:val="42"/>
        </w:rPr>
        <w:t>制度，杜绝不合格的材料进场。</w:t>
      </w:r>
    </w:p>
    <w:p>
      <w:pPr>
        <w:pStyle w:val="ListParagraph"/>
        <w:numPr>
          <w:ilvl w:val="0"/>
          <w:numId w:val="45"/>
        </w:numPr>
        <w:tabs>
          <w:tab w:val="left" w:pos="3130"/>
        </w:tabs>
        <w:spacing w:before="0" w:after="0" w:line="417" w:lineRule="auto"/>
        <w:ind w:left="1260" w:right="1658" w:firstLine="806"/>
        <w:jc w:val="left"/>
        <w:rPr>
          <w:sz w:val="42"/>
        </w:rPr>
      </w:pPr>
      <w:r>
        <w:rPr>
          <w:sz w:val="42"/>
        </w:rPr>
        <w:t>作好设备基础验收，管沟、电缆沟、管道支（吊、托）</w:t>
      </w:r>
      <w:r>
        <w:rPr>
          <w:spacing w:val="-16"/>
          <w:sz w:val="42"/>
        </w:rPr>
        <w:t>架</w:t>
      </w:r>
      <w:r>
        <w:rPr>
          <w:sz w:val="42"/>
        </w:rPr>
        <w:t>放线，管段零件位置预测绘制加工图等工作。</w:t>
      </w:r>
    </w:p>
    <w:p>
      <w:pPr>
        <w:pStyle w:val="ListParagraph"/>
        <w:numPr>
          <w:ilvl w:val="0"/>
          <w:numId w:val="45"/>
        </w:numPr>
        <w:tabs>
          <w:tab w:val="left" w:pos="3130"/>
        </w:tabs>
        <w:spacing w:before="0" w:after="0" w:line="417" w:lineRule="auto"/>
        <w:ind w:left="1260" w:right="1658" w:firstLine="806"/>
        <w:jc w:val="left"/>
        <w:rPr>
          <w:sz w:val="42"/>
        </w:rPr>
      </w:pPr>
      <w:r>
        <w:rPr>
          <w:spacing w:val="-1"/>
          <w:sz w:val="42"/>
        </w:rPr>
        <w:t>施工各工序进行质量跟踪检查及专业质量平定，以保证工</w:t>
      </w:r>
      <w:r>
        <w:rPr>
          <w:sz w:val="42"/>
        </w:rPr>
        <w:t>程的整体质量。</w:t>
      </w:r>
    </w:p>
    <w:p>
      <w:pPr>
        <w:pStyle w:val="BodyText"/>
        <w:spacing w:line="537" w:lineRule="exact"/>
        <w:ind w:left="2067"/>
      </w:pPr>
      <w:r>
        <w:t>3、锅炉房的安装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44"/>
        </w:numPr>
        <w:tabs>
          <w:tab w:val="left" w:pos="3123"/>
        </w:tabs>
        <w:spacing w:before="0" w:after="0" w:line="240" w:lineRule="auto"/>
        <w:ind w:left="3122" w:right="0" w:hanging="1056"/>
        <w:jc w:val="left"/>
        <w:rPr>
          <w:sz w:val="42"/>
        </w:rPr>
      </w:pPr>
      <w:r>
        <w:rPr>
          <w:sz w:val="42"/>
        </w:rPr>
        <w:t>施工前的准备工作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1260" w:right="1529" w:firstLine="806"/>
        <w:jc w:val="both"/>
      </w:pPr>
      <w:r>
        <w:rPr>
          <w:spacing w:val="5"/>
        </w:rPr>
        <w:t>A</w:t>
      </w:r>
      <w:r>
        <w:t>、技术准备：组织有关人员学习资料，熟悉《热水锅炉安全技</w:t>
      </w:r>
      <w:r>
        <w:rPr>
          <w:spacing w:val="-11"/>
        </w:rPr>
        <w:t>术监察规程》的有关规定，熟悉锅炉图纸和技术文件，了解和掌握安</w:t>
      </w:r>
      <w:r>
        <w:t>装起重运行等操作事项。</w:t>
      </w:r>
    </w:p>
    <w:p>
      <w:pPr>
        <w:pStyle w:val="BodyText"/>
        <w:spacing w:line="537" w:lineRule="exact"/>
        <w:ind w:left="2067"/>
      </w:pPr>
      <w:r>
        <w:t>B、确定安装地点：锅炉在安装时运输通畅，锅炉房的布置符合</w:t>
      </w:r>
    </w:p>
    <w:p>
      <w:pPr>
        <w:spacing w:after="0" w:line="537" w:lineRule="exact"/>
        <w:sectPr>
          <w:headerReference w:type="default" r:id="rId14"/>
          <w:footerReference w:type="default" r:id="rId15"/>
          <w:pgSz w:w="17860" w:h="25260"/>
          <w:pgMar w:top="1320" w:right="1100" w:bottom="2120" w:left="1440" w:header="1132" w:footer="1922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420"/>
      </w:pPr>
      <w:r>
        <w:t>《有机载热炉安全技术监察规程》和《锅炉设计规范》的规定，光线充足，通风良好，锅炉燃气系统布置应符合国家有关防火规范。</w:t>
      </w:r>
    </w:p>
    <w:p>
      <w:pPr>
        <w:pStyle w:val="BodyText"/>
        <w:spacing w:line="417" w:lineRule="auto"/>
        <w:ind w:left="1260" w:right="1283" w:firstLine="806"/>
      </w:pPr>
      <w:r>
        <w:t>C、设备基础验收：设备的几何尺寸是否与设计的基础尺寸相符， 标高与设计标高是否一致。</w:t>
      </w:r>
    </w:p>
    <w:p>
      <w:pPr>
        <w:pStyle w:val="BodyText"/>
        <w:spacing w:line="417" w:lineRule="auto"/>
        <w:ind w:left="1260" w:right="1576" w:firstLine="806"/>
        <w:jc w:val="both"/>
      </w:pPr>
      <w:r>
        <w:rPr>
          <w:spacing w:val="5"/>
        </w:rPr>
        <w:t>D</w:t>
      </w:r>
      <w:r>
        <w:t>、设备验收；根据锅炉出厂清单及锅炉图纸对锅炉的零部件进</w:t>
      </w:r>
      <w:r>
        <w:rPr>
          <w:spacing w:val="-15"/>
        </w:rPr>
        <w:t>行清点验收、复核设备的完整性，检查锅炉大件在运输中是否有损坏</w:t>
      </w:r>
      <w:r>
        <w:t>变形等情况，如有及时修复。</w:t>
      </w:r>
    </w:p>
    <w:p>
      <w:pPr>
        <w:pStyle w:val="ListParagraph"/>
        <w:numPr>
          <w:ilvl w:val="0"/>
          <w:numId w:val="44"/>
        </w:numPr>
        <w:tabs>
          <w:tab w:val="left" w:pos="3123"/>
        </w:tabs>
        <w:spacing w:before="0" w:after="0" w:line="538" w:lineRule="exact"/>
        <w:ind w:left="3122" w:right="0" w:hanging="1056"/>
        <w:jc w:val="left"/>
        <w:rPr>
          <w:sz w:val="42"/>
        </w:rPr>
      </w:pPr>
      <w:r>
        <w:rPr>
          <w:sz w:val="42"/>
        </w:rPr>
        <w:t>安装要求；</w:t>
      </w:r>
    </w:p>
    <w:p>
      <w:pPr>
        <w:pStyle w:val="BodyText"/>
        <w:rPr>
          <w:sz w:val="31"/>
        </w:rPr>
      </w:pPr>
    </w:p>
    <w:p>
      <w:pPr>
        <w:pStyle w:val="BodyText"/>
        <w:ind w:left="2067"/>
      </w:pPr>
      <w:r>
        <w:t>A、锅炉大件的安装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1420" w:firstLine="806"/>
        <w:jc w:val="both"/>
      </w:pPr>
      <w:r>
        <w:rPr>
          <w:spacing w:val="-4"/>
        </w:rPr>
        <w:t xml:space="preserve">锅炉大件在移动时可在底座两槽钢下放置 </w:t>
      </w:r>
      <w:r>
        <w:t>8-10</w:t>
      </w:r>
      <w:r>
        <w:rPr>
          <w:spacing w:val="-7"/>
        </w:rPr>
        <w:t xml:space="preserve"> 根加厚无缝钢管</w:t>
      </w:r>
      <w:r>
        <w:rPr>
          <w:spacing w:val="-15"/>
        </w:rPr>
        <w:t>慢慢拉动，让锅炉大件在滚动的管子上缓缓移动，钢丝绳只能安放在</w:t>
      </w:r>
      <w:r>
        <w:rPr>
          <w:spacing w:val="-19"/>
        </w:rPr>
        <w:t>底座槽钢两端的拖拉孔上，不可损坏锅炉大件的任何部分，将锅炉大件就位后，前后、左右应保持水平，否则应将低的一侧用垫铁垫高。</w:t>
      </w:r>
    </w:p>
    <w:p>
      <w:pPr>
        <w:pStyle w:val="BodyText"/>
        <w:spacing w:line="537" w:lineRule="exact"/>
        <w:ind w:left="2067"/>
      </w:pPr>
      <w:r>
        <w:t>B、热载体管道、阀门、仪表及附件的安装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662" w:firstLine="806"/>
      </w:pPr>
      <w:r>
        <w:t>a、参照图纸进行安装，根据设计图纸设备安装到位，接通电源试运转。</w:t>
      </w:r>
    </w:p>
    <w:p>
      <w:pPr>
        <w:pStyle w:val="BodyText"/>
        <w:spacing w:line="417" w:lineRule="auto"/>
        <w:ind w:left="1260" w:right="1662" w:firstLine="806"/>
      </w:pPr>
      <w:r>
        <w:t>b、安全阀应在水压试验后安装，安全阀应装泄水管，其上不允许装阀门。</w:t>
      </w:r>
    </w:p>
    <w:p>
      <w:pPr>
        <w:pStyle w:val="BodyText"/>
        <w:spacing w:line="417" w:lineRule="auto"/>
        <w:ind w:left="1260" w:right="1662" w:firstLine="806"/>
      </w:pPr>
      <w:r>
        <w:t>c、安装压力表是，应在压力表上画出红线，以示锅炉最高许可压力。</w:t>
      </w:r>
    </w:p>
    <w:p>
      <w:pPr>
        <w:pStyle w:val="BodyText"/>
        <w:spacing w:line="537" w:lineRule="exact"/>
        <w:ind w:left="2067"/>
      </w:pPr>
      <w:r>
        <w:t>C、供气管的安装</w:t>
      </w:r>
    </w:p>
    <w:p>
      <w:pPr>
        <w:pStyle w:val="BodyText"/>
        <w:rPr>
          <w:sz w:val="31"/>
        </w:rPr>
      </w:pPr>
    </w:p>
    <w:p>
      <w:pPr>
        <w:pStyle w:val="BodyText"/>
        <w:ind w:left="2067"/>
      </w:pPr>
      <w:r>
        <w:t>燃烧机本身的管路已接好，留有进油和回油两个燃油软管接口，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1320" w:right="1100" w:bottom="2120" w:left="1440" w:header="1132" w:footer="1922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595"/>
      </w:pPr>
      <w:r>
        <w:rPr>
          <w:spacing w:val="-11"/>
        </w:rPr>
        <w:t>只需将油箱相应的油管接上即可，在油管路安装完毕后，进行气体吹</w:t>
      </w:r>
      <w:r>
        <w:t>除，清扫污物。</w:t>
      </w:r>
    </w:p>
    <w:p>
      <w:pPr>
        <w:pStyle w:val="BodyText"/>
        <w:spacing w:line="537" w:lineRule="exact"/>
        <w:ind w:left="2067"/>
      </w:pPr>
      <w:r>
        <w:t>D、烟道安装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597" w:firstLine="806"/>
      </w:pPr>
      <w:r>
        <w:rPr>
          <w:spacing w:val="-11"/>
        </w:rPr>
        <w:t xml:space="preserve">本工程烟风道是采用 </w:t>
      </w:r>
      <w:r>
        <w:t>5mm</w:t>
      </w:r>
      <w:r>
        <w:rPr>
          <w:spacing w:val="-16"/>
        </w:rPr>
        <w:t xml:space="preserve"> 钢板加工制作完成，烟囱安装时，法兰</w:t>
      </w:r>
      <w:r>
        <w:t>间垫石棉绳。</w:t>
      </w:r>
    </w:p>
    <w:p>
      <w:pPr>
        <w:pStyle w:val="BodyText"/>
        <w:spacing w:line="537" w:lineRule="exact"/>
        <w:ind w:left="2067"/>
      </w:pPr>
      <w:r>
        <w:t>E、水压试验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after="57" w:line="417" w:lineRule="auto"/>
        <w:ind w:left="1260" w:right="1458" w:firstLine="806"/>
      </w:pPr>
      <w:r>
        <w:t>设备、管道安装完毕后，应按设计规定对系统进行强度、严密性试验，以检查系统及各连接部位的工程质量，试验项目一般按下表的</w:t>
      </w:r>
    </w:p>
    <w:tbl>
      <w:tblPr>
        <w:tblStyle w:val="TableNormal0"/>
        <w:tblW w:w="0" w:type="auto"/>
        <w:jc w:val="left"/>
        <w:tblInd w:w="12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5"/>
        <w:gridCol w:w="2088"/>
        <w:gridCol w:w="1927"/>
        <w:gridCol w:w="3587"/>
        <w:gridCol w:w="1736"/>
      </w:tblGrid>
      <w:tr>
        <w:tblPrEx>
          <w:tblW w:w="0" w:type="auto"/>
          <w:jc w:val="left"/>
          <w:tblInd w:w="12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3065" w:type="dxa"/>
          </w:tcPr>
          <w:p>
            <w:pPr>
              <w:pStyle w:val="TableParagraph"/>
              <w:spacing w:before="0" w:line="480" w:lineRule="exact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规定进行。</w:t>
            </w:r>
          </w:p>
        </w:tc>
        <w:tc>
          <w:tcPr>
            <w:tcW w:w="9338" w:type="dxa"/>
            <w:gridSpan w:val="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0"/>
          <w:jc w:val="left"/>
        </w:trPr>
        <w:tc>
          <w:tcPr>
            <w:tcW w:w="3065" w:type="dxa"/>
          </w:tcPr>
          <w:p>
            <w:pPr>
              <w:pStyle w:val="TableParagraph"/>
              <w:spacing w:before="2"/>
              <w:jc w:val="left"/>
              <w:rPr>
                <w:sz w:val="53"/>
              </w:rPr>
            </w:pPr>
          </w:p>
          <w:p>
            <w:pPr>
              <w:pStyle w:val="TableParagraph"/>
              <w:spacing w:before="0"/>
              <w:ind w:left="211"/>
              <w:jc w:val="left"/>
              <w:rPr>
                <w:sz w:val="42"/>
              </w:rPr>
            </w:pPr>
            <w:r>
              <w:rPr>
                <w:sz w:val="42"/>
              </w:rPr>
              <w:t>工作介质性质</w:t>
            </w:r>
          </w:p>
        </w:tc>
        <w:tc>
          <w:tcPr>
            <w:tcW w:w="2088" w:type="dxa"/>
          </w:tcPr>
          <w:p>
            <w:pPr>
              <w:pStyle w:val="TableParagraph"/>
              <w:spacing w:before="213"/>
              <w:ind w:left="160"/>
              <w:jc w:val="left"/>
              <w:rPr>
                <w:sz w:val="42"/>
              </w:rPr>
            </w:pPr>
            <w:r>
              <w:rPr>
                <w:sz w:val="42"/>
              </w:rPr>
              <w:t>设计压力</w:t>
            </w:r>
          </w:p>
          <w:p>
            <w:pPr>
              <w:pStyle w:val="TableParagraph"/>
              <w:spacing w:before="1"/>
              <w:jc w:val="left"/>
              <w:rPr>
                <w:sz w:val="31"/>
              </w:rPr>
            </w:pPr>
          </w:p>
          <w:p>
            <w:pPr>
              <w:pStyle w:val="TableParagraph"/>
              <w:spacing w:before="0"/>
              <w:ind w:left="160"/>
              <w:jc w:val="left"/>
              <w:rPr>
                <w:sz w:val="42"/>
              </w:rPr>
            </w:pPr>
            <w:r>
              <w:rPr>
                <w:sz w:val="42"/>
              </w:rPr>
              <w:t>(Kg/cm²)</w:t>
            </w:r>
          </w:p>
        </w:tc>
        <w:tc>
          <w:tcPr>
            <w:tcW w:w="1927" w:type="dxa"/>
          </w:tcPr>
          <w:p>
            <w:pPr>
              <w:pStyle w:val="TableParagraph"/>
              <w:spacing w:before="213"/>
              <w:ind w:left="227" w:right="400"/>
              <w:rPr>
                <w:sz w:val="42"/>
              </w:rPr>
            </w:pPr>
            <w:r>
              <w:rPr>
                <w:sz w:val="42"/>
              </w:rPr>
              <w:t>强度试</w:t>
            </w:r>
          </w:p>
          <w:p>
            <w:pPr>
              <w:pStyle w:val="TableParagraph"/>
              <w:spacing w:before="1"/>
              <w:jc w:val="left"/>
              <w:rPr>
                <w:sz w:val="31"/>
              </w:rPr>
            </w:pPr>
          </w:p>
          <w:p>
            <w:pPr>
              <w:pStyle w:val="TableParagraph"/>
              <w:spacing w:before="0"/>
              <w:ind w:right="182"/>
              <w:rPr>
                <w:sz w:val="42"/>
              </w:rPr>
            </w:pPr>
            <w:r>
              <w:rPr>
                <w:w w:val="100"/>
                <w:sz w:val="42"/>
              </w:rPr>
              <w:t>验</w:t>
            </w:r>
          </w:p>
        </w:tc>
        <w:tc>
          <w:tcPr>
            <w:tcW w:w="3587" w:type="dxa"/>
          </w:tcPr>
          <w:p>
            <w:pPr>
              <w:pStyle w:val="TableParagraph"/>
              <w:ind w:left="6"/>
              <w:rPr>
                <w:sz w:val="42"/>
              </w:rPr>
            </w:pPr>
            <w:r>
              <w:rPr>
                <w:sz w:val="42"/>
              </w:rPr>
              <w:t>严密性试验</w:t>
            </w:r>
          </w:p>
          <w:p>
            <w:pPr>
              <w:pStyle w:val="TableParagraph"/>
              <w:spacing w:before="2"/>
              <w:jc w:val="left"/>
              <w:rPr>
                <w:sz w:val="32"/>
              </w:rPr>
            </w:pPr>
          </w:p>
          <w:p>
            <w:pPr>
              <w:pStyle w:val="TableParagraph"/>
              <w:tabs>
                <w:tab w:val="left" w:pos="1903"/>
              </w:tabs>
              <w:spacing w:before="1"/>
              <w:ind w:left="2"/>
              <w:rPr>
                <w:sz w:val="42"/>
              </w:rPr>
            </w:pPr>
            <w:r>
              <w:rPr>
                <w:sz w:val="42"/>
              </w:rPr>
              <w:t>液压</w:t>
              <w:tab/>
              <w:t>气压</w:t>
            </w:r>
          </w:p>
        </w:tc>
        <w:tc>
          <w:tcPr>
            <w:tcW w:w="1736" w:type="dxa"/>
          </w:tcPr>
          <w:p>
            <w:pPr>
              <w:pStyle w:val="TableParagraph"/>
              <w:spacing w:before="213"/>
              <w:ind w:left="408" w:right="28"/>
              <w:rPr>
                <w:sz w:val="42"/>
              </w:rPr>
            </w:pPr>
            <w:r>
              <w:rPr>
                <w:sz w:val="42"/>
              </w:rPr>
              <w:t>其他试</w:t>
            </w:r>
          </w:p>
          <w:p>
            <w:pPr>
              <w:pStyle w:val="TableParagraph"/>
              <w:spacing w:before="1"/>
              <w:jc w:val="left"/>
              <w:rPr>
                <w:sz w:val="31"/>
              </w:rPr>
            </w:pPr>
          </w:p>
          <w:p>
            <w:pPr>
              <w:pStyle w:val="TableParagraph"/>
              <w:spacing w:before="0"/>
              <w:ind w:left="373"/>
              <w:rPr>
                <w:sz w:val="42"/>
              </w:rPr>
            </w:pPr>
            <w:r>
              <w:rPr>
                <w:w w:val="100"/>
                <w:sz w:val="42"/>
              </w:rPr>
              <w:t>验</w:t>
            </w: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065" w:type="dxa"/>
          </w:tcPr>
          <w:p>
            <w:pPr>
              <w:pStyle w:val="TableParagraph"/>
              <w:ind w:left="1036" w:right="1148"/>
              <w:rPr>
                <w:sz w:val="42"/>
              </w:rPr>
            </w:pPr>
            <w:r>
              <w:rPr>
                <w:sz w:val="42"/>
              </w:rPr>
              <w:t>一般</w:t>
            </w:r>
          </w:p>
        </w:tc>
        <w:tc>
          <w:tcPr>
            <w:tcW w:w="2088" w:type="dxa"/>
          </w:tcPr>
          <w:p>
            <w:pPr>
              <w:pStyle w:val="TableParagraph"/>
              <w:ind w:left="456" w:right="537"/>
              <w:rPr>
                <w:sz w:val="42"/>
              </w:rPr>
            </w:pPr>
            <w:r>
              <w:rPr>
                <w:sz w:val="42"/>
              </w:rPr>
              <w:t>〈0</w:t>
            </w:r>
          </w:p>
        </w:tc>
        <w:tc>
          <w:tcPr>
            <w:tcW w:w="1927" w:type="dxa"/>
          </w:tcPr>
          <w:p>
            <w:pPr>
              <w:pStyle w:val="TableParagraph"/>
              <w:ind w:left="661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作</w:t>
            </w:r>
          </w:p>
        </w:tc>
        <w:tc>
          <w:tcPr>
            <w:tcW w:w="3587" w:type="dxa"/>
          </w:tcPr>
          <w:p>
            <w:pPr>
              <w:pStyle w:val="TableParagraph"/>
              <w:ind w:left="2"/>
              <w:rPr>
                <w:sz w:val="42"/>
              </w:rPr>
            </w:pPr>
            <w:r>
              <w:rPr>
                <w:sz w:val="42"/>
              </w:rPr>
              <w:t>任选</w:t>
            </w:r>
          </w:p>
        </w:tc>
        <w:tc>
          <w:tcPr>
            <w:tcW w:w="1736" w:type="dxa"/>
          </w:tcPr>
          <w:p>
            <w:pPr>
              <w:pStyle w:val="TableParagraph"/>
              <w:ind w:right="45"/>
              <w:jc w:val="right"/>
              <w:rPr>
                <w:sz w:val="42"/>
              </w:rPr>
            </w:pPr>
            <w:r>
              <w:rPr>
                <w:sz w:val="42"/>
              </w:rPr>
              <w:t>真空度</w:t>
            </w: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0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208"/>
              <w:ind w:right="77"/>
              <w:rPr>
                <w:sz w:val="42"/>
              </w:rPr>
            </w:pPr>
            <w:r>
              <w:rPr>
                <w:w w:val="100"/>
                <w:sz w:val="42"/>
              </w:rPr>
              <w:t>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3587" w:type="dxa"/>
          </w:tcPr>
          <w:p>
            <w:pPr>
              <w:pStyle w:val="TableParagraph"/>
              <w:spacing w:before="208"/>
              <w:ind w:left="423"/>
              <w:jc w:val="left"/>
              <w:rPr>
                <w:sz w:val="42"/>
              </w:rPr>
            </w:pPr>
            <w:r>
              <w:rPr>
                <w:sz w:val="42"/>
              </w:rPr>
              <w:t>充水</w:t>
            </w:r>
          </w:p>
        </w:tc>
        <w:tc>
          <w:tcPr>
            <w:tcW w:w="17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0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left="456" w:right="537"/>
              <w:rPr>
                <w:sz w:val="42"/>
              </w:rPr>
            </w:pPr>
            <w:r>
              <w:rPr>
                <w:sz w:val="42"/>
              </w:rPr>
              <w:t>〉0</w:t>
            </w:r>
          </w:p>
        </w:tc>
        <w:tc>
          <w:tcPr>
            <w:tcW w:w="1927" w:type="dxa"/>
          </w:tcPr>
          <w:p>
            <w:pPr>
              <w:pStyle w:val="TableParagraph"/>
              <w:ind w:left="661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作</w:t>
            </w:r>
          </w:p>
        </w:tc>
        <w:tc>
          <w:tcPr>
            <w:tcW w:w="3587" w:type="dxa"/>
          </w:tcPr>
          <w:p>
            <w:pPr>
              <w:pStyle w:val="TableParagraph"/>
              <w:ind w:left="2"/>
              <w:rPr>
                <w:sz w:val="42"/>
              </w:rPr>
            </w:pPr>
            <w:r>
              <w:rPr>
                <w:sz w:val="42"/>
              </w:rPr>
              <w:t>任选</w:t>
            </w:r>
          </w:p>
        </w:tc>
        <w:tc>
          <w:tcPr>
            <w:tcW w:w="17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065" w:type="dxa"/>
          </w:tcPr>
          <w:p>
            <w:pPr>
              <w:pStyle w:val="TableParagraph"/>
              <w:ind w:left="1036" w:right="1148"/>
              <w:rPr>
                <w:sz w:val="42"/>
              </w:rPr>
            </w:pPr>
            <w:r>
              <w:rPr>
                <w:sz w:val="42"/>
              </w:rPr>
              <w:t>有毒</w:t>
            </w:r>
          </w:p>
        </w:tc>
        <w:tc>
          <w:tcPr>
            <w:tcW w:w="2088" w:type="dxa"/>
          </w:tcPr>
          <w:p>
            <w:pPr>
              <w:pStyle w:val="TableParagraph"/>
              <w:ind w:left="458" w:right="537"/>
              <w:rPr>
                <w:sz w:val="42"/>
              </w:rPr>
            </w:pPr>
            <w:r>
              <w:rPr>
                <w:sz w:val="42"/>
              </w:rPr>
              <w:t>任意</w:t>
            </w:r>
          </w:p>
        </w:tc>
        <w:tc>
          <w:tcPr>
            <w:tcW w:w="1927" w:type="dxa"/>
          </w:tcPr>
          <w:p>
            <w:pPr>
              <w:pStyle w:val="TableParagraph"/>
              <w:ind w:left="661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作</w:t>
            </w:r>
          </w:p>
        </w:tc>
        <w:tc>
          <w:tcPr>
            <w:tcW w:w="3587" w:type="dxa"/>
          </w:tcPr>
          <w:p>
            <w:pPr>
              <w:pStyle w:val="TableParagraph"/>
              <w:tabs>
                <w:tab w:val="left" w:pos="1900"/>
              </w:tabs>
              <w:ind w:right="632"/>
              <w:jc w:val="right"/>
              <w:rPr>
                <w:sz w:val="42"/>
              </w:rPr>
            </w:pPr>
            <w:r>
              <w:rPr>
                <w:sz w:val="42"/>
              </w:rPr>
              <w:t>作</w:t>
              <w:tab/>
              <w:t>作</w:t>
            </w:r>
          </w:p>
        </w:tc>
        <w:tc>
          <w:tcPr>
            <w:tcW w:w="17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065" w:type="dxa"/>
          </w:tcPr>
          <w:p>
            <w:pPr>
              <w:pStyle w:val="TableParagraph"/>
              <w:spacing w:before="213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剧毒及甲、乙类</w:t>
            </w:r>
          </w:p>
        </w:tc>
        <w:tc>
          <w:tcPr>
            <w:tcW w:w="2088" w:type="dxa"/>
          </w:tcPr>
          <w:p>
            <w:pPr>
              <w:pStyle w:val="TableParagraph"/>
              <w:ind w:left="460" w:right="537"/>
              <w:rPr>
                <w:sz w:val="42"/>
              </w:rPr>
            </w:pPr>
            <w:r>
              <w:rPr>
                <w:sz w:val="42"/>
              </w:rPr>
              <w:t>〈100</w:t>
            </w:r>
          </w:p>
        </w:tc>
        <w:tc>
          <w:tcPr>
            <w:tcW w:w="1927" w:type="dxa"/>
          </w:tcPr>
          <w:p>
            <w:pPr>
              <w:pStyle w:val="TableParagraph"/>
              <w:ind w:left="661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作</w:t>
            </w:r>
          </w:p>
        </w:tc>
        <w:tc>
          <w:tcPr>
            <w:tcW w:w="3587" w:type="dxa"/>
          </w:tcPr>
          <w:p>
            <w:pPr>
              <w:pStyle w:val="TableParagraph"/>
              <w:tabs>
                <w:tab w:val="left" w:pos="1900"/>
              </w:tabs>
              <w:ind w:right="632"/>
              <w:jc w:val="right"/>
              <w:rPr>
                <w:sz w:val="42"/>
              </w:rPr>
            </w:pPr>
            <w:r>
              <w:rPr>
                <w:sz w:val="42"/>
              </w:rPr>
              <w:t>作</w:t>
              <w:tab/>
              <w:t>作</w:t>
            </w:r>
          </w:p>
        </w:tc>
        <w:tc>
          <w:tcPr>
            <w:tcW w:w="1736" w:type="dxa"/>
          </w:tcPr>
          <w:p>
            <w:pPr>
              <w:pStyle w:val="TableParagraph"/>
              <w:ind w:right="45"/>
              <w:jc w:val="right"/>
              <w:rPr>
                <w:sz w:val="42"/>
              </w:rPr>
            </w:pPr>
            <w:r>
              <w:rPr>
                <w:sz w:val="42"/>
              </w:rPr>
              <w:t>泄漏量</w:t>
            </w:r>
          </w:p>
        </w:tc>
      </w:tr>
      <w:tr>
        <w:tblPrEx>
          <w:tblW w:w="0" w:type="auto"/>
          <w:jc w:val="left"/>
          <w:tblInd w:w="12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3065" w:type="dxa"/>
          </w:tcPr>
          <w:p>
            <w:pPr>
              <w:pStyle w:val="TableParagraph"/>
              <w:spacing w:before="199" w:line="466" w:lineRule="exact"/>
              <w:ind w:left="633"/>
              <w:jc w:val="left"/>
              <w:rPr>
                <w:sz w:val="42"/>
              </w:rPr>
            </w:pPr>
            <w:r>
              <w:rPr>
                <w:sz w:val="42"/>
              </w:rPr>
              <w:t>火灾危险</w:t>
            </w:r>
          </w:p>
        </w:tc>
        <w:tc>
          <w:tcPr>
            <w:tcW w:w="2088" w:type="dxa"/>
          </w:tcPr>
          <w:p>
            <w:pPr>
              <w:pStyle w:val="TableParagraph"/>
              <w:spacing w:line="459" w:lineRule="exact"/>
              <w:ind w:left="460" w:right="537"/>
              <w:rPr>
                <w:sz w:val="42"/>
              </w:rPr>
            </w:pPr>
            <w:r>
              <w:rPr>
                <w:sz w:val="42"/>
              </w:rPr>
              <w:t>〉100</w:t>
            </w:r>
          </w:p>
        </w:tc>
        <w:tc>
          <w:tcPr>
            <w:tcW w:w="1927" w:type="dxa"/>
          </w:tcPr>
          <w:p>
            <w:pPr>
              <w:pStyle w:val="TableParagraph"/>
              <w:spacing w:line="459" w:lineRule="exact"/>
              <w:ind w:left="661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作</w:t>
            </w:r>
          </w:p>
        </w:tc>
        <w:tc>
          <w:tcPr>
            <w:tcW w:w="3587" w:type="dxa"/>
          </w:tcPr>
          <w:p>
            <w:pPr>
              <w:pStyle w:val="TableParagraph"/>
              <w:tabs>
                <w:tab w:val="left" w:pos="1900"/>
              </w:tabs>
              <w:spacing w:line="459" w:lineRule="exact"/>
              <w:ind w:right="632"/>
              <w:jc w:val="right"/>
              <w:rPr>
                <w:sz w:val="42"/>
              </w:rPr>
            </w:pPr>
            <w:r>
              <w:rPr>
                <w:sz w:val="42"/>
              </w:rPr>
              <w:t>作</w:t>
              <w:tab/>
              <w:t>作</w:t>
            </w:r>
          </w:p>
        </w:tc>
        <w:tc>
          <w:tcPr>
            <w:tcW w:w="17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16"/>
        <w:ind w:left="209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-4803520</wp:posOffset>
            </wp:positionV>
            <wp:extent cx="8133016" cy="486460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4864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5、电气安装工程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3"/>
        </w:numPr>
        <w:tabs>
          <w:tab w:val="left" w:pos="3156"/>
        </w:tabs>
        <w:spacing w:before="0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施工顺序及原则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583" w:firstLine="838"/>
      </w:pPr>
      <w:r>
        <w:rPr>
          <w:spacing w:val="-15"/>
        </w:rPr>
        <w:t>施工准备工作→予埋、予留→配管、配线→控制装置安装→照明</w:t>
      </w:r>
      <w:r>
        <w:t>器具安装→室外输送线路→单体调试→送电运行验收。</w:t>
      </w:r>
    </w:p>
    <w:p>
      <w:pPr>
        <w:pStyle w:val="ListParagraph"/>
        <w:numPr>
          <w:ilvl w:val="0"/>
          <w:numId w:val="43"/>
        </w:numPr>
        <w:tabs>
          <w:tab w:val="left" w:pos="3159"/>
        </w:tabs>
        <w:spacing w:before="0" w:after="0" w:line="537" w:lineRule="exact"/>
        <w:ind w:left="3158" w:right="0" w:hanging="1060"/>
        <w:jc w:val="left"/>
        <w:rPr>
          <w:sz w:val="42"/>
        </w:rPr>
      </w:pPr>
      <w:r>
        <w:rPr>
          <w:sz w:val="42"/>
        </w:rPr>
        <w:t>主要施工方法及工艺要求为保证施工进度及质量，选择责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19"/>
          <w:footerReference w:type="default" r:id="rId20"/>
          <w:pgSz w:w="17860" w:h="25260"/>
          <w:pgMar w:top="1320" w:right="1100" w:bottom="2120" w:left="1440" w:header="1132" w:footer="1922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2263"/>
      </w:pPr>
      <w:r>
        <w:t>任心强的技术人员进行予埋、予留工作，电气工程施工必须按照GBJ282-28 标准。</w:t>
      </w:r>
    </w:p>
    <w:p>
      <w:pPr>
        <w:pStyle w:val="BodyText"/>
        <w:spacing w:line="417" w:lineRule="auto"/>
        <w:ind w:left="1260" w:right="1594" w:firstLine="838"/>
        <w:jc w:val="both"/>
      </w:pPr>
      <w:r>
        <w:rPr>
          <w:spacing w:val="-13"/>
        </w:rPr>
        <w:t>电气调试是检验安装质量，保证安全运行的关键工作，该项工作</w:t>
      </w:r>
      <w:r>
        <w:rPr>
          <w:spacing w:val="-14"/>
        </w:rPr>
        <w:t>由公司电工组承担，编制调试大纲及计划是作好调试的关键，调试大</w:t>
      </w:r>
      <w:r>
        <w:t>纲除由安装技术负责人审查、审批。</w:t>
      </w:r>
    </w:p>
    <w:p>
      <w:pPr>
        <w:spacing w:before="0" w:line="417" w:lineRule="auto"/>
        <w:ind w:left="2099" w:right="9423" w:firstLine="3"/>
        <w:jc w:val="left"/>
        <w:rPr>
          <w:sz w:val="42"/>
        </w:rPr>
      </w:pPr>
      <w:r>
        <w:rPr>
          <w:b/>
          <w:sz w:val="42"/>
        </w:rPr>
        <w:t>水泵房设备安装工程</w:t>
      </w:r>
      <w:r>
        <w:rPr>
          <w:sz w:val="42"/>
        </w:rPr>
        <w:t>一、施工工序：</w:t>
      </w:r>
    </w:p>
    <w:p>
      <w:pPr>
        <w:pStyle w:val="BodyText"/>
        <w:ind w:left="2099"/>
      </w:pPr>
      <w:r>
        <w:t>管道及设备运输→安装设备→打设锚杆→管道防腐→配接管道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2099" w:right="6896" w:hanging="839"/>
      </w:pPr>
      <w:r>
        <w:rPr>
          <w:spacing w:val="-1"/>
        </w:rPr>
        <w:t>→管道补防腐→水泵试运转→竣工验收</w:t>
      </w:r>
      <w:r>
        <w:t>二、主要工序施工方法</w:t>
      </w:r>
    </w:p>
    <w:p>
      <w:pPr>
        <w:pStyle w:val="BodyText"/>
        <w:spacing w:line="537" w:lineRule="exact"/>
        <w:ind w:left="2099"/>
      </w:pPr>
      <w:r>
        <w:t>1、管道及设备运输：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420" w:firstLine="838"/>
      </w:pPr>
      <w:r>
        <w:rPr>
          <w:spacing w:val="-11"/>
        </w:rPr>
        <w:t xml:space="preserve">水泵、电动机采用 </w:t>
      </w:r>
      <w:r>
        <w:t>10T</w:t>
      </w:r>
      <w:r>
        <w:rPr>
          <w:spacing w:val="-18"/>
        </w:rPr>
        <w:t xml:space="preserve"> 叉车叉至平板车上，用 </w:t>
      </w:r>
      <w:r>
        <w:t>2</w:t>
      </w:r>
      <w:r>
        <w:rPr>
          <w:spacing w:val="-62"/>
        </w:rPr>
        <w:t xml:space="preserve"> 台 </w:t>
      </w:r>
      <w:r>
        <w:t>3T</w:t>
      </w:r>
      <w:r>
        <w:rPr>
          <w:spacing w:val="-19"/>
        </w:rPr>
        <w:t xml:space="preserve"> 手拉葫芦将水泵、电动机分别与平板车前后捆绑牢固。使用叉车叉运时，必须</w:t>
      </w:r>
      <w:r>
        <w:t>进行试叉工作。</w:t>
      </w:r>
    </w:p>
    <w:p>
      <w:pPr>
        <w:pStyle w:val="BodyText"/>
        <w:spacing w:line="417" w:lineRule="auto"/>
        <w:ind w:left="1260" w:right="1588" w:firstLine="838"/>
      </w:pPr>
      <w:r>
        <w:rPr>
          <w:spacing w:val="-6"/>
        </w:rPr>
        <w:t xml:space="preserve">管道采用叉车装至花栏车上，完毕后，用 </w:t>
      </w:r>
      <w:r>
        <w:t>2</w:t>
      </w:r>
      <w:r>
        <w:rPr>
          <w:spacing w:val="-54"/>
        </w:rPr>
        <w:t xml:space="preserve"> 台 </w:t>
      </w:r>
      <w:r>
        <w:t>3T</w:t>
      </w:r>
      <w:r>
        <w:rPr>
          <w:spacing w:val="-15"/>
        </w:rPr>
        <w:t xml:space="preserve"> 手拉葫芦将管</w:t>
      </w:r>
      <w:r>
        <w:rPr>
          <w:spacing w:val="-1"/>
        </w:rPr>
        <w:t>道与花栏车分前后捆绑牢固，并在管子前端用“</w:t>
      </w:r>
      <w:r>
        <w:rPr>
          <w:spacing w:val="-9"/>
        </w:rPr>
        <w:t>S</w:t>
      </w:r>
      <w:r>
        <w:t>” 型挂钩固定。</w:t>
      </w:r>
    </w:p>
    <w:p>
      <w:pPr>
        <w:pStyle w:val="BodyText"/>
        <w:spacing w:line="417" w:lineRule="auto"/>
        <w:ind w:left="1260" w:right="1583" w:firstLine="838"/>
      </w:pPr>
      <w:r>
        <w:rPr>
          <w:spacing w:val="-12"/>
        </w:rPr>
        <w:t>管道与设备下放至三区段车场后，使用电机车将管道与设备运输</w:t>
      </w:r>
      <w:r>
        <w:t>至水泵房安装位置。</w:t>
      </w:r>
    </w:p>
    <w:p>
      <w:pPr>
        <w:pStyle w:val="BodyText"/>
        <w:ind w:left="2099"/>
      </w:pPr>
      <w:r>
        <w:t>2、设备起吊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1571" w:firstLine="838"/>
        <w:jc w:val="both"/>
      </w:pPr>
      <w:r>
        <w:rPr>
          <w:spacing w:val="-12"/>
        </w:rPr>
        <w:t>设备起吊采用手拉葫芦、人工牵引相互配合的方式，将设备平稳</w:t>
      </w:r>
      <w:r>
        <w:rPr>
          <w:spacing w:val="-19"/>
        </w:rPr>
        <w:t xml:space="preserve">放置在预留基础上。在设备中心位置上打一 </w:t>
      </w:r>
      <w:r>
        <w:t>ø18.5</w:t>
      </w:r>
      <w:r>
        <w:rPr>
          <w:spacing w:val="-30"/>
        </w:rPr>
        <w:t xml:space="preserve"> 钢丝绳绳扣</w:t>
      </w:r>
      <w:r>
        <w:t>（插接</w:t>
      </w:r>
      <w:r>
        <w:rPr>
          <w:w w:val="100"/>
        </w:rPr>
        <w:t>绳扣</w:t>
      </w:r>
      <w:r>
        <w:rPr>
          <w:spacing w:val="-213"/>
          <w:w w:val="100"/>
        </w:rPr>
        <w:t>）</w:t>
      </w:r>
      <w:r>
        <w:rPr>
          <w:w w:val="100"/>
        </w:rPr>
        <w:t>，将绳扣挂在</w:t>
      </w:r>
      <w:r>
        <w:rPr>
          <w:spacing w:val="-77"/>
        </w:rPr>
        <w:t xml:space="preserve"> </w:t>
      </w:r>
      <w:r>
        <w:rPr>
          <w:w w:val="100"/>
        </w:rPr>
        <w:t>10T</w:t>
      </w:r>
      <w:r>
        <w:rPr>
          <w:spacing w:val="-72"/>
        </w:rPr>
        <w:t xml:space="preserve"> </w:t>
      </w:r>
      <w:r>
        <w:rPr>
          <w:spacing w:val="-1"/>
          <w:w w:val="100"/>
        </w:rPr>
        <w:t>手拉葫芦上，并使钢丝绳张紧，然后由施工</w:t>
      </w:r>
    </w:p>
    <w:p>
      <w:pPr>
        <w:spacing w:after="0" w:line="417" w:lineRule="auto"/>
        <w:jc w:val="both"/>
        <w:sectPr>
          <w:headerReference w:type="default" r:id="rId21"/>
          <w:footerReference w:type="default" r:id="rId22"/>
          <w:pgSz w:w="17860" w:h="25260"/>
          <w:pgMar w:top="1320" w:right="1100" w:bottom="2120" w:left="1440" w:header="1132" w:footer="1922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420"/>
      </w:pPr>
      <w:r>
        <w:t>负责人指挥，将设备平稳吊放至预留基础上。需牵引设备时，现场施工负责人必须立即组织人员，将设备平稳的放置在地面，并在设备中心用ф18.5mm 长 3 米的麻绳将设备捆绑牢固，人员站立在一端缓慢牵引设备。</w:t>
      </w:r>
    </w:p>
    <w:p>
      <w:pPr>
        <w:pStyle w:val="BodyText"/>
        <w:spacing w:line="417" w:lineRule="auto"/>
        <w:ind w:left="1260" w:right="1424" w:firstLine="838"/>
      </w:pPr>
      <w:r>
        <w:t>利用水平尺进行找平找正，然后由现场施工人员固定地脚螺栓， 并将其上紧，确认无误后，进行混凝土浇注，混凝土强度为C20。</w:t>
      </w:r>
    </w:p>
    <w:p>
      <w:pPr>
        <w:pStyle w:val="BodyText"/>
        <w:ind w:left="2099"/>
      </w:pPr>
      <w:r>
        <w:t>3、设备安装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2734"/>
        </w:tabs>
        <w:spacing w:before="0" w:after="0" w:line="240" w:lineRule="auto"/>
        <w:ind w:left="2734" w:right="0" w:hanging="635"/>
        <w:jc w:val="left"/>
        <w:rPr>
          <w:sz w:val="42"/>
        </w:rPr>
      </w:pPr>
      <w:r>
        <w:rPr>
          <w:sz w:val="42"/>
        </w:rPr>
        <w:t>电动机的检查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1"/>
        </w:numPr>
        <w:tabs>
          <w:tab w:val="left" w:pos="2734"/>
        </w:tabs>
        <w:spacing w:before="1" w:after="0" w:line="240" w:lineRule="auto"/>
        <w:ind w:left="2734" w:right="0" w:hanging="635"/>
        <w:jc w:val="left"/>
        <w:rPr>
          <w:sz w:val="42"/>
        </w:rPr>
      </w:pPr>
      <w:r>
        <w:rPr>
          <w:sz w:val="42"/>
        </w:rPr>
        <w:t>电机的试验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1596" w:firstLine="838"/>
      </w:pPr>
      <w:r>
        <w:t>电机安装前由电工测量设备绝缘，绝缘值不得低于 0.5MΩ，绝缘电阻符合要求后，外接 10kV 额定电压对电机进行空载试验。</w:t>
      </w:r>
    </w:p>
    <w:p>
      <w:pPr>
        <w:pStyle w:val="ListParagraph"/>
        <w:numPr>
          <w:ilvl w:val="0"/>
          <w:numId w:val="41"/>
        </w:numPr>
        <w:tabs>
          <w:tab w:val="left" w:pos="2734"/>
        </w:tabs>
        <w:spacing w:before="0" w:after="0" w:line="537" w:lineRule="exact"/>
        <w:ind w:left="2734" w:right="0" w:hanging="635"/>
        <w:jc w:val="left"/>
        <w:rPr>
          <w:sz w:val="42"/>
        </w:rPr>
      </w:pPr>
      <w:r>
        <w:rPr>
          <w:sz w:val="42"/>
        </w:rPr>
        <w:t>电机接线必须符合下列规定：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260" w:right="1375" w:firstLine="1472"/>
      </w:pPr>
      <w:r>
        <w:rPr>
          <w:spacing w:val="-14"/>
        </w:rPr>
        <w:t xml:space="preserve">电机额定电压为 </w:t>
      </w:r>
      <w:r>
        <w:t>10kV，接线正确，符合设计电压，电机接线</w:t>
      </w:r>
      <w:r>
        <w:rPr>
          <w:spacing w:val="-21"/>
        </w:rPr>
        <w:t>端子与导线必须连接牢固，不得有毛刺，连接用的锁紧装置完整齐全。</w:t>
      </w:r>
    </w:p>
    <w:p>
      <w:pPr>
        <w:pStyle w:val="ListParagraph"/>
        <w:numPr>
          <w:ilvl w:val="0"/>
          <w:numId w:val="41"/>
        </w:numPr>
        <w:tabs>
          <w:tab w:val="left" w:pos="2734"/>
        </w:tabs>
        <w:spacing w:before="0" w:after="0" w:line="417" w:lineRule="auto"/>
        <w:ind w:left="1260" w:right="1596" w:firstLine="838"/>
        <w:jc w:val="left"/>
        <w:rPr>
          <w:sz w:val="42"/>
        </w:rPr>
      </w:pPr>
      <w:r>
        <w:rPr>
          <w:spacing w:val="-4"/>
          <w:sz w:val="42"/>
        </w:rPr>
        <w:t xml:space="preserve">电机外壳接地应牢固可靠、美观、实测接地电阻不大于 </w:t>
      </w:r>
      <w:r>
        <w:rPr>
          <w:sz w:val="42"/>
        </w:rPr>
        <w:t>2</w:t>
      </w:r>
      <w:r>
        <w:rPr>
          <w:spacing w:val="-36"/>
          <w:sz w:val="42"/>
        </w:rPr>
        <w:t xml:space="preserve"> 欧</w:t>
      </w:r>
      <w:r>
        <w:rPr>
          <w:sz w:val="42"/>
        </w:rPr>
        <w:t>姆。</w:t>
      </w:r>
    </w:p>
    <w:p>
      <w:pPr>
        <w:pStyle w:val="ListParagraph"/>
        <w:numPr>
          <w:ilvl w:val="0"/>
          <w:numId w:val="42"/>
        </w:numPr>
        <w:tabs>
          <w:tab w:val="left" w:pos="2734"/>
        </w:tabs>
        <w:spacing w:before="0" w:after="0" w:line="537" w:lineRule="exact"/>
        <w:ind w:left="2734" w:right="0" w:hanging="635"/>
        <w:jc w:val="left"/>
        <w:rPr>
          <w:sz w:val="42"/>
        </w:rPr>
      </w:pPr>
      <w:r>
        <w:rPr>
          <w:sz w:val="42"/>
        </w:rPr>
        <w:t>水泵安装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260" w:right="1424" w:firstLine="838"/>
      </w:pPr>
      <w:r>
        <w:rPr>
          <w:spacing w:val="-1"/>
        </w:rPr>
        <w:t xml:space="preserve">利用巷道腰线标高、中心线为基准，确定水泵、电机底座高度， </w:t>
      </w:r>
      <w:r>
        <w:rPr>
          <w:spacing w:val="-14"/>
        </w:rPr>
        <w:t>用水准仪测量纵向、横向水平度，如标高不符合要求可用泵座下面所</w:t>
      </w:r>
      <w:r>
        <w:rPr>
          <w:spacing w:val="-22"/>
        </w:rPr>
        <w:t>垫的斜垫铁进行调整</w:t>
      </w:r>
      <w:r>
        <w:t>（</w:t>
      </w:r>
      <w:r>
        <w:rPr>
          <w:spacing w:val="-9"/>
        </w:rPr>
        <w:t>安放调整底座前，将地角螺杆放进预留地角螺</w:t>
      </w:r>
      <w:r>
        <w:rPr>
          <w:spacing w:val="-19"/>
        </w:rPr>
        <w:t xml:space="preserve">杆孔内并拧在底座螺杆孔上，其螺母应露出 </w:t>
      </w:r>
      <w:r>
        <w:t>1-3</w:t>
      </w:r>
      <w:r>
        <w:rPr>
          <w:spacing w:val="-25"/>
        </w:rPr>
        <w:t xml:space="preserve"> 个螺距</w:t>
      </w:r>
      <w:r>
        <w:rPr>
          <w:spacing w:val="-80"/>
        </w:rPr>
        <w:t>）</w:t>
      </w:r>
      <w:r>
        <w:t>垫铁的布置按质量标准规定执行。</w:t>
      </w:r>
    </w:p>
    <w:p>
      <w:pPr>
        <w:spacing w:after="0" w:line="417" w:lineRule="auto"/>
        <w:sectPr>
          <w:headerReference w:type="default" r:id="rId23"/>
          <w:footerReference w:type="default" r:id="rId24"/>
          <w:pgSz w:w="17860" w:h="25260"/>
          <w:pgMar w:top="1320" w:right="1100" w:bottom="2120" w:left="1440" w:header="1132" w:footer="1922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 w:line="417" w:lineRule="auto"/>
        <w:ind w:left="1260" w:right="1573" w:firstLine="838"/>
      </w:pPr>
      <w:r>
        <w:rPr>
          <w:spacing w:val="-14"/>
        </w:rPr>
        <w:t>经过找正、找平，其纵向和横向水平度达到允许值时可对泵座与</w:t>
      </w:r>
      <w:r>
        <w:t>基础的空隙部分进行二次灌浆，经养护后拧紧基础螺杆。</w:t>
      </w:r>
    </w:p>
    <w:p>
      <w:pPr>
        <w:pStyle w:val="BodyText"/>
        <w:spacing w:line="417" w:lineRule="auto"/>
        <w:ind w:left="1260" w:right="1382" w:firstLine="838"/>
      </w:pPr>
      <w:r>
        <w:rPr>
          <w:spacing w:val="-10"/>
        </w:rPr>
        <w:t>将水泵利用泵房上方起重梁吊到底座上，在水泵出水口法兰盘的</w:t>
      </w:r>
      <w:r>
        <w:rPr>
          <w:spacing w:val="-26"/>
        </w:rPr>
        <w:t>加工平面上用精密水平尺进行纵向、横向水平度找正、找平</w:t>
      </w:r>
      <w:r>
        <w:t>（</w:t>
      </w:r>
      <w:r>
        <w:rPr>
          <w:spacing w:val="-5"/>
        </w:rPr>
        <w:t>用增加、</w:t>
      </w:r>
      <w:r>
        <w:t>减少垫片的方法）直到合适为止，将水泵与底座连接紧固。</w:t>
      </w:r>
    </w:p>
    <w:p>
      <w:pPr>
        <w:pStyle w:val="ListParagraph"/>
        <w:numPr>
          <w:ilvl w:val="0"/>
          <w:numId w:val="41"/>
        </w:numPr>
        <w:tabs>
          <w:tab w:val="left" w:pos="2734"/>
        </w:tabs>
        <w:spacing w:before="0" w:after="0" w:line="417" w:lineRule="auto"/>
        <w:ind w:left="1260" w:right="1633" w:firstLine="838"/>
        <w:jc w:val="left"/>
        <w:rPr>
          <w:sz w:val="42"/>
        </w:rPr>
      </w:pPr>
      <w:r>
        <w:rPr>
          <w:spacing w:val="-1"/>
          <w:sz w:val="42"/>
        </w:rPr>
        <w:t>将电动机起吊底座上，穿上连接螺杆，不要拧紧，电机与水</w:t>
      </w:r>
      <w:r>
        <w:rPr>
          <w:spacing w:val="-6"/>
          <w:sz w:val="42"/>
        </w:rPr>
        <w:t xml:space="preserve">泵的联轴器端面间隙一般规定为水泵最大窜动量加 </w:t>
      </w:r>
      <w:r>
        <w:rPr>
          <w:sz w:val="42"/>
        </w:rPr>
        <w:t>2-3</w:t>
      </w:r>
      <w:r>
        <w:rPr>
          <w:spacing w:val="-28"/>
          <w:sz w:val="42"/>
        </w:rPr>
        <w:t xml:space="preserve"> 毫米。</w:t>
      </w:r>
    </w:p>
    <w:p>
      <w:pPr>
        <w:pStyle w:val="ListParagraph"/>
        <w:numPr>
          <w:ilvl w:val="0"/>
          <w:numId w:val="41"/>
        </w:numPr>
        <w:tabs>
          <w:tab w:val="left" w:pos="2733"/>
        </w:tabs>
        <w:spacing w:before="0" w:after="0" w:line="417" w:lineRule="auto"/>
        <w:ind w:left="1260" w:right="1420" w:firstLine="838"/>
        <w:jc w:val="left"/>
        <w:rPr>
          <w:sz w:val="42"/>
        </w:rPr>
      </w:pPr>
      <w:r>
        <w:rPr>
          <w:sz w:val="42"/>
        </w:rPr>
        <w:t>联轴器的找正：在装配时可先用钢板尺水平靠在两联轴器的</w:t>
      </w:r>
      <w:r>
        <w:rPr>
          <w:spacing w:val="-1"/>
          <w:sz w:val="42"/>
        </w:rPr>
        <w:t>外缘上，用眼观察其漏光缝隙，调整电机高低。再用塞尺在两联轴器</w:t>
      </w:r>
      <w:r>
        <w:rPr>
          <w:spacing w:val="-26"/>
          <w:sz w:val="42"/>
        </w:rPr>
        <w:t xml:space="preserve">中间按 </w:t>
      </w:r>
      <w:r>
        <w:rPr>
          <w:sz w:val="42"/>
        </w:rPr>
        <w:t>0</w:t>
      </w:r>
      <w:r>
        <w:rPr>
          <w:spacing w:val="-38"/>
          <w:sz w:val="42"/>
        </w:rPr>
        <w:t xml:space="preserve"> 度、</w:t>
      </w:r>
      <w:r>
        <w:rPr>
          <w:sz w:val="42"/>
        </w:rPr>
        <w:t>90</w:t>
      </w:r>
      <w:r>
        <w:rPr>
          <w:spacing w:val="-36"/>
          <w:sz w:val="42"/>
        </w:rPr>
        <w:t xml:space="preserve"> 度、</w:t>
      </w:r>
      <w:r>
        <w:rPr>
          <w:sz w:val="42"/>
        </w:rPr>
        <w:t>180</w:t>
      </w:r>
      <w:r>
        <w:rPr>
          <w:spacing w:val="-37"/>
          <w:sz w:val="42"/>
        </w:rPr>
        <w:t xml:space="preserve"> 度、</w:t>
      </w:r>
      <w:r>
        <w:rPr>
          <w:sz w:val="42"/>
        </w:rPr>
        <w:t>270</w:t>
      </w:r>
      <w:r>
        <w:rPr>
          <w:spacing w:val="-11"/>
          <w:sz w:val="42"/>
        </w:rPr>
        <w:t xml:space="preserve"> 度处检查间隙，可高、低、左、右</w:t>
      </w:r>
      <w:r>
        <w:rPr>
          <w:spacing w:val="-12"/>
          <w:sz w:val="42"/>
        </w:rPr>
        <w:t>移动电动机，找正、找平，然后用百分表找两联轴器的轴向公差小于</w:t>
      </w:r>
    </w:p>
    <w:p>
      <w:pPr>
        <w:pStyle w:val="BodyText"/>
        <w:spacing w:line="417" w:lineRule="auto"/>
        <w:ind w:left="1260" w:right="1420"/>
      </w:pPr>
      <w:r>
        <w:t>0.15 毫米，径向公差小于 0.1 毫米，符合要求紧固电动机与底座螺杆，最后再校正同轴度，如不符合要求应重新调整，直至符合技术要求。</w:t>
      </w:r>
    </w:p>
    <w:p>
      <w:pPr>
        <w:pStyle w:val="ListParagraph"/>
        <w:numPr>
          <w:ilvl w:val="0"/>
          <w:numId w:val="42"/>
        </w:numPr>
        <w:tabs>
          <w:tab w:val="left" w:pos="2734"/>
        </w:tabs>
        <w:spacing w:before="0" w:after="0" w:line="538" w:lineRule="exact"/>
        <w:ind w:left="2734" w:right="0" w:hanging="635"/>
        <w:jc w:val="left"/>
        <w:rPr>
          <w:sz w:val="42"/>
        </w:rPr>
      </w:pPr>
      <w:r>
        <w:rPr>
          <w:sz w:val="42"/>
        </w:rPr>
        <w:t>配电安装及调试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2099"/>
      </w:pPr>
      <w:r>
        <w:t>1．配电柜的运输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0"/>
        </w:numPr>
        <w:tabs>
          <w:tab w:val="left" w:pos="3159"/>
        </w:tabs>
        <w:spacing w:before="1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 xml:space="preserve">高、低压柜，变压器下放前要向水电公司提出试验申请， </w:t>
      </w:r>
      <w:r>
        <w:rPr>
          <w:sz w:val="42"/>
        </w:rPr>
        <w:t>经水电公司测试后试验数据符合规定，方可入井。</w:t>
      </w:r>
    </w:p>
    <w:p>
      <w:pPr>
        <w:pStyle w:val="ListParagraph"/>
        <w:numPr>
          <w:ilvl w:val="0"/>
          <w:numId w:val="40"/>
        </w:numPr>
        <w:tabs>
          <w:tab w:val="left" w:pos="3223"/>
        </w:tabs>
        <w:spacing w:before="0" w:after="0" w:line="417" w:lineRule="auto"/>
        <w:ind w:left="1260" w:right="1420" w:firstLine="838"/>
        <w:jc w:val="left"/>
        <w:rPr>
          <w:sz w:val="42"/>
        </w:rPr>
      </w:pPr>
      <w:r>
        <w:rPr>
          <w:sz w:val="42"/>
        </w:rPr>
        <w:t>在起吊装车及运输的过程中要将高压柜上的仪表用软毯覆</w:t>
      </w:r>
      <w:r>
        <w:rPr>
          <w:spacing w:val="-1"/>
          <w:sz w:val="42"/>
        </w:rPr>
        <w:t>盖包扎，捆绑时尽量避免绳索捆绑在仪表上，避免碰坏或打碎表门。</w:t>
      </w:r>
    </w:p>
    <w:p>
      <w:pPr>
        <w:pStyle w:val="ListParagraph"/>
        <w:numPr>
          <w:ilvl w:val="0"/>
          <w:numId w:val="40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 xml:space="preserve">在起吊装车及运输的过程中杜绝用尖锐硬物刻划高压柜， </w:t>
      </w:r>
      <w:r>
        <w:rPr>
          <w:sz w:val="42"/>
        </w:rPr>
        <w:t>避免将油漆破坏。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25"/>
          <w:footerReference w:type="default" r:id="rId26"/>
          <w:pgSz w:w="17860" w:h="25260"/>
          <w:pgMar w:top="1320" w:right="1100" w:bottom="2120" w:left="1440" w:header="1132" w:footer="1922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40"/>
        </w:numPr>
        <w:tabs>
          <w:tab w:val="left" w:pos="3156"/>
        </w:tabs>
        <w:spacing w:before="42" w:after="0" w:line="417" w:lineRule="auto"/>
        <w:ind w:left="1260" w:right="1585" w:firstLine="838"/>
        <w:jc w:val="both"/>
        <w:rPr>
          <w:sz w:val="42"/>
        </w:rPr>
      </w:pPr>
      <w:r>
        <w:rPr>
          <w:spacing w:val="-14"/>
          <w:sz w:val="42"/>
        </w:rPr>
        <w:t xml:space="preserve">高压柜采用平板车下放，捆绑时用 </w:t>
      </w:r>
      <w:r>
        <w:rPr>
          <w:sz w:val="42"/>
        </w:rPr>
        <w:t>Φ12.5</w:t>
      </w:r>
      <w:r>
        <w:rPr>
          <w:spacing w:val="-16"/>
          <w:sz w:val="42"/>
        </w:rPr>
        <w:t xml:space="preserve"> 的钢丝绳扣前</w:t>
      </w:r>
      <w:r>
        <w:rPr>
          <w:spacing w:val="-14"/>
          <w:sz w:val="42"/>
        </w:rPr>
        <w:t>后与平板车捆绑，钢丝绳扣要用软毯缠绕避免划伤高压柜，然后用麻绳左右捆绑牢固。</w:t>
      </w:r>
    </w:p>
    <w:p>
      <w:pPr>
        <w:pStyle w:val="ListParagraph"/>
        <w:numPr>
          <w:ilvl w:val="0"/>
          <w:numId w:val="40"/>
        </w:numPr>
        <w:tabs>
          <w:tab w:val="left" w:pos="3156"/>
        </w:tabs>
        <w:spacing w:before="0" w:after="0" w:line="417" w:lineRule="auto"/>
        <w:ind w:left="1260" w:right="1371" w:firstLine="838"/>
        <w:jc w:val="left"/>
        <w:rPr>
          <w:sz w:val="42"/>
        </w:rPr>
      </w:pPr>
      <w:r>
        <w:rPr>
          <w:spacing w:val="-8"/>
          <w:sz w:val="42"/>
        </w:rPr>
        <w:t>运输队信号工必须严格按《信号把钩工安全技术操作规程</w:t>
      </w:r>
      <w:r>
        <w:rPr>
          <w:spacing w:val="-14"/>
          <w:sz w:val="42"/>
        </w:rPr>
        <w:t>》的规定进行，下放电机及水泵时井口信号工及绞车司机都必须用电话联系，明确提升任务。</w:t>
      </w:r>
    </w:p>
    <w:p>
      <w:pPr>
        <w:pStyle w:val="ListParagraph"/>
        <w:numPr>
          <w:ilvl w:val="0"/>
          <w:numId w:val="40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运输队必须检查井筒轨道、地滚、道岔的质量情况，扣件</w:t>
      </w:r>
      <w:r>
        <w:rPr>
          <w:sz w:val="42"/>
        </w:rPr>
        <w:t>齐全，道岔灵活可靠，确保提升安全。</w:t>
      </w:r>
    </w:p>
    <w:p>
      <w:pPr>
        <w:pStyle w:val="ListParagraph"/>
        <w:numPr>
          <w:ilvl w:val="0"/>
          <w:numId w:val="40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下放高压柜时，绞车增、减速度要匀速，绞车速度控制在</w:t>
      </w:r>
      <w:r>
        <w:rPr>
          <w:sz w:val="42"/>
        </w:rPr>
        <w:t>2m/s</w:t>
      </w:r>
      <w:r>
        <w:rPr>
          <w:spacing w:val="-11"/>
          <w:sz w:val="42"/>
        </w:rPr>
        <w:t xml:space="preserve"> 以内，井上、井下信号工都必须目接、目送。</w:t>
      </w:r>
    </w:p>
    <w:p>
      <w:pPr>
        <w:pStyle w:val="ListParagraph"/>
        <w:numPr>
          <w:ilvl w:val="0"/>
          <w:numId w:val="40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车辆完全通过低弯道后，把钩工必须将车用木楔支稳，再</w:t>
      </w:r>
      <w:r>
        <w:rPr>
          <w:sz w:val="42"/>
        </w:rPr>
        <w:t>检查无误后，方可摘钩。</w:t>
      </w:r>
    </w:p>
    <w:p>
      <w:pPr>
        <w:pStyle w:val="ListParagraph"/>
        <w:numPr>
          <w:ilvl w:val="0"/>
          <w:numId w:val="40"/>
        </w:numPr>
        <w:tabs>
          <w:tab w:val="left" w:pos="3156"/>
        </w:tabs>
        <w:spacing w:before="0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安装高压柜时避免柜子在地面上蹭，防止破坏表面油漆。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0"/>
          <w:numId w:val="40"/>
        </w:numPr>
        <w:tabs>
          <w:tab w:val="left" w:pos="3364"/>
        </w:tabs>
        <w:spacing w:before="0" w:after="0" w:line="417" w:lineRule="auto"/>
        <w:ind w:left="2099" w:right="2268" w:firstLine="0"/>
        <w:jc w:val="left"/>
        <w:rPr>
          <w:sz w:val="42"/>
        </w:rPr>
      </w:pPr>
      <w:r>
        <w:rPr>
          <w:spacing w:val="-1"/>
          <w:sz w:val="42"/>
        </w:rPr>
        <w:t>高压柜安装位置符合设计，固定牢靠，零部件完整。</w:t>
      </w:r>
      <w:r>
        <w:rPr>
          <w:sz w:val="42"/>
        </w:rPr>
        <w:t>2．母线的安装</w:t>
      </w:r>
    </w:p>
    <w:p>
      <w:pPr>
        <w:pStyle w:val="BodyText"/>
        <w:spacing w:line="417" w:lineRule="auto"/>
        <w:ind w:left="1260" w:right="1592" w:firstLine="838"/>
      </w:pPr>
      <w:r>
        <w:rPr>
          <w:spacing w:val="-14"/>
        </w:rPr>
        <w:t>母线安装平整美观，母线的连接采用螺栓连接，母线的调直必须</w:t>
      </w:r>
      <w:r>
        <w:t>用木槌，切断时使用手锯或砂轮作业，不得用电弧或乙炔焰作业。</w:t>
      </w:r>
    </w:p>
    <w:p>
      <w:pPr>
        <w:pStyle w:val="BodyText"/>
        <w:spacing w:line="417" w:lineRule="auto"/>
        <w:ind w:left="1260" w:right="1598" w:firstLine="838"/>
      </w:pPr>
      <w:r>
        <w:rPr>
          <w:spacing w:val="-11"/>
        </w:rPr>
        <w:t>母线的弯曲用专用工具冷煨，弯曲不得有裂纹及显著的皱折，母</w:t>
      </w:r>
      <w:r>
        <w:rPr>
          <w:spacing w:val="-6"/>
        </w:rPr>
        <w:t xml:space="preserve">线扭弯时，扭转部分的长度不得小于母线宽度的 </w:t>
      </w:r>
      <w:r>
        <w:t>2.5</w:t>
      </w:r>
      <w:r>
        <w:rPr>
          <w:spacing w:val="-36"/>
        </w:rPr>
        <w:t xml:space="preserve"> 倍。</w:t>
      </w:r>
    </w:p>
    <w:p>
      <w:pPr>
        <w:pStyle w:val="BodyText"/>
        <w:spacing w:line="417" w:lineRule="auto"/>
        <w:ind w:left="1260" w:right="1603" w:firstLine="838"/>
      </w:pPr>
      <w:r>
        <w:t>母线的弯曲点至搭接边缘距离不得小于 30mm，弯曲点至最近支持绝缘子中心线的距离不得小于 100mm.</w:t>
      </w:r>
    </w:p>
    <w:p>
      <w:pPr>
        <w:pStyle w:val="BodyText"/>
        <w:spacing w:line="537" w:lineRule="exact"/>
        <w:ind w:left="2099"/>
      </w:pPr>
      <w:r>
        <w:t>母线按规定的排序刷漆，刷漆应均匀、整齐，不得滴流。</w:t>
      </w:r>
    </w:p>
    <w:p>
      <w:pPr>
        <w:spacing w:after="0" w:line="537" w:lineRule="exact"/>
        <w:sectPr>
          <w:headerReference w:type="default" r:id="rId27"/>
          <w:footerReference w:type="default" r:id="rId28"/>
          <w:pgSz w:w="17860" w:h="25260"/>
          <w:pgMar w:top="1320" w:right="1100" w:bottom="2120" w:left="1440" w:header="1132" w:footer="1922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39"/>
        </w:numPr>
        <w:tabs>
          <w:tab w:val="left" w:pos="2734"/>
        </w:tabs>
        <w:spacing w:before="42" w:after="0" w:line="240" w:lineRule="auto"/>
        <w:ind w:left="2734" w:right="0" w:hanging="635"/>
        <w:jc w:val="left"/>
        <w:rPr>
          <w:sz w:val="42"/>
        </w:rPr>
      </w:pPr>
      <w:r>
        <w:rPr>
          <w:sz w:val="42"/>
        </w:rPr>
        <w:t>电缆敷设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电缆敷设时应先编电缆敷设表，安排好电缆先后顺序，以</w:t>
      </w:r>
      <w:r>
        <w:rPr>
          <w:sz w:val="42"/>
        </w:rPr>
        <w:t>免交叉。</w:t>
      </w:r>
    </w:p>
    <w:p>
      <w:pPr>
        <w:pStyle w:val="ListParagraph"/>
        <w:numPr>
          <w:ilvl w:val="0"/>
          <w:numId w:val="38"/>
        </w:numPr>
        <w:tabs>
          <w:tab w:val="left" w:pos="3156"/>
        </w:tabs>
        <w:spacing w:before="0" w:after="0" w:line="537" w:lineRule="exact"/>
        <w:ind w:left="3155" w:right="0" w:hanging="1057"/>
        <w:jc w:val="left"/>
        <w:rPr>
          <w:sz w:val="42"/>
        </w:rPr>
      </w:pPr>
      <w:r>
        <w:rPr>
          <w:sz w:val="42"/>
        </w:rPr>
        <w:t>在电缆敷设前应把电缆经过的通道进行一次检查。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电缆在转弯处应用电缆扎牢固，电缆的弯曲半径不小于电</w:t>
      </w:r>
      <w:r>
        <w:rPr>
          <w:spacing w:val="-22"/>
          <w:sz w:val="42"/>
        </w:rPr>
        <w:t xml:space="preserve">缆外径的 </w:t>
      </w:r>
      <w:r>
        <w:rPr>
          <w:sz w:val="42"/>
        </w:rPr>
        <w:t>10</w:t>
      </w:r>
      <w:r>
        <w:rPr>
          <w:spacing w:val="-36"/>
          <w:sz w:val="42"/>
        </w:rPr>
        <w:t xml:space="preserve"> 倍。</w:t>
      </w:r>
    </w:p>
    <w:p>
      <w:pPr>
        <w:pStyle w:val="ListParagraph"/>
        <w:numPr>
          <w:ilvl w:val="0"/>
          <w:numId w:val="39"/>
        </w:numPr>
        <w:tabs>
          <w:tab w:val="left" w:pos="2734"/>
        </w:tabs>
        <w:spacing w:before="0" w:after="0" w:line="240" w:lineRule="auto"/>
        <w:ind w:left="2734" w:right="0" w:hanging="635"/>
        <w:jc w:val="left"/>
        <w:rPr>
          <w:sz w:val="42"/>
        </w:rPr>
      </w:pPr>
      <w:r>
        <w:rPr>
          <w:sz w:val="42"/>
        </w:rPr>
        <w:t>二次回路接线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260" w:right="1529" w:firstLine="838"/>
        <w:jc w:val="both"/>
      </w:pPr>
      <w:r>
        <w:rPr>
          <w:spacing w:val="-12"/>
        </w:rPr>
        <w:t>二次回路接线要求接线正确，电缆芯线和所配导线的端部均应标</w:t>
      </w:r>
      <w:r>
        <w:rPr>
          <w:spacing w:val="-17"/>
        </w:rPr>
        <w:t>明回路编号，编号应正确，字迹清晰不易脱落，导线绝缘良好盘柜内</w:t>
      </w:r>
      <w:r>
        <w:rPr>
          <w:spacing w:val="-13"/>
        </w:rPr>
        <w:t>的导线不应有接头，引进盘柜内的控制电缆及其芯线要求排列整齐避免交叉。</w:t>
      </w:r>
    </w:p>
    <w:p>
      <w:pPr>
        <w:pStyle w:val="ListParagraph"/>
        <w:numPr>
          <w:ilvl w:val="0"/>
          <w:numId w:val="39"/>
        </w:numPr>
        <w:tabs>
          <w:tab w:val="left" w:pos="2734"/>
        </w:tabs>
        <w:spacing w:before="0" w:after="0" w:line="537" w:lineRule="exact"/>
        <w:ind w:left="2734" w:right="0" w:hanging="635"/>
        <w:jc w:val="left"/>
        <w:rPr>
          <w:sz w:val="42"/>
        </w:rPr>
      </w:pPr>
      <w:r>
        <w:rPr>
          <w:sz w:val="42"/>
        </w:rPr>
        <w:t>系统调试及试送电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391" w:firstLine="838"/>
      </w:pPr>
      <w:r>
        <w:rPr>
          <w:spacing w:val="-22"/>
        </w:rPr>
        <w:t>经过对一次设备的检查，安装调整及有关试验和二次电流、电压、</w:t>
      </w:r>
      <w:r>
        <w:t>计量、信号、闭锁回路的通电检验及各继电保护装置的整组试验，均确认安全可靠无误后，并完全具备送电条件，就可进行试送电运行， 首先，进行模拟试运行，在一次主回路不带电的情况下，所有二次回</w:t>
      </w:r>
      <w:r>
        <w:rPr>
          <w:spacing w:val="-12"/>
        </w:rPr>
        <w:t>路通上规定的操作电源，以模拟试送电方式进行倒闸操作，熟悉所要检查和观察的内容，进行故障动作，检查一、二次的动作性能，模拟试运行合格后，就准备进行带电试运行。</w:t>
      </w:r>
    </w:p>
    <w:p>
      <w:pPr>
        <w:pStyle w:val="BodyText"/>
        <w:spacing w:line="537" w:lineRule="exact"/>
        <w:ind w:left="2099"/>
      </w:pPr>
      <w:r>
        <w:t>带电试进行前必须做好以下工作：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3156"/>
        </w:tabs>
        <w:spacing w:before="1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清扫全部设备卫生，清除遗留物及杂物。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3156"/>
        </w:tabs>
        <w:spacing w:before="0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配齐试验合格的安全工具，如拉杆、验电器、绝缘手套等。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9"/>
          <w:footerReference w:type="default" r:id="rId30"/>
          <w:pgSz w:w="17860" w:h="25260"/>
          <w:pgMar w:top="1320" w:right="1100" w:bottom="2120" w:left="1440" w:header="1132" w:footer="1922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37"/>
        </w:numPr>
        <w:tabs>
          <w:tab w:val="left" w:pos="3156"/>
        </w:tabs>
        <w:spacing w:before="42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准备足够数量的消防器材，准备警告标志牌。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7"/>
        </w:numPr>
        <w:tabs>
          <w:tab w:val="left" w:pos="3159"/>
        </w:tabs>
        <w:spacing w:before="0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检查各部位接地良好，主回路相色正确无误，螺丝坚固良</w:t>
      </w:r>
      <w:r>
        <w:rPr>
          <w:sz w:val="42"/>
        </w:rPr>
        <w:t>好，高、低压主回路绝缘良好无异常。</w:t>
      </w:r>
    </w:p>
    <w:p>
      <w:pPr>
        <w:pStyle w:val="BodyText"/>
        <w:spacing w:line="417" w:lineRule="auto"/>
        <w:ind w:left="1260" w:right="1576" w:firstLine="838"/>
      </w:pPr>
      <w:r>
        <w:rPr>
          <w:spacing w:val="-13"/>
        </w:rPr>
        <w:t>试运行必须具备的条件：①安装工作全部完成②试验项目全部合</w:t>
      </w:r>
      <w:r>
        <w:t>格③试运前准备工作全部完成。</w:t>
      </w:r>
    </w:p>
    <w:p>
      <w:pPr>
        <w:pStyle w:val="BodyText"/>
        <w:spacing w:line="417" w:lineRule="auto"/>
        <w:ind w:left="1260" w:right="1424" w:firstLine="838"/>
      </w:pPr>
      <w:r>
        <w:t>试运前做好预备操作：①全部开关（除接电源的第一级开关外</w:t>
      </w:r>
      <w:r>
        <w:rPr>
          <w:spacing w:val="-17"/>
        </w:rPr>
        <w:t xml:space="preserve">） </w:t>
      </w:r>
      <w:r>
        <w:rPr>
          <w:spacing w:val="-13"/>
        </w:rPr>
        <w:t>合闸、分闸三次确认动作正常②用摇表再次检查高、低压电缆的绝缘确认无异常情况③将全部主回路开关置于分闸位置。</w:t>
      </w:r>
    </w:p>
    <w:p>
      <w:pPr>
        <w:pStyle w:val="BodyText"/>
        <w:spacing w:line="538" w:lineRule="exact"/>
        <w:ind w:left="2099"/>
      </w:pPr>
      <w:r>
        <w:t>试运转程序：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36"/>
        </w:numPr>
        <w:tabs>
          <w:tab w:val="left" w:pos="3156"/>
        </w:tabs>
        <w:spacing w:before="0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从上一级变电所将高压电送到本变电所进线开关。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6"/>
        </w:numPr>
        <w:tabs>
          <w:tab w:val="left" w:pos="3156"/>
        </w:tabs>
        <w:spacing w:before="0" w:after="0" w:line="240" w:lineRule="auto"/>
        <w:ind w:left="3155" w:right="0" w:hanging="1057"/>
        <w:jc w:val="left"/>
        <w:rPr>
          <w:sz w:val="42"/>
        </w:rPr>
      </w:pPr>
      <w:r>
        <w:rPr>
          <w:sz w:val="42"/>
        </w:rPr>
        <w:t>用高压验电器对进线开关上端验电，用相序表校验相序。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6"/>
        </w:numPr>
        <w:tabs>
          <w:tab w:val="left" w:pos="3159"/>
        </w:tabs>
        <w:spacing w:before="1" w:after="0" w:line="417" w:lineRule="auto"/>
        <w:ind w:left="1260" w:right="1629" w:firstLine="838"/>
        <w:jc w:val="left"/>
        <w:rPr>
          <w:sz w:val="42"/>
        </w:rPr>
      </w:pPr>
      <w:r>
        <w:rPr>
          <w:spacing w:val="-1"/>
          <w:sz w:val="42"/>
        </w:rPr>
        <w:t>合进线柜上、下隔离开关，再合断路器，将高压电送到母</w:t>
      </w:r>
      <w:r>
        <w:rPr>
          <w:sz w:val="42"/>
        </w:rPr>
        <w:t>线。</w:t>
      </w:r>
    </w:p>
    <w:p>
      <w:pPr>
        <w:pStyle w:val="ListParagraph"/>
        <w:numPr>
          <w:ilvl w:val="0"/>
          <w:numId w:val="36"/>
        </w:numPr>
        <w:tabs>
          <w:tab w:val="left" w:pos="3156"/>
        </w:tabs>
        <w:spacing w:before="0" w:after="0" w:line="417" w:lineRule="auto"/>
        <w:ind w:left="2099" w:right="5845" w:firstLine="0"/>
        <w:jc w:val="left"/>
        <w:rPr>
          <w:sz w:val="42"/>
        </w:rPr>
      </w:pPr>
      <w:r>
        <w:rPr>
          <w:spacing w:val="-2"/>
          <w:sz w:val="42"/>
        </w:rPr>
        <w:t>合电压互感器柜，检查三相电压。</w:t>
      </w:r>
      <w:r>
        <w:rPr>
          <w:sz w:val="42"/>
        </w:rPr>
        <w:t>4、打设、安装锚杆</w:t>
      </w:r>
    </w:p>
    <w:p>
      <w:pPr>
        <w:pStyle w:val="BodyText"/>
        <w:spacing w:line="417" w:lineRule="auto"/>
        <w:ind w:left="1260" w:right="1591" w:firstLine="838"/>
        <w:jc w:val="both"/>
      </w:pPr>
      <w:r>
        <w:rPr>
          <w:spacing w:val="-1"/>
        </w:rPr>
        <w:t>吊挂锚杆由综掘二队打设，</w:t>
      </w:r>
      <w:r>
        <w:rPr>
          <w:spacing w:val="-4"/>
        </w:rPr>
        <w:t>φ16</w:t>
      </w:r>
      <w:r>
        <w:rPr>
          <w:spacing w:val="-13"/>
        </w:rPr>
        <w:t xml:space="preserve"> 螺纹钢锚杆总长度为 </w:t>
      </w:r>
      <w:r>
        <w:rPr>
          <w:spacing w:val="-3"/>
        </w:rPr>
        <w:t xml:space="preserve">2100mm， </w:t>
      </w:r>
      <w:r>
        <w:rPr>
          <w:spacing w:val="-18"/>
        </w:rPr>
        <w:t xml:space="preserve">打眼深度为 </w:t>
      </w:r>
      <w:r>
        <w:rPr>
          <w:spacing w:val="-11"/>
        </w:rPr>
        <w:t>1900mm</w:t>
      </w:r>
      <w:r>
        <w:rPr>
          <w:spacing w:val="-15"/>
        </w:rPr>
        <w:t xml:space="preserve">，其中安装深度为 </w:t>
      </w:r>
      <w:r>
        <w:rPr>
          <w:spacing w:val="-11"/>
        </w:rPr>
        <w:t>1800mm</w:t>
      </w:r>
      <w:r>
        <w:rPr>
          <w:spacing w:val="-39"/>
        </w:rPr>
        <w:t xml:space="preserve">，用 </w:t>
      </w:r>
      <w:r>
        <w:t>2</w:t>
      </w:r>
      <w:r>
        <w:rPr>
          <w:spacing w:val="2"/>
        </w:rPr>
        <w:t xml:space="preserve"> 节</w:t>
      </w:r>
      <w:r>
        <w:t>L＝700mm</w:t>
      </w:r>
      <w:r>
        <w:rPr>
          <w:spacing w:val="-38"/>
        </w:rPr>
        <w:t xml:space="preserve"> 树脂</w:t>
      </w:r>
      <w:r>
        <w:t>药卷固定。</w:t>
      </w:r>
    </w:p>
    <w:p>
      <w:pPr>
        <w:pStyle w:val="BodyText"/>
        <w:ind w:left="2099"/>
      </w:pPr>
      <w:r>
        <w:t>5、管路防腐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260" w:right="1420" w:firstLine="838"/>
      </w:pPr>
      <w:r>
        <w:rPr>
          <w:spacing w:val="-12"/>
        </w:rPr>
        <w:t>管路在地面用磨光机除锈、打磨清除干净后，人工用刷子涂刷环</w:t>
      </w:r>
      <w:r>
        <w:rPr>
          <w:spacing w:val="-18"/>
        </w:rPr>
        <w:t xml:space="preserve">氧富锌底漆一遍，环氧沥青厚浆型防腐涂料 </w:t>
      </w:r>
      <w:r>
        <w:t>3</w:t>
      </w:r>
      <w:r>
        <w:rPr>
          <w:spacing w:val="-11"/>
        </w:rPr>
        <w:t xml:space="preserve"> 遍，防锈漆涂刷均匀， </w:t>
      </w:r>
      <w:r>
        <w:rPr>
          <w:spacing w:val="-12"/>
        </w:rPr>
        <w:t>待防锈漆晾干后，方可投入使用。防腐后的管子外观应均匀、光滑、</w:t>
      </w:r>
    </w:p>
    <w:p>
      <w:pPr>
        <w:spacing w:after="0" w:line="417" w:lineRule="auto"/>
        <w:sectPr>
          <w:headerReference w:type="default" r:id="rId31"/>
          <w:footerReference w:type="default" r:id="rId32"/>
          <w:pgSz w:w="17860" w:h="25260"/>
          <w:pgMar w:top="1320" w:right="1100" w:bottom="2120" w:left="1440" w:header="1132" w:footer="1922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/>
        <w:ind w:left="1260"/>
      </w:pPr>
      <w:r>
        <w:t>平整。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099"/>
      </w:pPr>
      <w:r>
        <w:t>6、配接管道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734"/>
        </w:tabs>
        <w:spacing w:before="0" w:after="0" w:line="240" w:lineRule="auto"/>
        <w:ind w:left="2734" w:right="0" w:hanging="635"/>
        <w:jc w:val="left"/>
        <w:rPr>
          <w:sz w:val="42"/>
        </w:rPr>
      </w:pPr>
      <w:r>
        <w:rPr>
          <w:sz w:val="42"/>
        </w:rPr>
        <w:t>管道间连接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1424" w:firstLine="838"/>
      </w:pPr>
      <w:r>
        <w:t>管道安装的基本顺序：先地下管，后地上管；先大管，后小管； 先主管，后支管。严格按设计图纸进行安装。</w:t>
      </w:r>
    </w:p>
    <w:p>
      <w:pPr>
        <w:pStyle w:val="BodyText"/>
        <w:spacing w:line="417" w:lineRule="auto"/>
        <w:ind w:left="1260" w:right="1590" w:firstLine="838"/>
      </w:pPr>
      <w:r>
        <w:rPr>
          <w:spacing w:val="-16"/>
        </w:rPr>
        <w:t xml:space="preserve">管道对口时，在距离接口中心 </w:t>
      </w:r>
      <w:r>
        <w:t>200mm</w:t>
      </w:r>
      <w:r>
        <w:rPr>
          <w:spacing w:val="-17"/>
        </w:rPr>
        <w:t xml:space="preserve"> 处测量平直度，当管子公称</w:t>
      </w:r>
      <w:r>
        <w:rPr>
          <w:spacing w:val="10"/>
        </w:rPr>
        <w:t xml:space="preserve">直径小于 </w:t>
      </w:r>
      <w:r>
        <w:t>100mm</w:t>
      </w:r>
      <w:r>
        <w:rPr>
          <w:spacing w:val="1"/>
        </w:rPr>
        <w:t xml:space="preserve"> 时，允许偏差为</w:t>
      </w:r>
      <w:r>
        <w:t>≤1mm；当管子公称直径大于等于100mm</w:t>
      </w:r>
      <w:r>
        <w:rPr>
          <w:spacing w:val="-15"/>
        </w:rPr>
        <w:t xml:space="preserve"> 时，允许偏差为</w:t>
      </w:r>
      <w:r>
        <w:t>≤2mm</w:t>
      </w:r>
      <w:r>
        <w:rPr>
          <w:spacing w:val="-2"/>
        </w:rPr>
        <w:t xml:space="preserve">。全长允许偏差均为 </w:t>
      </w:r>
      <w:r>
        <w:t>10mm。</w:t>
      </w:r>
    </w:p>
    <w:p>
      <w:pPr>
        <w:pStyle w:val="ListParagraph"/>
        <w:numPr>
          <w:ilvl w:val="0"/>
          <w:numId w:val="35"/>
        </w:numPr>
        <w:tabs>
          <w:tab w:val="left" w:pos="2734"/>
        </w:tabs>
        <w:spacing w:before="0" w:after="0" w:line="538" w:lineRule="exact"/>
        <w:ind w:left="2734" w:right="0" w:hanging="635"/>
        <w:jc w:val="left"/>
        <w:rPr>
          <w:sz w:val="42"/>
        </w:rPr>
      </w:pPr>
      <w:r>
        <w:rPr>
          <w:sz w:val="42"/>
        </w:rPr>
        <w:t>闸阀连接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60" w:right="1587" w:firstLine="838"/>
        <w:jc w:val="both"/>
      </w:pPr>
      <w:r>
        <w:rPr>
          <w:spacing w:val="-14"/>
        </w:rPr>
        <w:t>法兰安装前，再检查一遍法兰密封面及垫片，不能有影响密封性</w:t>
      </w:r>
      <w:r>
        <w:rPr>
          <w:spacing w:val="-13"/>
        </w:rPr>
        <w:t>能的划痕等缺陷。连接法兰的螺栓能在螺栓孔中顺利通过。法兰连接使用同一规格的螺栓，安装方向一致，紧固后螺栓与螺母平齐。</w:t>
      </w:r>
    </w:p>
    <w:p>
      <w:pPr>
        <w:pStyle w:val="BodyText"/>
        <w:spacing w:line="538" w:lineRule="exact"/>
        <w:ind w:left="1260"/>
      </w:pPr>
      <w:r>
        <w:t>7、管道补防腐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60" w:right="1371" w:firstLine="838"/>
        <w:jc w:val="both"/>
      </w:pPr>
      <w:r>
        <w:t>在涂刷底漆前，应清除表面的灰尘、污垢、锈斑、焊渣等物。涂刷油漆厚度均匀，不得有脱皮、气泡、流淌和漏涂现象。给水管刷银</w:t>
      </w:r>
      <w:r>
        <w:rPr>
          <w:spacing w:val="-21"/>
        </w:rPr>
        <w:t xml:space="preserve">粉两道，灌浆供水管道、压力排水管道、灌浆管道除锈后刷樟丹两道， </w:t>
      </w:r>
      <w:r>
        <w:t>灰色调和漆两道。</w:t>
      </w:r>
    </w:p>
    <w:p>
      <w:pPr>
        <w:pStyle w:val="BodyText"/>
        <w:spacing w:line="537" w:lineRule="exact"/>
        <w:ind w:left="1260"/>
      </w:pPr>
      <w:r>
        <w:t>8、水泵试运转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2431"/>
        </w:tabs>
        <w:spacing w:before="0" w:after="0" w:line="417" w:lineRule="auto"/>
        <w:ind w:left="2160" w:right="8676" w:hanging="360"/>
        <w:jc w:val="left"/>
        <w:rPr>
          <w:sz w:val="42"/>
        </w:rPr>
      </w:pPr>
      <w:r>
        <w:rPr>
          <w:spacing w:val="-2"/>
          <w:sz w:val="42"/>
        </w:rPr>
        <w:t xml:space="preserve">试运转前的准备工作： </w:t>
      </w:r>
      <w:r>
        <w:rPr>
          <w:sz w:val="42"/>
        </w:rPr>
        <w:t>1）清理泵房文明生产；</w:t>
      </w:r>
    </w:p>
    <w:p>
      <w:pPr>
        <w:pStyle w:val="ListParagraph"/>
        <w:numPr>
          <w:ilvl w:val="0"/>
          <w:numId w:val="33"/>
        </w:numPr>
        <w:tabs>
          <w:tab w:val="left" w:pos="2796"/>
        </w:tabs>
        <w:spacing w:before="0" w:after="0" w:line="537" w:lineRule="exact"/>
        <w:ind w:left="2795" w:right="0" w:hanging="636"/>
        <w:jc w:val="left"/>
        <w:rPr>
          <w:sz w:val="42"/>
        </w:rPr>
      </w:pPr>
      <w:r>
        <w:rPr>
          <w:sz w:val="42"/>
        </w:rPr>
        <w:t>检查电机绝缘、盘车检查电动机转子是否灵活；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3"/>
        </w:numPr>
        <w:tabs>
          <w:tab w:val="left" w:pos="2796"/>
        </w:tabs>
        <w:spacing w:before="0" w:after="0" w:line="240" w:lineRule="auto"/>
        <w:ind w:left="2795" w:right="0" w:hanging="636"/>
        <w:jc w:val="left"/>
        <w:rPr>
          <w:sz w:val="42"/>
        </w:rPr>
      </w:pPr>
      <w:r>
        <w:rPr>
          <w:sz w:val="42"/>
        </w:rPr>
        <w:t>检查盘根、压盖受力不可过大；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https://d.book118.com/898113034070006043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34"/>
      <w:footerReference w:type="default" r:id="rId35"/>
      <w:pgSz w:w="17860" w:h="25260"/>
      <w:pgMar w:top="1320" w:right="1100" w:bottom="2120" w:left="1440" w:header="1132" w:footer="1922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5.85pt;height:22.75pt;margin-top:1155.79pt;margin-left:419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5.85pt;height:22.75pt;margin-top:1155.79pt;margin-left:419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5.85pt;height:22.75pt;margin-top:1155.79pt;margin-left:419.5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5.85pt;height:22.75pt;margin-top:1155.79pt;margin-left:419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4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5.85pt;height:22.75pt;margin-top:1155.79pt;margin-left:419.5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5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5.85pt;height:22.75pt;margin-top:1155.79pt;margin-left:419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6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5.85pt;height:22.75pt;margin-top:1155.79pt;margin-left:419.5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7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5.85pt;height:22.75pt;margin-top:1155.79pt;margin-left:419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8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5.85pt;height:22.75pt;margin-top:1155.79pt;margin-left:419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9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5.85pt;height:22.75pt;margin-top:1155.79pt;margin-left:419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10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5.85pt;height:22.75pt;margin-top:1155.79pt;margin-left:419.5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11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5.85pt;height:22.75pt;margin-top:1155.79pt;margin-left:419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12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5.85pt;height:22.75pt;margin-top:1155.79pt;margin-left:419.5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13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5.85pt;height:22.75pt;margin-top:1155.79pt;margin-left:419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05" w:lineRule="exact"/>
                  <w:ind w:left="74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14</w:t>
                </w:r>
                <w:r>
                  <w:fldChar w:fldCharType="end"/>
                </w:r>
              </w:p>
              <w:p>
                <w:pPr>
                  <w:spacing w:before="0" w:line="15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z w:val="18"/>
                  </w:rPr>
                  <w:t>页脚内容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9.2pt;height:11pt;margin-top:56.62pt;margin-left:386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3860157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0157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9.2pt;height:11pt;margin-top:56.62pt;margin-left:386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0752562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2562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9.2pt;height:11pt;margin-top:56.62pt;margin-left:386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0672071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2071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9.2pt;height:11pt;margin-top:56.62pt;margin-left:386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9279646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79646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9.2pt;height:11pt;margin-top:56.62pt;margin-left:386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6070519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70519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9.2pt;height:11pt;margin-top:56.62pt;margin-left:386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7523190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3190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9.2pt;height:11pt;margin-top:56.62pt;margin-left:386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4557082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57082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9.2pt;height:11pt;margin-top:56.62pt;margin-left:386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0358377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8377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9.2pt;height:11pt;margin-top:56.62pt;margin-left:386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8010089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0089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9.2pt;height:11pt;margin-top:56.62pt;margin-left:386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6893318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93318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9.2pt;height:11pt;margin-top:56.62pt;margin-left:386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2736379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6379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9.2pt;height:11pt;margin-top:56.62pt;margin-left:386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809633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96334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9.2pt;height:11pt;margin-top:56.62pt;margin-left:386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1367398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7398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19.2pt;height:11pt;margin-top:56.62pt;margin-left:386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color w:val="7F7F3F"/>
                    <w:spacing w:val="-9"/>
                    <w:sz w:val="18"/>
                  </w:rPr>
                  <w:t xml:space="preserve">鄂州大学 </w:t>
                </w:r>
                <w:r>
                  <w:rPr>
                    <w:color w:val="7F7F3F"/>
                    <w:sz w:val="18"/>
                  </w:rPr>
                  <w:t>06-07</w:t>
                </w:r>
                <w:r>
                  <w:rPr>
                    <w:color w:val="7F7F3F"/>
                    <w:spacing w:val="-8"/>
                    <w:sz w:val="18"/>
                  </w:rPr>
                  <w:t xml:space="preserve"> 学年第二学期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97F9"/>
    <w:multiLevelType w:val="hybridMultilevel"/>
    <w:tmpl w:val="00000000"/>
    <w:lvl w:ilvl="0">
      <w:start w:val="2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1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9" w:hanging="635"/>
      </w:pPr>
      <w:rPr>
        <w:rFonts w:hint="default"/>
      </w:rPr>
    </w:lvl>
  </w:abstractNum>
  <w:abstractNum w:abstractNumId="1">
    <w:nsid w:val="03DC7D12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1063"/>
      </w:pPr>
      <w:rPr>
        <w:rFonts w:hint="default"/>
      </w:rPr>
    </w:lvl>
  </w:abstractNum>
  <w:abstractNum w:abstractNumId="2">
    <w:nsid w:val="060482A7"/>
    <w:multiLevelType w:val="hybridMultilevel"/>
    <w:tmpl w:val="00000000"/>
    <w:lvl w:ilvl="0">
      <w:start w:val="1"/>
      <w:numFmt w:val="decimal"/>
      <w:lvlText w:val="%1."/>
      <w:lvlJc w:val="left"/>
      <w:pPr>
        <w:ind w:left="2131" w:hanging="56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5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3" w:hanging="562"/>
      </w:pPr>
      <w:rPr>
        <w:rFonts w:hint="default"/>
      </w:rPr>
    </w:lvl>
  </w:abstractNum>
  <w:abstractNum w:abstractNumId="3">
    <w:nsid w:val="075D0BFF"/>
    <w:multiLevelType w:val="hybridMultilevel"/>
    <w:tmpl w:val="00000000"/>
    <w:lvl w:ilvl="0">
      <w:start w:val="1"/>
      <w:numFmt w:val="decimal"/>
      <w:lvlText w:val="（%1）"/>
      <w:lvlJc w:val="left"/>
      <w:pPr>
        <w:ind w:left="3420" w:hanging="135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609" w:hanging="1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9" w:hanging="1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9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9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1354"/>
      </w:pPr>
      <w:rPr>
        <w:rFonts w:hint="default"/>
      </w:rPr>
    </w:lvl>
  </w:abstractNum>
  <w:abstractNum w:abstractNumId="4">
    <w:nsid w:val="0C16832D"/>
    <w:multiLevelType w:val="hybridMultilevel"/>
    <w:tmpl w:val="00000000"/>
    <w:lvl w:ilvl="0">
      <w:start w:val="4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5">
    <w:nsid w:val="10E58F98"/>
    <w:multiLevelType w:val="hybridMultilevel"/>
    <w:tmpl w:val="00000000"/>
    <w:lvl w:ilvl="0">
      <w:start w:val="1"/>
      <w:numFmt w:val="decimal"/>
      <w:lvlText w:val="（%1）"/>
      <w:lvlJc w:val="left"/>
      <w:pPr>
        <w:ind w:left="312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056"/>
      </w:pPr>
      <w:rPr>
        <w:rFonts w:hint="default"/>
      </w:rPr>
    </w:lvl>
  </w:abstractNum>
  <w:abstractNum w:abstractNumId="6">
    <w:nsid w:val="14141FAA"/>
    <w:multiLevelType w:val="hybridMultilevel"/>
    <w:tmpl w:val="00000000"/>
    <w:lvl w:ilvl="0">
      <w:start w:val="5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7">
    <w:nsid w:val="155D2AEE"/>
    <w:multiLevelType w:val="hybridMultilevel"/>
    <w:tmpl w:val="00000000"/>
    <w:lvl w:ilvl="0">
      <w:start w:val="5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8">
    <w:nsid w:val="19E41C9F"/>
    <w:multiLevelType w:val="hybridMultilevel"/>
    <w:tmpl w:val="00000000"/>
    <w:lvl w:ilvl="0">
      <w:start w:val="5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9">
    <w:nsid w:val="1E3FAB5B"/>
    <w:multiLevelType w:val="hybridMultilevel"/>
    <w:tmpl w:val="00000000"/>
    <w:lvl w:ilvl="0">
      <w:start w:val="1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10">
    <w:nsid w:val="1FB061B7"/>
    <w:multiLevelType w:val="hybridMultilevel"/>
    <w:tmpl w:val="00000000"/>
    <w:lvl w:ilvl="0">
      <w:start w:val="1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1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9" w:hanging="635"/>
      </w:pPr>
      <w:rPr>
        <w:rFonts w:hint="default"/>
      </w:rPr>
    </w:lvl>
  </w:abstractNum>
  <w:abstractNum w:abstractNumId="11">
    <w:nsid w:val="214D5BE2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5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5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1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1063"/>
      </w:pPr>
      <w:rPr>
        <w:rFonts w:hint="default"/>
      </w:rPr>
    </w:lvl>
  </w:abstractNum>
  <w:abstractNum w:abstractNumId="12">
    <w:nsid w:val="239D976A"/>
    <w:multiLevelType w:val="hybridMultilevel"/>
    <w:tmpl w:val="00000000"/>
    <w:lvl w:ilvl="0">
      <w:start w:val="3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13">
    <w:nsid w:val="2418856C"/>
    <w:multiLevelType w:val="hybridMultilevel"/>
    <w:tmpl w:val="00000000"/>
    <w:lvl w:ilvl="0">
      <w:start w:val="2"/>
      <w:numFmt w:val="decimal"/>
      <w:lvlText w:val="%1）"/>
      <w:lvlJc w:val="left"/>
      <w:pPr>
        <w:ind w:left="27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5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35"/>
      </w:pPr>
      <w:rPr>
        <w:rFonts w:hint="default"/>
      </w:rPr>
    </w:lvl>
  </w:abstractNum>
  <w:abstractNum w:abstractNumId="14">
    <w:nsid w:val="2638E3DF"/>
    <w:multiLevelType w:val="hybridMultilevel"/>
    <w:tmpl w:val="00000000"/>
    <w:lvl w:ilvl="0">
      <w:start w:val="2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15">
    <w:nsid w:val="285A2E96"/>
    <w:multiLevelType w:val="hybridMultilevel"/>
    <w:tmpl w:val="00000000"/>
    <w:lvl w:ilvl="0">
      <w:start w:val="8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16">
    <w:nsid w:val="29B8374A"/>
    <w:multiLevelType w:val="hybridMultilevel"/>
    <w:tmpl w:val="00000000"/>
    <w:lvl w:ilvl="0">
      <w:start w:val="8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17">
    <w:nsid w:val="2B4C5D14"/>
    <w:multiLevelType w:val="hybridMultilevel"/>
    <w:tmpl w:val="00000000"/>
    <w:lvl w:ilvl="0">
      <w:start w:val="7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18">
    <w:nsid w:val="2DC8C15B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1060"/>
      </w:pPr>
      <w:rPr>
        <w:rFonts w:hint="default"/>
      </w:rPr>
    </w:lvl>
  </w:abstractNum>
  <w:abstractNum w:abstractNumId="19">
    <w:nsid w:val="2E235CA6"/>
    <w:multiLevelType w:val="hybridMultilevel"/>
    <w:tmpl w:val="00000000"/>
    <w:lvl w:ilvl="0">
      <w:start w:val="3"/>
      <w:numFmt w:val="decimal"/>
      <w:lvlText w:val="%1."/>
      <w:lvlJc w:val="left"/>
      <w:pPr>
        <w:ind w:left="273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3" w:hanging="635"/>
      </w:pPr>
      <w:rPr>
        <w:rFonts w:hint="default"/>
      </w:rPr>
    </w:lvl>
  </w:abstractNum>
  <w:abstractNum w:abstractNumId="20">
    <w:nsid w:val="2F502158"/>
    <w:multiLevelType w:val="hybridMultilevel"/>
    <w:tmpl w:val="00000000"/>
    <w:lvl w:ilvl="0">
      <w:start w:val="1"/>
      <w:numFmt w:val="decimal"/>
      <w:lvlText w:val="%1）"/>
      <w:lvlJc w:val="left"/>
      <w:pPr>
        <w:ind w:left="273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3" w:hanging="635"/>
      </w:pPr>
      <w:rPr>
        <w:rFonts w:hint="default"/>
      </w:rPr>
    </w:lvl>
  </w:abstractNum>
  <w:abstractNum w:abstractNumId="21">
    <w:nsid w:val="2FAF0B93"/>
    <w:multiLevelType w:val="hybridMultilevel"/>
    <w:tmpl w:val="00000000"/>
    <w:lvl w:ilvl="0">
      <w:start w:val="1"/>
      <w:numFmt w:val="decimal"/>
      <w:lvlText w:val="（%1）"/>
      <w:lvlJc w:val="left"/>
      <w:pPr>
        <w:ind w:left="126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1060"/>
      </w:pPr>
      <w:rPr>
        <w:rFonts w:hint="default"/>
      </w:rPr>
    </w:lvl>
  </w:abstractNum>
  <w:abstractNum w:abstractNumId="22">
    <w:nsid w:val="33CF517B"/>
    <w:multiLevelType w:val="hybridMultilevel"/>
    <w:tmpl w:val="00000000"/>
    <w:lvl w:ilvl="0">
      <w:start w:val="8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1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9" w:hanging="635"/>
      </w:pPr>
      <w:rPr>
        <w:rFonts w:hint="default"/>
      </w:rPr>
    </w:lvl>
  </w:abstractNum>
  <w:abstractNum w:abstractNumId="23">
    <w:nsid w:val="3595F588"/>
    <w:multiLevelType w:val="hybridMultilevel"/>
    <w:tmpl w:val="00000000"/>
    <w:lvl w:ilvl="0">
      <w:start w:val="7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24">
    <w:nsid w:val="41B17EF4"/>
    <w:multiLevelType w:val="hybridMultilevel"/>
    <w:tmpl w:val="00000000"/>
    <w:lvl w:ilvl="0">
      <w:start w:val="1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25">
    <w:nsid w:val="46B4F573"/>
    <w:multiLevelType w:val="hybridMultilevel"/>
    <w:tmpl w:val="00000000"/>
    <w:lvl w:ilvl="0">
      <w:start w:val="1"/>
      <w:numFmt w:val="decimal"/>
      <w:lvlText w:val="%1."/>
      <w:lvlJc w:val="left"/>
      <w:pPr>
        <w:ind w:left="216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）"/>
      <w:lvlJc w:val="left"/>
      <w:pPr>
        <w:ind w:left="27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19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7" w:hanging="635"/>
      </w:pPr>
      <w:rPr>
        <w:rFonts w:hint="default"/>
      </w:rPr>
    </w:lvl>
  </w:abstractNum>
  <w:abstractNum w:abstractNumId="26">
    <w:nsid w:val="47620DE1"/>
    <w:multiLevelType w:val="hybridMultilevel"/>
    <w:tmpl w:val="00000000"/>
    <w:lvl w:ilvl="0">
      <w:start w:val="3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27">
    <w:nsid w:val="47833839"/>
    <w:multiLevelType w:val="hybridMultilevel"/>
    <w:tmpl w:val="00000000"/>
    <w:lvl w:ilvl="0">
      <w:start w:val="4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28">
    <w:nsid w:val="4E4865AD"/>
    <w:multiLevelType w:val="hybridMultilevel"/>
    <w:tmpl w:val="00000000"/>
    <w:lvl w:ilvl="0">
      <w:start w:val="9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29">
    <w:nsid w:val="540AE894"/>
    <w:multiLevelType w:val="hybridMultilevel"/>
    <w:tmpl w:val="00000000"/>
    <w:lvl w:ilvl="0">
      <w:start w:val="1"/>
      <w:numFmt w:val="decimal"/>
      <w:lvlText w:val="%1."/>
      <w:lvlJc w:val="left"/>
      <w:pPr>
        <w:ind w:left="2131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5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3" w:hanging="630"/>
      </w:pPr>
      <w:rPr>
        <w:rFonts w:hint="default"/>
      </w:rPr>
    </w:lvl>
  </w:abstractNum>
  <w:abstractNum w:abstractNumId="30">
    <w:nsid w:val="542D3010"/>
    <w:multiLevelType w:val="hybridMultilevel"/>
    <w:tmpl w:val="00000000"/>
    <w:lvl w:ilvl="0">
      <w:start w:val="1"/>
      <w:numFmt w:val="decimal"/>
      <w:lvlText w:val="%1"/>
      <w:lvlJc w:val="left"/>
      <w:pPr>
        <w:ind w:left="216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7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630"/>
      </w:pPr>
      <w:rPr>
        <w:rFonts w:hint="default"/>
      </w:rPr>
    </w:lvl>
  </w:abstractNum>
  <w:abstractNum w:abstractNumId="31">
    <w:nsid w:val="5A2EEB8B"/>
    <w:multiLevelType w:val="hybridMultilevel"/>
    <w:tmpl w:val="00000000"/>
    <w:lvl w:ilvl="0">
      <w:start w:val="6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32">
    <w:nsid w:val="5C538BF8"/>
    <w:multiLevelType w:val="hybridMultilevel"/>
    <w:tmpl w:val="00000000"/>
    <w:lvl w:ilvl="0">
      <w:start w:val="1"/>
      <w:numFmt w:val="decimal"/>
      <w:lvlText w:val="%1)"/>
      <w:lvlJc w:val="left"/>
      <w:pPr>
        <w:ind w:left="189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16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36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0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3" w:hanging="630"/>
      </w:pPr>
      <w:rPr>
        <w:rFonts w:hint="default"/>
      </w:rPr>
    </w:lvl>
  </w:abstractNum>
  <w:abstractNum w:abstractNumId="33">
    <w:nsid w:val="5D2E642B"/>
    <w:multiLevelType w:val="hybridMultilevel"/>
    <w:tmpl w:val="00000000"/>
    <w:lvl w:ilvl="0">
      <w:start w:val="1"/>
      <w:numFmt w:val="decimal"/>
      <w:lvlText w:val="（%1）"/>
      <w:lvlJc w:val="left"/>
      <w:pPr>
        <w:ind w:left="31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7" w:hanging="1056"/>
      </w:pPr>
      <w:rPr>
        <w:rFonts w:hint="default"/>
      </w:rPr>
    </w:lvl>
  </w:abstractNum>
  <w:abstractNum w:abstractNumId="34">
    <w:nsid w:val="5DC4FC79"/>
    <w:multiLevelType w:val="hybridMultilevel"/>
    <w:tmpl w:val="00000000"/>
    <w:lvl w:ilvl="0">
      <w:start w:val="6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35">
    <w:nsid w:val="6322CBE5"/>
    <w:multiLevelType w:val="hybridMultilevel"/>
    <w:tmpl w:val="00000000"/>
    <w:lvl w:ilvl="0">
      <w:start w:val="1"/>
      <w:numFmt w:val="decimal"/>
      <w:lvlText w:val="%1."/>
      <w:lvlJc w:val="left"/>
      <w:pPr>
        <w:ind w:left="273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3" w:hanging="635"/>
      </w:pPr>
      <w:rPr>
        <w:rFonts w:hint="default"/>
      </w:rPr>
    </w:lvl>
  </w:abstractNum>
  <w:abstractNum w:abstractNumId="36">
    <w:nsid w:val="63535480"/>
    <w:multiLevelType w:val="hybridMultilevel"/>
    <w:tmpl w:val="00000000"/>
    <w:lvl w:ilvl="0">
      <w:start w:val="1"/>
      <w:numFmt w:val="decimal"/>
      <w:lvlText w:val="（%1）"/>
      <w:lvlJc w:val="left"/>
      <w:pPr>
        <w:ind w:left="312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056"/>
      </w:pPr>
      <w:rPr>
        <w:rFonts w:hint="default"/>
      </w:rPr>
    </w:lvl>
  </w:abstractNum>
  <w:abstractNum w:abstractNumId="37">
    <w:nsid w:val="664A3699"/>
    <w:multiLevelType w:val="hybridMultilevel"/>
    <w:tmpl w:val="00000000"/>
    <w:lvl w:ilvl="0">
      <w:start w:val="2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38">
    <w:nsid w:val="67C8CE0C"/>
    <w:multiLevelType w:val="hybridMultilevel"/>
    <w:tmpl w:val="00000000"/>
    <w:lvl w:ilvl="0">
      <w:start w:val="1"/>
      <w:numFmt w:val="decimal"/>
      <w:lvlText w:val="%1"/>
      <w:lvlJc w:val="left"/>
      <w:pPr>
        <w:ind w:left="2160" w:hanging="630"/>
        <w:jc w:val="left"/>
      </w:pPr>
      <w:rPr>
        <w:rFonts w:ascii="宋体" w:eastAsia="宋体" w:hAnsi="宋体" w:cs="宋体" w:hint="default"/>
        <w:color w:val="F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7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630"/>
      </w:pPr>
      <w:rPr>
        <w:rFonts w:hint="default"/>
      </w:rPr>
    </w:lvl>
  </w:abstractNum>
  <w:abstractNum w:abstractNumId="39">
    <w:nsid w:val="6989FD68"/>
    <w:multiLevelType w:val="hybridMultilevel"/>
    <w:tmpl w:val="00000000"/>
    <w:lvl w:ilvl="0">
      <w:start w:val="1"/>
      <w:numFmt w:val="decimal"/>
      <w:lvlText w:val="（%1）"/>
      <w:lvlJc w:val="left"/>
      <w:pPr>
        <w:ind w:left="31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7" w:hanging="1056"/>
      </w:pPr>
      <w:rPr>
        <w:rFonts w:hint="default"/>
      </w:rPr>
    </w:lvl>
  </w:abstractNum>
  <w:abstractNum w:abstractNumId="40">
    <w:nsid w:val="6E06396D"/>
    <w:multiLevelType w:val="hybridMultilevel"/>
    <w:tmpl w:val="00000000"/>
    <w:lvl w:ilvl="0">
      <w:start w:val="6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41">
    <w:nsid w:val="6EA44D9B"/>
    <w:multiLevelType w:val="hybridMultilevel"/>
    <w:tmpl w:val="00000000"/>
    <w:lvl w:ilvl="0">
      <w:start w:val="1"/>
      <w:numFmt w:val="decimal"/>
      <w:lvlText w:val="（%1）"/>
      <w:lvlJc w:val="left"/>
      <w:pPr>
        <w:ind w:left="31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7" w:hanging="1056"/>
      </w:pPr>
      <w:rPr>
        <w:rFonts w:hint="default"/>
      </w:rPr>
    </w:lvl>
  </w:abstractNum>
  <w:abstractNum w:abstractNumId="42">
    <w:nsid w:val="72A3C416"/>
    <w:multiLevelType w:val="hybridMultilevel"/>
    <w:tmpl w:val="00000000"/>
    <w:lvl w:ilvl="0">
      <w:start w:val="1"/>
      <w:numFmt w:val="decimal"/>
      <w:lvlText w:val="（%1）"/>
      <w:lvlJc w:val="left"/>
      <w:pPr>
        <w:ind w:left="312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056"/>
      </w:pPr>
      <w:rPr>
        <w:rFonts w:hint="default"/>
      </w:rPr>
    </w:lvl>
  </w:abstractNum>
  <w:abstractNum w:abstractNumId="43">
    <w:nsid w:val="72A623F5"/>
    <w:multiLevelType w:val="hybridMultilevel"/>
    <w:tmpl w:val="00000000"/>
    <w:lvl w:ilvl="0">
      <w:start w:val="1"/>
      <w:numFmt w:val="decimal"/>
      <w:lvlText w:val="%1"/>
      <w:lvlJc w:val="left"/>
      <w:pPr>
        <w:ind w:left="189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"/>
      <w:lvlJc w:val="left"/>
      <w:pPr>
        <w:ind w:left="216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622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630"/>
      </w:pPr>
      <w:rPr>
        <w:rFonts w:hint="default"/>
      </w:rPr>
    </w:lvl>
  </w:abstractNum>
  <w:abstractNum w:abstractNumId="44">
    <w:nsid w:val="7691FA3D"/>
    <w:multiLevelType w:val="hybridMultilevel"/>
    <w:tmpl w:val="00000000"/>
    <w:lvl w:ilvl="0">
      <w:start w:val="1"/>
      <w:numFmt w:val="decimal"/>
      <w:lvlText w:val="%1."/>
      <w:lvlJc w:val="left"/>
      <w:pPr>
        <w:ind w:left="216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7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630"/>
      </w:pPr>
      <w:rPr>
        <w:rFonts w:hint="default"/>
      </w:rPr>
    </w:lvl>
  </w:abstractNum>
  <w:abstractNum w:abstractNumId="45">
    <w:nsid w:val="76DC050C"/>
    <w:multiLevelType w:val="hybridMultilevel"/>
    <w:tmpl w:val="00000000"/>
    <w:lvl w:ilvl="0">
      <w:start w:val="3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46">
    <w:nsid w:val="7985E7AF"/>
    <w:multiLevelType w:val="hybridMultilevel"/>
    <w:tmpl w:val="00000000"/>
    <w:lvl w:ilvl="0">
      <w:start w:val="4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abstractNum w:abstractNumId="47">
    <w:nsid w:val="7F2FF267"/>
    <w:multiLevelType w:val="hybridMultilevel"/>
    <w:tmpl w:val="00000000"/>
    <w:lvl w:ilvl="0">
      <w:start w:val="1"/>
      <w:numFmt w:val="decimal"/>
      <w:lvlText w:val="%1）"/>
      <w:lvlJc w:val="left"/>
      <w:pPr>
        <w:ind w:left="273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3" w:hanging="635"/>
      </w:pPr>
      <w:rPr>
        <w:rFonts w:hint="default"/>
      </w:rPr>
    </w:lvl>
  </w:abstractNum>
  <w:abstractNum w:abstractNumId="48">
    <w:nsid w:val="7FFA2F3C"/>
    <w:multiLevelType w:val="hybridMultilevel"/>
    <w:tmpl w:val="00000000"/>
    <w:lvl w:ilvl="0">
      <w:start w:val="71"/>
      <w:numFmt w:val="decimal"/>
      <w:lvlText w:val="%1."/>
      <w:lvlJc w:val="left"/>
      <w:pPr>
        <w:ind w:left="2053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7" w:hanging="635"/>
      </w:pPr>
      <w:rPr>
        <w:rFonts w:hint="default"/>
      </w:rPr>
    </w:lvl>
  </w:abstractNum>
  <w:num w:numId="1">
    <w:abstractNumId w:val="28"/>
  </w:num>
  <w:num w:numId="2">
    <w:abstractNumId w:val="16"/>
  </w:num>
  <w:num w:numId="3">
    <w:abstractNumId w:val="48"/>
  </w:num>
  <w:num w:numId="4">
    <w:abstractNumId w:val="40"/>
  </w:num>
  <w:num w:numId="5">
    <w:abstractNumId w:val="7"/>
  </w:num>
  <w:num w:numId="6">
    <w:abstractNumId w:val="4"/>
  </w:num>
  <w:num w:numId="7">
    <w:abstractNumId w:val="12"/>
  </w:num>
  <w:num w:numId="8">
    <w:abstractNumId w:val="14"/>
  </w:num>
  <w:num w:numId="9">
    <w:abstractNumId w:val="9"/>
  </w:num>
  <w:num w:numId="10">
    <w:abstractNumId w:val="15"/>
  </w:num>
  <w:num w:numId="11">
    <w:abstractNumId w:val="17"/>
  </w:num>
  <w:num w:numId="12">
    <w:abstractNumId w:val="31"/>
  </w:num>
  <w:num w:numId="13">
    <w:abstractNumId w:val="6"/>
  </w:num>
  <w:num w:numId="14">
    <w:abstractNumId w:val="27"/>
  </w:num>
  <w:num w:numId="15">
    <w:abstractNumId w:val="26"/>
  </w:num>
  <w:num w:numId="16">
    <w:abstractNumId w:val="0"/>
  </w:num>
  <w:num w:numId="17">
    <w:abstractNumId w:val="10"/>
  </w:num>
  <w:num w:numId="18">
    <w:abstractNumId w:val="22"/>
  </w:num>
  <w:num w:numId="19">
    <w:abstractNumId w:val="23"/>
  </w:num>
  <w:num w:numId="20">
    <w:abstractNumId w:val="34"/>
  </w:num>
  <w:num w:numId="21">
    <w:abstractNumId w:val="8"/>
  </w:num>
  <w:num w:numId="22">
    <w:abstractNumId w:val="46"/>
  </w:num>
  <w:num w:numId="23">
    <w:abstractNumId w:val="45"/>
  </w:num>
  <w:num w:numId="24">
    <w:abstractNumId w:val="37"/>
  </w:num>
  <w:num w:numId="25">
    <w:abstractNumId w:val="24"/>
  </w:num>
  <w:num w:numId="26">
    <w:abstractNumId w:val="2"/>
  </w:num>
  <w:num w:numId="27">
    <w:abstractNumId w:val="29"/>
  </w:num>
  <w:num w:numId="28">
    <w:abstractNumId w:val="44"/>
  </w:num>
  <w:num w:numId="29">
    <w:abstractNumId w:val="38"/>
  </w:num>
  <w:num w:numId="30">
    <w:abstractNumId w:val="30"/>
  </w:num>
  <w:num w:numId="31">
    <w:abstractNumId w:val="43"/>
  </w:num>
  <w:num w:numId="32">
    <w:abstractNumId w:val="32"/>
  </w:num>
  <w:num w:numId="33">
    <w:abstractNumId w:val="13"/>
  </w:num>
  <w:num w:numId="34">
    <w:abstractNumId w:val="25"/>
  </w:num>
  <w:num w:numId="35">
    <w:abstractNumId w:val="47"/>
  </w:num>
  <w:num w:numId="36">
    <w:abstractNumId w:val="33"/>
  </w:num>
  <w:num w:numId="37">
    <w:abstractNumId w:val="39"/>
  </w:num>
  <w:num w:numId="38">
    <w:abstractNumId w:val="21"/>
  </w:num>
  <w:num w:numId="39">
    <w:abstractNumId w:val="19"/>
  </w:num>
  <w:num w:numId="40">
    <w:abstractNumId w:val="18"/>
  </w:num>
  <w:num w:numId="41">
    <w:abstractNumId w:val="35"/>
  </w:num>
  <w:num w:numId="42">
    <w:abstractNumId w:val="20"/>
  </w:num>
  <w:num w:numId="43">
    <w:abstractNumId w:val="41"/>
  </w:num>
  <w:num w:numId="44">
    <w:abstractNumId w:val="5"/>
  </w:num>
  <w:num w:numId="45">
    <w:abstractNumId w:val="11"/>
  </w:num>
  <w:num w:numId="46">
    <w:abstractNumId w:val="1"/>
  </w:num>
  <w:num w:numId="47">
    <w:abstractNumId w:val="3"/>
  </w:num>
  <w:num w:numId="48">
    <w:abstractNumId w:val="36"/>
  </w:num>
  <w:num w:numId="49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260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053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06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yperlink" Target="https://d.book118.com/898113034070006043" TargetMode="Externa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2024-02-21T19:12:57Z</dcterms:created>
  <dcterms:modified xsi:type="dcterms:W3CDTF">2024-02-21T19:12:57Z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2024-02-21T00:00:00Z</vt:filetime>
  </property>
</Properties>
</file>