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脱硝催化剂相关行业公司成立方案及可行性研究报告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_Toc15751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_Toc10564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_Toc19865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(一)、脱硝催化剂项目选址原则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_Toc9684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2" w:history="1">
        <w:r>
          <w:rPr>
            <w:rFonts w:ascii="仿宋" w:eastAsia="仿宋" w:hAnsi="仿宋" w:cs="仿宋" w:hint="eastAsia"/>
            <w:lang w:eastAsia="zh-CN"/>
          </w:rPr>
          <w:t>(五)、脱硝催化剂项目选址综合评价</w:t>
        </w:r>
        <w:r>
          <w:tab/>
        </w:r>
        <w:r>
          <w:fldChar w:fldCharType="begin"/>
        </w:r>
        <w:r>
          <w:instrText xml:space="preserve"> PAGEREF _Toc11932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_Toc5816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(一)、脱硝催化剂项目背景分析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(二)、脱硝催化剂项目建设必要性分析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七、脱硝催化剂项目经济效益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5" w:history="1">
        <w:r>
          <w:rPr>
            <w:rFonts w:ascii="仿宋" w:eastAsia="仿宋" w:hAnsi="仿宋" w:cs="仿宋" w:hint="eastAsia"/>
            <w:lang w:eastAsia="zh-CN"/>
          </w:rPr>
          <w:t>(三)、脱硝催化剂项目盈利能力分析</w:t>
        </w:r>
        <w:r>
          <w:tab/>
        </w:r>
        <w:r>
          <w:fldChar w:fldCharType="begin"/>
        </w:r>
        <w:r>
          <w:instrText xml:space="preserve"> PAGEREF _Toc10545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_Toc30930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(一)、脱硝催化剂项目进度安排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(二)、脱硝催化剂项目实施保障措施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_Toc9961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8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_Toc8280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_Toc15778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_Toc32322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_Toc32246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_Toc25134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_Toc19724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_Toc24167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6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6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34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https://d.book118.com/898136060053006037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136060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2024-02-04T07:19:00Z</dcterms:created>
  <dcterms:modified xsi:type="dcterms:W3CDTF">2024-02-04T07:19:29Z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40FC4A5689954E10B7D304AA87823DD9_11</vt:lpwstr>
  </property>
  <property fmtid="{D5CDD505-2E9C-101B-9397-08002B2CF9AE}" pid="3" name="KSOProductBuildVer">
    <vt:lpwstr>2052-12.1.0.16250</vt:lpwstr>
  </property>
</Properties>
</file>