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b/>
          <w:bCs/>
          <w:sz w:val="52"/>
          <w:szCs w:val="52"/>
        </w:rPr>
      </w:pPr>
    </w:p>
    <w:p>
      <w:pPr>
        <w:jc w:val="center"/>
        <w:rPr>
          <w:rFonts w:ascii="宋体" w:eastAsia="宋体" w:hAnsi="宋体" w:cs="宋体"/>
          <w:sz w:val="52"/>
          <w:szCs w:val="52"/>
        </w:rPr>
      </w:pPr>
      <w:r>
        <w:rPr>
          <w:rFonts w:ascii="宋体" w:eastAsia="宋体" w:hAnsi="宋体" w:cs="宋体" w:hint="eastAsia"/>
          <w:b/>
          <w:bCs/>
          <w:sz w:val="52"/>
          <w:szCs w:val="52"/>
        </w:rPr>
        <w:t>食 品 安 全 地 方 标 准</w:t>
      </w:r>
    </w:p>
    <w:p>
      <w:pPr>
        <w:spacing w:line="220" w:lineRule="exact"/>
        <w:jc w:val="center"/>
        <w:rPr>
          <w:rFonts w:ascii="宋体" w:eastAsia="宋体" w:hAnsi="宋体" w:cs="宋体"/>
          <w:b/>
          <w:bCs/>
          <w:sz w:val="48"/>
          <w:szCs w:val="48"/>
        </w:rPr>
      </w:pPr>
      <w:r>
        <w:rPr>
          <w:rFonts w:ascii="宋体" w:eastAsia="宋体" w:hAnsi="宋体" w:cs="宋体" w:hint="eastAsia"/>
          <w:b/>
          <w:bCs/>
          <w:sz w:val="48"/>
          <w:szCs w:val="48"/>
        </w:rPr>
        <w:t xml:space="preserve"> </w:t>
      </w:r>
    </w:p>
    <w:p>
      <w:pPr>
        <w:jc w:val="center"/>
        <w:rPr>
          <w:rFonts w:ascii="宋体" w:eastAsia="宋体" w:hAnsi="宋体" w:cs="宋体"/>
          <w:b/>
          <w:bCs/>
          <w:sz w:val="52"/>
          <w:szCs w:val="52"/>
        </w:rPr>
      </w:pPr>
      <w:r>
        <w:rPr>
          <w:rFonts w:ascii="宋体" w:eastAsia="宋体" w:hAnsi="宋体" w:cs="宋体" w:hint="eastAsia"/>
          <w:b/>
          <w:bCs/>
          <w:sz w:val="52"/>
          <w:szCs w:val="52"/>
        </w:rPr>
        <w:t>折耳根（鱼腥草）</w:t>
      </w:r>
    </w:p>
    <w:p>
      <w:pPr>
        <w:widowControl/>
        <w:kinsoku w:val="0"/>
        <w:autoSpaceDE w:val="0"/>
        <w:autoSpaceDN w:val="0"/>
        <w:adjustRightInd w:val="0"/>
        <w:snapToGrid w:val="0"/>
        <w:spacing w:line="360" w:lineRule="auto"/>
        <w:jc w:val="center"/>
        <w:textAlignment w:val="baseline"/>
        <w:rPr>
          <w:rFonts w:ascii="宋体" w:eastAsia="宋体" w:hAnsi="宋体" w:cs="宋体"/>
          <w:b/>
          <w:bCs/>
          <w:snapToGrid w:val="0"/>
          <w:color w:val="000000"/>
          <w:kern w:val="0"/>
          <w:sz w:val="52"/>
          <w:szCs w:val="52"/>
        </w:rPr>
      </w:pPr>
    </w:p>
    <w:p>
      <w:pPr>
        <w:widowControl/>
        <w:kinsoku w:val="0"/>
        <w:autoSpaceDE w:val="0"/>
        <w:autoSpaceDN w:val="0"/>
        <w:adjustRightInd w:val="0"/>
        <w:snapToGrid w:val="0"/>
        <w:spacing w:line="360" w:lineRule="auto"/>
        <w:jc w:val="center"/>
        <w:textAlignment w:val="baseline"/>
        <w:rPr>
          <w:rFonts w:ascii="宋体" w:eastAsia="宋体" w:hAnsi="宋体" w:cs="宋体"/>
          <w:snapToGrid w:val="0"/>
          <w:color w:val="000000"/>
          <w:kern w:val="0"/>
          <w:sz w:val="52"/>
          <w:szCs w:val="52"/>
        </w:rPr>
      </w:pPr>
      <w:r>
        <w:rPr>
          <w:rFonts w:ascii="宋体" w:eastAsia="宋体" w:hAnsi="宋体" w:cs="宋体" w:hint="eastAsia"/>
          <w:b/>
          <w:bCs/>
          <w:snapToGrid w:val="0"/>
          <w:color w:val="000000"/>
          <w:kern w:val="0"/>
          <w:sz w:val="52"/>
          <w:szCs w:val="52"/>
        </w:rPr>
        <w:t>编</w:t>
      </w:r>
    </w:p>
    <w:p>
      <w:pPr>
        <w:widowControl/>
        <w:kinsoku w:val="0"/>
        <w:autoSpaceDE w:val="0"/>
        <w:autoSpaceDN w:val="0"/>
        <w:adjustRightInd w:val="0"/>
        <w:snapToGrid w:val="0"/>
        <w:spacing w:line="360" w:lineRule="auto"/>
        <w:jc w:val="center"/>
        <w:textAlignment w:val="baseline"/>
        <w:rPr>
          <w:rFonts w:ascii="宋体" w:eastAsia="宋体" w:hAnsi="宋体" w:cs="宋体"/>
          <w:snapToGrid w:val="0"/>
          <w:color w:val="000000"/>
          <w:kern w:val="0"/>
          <w:sz w:val="52"/>
          <w:szCs w:val="52"/>
        </w:rPr>
      </w:pPr>
      <w:r>
        <w:rPr>
          <w:rFonts w:ascii="宋体" w:eastAsia="宋体" w:hAnsi="宋体" w:cs="宋体" w:hint="eastAsia"/>
          <w:b/>
          <w:bCs/>
          <w:snapToGrid w:val="0"/>
          <w:color w:val="000000"/>
          <w:kern w:val="0"/>
          <w:sz w:val="52"/>
          <w:szCs w:val="52"/>
        </w:rPr>
        <w:t>制</w:t>
      </w:r>
    </w:p>
    <w:p>
      <w:pPr>
        <w:widowControl/>
        <w:kinsoku w:val="0"/>
        <w:autoSpaceDE w:val="0"/>
        <w:autoSpaceDN w:val="0"/>
        <w:adjustRightInd w:val="0"/>
        <w:snapToGrid w:val="0"/>
        <w:spacing w:line="360" w:lineRule="auto"/>
        <w:jc w:val="center"/>
        <w:textAlignment w:val="baseline"/>
        <w:rPr>
          <w:rFonts w:ascii="宋体" w:eastAsia="宋体" w:hAnsi="宋体" w:cs="宋体"/>
          <w:snapToGrid w:val="0"/>
          <w:color w:val="000000"/>
          <w:kern w:val="0"/>
          <w:sz w:val="52"/>
          <w:szCs w:val="52"/>
        </w:rPr>
      </w:pPr>
      <w:r>
        <w:rPr>
          <w:rFonts w:ascii="宋体" w:eastAsia="宋体" w:hAnsi="宋体" w:cs="宋体" w:hint="eastAsia"/>
          <w:b/>
          <w:bCs/>
          <w:snapToGrid w:val="0"/>
          <w:color w:val="000000"/>
          <w:kern w:val="0"/>
          <w:sz w:val="52"/>
          <w:szCs w:val="52"/>
        </w:rPr>
        <w:t>说</w:t>
      </w:r>
    </w:p>
    <w:p>
      <w:pPr>
        <w:spacing w:after="120" w:line="480" w:lineRule="auto"/>
        <w:jc w:val="center"/>
        <w:rPr>
          <w:rFonts w:ascii="宋体" w:eastAsia="宋体" w:hAnsi="宋体" w:cs="宋体"/>
          <w:b/>
          <w:bCs/>
          <w:snapToGrid w:val="0"/>
          <w:color w:val="000000"/>
          <w:kern w:val="0"/>
          <w:sz w:val="52"/>
          <w:szCs w:val="52"/>
        </w:rPr>
      </w:pPr>
      <w:r>
        <w:rPr>
          <w:rFonts w:ascii="宋体" w:eastAsia="宋体" w:hAnsi="宋体" w:cs="宋体" w:hint="eastAsia"/>
          <w:b/>
          <w:bCs/>
          <w:snapToGrid w:val="0"/>
          <w:color w:val="000000"/>
          <w:kern w:val="0"/>
          <w:sz w:val="52"/>
          <w:szCs w:val="52"/>
        </w:rPr>
        <w:t>明</w:t>
      </w:r>
    </w:p>
    <w:p>
      <w:pPr>
        <w:spacing w:after="120" w:line="480" w:lineRule="auto"/>
        <w:jc w:val="center"/>
        <w:rPr>
          <w:rFonts w:ascii="宋体" w:eastAsia="宋体" w:hAnsi="宋体" w:cs="宋体" w:hint="eastAsia"/>
          <w:b/>
          <w:bCs/>
          <w:kern w:val="0"/>
          <w:sz w:val="52"/>
          <w:szCs w:val="52"/>
        </w:rPr>
      </w:pPr>
    </w:p>
    <w:p>
      <w:pPr>
        <w:spacing w:after="120" w:line="480" w:lineRule="auto"/>
        <w:jc w:val="center"/>
        <w:rPr>
          <w:rFonts w:ascii="宋体" w:eastAsia="宋体" w:hAnsi="宋体" w:cs="宋体"/>
          <w:b/>
          <w:bCs/>
          <w:kern w:val="0"/>
          <w:sz w:val="52"/>
          <w:szCs w:val="52"/>
        </w:rPr>
      </w:pPr>
      <w:r>
        <w:rPr>
          <w:rFonts w:ascii="宋体" w:eastAsia="宋体" w:hAnsi="宋体" w:cs="宋体" w:hint="eastAsia"/>
          <w:b/>
          <w:bCs/>
          <w:kern w:val="0"/>
          <w:sz w:val="52"/>
          <w:szCs w:val="52"/>
        </w:rPr>
        <w:t>（征求意见稿）</w:t>
      </w:r>
    </w:p>
    <w:p>
      <w:pPr>
        <w:jc w:val="center"/>
        <w:rPr>
          <w:rFonts w:ascii="宋体" w:eastAsia="宋体" w:hAnsi="宋体" w:cs="宋体"/>
          <w:b/>
          <w:bCs/>
          <w:sz w:val="52"/>
          <w:szCs w:val="52"/>
        </w:rPr>
      </w:pPr>
    </w:p>
    <w:p>
      <w:pPr>
        <w:jc w:val="center"/>
        <w:rPr>
          <w:rFonts w:ascii="宋体" w:eastAsia="宋体" w:hAnsi="宋体" w:cs="宋体"/>
          <w:b/>
          <w:bCs/>
          <w:sz w:val="52"/>
          <w:szCs w:val="52"/>
        </w:rPr>
      </w:pPr>
    </w:p>
    <w:p>
      <w:pPr>
        <w:spacing w:after="120" w:line="480" w:lineRule="auto"/>
        <w:jc w:val="center"/>
        <w:rPr>
          <w:rFonts w:ascii="宋体" w:eastAsia="宋体" w:hAnsi="宋体" w:cs="宋体" w:hint="eastAsia"/>
          <w:b/>
          <w:bCs/>
          <w:kern w:val="0"/>
          <w:sz w:val="52"/>
          <w:szCs w:val="52"/>
        </w:rPr>
        <w:sectPr>
          <w:footerReference w:type="default" r:id="rId6"/>
          <w:pgSz w:w="11906" w:h="16838"/>
          <w:pgMar w:top="1417" w:right="1417" w:bottom="1417" w:left="1417" w:header="851" w:footer="992" w:gutter="0"/>
          <w:pgBorders>
            <w:top w:val="none" w:sz="0" w:space="0" w:color="auto"/>
            <w:left w:val="none" w:sz="0" w:space="0" w:color="auto"/>
            <w:bottom w:val="none" w:sz="0" w:space="0" w:color="auto"/>
            <w:right w:val="none" w:sz="0" w:space="0" w:color="auto"/>
          </w:pgBorders>
          <w:pgNumType w:fmt="decimal"/>
          <w:cols w:num="1" w:space="720"/>
          <w:docGrid w:type="lines" w:linePitch="312" w:charSpace="0"/>
        </w:sectPr>
      </w:pPr>
      <w:r>
        <w:rPr>
          <w:rFonts w:ascii="宋体" w:eastAsia="宋体" w:hAnsi="宋体" w:cs="宋体" w:hint="eastAsia"/>
          <w:b/>
          <w:bCs/>
          <w:kern w:val="0"/>
          <w:sz w:val="52"/>
          <w:szCs w:val="52"/>
        </w:rPr>
        <w:t>202</w:t>
      </w:r>
      <w:r>
        <w:rPr>
          <w:rFonts w:ascii="宋体" w:eastAsia="宋体" w:hAnsi="宋体" w:cs="宋体" w:hint="eastAsia"/>
          <w:b/>
          <w:bCs/>
          <w:kern w:val="0"/>
          <w:sz w:val="52"/>
          <w:szCs w:val="52"/>
          <w:lang w:val="en-US" w:eastAsia="zh-CN"/>
        </w:rPr>
        <w:t>4</w:t>
      </w:r>
      <w:r>
        <w:rPr>
          <w:rFonts w:ascii="宋体" w:eastAsia="宋体" w:hAnsi="宋体" w:cs="宋体" w:hint="eastAsia"/>
          <w:b/>
          <w:bCs/>
          <w:kern w:val="0"/>
          <w:sz w:val="52"/>
          <w:szCs w:val="52"/>
        </w:rPr>
        <w:t>年</w:t>
      </w:r>
      <w:r>
        <w:rPr>
          <w:rFonts w:ascii="宋体" w:eastAsia="宋体" w:hAnsi="宋体" w:cs="宋体" w:hint="eastAsia"/>
          <w:b/>
          <w:bCs/>
          <w:kern w:val="0"/>
          <w:sz w:val="52"/>
          <w:szCs w:val="52"/>
          <w:lang w:val="en-US" w:eastAsia="zh-CN"/>
        </w:rPr>
        <w:t>02</w:t>
      </w:r>
      <w:r>
        <w:rPr>
          <w:rFonts w:ascii="宋体" w:eastAsia="宋体" w:hAnsi="宋体" w:cs="宋体" w:hint="eastAsia"/>
          <w:b/>
          <w:bCs/>
          <w:kern w:val="0"/>
          <w:sz w:val="52"/>
          <w:szCs w:val="52"/>
        </w:rPr>
        <w:t>月</w:t>
      </w:r>
    </w:p>
    <w:p>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jc w:val="center"/>
        <w:textAlignment w:val="auto"/>
        <w:rPr>
          <w:rFonts w:ascii="Times New Roman" w:eastAsia="仿宋" w:hAnsi="Times New Roman" w:hint="default"/>
          <w:b/>
          <w:bCs/>
          <w:sz w:val="36"/>
          <w:szCs w:val="36"/>
        </w:rPr>
      </w:pPr>
      <w:bookmarkStart w:id="0" w:name="_GoBack"/>
      <w:bookmarkEnd w:id="0"/>
      <w:r>
        <w:rPr>
          <w:rFonts w:ascii="Times New Roman" w:eastAsia="仿宋" w:hAnsi="Times New Roman" w:cs="Times New Roman" w:hint="default"/>
          <w:b/>
          <w:bCs/>
          <w:sz w:val="36"/>
          <w:szCs w:val="36"/>
        </w:rPr>
        <w:t>《贵州省食品安全地方标准 折耳根（鱼腥草）》</w:t>
      </w:r>
    </w:p>
    <w:p>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jc w:val="center"/>
        <w:textAlignment w:val="auto"/>
        <w:rPr>
          <w:rFonts w:ascii="Times New Roman" w:eastAsia="仿宋" w:hAnsi="Times New Roman" w:hint="default"/>
          <w:b/>
          <w:bCs/>
          <w:color w:val="000000"/>
          <w:sz w:val="36"/>
          <w:szCs w:val="36"/>
        </w:rPr>
      </w:pPr>
      <w:r>
        <w:rPr>
          <w:rFonts w:ascii="Times New Roman" w:eastAsia="仿宋" w:hAnsi="Times New Roman" w:cs="Times New Roman" w:hint="default"/>
          <w:b/>
          <w:bCs/>
          <w:sz w:val="36"/>
          <w:szCs w:val="36"/>
        </w:rPr>
        <w:t>编制说明</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rPr>
      </w:pPr>
      <w:bookmarkStart w:id="1" w:name="_Toc23940"/>
      <w:bookmarkStart w:id="2" w:name="_Toc2956"/>
      <w:r>
        <w:rPr>
          <w:rFonts w:ascii="Times New Roman" w:eastAsia="仿宋" w:hAnsi="Times New Roman" w:cs="Times New Roman" w:hint="default"/>
          <w:b/>
          <w:bCs/>
          <w:sz w:val="30"/>
          <w:szCs w:val="30"/>
        </w:rPr>
        <w:t>一、项目立项背景及意义</w:t>
      </w:r>
      <w:bookmarkEnd w:id="1"/>
      <w:bookmarkEnd w:id="2"/>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rPr>
      </w:pPr>
      <w:bookmarkStart w:id="3" w:name="_Toc28827"/>
      <w:r>
        <w:rPr>
          <w:rFonts w:ascii="Times New Roman" w:eastAsia="仿宋" w:hAnsi="Times New Roman" w:cs="Times New Roman" w:hint="default"/>
          <w:sz w:val="28"/>
          <w:szCs w:val="28"/>
        </w:rPr>
        <w:t>（一）立项背景</w:t>
      </w:r>
      <w:bookmarkEnd w:id="3"/>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rPr>
        <w:t>1</w:t>
      </w:r>
      <w:r>
        <w:rPr>
          <w:rFonts w:ascii="Times New Roman" w:eastAsia="仿宋" w:hAnsi="Times New Roman" w:cs="Times New Roman" w:hint="default"/>
          <w:b/>
          <w:bCs/>
          <w:sz w:val="28"/>
          <w:szCs w:val="28"/>
          <w:lang w:eastAsia="zh-CN"/>
        </w:rPr>
        <w:t>、</w:t>
      </w:r>
      <w:r>
        <w:rPr>
          <w:rFonts w:ascii="Times New Roman" w:eastAsia="仿宋" w:hAnsi="Times New Roman" w:cs="Times New Roman" w:hint="default"/>
          <w:b/>
          <w:bCs/>
          <w:sz w:val="28"/>
          <w:szCs w:val="28"/>
          <w:lang w:val="en-US" w:eastAsia="zh-CN"/>
        </w:rPr>
        <w:t>折耳根属</w:t>
      </w:r>
      <w:r>
        <w:rPr>
          <w:rFonts w:ascii="Times New Roman" w:eastAsia="仿宋" w:hAnsi="Times New Roman" w:cs="Times New Roman" w:hint="default"/>
          <w:b/>
          <w:bCs/>
          <w:sz w:val="28"/>
          <w:szCs w:val="28"/>
        </w:rPr>
        <w:t>药食两用物质，</w:t>
      </w:r>
      <w:r>
        <w:rPr>
          <w:rFonts w:ascii="Times New Roman" w:eastAsia="仿宋" w:hAnsi="Times New Roman" w:cs="Times New Roman" w:hint="eastAsia"/>
          <w:b/>
          <w:bCs/>
          <w:sz w:val="28"/>
          <w:szCs w:val="28"/>
          <w:lang w:val="en-US" w:eastAsia="zh-CN"/>
        </w:rPr>
        <w:t>做食品原料使用时无合适可执行标准</w:t>
      </w:r>
      <w:r>
        <w:rPr>
          <w:rFonts w:ascii="Times New Roman" w:eastAsia="仿宋" w:hAnsi="Times New Roman" w:cs="Times New Roman" w:hint="default"/>
          <w:b/>
          <w:bCs/>
          <w:sz w:val="28"/>
          <w:szCs w:val="28"/>
          <w:lang w:eastAsia="zh-CN"/>
        </w:rPr>
        <w:t>。</w:t>
      </w:r>
    </w:p>
    <w:p>
      <w:pPr>
        <w:pStyle w:val="Foote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rPr>
          <w:rFonts w:ascii="Times New Roman" w:eastAsia="仿宋" w:hAnsi="Times New Roman" w:cs="Times New Roman" w:hint="default"/>
          <w:color w:val="000000"/>
          <w:sz w:val="24"/>
          <w:szCs w:val="24"/>
        </w:rPr>
      </w:pPr>
      <w:r>
        <w:rPr>
          <w:rFonts w:ascii="Times New Roman" w:eastAsia="仿宋" w:hAnsi="Times New Roman" w:cs="Times New Roman" w:hint="default"/>
          <w:color w:val="000000"/>
          <w:sz w:val="24"/>
          <w:szCs w:val="24"/>
        </w:rPr>
        <w:t>折耳根，</w:t>
      </w:r>
      <w:r>
        <w:rPr>
          <w:rFonts w:ascii="Times New Roman" w:eastAsia="仿宋" w:hAnsi="Times New Roman" w:cs="Times New Roman" w:hint="default"/>
          <w:sz w:val="24"/>
          <w:szCs w:val="24"/>
        </w:rPr>
        <w:t>又名狗贴耳、臭菜等，</w:t>
      </w:r>
      <w:r>
        <w:rPr>
          <w:rFonts w:ascii="Times New Roman" w:eastAsia="仿宋" w:hAnsi="Times New Roman" w:cs="Times New Roman" w:hint="eastAsia"/>
          <w:sz w:val="24"/>
          <w:szCs w:val="24"/>
          <w:lang w:val="en-US" w:eastAsia="zh-CN"/>
        </w:rPr>
        <w:t>为</w:t>
      </w:r>
      <w:r>
        <w:rPr>
          <w:rFonts w:ascii="Times New Roman" w:eastAsia="仿宋" w:hAnsi="Times New Roman" w:cs="Times New Roman" w:hint="default"/>
          <w:color w:val="000000"/>
          <w:sz w:val="24"/>
          <w:szCs w:val="24"/>
        </w:rPr>
        <w:t>三白草科植物蕺菜</w:t>
      </w:r>
      <w:r>
        <w:rPr>
          <w:rFonts w:ascii="Times New Roman" w:eastAsia="仿宋" w:hAnsi="Times New Roman" w:cs="Times New Roman" w:hint="default"/>
          <w:sz w:val="24"/>
          <w:szCs w:val="24"/>
        </w:rPr>
        <w:t>（</w:t>
      </w:r>
      <w:r>
        <w:rPr>
          <w:rFonts w:ascii="Times New Roman" w:eastAsia="仿宋" w:hAnsi="Times New Roman" w:cs="Times New Roman" w:hint="default"/>
          <w:i/>
          <w:iCs/>
          <w:sz w:val="24"/>
          <w:szCs w:val="24"/>
        </w:rPr>
        <w:t xml:space="preserve">Houttuynia cordata </w:t>
      </w:r>
      <w:r>
        <w:rPr>
          <w:rFonts w:ascii="Times New Roman" w:eastAsia="仿宋" w:hAnsi="Times New Roman" w:cs="Times New Roman" w:hint="default"/>
          <w:i w:val="0"/>
          <w:iCs w:val="0"/>
          <w:sz w:val="24"/>
          <w:szCs w:val="24"/>
        </w:rPr>
        <w:t>Thunb.</w:t>
      </w:r>
      <w:r>
        <w:rPr>
          <w:rFonts w:ascii="Times New Roman" w:eastAsia="仿宋" w:hAnsi="Times New Roman" w:cs="Times New Roman" w:hint="default"/>
          <w:sz w:val="24"/>
          <w:szCs w:val="24"/>
        </w:rPr>
        <w:t>）</w:t>
      </w:r>
      <w:r>
        <w:rPr>
          <w:rFonts w:ascii="Times New Roman" w:eastAsia="仿宋" w:hAnsi="Times New Roman" w:cs="Times New Roman" w:hint="default"/>
          <w:color w:val="000000"/>
          <w:sz w:val="24"/>
          <w:szCs w:val="24"/>
        </w:rPr>
        <w:t>的新鲜全草或干燥地上部分</w:t>
      </w:r>
      <w:r>
        <w:rPr>
          <w:rFonts w:ascii="Times New Roman" w:eastAsia="仿宋" w:hAnsi="Times New Roman" w:cs="Times New Roman" w:hint="default"/>
          <w:sz w:val="24"/>
          <w:szCs w:val="24"/>
        </w:rPr>
        <w:t>，因搓碎后有鱼腥气味</w:t>
      </w:r>
      <w:r>
        <w:rPr>
          <w:rFonts w:ascii="Times New Roman" w:eastAsia="仿宋" w:hAnsi="Times New Roman" w:cs="Times New Roman" w:hint="eastAsia"/>
          <w:sz w:val="24"/>
          <w:szCs w:val="24"/>
          <w:lang w:val="en-US" w:eastAsia="zh-CN"/>
        </w:rPr>
        <w:t>又叫</w:t>
      </w:r>
      <w:r>
        <w:rPr>
          <w:rFonts w:ascii="Times New Roman" w:eastAsia="仿宋" w:hAnsi="Times New Roman" w:cs="Times New Roman" w:hint="default"/>
          <w:sz w:val="24"/>
          <w:szCs w:val="24"/>
        </w:rPr>
        <w:t>“鱼腥草”。鱼腥草</w:t>
      </w:r>
      <w:r>
        <w:rPr>
          <w:rFonts w:ascii="Times New Roman" w:eastAsia="仿宋" w:hAnsi="Times New Roman" w:cs="Times New Roman" w:hint="default"/>
          <w:sz w:val="24"/>
          <w:szCs w:val="24"/>
          <w:lang w:val="en-US" w:eastAsia="zh-CN"/>
        </w:rPr>
        <w:t>被收录在</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default"/>
          <w:color w:val="000000"/>
          <w:sz w:val="24"/>
          <w:szCs w:val="24"/>
        </w:rPr>
        <w:t>中国药典</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default"/>
          <w:color w:val="000000"/>
          <w:sz w:val="24"/>
          <w:szCs w:val="24"/>
        </w:rPr>
        <w:t>2020版一部药材和饮片</w:t>
      </w:r>
      <w:r>
        <w:rPr>
          <w:rFonts w:ascii="Times New Roman" w:eastAsia="仿宋" w:hAnsi="Times New Roman" w:cs="Times New Roman" w:hint="default"/>
          <w:color w:val="000000"/>
          <w:sz w:val="24"/>
          <w:szCs w:val="24"/>
          <w:lang w:val="en-US" w:eastAsia="zh-CN"/>
        </w:rPr>
        <w:t>中，</w:t>
      </w:r>
      <w:r>
        <w:rPr>
          <w:rFonts w:ascii="Times New Roman" w:eastAsia="仿宋" w:hAnsi="Times New Roman" w:cs="Times New Roman" w:hint="default"/>
          <w:color w:val="000000"/>
          <w:sz w:val="24"/>
          <w:szCs w:val="24"/>
        </w:rPr>
        <w:t>鲜品全年均可采割；干品夏季茎叶茂盛花穗多时釆割，除去杂质，</w:t>
      </w:r>
      <w:r>
        <w:rPr>
          <w:rFonts w:ascii="Times New Roman" w:eastAsia="仿宋" w:hAnsi="Times New Roman" w:cs="Times New Roman" w:hint="default"/>
          <w:color w:val="000000"/>
          <w:sz w:val="24"/>
          <w:szCs w:val="24"/>
          <w:lang w:val="en-US" w:eastAsia="zh-CN"/>
        </w:rPr>
        <w:t>清洗，</w:t>
      </w:r>
      <w:r>
        <w:rPr>
          <w:rFonts w:ascii="Times New Roman" w:eastAsia="仿宋" w:hAnsi="Times New Roman" w:cs="Times New Roman" w:hint="default"/>
          <w:color w:val="000000"/>
          <w:sz w:val="24"/>
          <w:szCs w:val="24"/>
        </w:rPr>
        <w:t>晒干</w:t>
      </w:r>
      <w:r>
        <w:rPr>
          <w:rFonts w:ascii="Times New Roman" w:eastAsia="仿宋" w:hAnsi="Times New Roman" w:cs="Times New Roman" w:hint="eastAsia"/>
          <w:color w:val="000000"/>
          <w:sz w:val="24"/>
          <w:szCs w:val="24"/>
          <w:lang w:eastAsia="zh-CN"/>
        </w:rPr>
        <w:t>，</w:t>
      </w:r>
      <w:r>
        <w:rPr>
          <w:rFonts w:ascii="Times New Roman" w:eastAsia="仿宋" w:hAnsi="Times New Roman" w:cs="Times New Roman" w:hint="default"/>
          <w:color w:val="000000"/>
          <w:sz w:val="24"/>
          <w:szCs w:val="24"/>
          <w:lang w:val="en-US" w:eastAsia="zh-CN"/>
        </w:rPr>
        <w:t>能</w:t>
      </w:r>
      <w:r>
        <w:rPr>
          <w:rFonts w:ascii="Times New Roman" w:eastAsia="仿宋" w:hAnsi="Times New Roman" w:cs="Times New Roman" w:hint="default"/>
          <w:color w:val="000000"/>
          <w:sz w:val="24"/>
          <w:szCs w:val="24"/>
        </w:rPr>
        <w:t>清热解毒，消痈排脓，利尿通淋</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用于肺痈吐脓，痰热喘咳，热痢，热淋，痈肿疮毒。</w:t>
      </w:r>
      <w:r>
        <w:rPr>
          <w:rFonts w:ascii="Times New Roman" w:eastAsia="仿宋" w:hAnsi="Times New Roman" w:cs="Times New Roman" w:hint="eastAsia"/>
          <w:color w:val="000000"/>
          <w:sz w:val="24"/>
          <w:szCs w:val="24"/>
          <w:lang w:val="en-US" w:eastAsia="zh-CN"/>
        </w:rPr>
        <w:t>按照</w:t>
      </w:r>
      <w:r>
        <w:rPr>
          <w:rFonts w:ascii="Times New Roman" w:eastAsia="仿宋" w:hAnsi="Times New Roman" w:cs="Times New Roman" w:hint="default"/>
          <w:color w:val="000000"/>
          <w:sz w:val="24"/>
          <w:szCs w:val="24"/>
        </w:rPr>
        <w:t>《卫生部关于进一步规范保健食品原料管理的通知》(卫法监发[2002]51号)，</w:t>
      </w:r>
      <w:r>
        <w:rPr>
          <w:rFonts w:ascii="Times New Roman" w:eastAsia="仿宋" w:hAnsi="Times New Roman" w:cs="Times New Roman" w:hint="default"/>
          <w:color w:val="000000"/>
          <w:sz w:val="24"/>
          <w:szCs w:val="24"/>
          <w:lang w:val="en-US" w:eastAsia="zh-CN"/>
        </w:rPr>
        <w:t>鱼腥草收载于</w:t>
      </w:r>
      <w:r>
        <w:rPr>
          <w:rFonts w:ascii="Times New Roman" w:eastAsia="仿宋" w:hAnsi="Times New Roman" w:cs="Times New Roman" w:hint="default"/>
          <w:color w:val="000000"/>
          <w:sz w:val="24"/>
          <w:szCs w:val="24"/>
        </w:rPr>
        <w:t>食药物质目录名单，</w:t>
      </w:r>
      <w:r>
        <w:rPr>
          <w:rFonts w:ascii="Times New Roman" w:eastAsia="仿宋" w:hAnsi="Times New Roman" w:cs="Times New Roman" w:hint="default"/>
          <w:color w:val="000000"/>
          <w:sz w:val="24"/>
          <w:szCs w:val="24"/>
          <w:lang w:val="en-US" w:eastAsia="zh-CN"/>
        </w:rPr>
        <w:t>按规定应按照食药两用物质管理，</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作为食品或食品原料</w:t>
      </w:r>
      <w:r>
        <w:rPr>
          <w:rFonts w:ascii="Times New Roman" w:eastAsia="仿宋" w:hAnsi="Times New Roman" w:cs="Times New Roman" w:hint="default"/>
          <w:color w:val="000000"/>
          <w:sz w:val="24"/>
          <w:szCs w:val="24"/>
          <w:lang w:val="en-US" w:eastAsia="zh-CN"/>
        </w:rPr>
        <w:t>使用具有</w:t>
      </w:r>
      <w:r>
        <w:rPr>
          <w:rFonts w:ascii="Times New Roman" w:eastAsia="仿宋" w:hAnsi="Times New Roman" w:cs="Times New Roman" w:hint="default"/>
          <w:color w:val="000000"/>
          <w:sz w:val="24"/>
          <w:szCs w:val="24"/>
        </w:rPr>
        <w:t>合法身份</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折耳根做食品或食品原料使用时多使用鲜品，但《</w:t>
      </w:r>
      <w:r>
        <w:rPr>
          <w:rFonts w:ascii="Times New Roman" w:eastAsia="仿宋" w:hAnsi="Times New Roman" w:cs="Times New Roman" w:hint="default"/>
          <w:color w:val="000000"/>
          <w:sz w:val="24"/>
          <w:szCs w:val="24"/>
        </w:rPr>
        <w:t>中国药典</w:t>
      </w:r>
      <w:r>
        <w:rPr>
          <w:rFonts w:ascii="Times New Roman" w:eastAsia="仿宋" w:hAnsi="Times New Roman" w:cs="Times New Roman" w:hint="default"/>
          <w:color w:val="000000"/>
          <w:sz w:val="24"/>
          <w:szCs w:val="24"/>
          <w:lang w:val="en-US" w:eastAsia="zh-CN"/>
        </w:rPr>
        <w:t>》未对“折耳根”鲜品提出安全指标限量要求，《食品安全国家标准 食品中污染物限量》（GB2762-2022）又未能覆盖鱼腥草类别，导致企业在以折耳根为原料生产加工食品时原料无合适可参照执行标准</w:t>
      </w:r>
      <w:r>
        <w:rPr>
          <w:rFonts w:ascii="Times New Roman" w:eastAsia="仿宋" w:hAnsi="Times New Roman" w:cs="Times New Roman" w:hint="default"/>
          <w:color w:val="000000"/>
          <w:sz w:val="24"/>
          <w:szCs w:val="24"/>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rPr>
        <w:t>2、</w:t>
      </w:r>
      <w:r>
        <w:rPr>
          <w:rFonts w:ascii="Times New Roman" w:eastAsia="仿宋" w:hAnsi="Times New Roman" w:cs="Times New Roman" w:hint="default"/>
          <w:b/>
          <w:bCs/>
          <w:sz w:val="28"/>
          <w:szCs w:val="28"/>
          <w:lang w:val="en-US" w:eastAsia="zh-CN"/>
        </w:rPr>
        <w:t>折耳根</w:t>
      </w:r>
      <w:r>
        <w:rPr>
          <w:rFonts w:ascii="Times New Roman" w:eastAsia="仿宋" w:hAnsi="Times New Roman" w:cs="Times New Roman" w:hint="eastAsia"/>
          <w:b/>
          <w:bCs/>
          <w:sz w:val="28"/>
          <w:szCs w:val="28"/>
          <w:lang w:val="en-US" w:eastAsia="zh-CN"/>
        </w:rPr>
        <w:t>具食品属性，</w:t>
      </w:r>
      <w:r>
        <w:rPr>
          <w:rFonts w:ascii="Times New Roman" w:eastAsia="仿宋" w:hAnsi="Times New Roman" w:cs="Times New Roman" w:hint="default"/>
          <w:b/>
          <w:bCs/>
          <w:sz w:val="28"/>
          <w:szCs w:val="28"/>
        </w:rPr>
        <w:t>食用历史悠久</w:t>
      </w:r>
      <w:r>
        <w:rPr>
          <w:rFonts w:ascii="Times New Roman" w:eastAsia="仿宋" w:hAnsi="Times New Roman" w:cs="Times New Roman" w:hint="default"/>
          <w:b/>
          <w:bCs/>
          <w:sz w:val="28"/>
          <w:szCs w:val="28"/>
          <w:lang w:eastAsia="zh-CN"/>
        </w:rPr>
        <w:t>、</w:t>
      </w:r>
      <w:r>
        <w:rPr>
          <w:rFonts w:ascii="Times New Roman" w:eastAsia="仿宋" w:hAnsi="Times New Roman" w:cs="Times New Roman" w:hint="default"/>
          <w:b/>
          <w:bCs/>
          <w:sz w:val="28"/>
          <w:szCs w:val="28"/>
          <w:lang w:val="en-US" w:eastAsia="zh-CN"/>
        </w:rPr>
        <w:t>方式多样</w:t>
      </w:r>
      <w:r>
        <w:rPr>
          <w:rFonts w:ascii="Times New Roman" w:eastAsia="仿宋" w:hAnsi="Times New Roman" w:cs="Times New Roman" w:hint="eastAsia"/>
          <w:b/>
          <w:bCs/>
          <w:sz w:val="28"/>
          <w:szCs w:val="28"/>
          <w:lang w:val="en-US" w:eastAsia="zh-CN"/>
        </w:rPr>
        <w:t>，具</w:t>
      </w:r>
      <w:r>
        <w:rPr>
          <w:rFonts w:ascii="Times New Roman" w:eastAsia="仿宋" w:hAnsi="Times New Roman" w:cs="Times New Roman" w:hint="default"/>
          <w:b/>
          <w:bCs/>
          <w:sz w:val="28"/>
          <w:szCs w:val="28"/>
          <w:lang w:val="en-US" w:eastAsia="zh-CN"/>
        </w:rPr>
        <w:t>广泛食用</w:t>
      </w:r>
      <w:r>
        <w:rPr>
          <w:rFonts w:ascii="Times New Roman" w:eastAsia="仿宋" w:hAnsi="Times New Roman" w:cs="Times New Roman" w:hint="eastAsia"/>
          <w:b/>
          <w:bCs/>
          <w:sz w:val="28"/>
          <w:szCs w:val="28"/>
          <w:lang w:val="en-US" w:eastAsia="zh-CN"/>
        </w:rPr>
        <w:t>基础</w:t>
      </w:r>
      <w:r>
        <w:rPr>
          <w:rFonts w:ascii="Times New Roman" w:eastAsia="仿宋" w:hAnsi="Times New Roman" w:cs="Times New Roman" w:hint="default"/>
          <w:b/>
          <w:bCs/>
          <w:sz w:val="28"/>
          <w:szCs w:val="28"/>
          <w:lang w:val="en-US" w:eastAsia="zh-CN"/>
        </w:rPr>
        <w:t>。</w:t>
      </w:r>
    </w:p>
    <w:p>
      <w:pPr>
        <w:pStyle w:val="NormalWeb"/>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textAlignment w:val="auto"/>
        <w:rPr>
          <w:rFonts w:ascii="Times New Roman" w:eastAsia="仿宋" w:hAnsi="Times New Roman" w:cs="Times New Roman" w:hint="default"/>
          <w:color w:val="000000"/>
          <w:szCs w:val="24"/>
          <w:lang w:val="en-US" w:eastAsia="zh-CN"/>
        </w:rPr>
        <w:sectPr>
          <w:footerReference w:type="default" r:id="rId7"/>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
          <w:cols w:num="1" w:space="720"/>
          <w:docGrid w:type="lines" w:linePitch="312" w:charSpace="0"/>
        </w:sectPr>
      </w:pP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鲜品富含蛋白质、脂肪、碳水化合物、维生素C、矿物质等多种营养成分</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szCs w:val="24"/>
        </w:rPr>
        <w:t>尤其维生素含量较高，是一种营养价值极高的蔬菜</w:t>
      </w:r>
      <w:r>
        <w:rPr>
          <w:rFonts w:ascii="Times New Roman" w:eastAsia="仿宋" w:hAnsi="Times New Roman" w:cs="Times New Roman" w:hint="eastAsia"/>
          <w:szCs w:val="24"/>
          <w:lang w:eastAsia="zh-CN"/>
        </w:rPr>
        <w:t>，</w:t>
      </w:r>
      <w:r>
        <w:rPr>
          <w:rFonts w:ascii="Times New Roman" w:eastAsia="仿宋" w:hAnsi="Times New Roman" w:cs="Times New Roman" w:hint="eastAsia"/>
          <w:szCs w:val="24"/>
          <w:lang w:val="en-US" w:eastAsia="zh-CN"/>
        </w:rPr>
        <w:t>具食品属性</w:t>
      </w:r>
      <w:r>
        <w:rPr>
          <w:rFonts w:ascii="Times New Roman" w:eastAsia="仿宋" w:hAnsi="Times New Roman" w:cs="Times New Roman" w:hint="default"/>
          <w:szCs w:val="24"/>
        </w:rPr>
        <w:t>。</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在贵州、四川、云南等西南省份作为蔬菜</w:t>
      </w:r>
      <w:r>
        <w:rPr>
          <w:rFonts w:ascii="Times New Roman" w:eastAsia="仿宋" w:hAnsi="Times New Roman" w:cs="Times New Roman" w:hint="default"/>
          <w:color w:val="000000"/>
          <w:sz w:val="24"/>
          <w:szCs w:val="24"/>
          <w:lang w:val="en-US" w:eastAsia="zh-CN"/>
        </w:rPr>
        <w:t>食用</w:t>
      </w:r>
      <w:r>
        <w:rPr>
          <w:rFonts w:ascii="Times New Roman" w:eastAsia="仿宋" w:hAnsi="Times New Roman" w:cs="Times New Roman" w:hint="eastAsia"/>
          <w:color w:val="000000"/>
          <w:sz w:val="24"/>
          <w:szCs w:val="24"/>
          <w:lang w:val="en-US" w:eastAsia="zh-CN"/>
        </w:rPr>
        <w:t>极</w:t>
      </w:r>
      <w:r>
        <w:rPr>
          <w:rFonts w:ascii="Times New Roman" w:eastAsia="仿宋" w:hAnsi="Times New Roman" w:cs="Times New Roman" w:hint="default"/>
          <w:color w:val="000000"/>
          <w:sz w:val="24"/>
          <w:szCs w:val="24"/>
        </w:rPr>
        <w:t>具</w:t>
      </w:r>
      <w:r>
        <w:rPr>
          <w:rFonts w:ascii="Times New Roman" w:eastAsia="仿宋" w:hAnsi="Times New Roman" w:cs="Times New Roman" w:hint="eastAsia"/>
          <w:color w:val="000000"/>
          <w:sz w:val="24"/>
          <w:szCs w:val="24"/>
          <w:lang w:val="en-US" w:eastAsia="zh-CN"/>
        </w:rPr>
        <w:t>地方特色并</w:t>
      </w:r>
      <w:r>
        <w:rPr>
          <w:rFonts w:ascii="Times New Roman" w:eastAsia="仿宋" w:hAnsi="Times New Roman" w:cs="Times New Roman" w:hint="default"/>
          <w:color w:val="000000"/>
          <w:sz w:val="24"/>
          <w:szCs w:val="24"/>
        </w:rPr>
        <w:t>有悠久</w:t>
      </w:r>
      <w:r>
        <w:rPr>
          <w:rFonts w:ascii="Times New Roman" w:eastAsia="仿宋" w:hAnsi="Times New Roman" w:cs="Times New Roman" w:hint="default"/>
          <w:color w:val="000000"/>
          <w:sz w:val="24"/>
          <w:szCs w:val="24"/>
          <w:lang w:val="en-US" w:eastAsia="zh-CN"/>
        </w:rPr>
        <w:t>食用</w:t>
      </w:r>
      <w:r>
        <w:rPr>
          <w:rFonts w:ascii="Times New Roman" w:eastAsia="仿宋" w:hAnsi="Times New Roman" w:cs="Times New Roman" w:hint="default"/>
          <w:color w:val="000000"/>
          <w:sz w:val="24"/>
          <w:szCs w:val="24"/>
        </w:rPr>
        <w:t>历史。</w:t>
      </w:r>
      <w:r>
        <w:rPr>
          <w:rFonts w:ascii="Times New Roman" w:eastAsia="仿宋" w:hAnsi="Times New Roman" w:cs="Times New Roman" w:hint="default"/>
          <w:szCs w:val="24"/>
        </w:rPr>
        <w:t>《齐民要术》记载</w:t>
      </w:r>
      <w:r>
        <w:rPr>
          <w:rFonts w:ascii="Times New Roman" w:eastAsia="仿宋" w:hAnsi="Times New Roman" w:cs="Times New Roman" w:hint="eastAsia"/>
          <w:szCs w:val="24"/>
          <w:lang w:val="en-US" w:eastAsia="zh-CN"/>
        </w:rPr>
        <w:t>有</w:t>
      </w:r>
      <w:r>
        <w:rPr>
          <w:rFonts w:ascii="Times New Roman" w:eastAsia="仿宋" w:hAnsi="Times New Roman" w:cs="Times New Roman" w:hint="default"/>
          <w:szCs w:val="24"/>
        </w:rPr>
        <w:t>用</w:t>
      </w:r>
      <w:r>
        <w:rPr>
          <w:rFonts w:ascii="Times New Roman" w:eastAsia="仿宋" w:hAnsi="Times New Roman" w:cs="Times New Roman" w:hint="default"/>
          <w:szCs w:val="24"/>
          <w:lang w:val="en-US" w:eastAsia="zh-CN"/>
        </w:rPr>
        <w:t>折耳根</w:t>
      </w:r>
      <w:r>
        <w:rPr>
          <w:rFonts w:ascii="Times New Roman" w:eastAsia="仿宋" w:hAnsi="Times New Roman" w:cs="Times New Roman" w:hint="default"/>
          <w:szCs w:val="24"/>
        </w:rPr>
        <w:t>做腌菜的方法，称为“作蕺菹法”</w:t>
      </w:r>
      <w:r>
        <w:rPr>
          <w:rFonts w:ascii="Times New Roman" w:eastAsia="仿宋" w:hAnsi="Times New Roman" w:cs="Times New Roman" w:hint="eastAsia"/>
          <w:szCs w:val="24"/>
          <w:lang w:eastAsia="zh-CN"/>
        </w:rPr>
        <w:t>，</w:t>
      </w:r>
    </w:p>
    <w:p>
      <w:pPr>
        <w:pStyle w:val="NormalWeb"/>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textAlignment w:val="auto"/>
        <w:rPr>
          <w:rFonts w:ascii="Times New Roman" w:eastAsia="仿宋" w:hAnsi="Times New Roman" w:cs="Times New Roman" w:hint="default"/>
          <w:color w:val="000000"/>
          <w:szCs w:val="24"/>
          <w:lang w:val="en-US" w:eastAsia="zh-CN"/>
        </w:rPr>
      </w:pPr>
      <w:r>
        <w:rPr>
          <w:rFonts w:ascii="Times New Roman" w:eastAsia="仿宋" w:hAnsi="Times New Roman" w:cs="Times New Roman" w:hint="default"/>
          <w:color w:val="37352F"/>
          <w:szCs w:val="24"/>
        </w:rPr>
        <w:t>《农政全书》记载，明代时期折耳根已经被列为“疏食蔬”之一，被视为一种药食兼备的珍贵植物</w:t>
      </w:r>
      <w:r>
        <w:rPr>
          <w:rFonts w:ascii="Times New Roman" w:eastAsia="仿宋" w:hAnsi="Times New Roman" w:cs="Times New Roman" w:hint="eastAsia"/>
          <w:color w:val="37352F"/>
          <w:szCs w:val="24"/>
          <w:lang w:eastAsia="zh-CN"/>
        </w:rPr>
        <w:t>，</w:t>
      </w:r>
      <w:r>
        <w:rPr>
          <w:rFonts w:ascii="Times New Roman" w:eastAsia="仿宋" w:hAnsi="Times New Roman" w:cs="Times New Roman" w:hint="default"/>
          <w:color w:val="37352F"/>
          <w:szCs w:val="24"/>
        </w:rPr>
        <w:t>清代《贵州通志》提到折耳根的食用和药用</w:t>
      </w:r>
      <w:r>
        <w:rPr>
          <w:rFonts w:ascii="Times New Roman" w:eastAsia="仿宋" w:hAnsi="Times New Roman" w:cs="Times New Roman" w:hint="eastAsia"/>
          <w:color w:val="37352F"/>
          <w:szCs w:val="24"/>
          <w:lang w:val="en-US" w:eastAsia="zh-CN"/>
        </w:rPr>
        <w:t>价值</w:t>
      </w:r>
      <w:r>
        <w:rPr>
          <w:rFonts w:ascii="Times New Roman" w:eastAsia="仿宋" w:hAnsi="Times New Roman" w:cs="Times New Roman" w:hint="eastAsia"/>
          <w:color w:val="37352F"/>
          <w:szCs w:val="24"/>
          <w:lang w:eastAsia="zh-CN"/>
        </w:rPr>
        <w:t>，</w:t>
      </w:r>
      <w:r>
        <w:rPr>
          <w:rFonts w:ascii="Times New Roman" w:eastAsia="仿宋" w:hAnsi="Times New Roman" w:cs="Times New Roman" w:hint="default"/>
          <w:color w:val="37352F"/>
          <w:szCs w:val="24"/>
        </w:rPr>
        <w:t>《贵州省志·农业志·第二篇》记载，贵州地区的农民早在明代时期就已经开始采摘折耳根，并将其用于烹饪各种菜肴，</w:t>
      </w:r>
      <w:r>
        <w:rPr>
          <w:rFonts w:ascii="Times New Roman" w:eastAsia="仿宋" w:hAnsi="Times New Roman" w:cs="Times New Roman" w:hint="eastAsia"/>
          <w:color w:val="37352F"/>
          <w:szCs w:val="24"/>
          <w:lang w:val="en-US" w:eastAsia="zh-CN"/>
        </w:rPr>
        <w:t>常见于</w:t>
      </w:r>
      <w:r>
        <w:rPr>
          <w:rFonts w:ascii="Times New Roman" w:eastAsia="仿宋" w:hAnsi="Times New Roman" w:cs="Times New Roman" w:hint="default"/>
          <w:color w:val="37352F"/>
          <w:szCs w:val="24"/>
        </w:rPr>
        <w:t>炒肉丝、炒蛋、烧鱼、炖鸡等，</w:t>
      </w:r>
      <w:r>
        <w:rPr>
          <w:rFonts w:ascii="Times New Roman" w:eastAsia="仿宋" w:hAnsi="Times New Roman" w:cs="Times New Roman" w:hint="default"/>
          <w:szCs w:val="24"/>
        </w:rPr>
        <w:t>另有《遵义府志》和《绍兴府志》</w:t>
      </w:r>
      <w:r>
        <w:rPr>
          <w:rFonts w:ascii="Times New Roman" w:eastAsia="仿宋" w:hAnsi="Times New Roman" w:cs="Times New Roman" w:hint="eastAsia"/>
          <w:szCs w:val="24"/>
          <w:lang w:val="en-US" w:eastAsia="zh-CN"/>
        </w:rPr>
        <w:t>亦</w:t>
      </w:r>
      <w:r>
        <w:rPr>
          <w:rFonts w:ascii="Times New Roman" w:eastAsia="仿宋" w:hAnsi="Times New Roman" w:cs="Times New Roman" w:hint="default"/>
          <w:szCs w:val="24"/>
        </w:rPr>
        <w:t>描写</w:t>
      </w:r>
      <w:r>
        <w:rPr>
          <w:rFonts w:ascii="Times New Roman" w:eastAsia="仿宋" w:hAnsi="Times New Roman" w:cs="Times New Roman" w:hint="default"/>
          <w:szCs w:val="24"/>
          <w:lang w:val="en-US" w:eastAsia="zh-CN"/>
        </w:rPr>
        <w:t>折耳根</w:t>
      </w:r>
      <w:r>
        <w:rPr>
          <w:rFonts w:ascii="Times New Roman" w:eastAsia="仿宋" w:hAnsi="Times New Roman" w:cs="Times New Roman" w:hint="default"/>
          <w:szCs w:val="24"/>
        </w:rPr>
        <w:t>在灾荒时期作为野菜食用。</w:t>
      </w:r>
      <w:r>
        <w:rPr>
          <w:rFonts w:ascii="Times New Roman" w:eastAsia="仿宋" w:hAnsi="Times New Roman" w:cs="Times New Roman" w:hint="default"/>
          <w:color w:val="000000"/>
          <w:sz w:val="24"/>
          <w:szCs w:val="24"/>
        </w:rPr>
        <w:t>折耳根</w:t>
      </w:r>
      <w:r>
        <w:rPr>
          <w:rFonts w:ascii="Times New Roman" w:eastAsia="仿宋" w:hAnsi="Times New Roman" w:cs="Times New Roman" w:hint="default"/>
          <w:color w:val="000000"/>
          <w:sz w:val="24"/>
          <w:szCs w:val="24"/>
          <w:lang w:val="en-US" w:eastAsia="zh-CN"/>
        </w:rPr>
        <w:t>作为</w:t>
      </w:r>
      <w:r>
        <w:rPr>
          <w:rFonts w:ascii="Times New Roman" w:eastAsia="仿宋" w:hAnsi="Times New Roman" w:cs="Times New Roman" w:hint="eastAsia"/>
          <w:color w:val="000000"/>
          <w:sz w:val="24"/>
          <w:szCs w:val="24"/>
          <w:lang w:val="en-US" w:eastAsia="zh-CN"/>
        </w:rPr>
        <w:t>膳食摄入有明显的地域</w:t>
      </w:r>
      <w:r>
        <w:rPr>
          <w:rFonts w:ascii="Times New Roman" w:eastAsia="仿宋" w:hAnsi="Times New Roman" w:cs="Times New Roman" w:hint="default"/>
          <w:color w:val="000000"/>
          <w:sz w:val="24"/>
          <w:szCs w:val="24"/>
        </w:rPr>
        <w:t>特色</w:t>
      </w:r>
      <w:r>
        <w:rPr>
          <w:rFonts w:ascii="Times New Roman" w:eastAsia="仿宋" w:hAnsi="Times New Roman" w:cs="Times New Roman" w:hint="eastAsia"/>
          <w:color w:val="000000"/>
          <w:sz w:val="24"/>
          <w:szCs w:val="24"/>
          <w:lang w:eastAsia="zh-CN"/>
        </w:rPr>
        <w:t>，</w:t>
      </w:r>
      <w:r>
        <w:rPr>
          <w:rFonts w:ascii="Times New Roman" w:eastAsia="仿宋" w:hAnsi="Times New Roman" w:cs="Times New Roman" w:hint="default"/>
          <w:color w:val="000000"/>
          <w:sz w:val="24"/>
          <w:szCs w:val="24"/>
        </w:rPr>
        <w:t>贵州食用方式和四川、云南</w:t>
      </w:r>
      <w:r>
        <w:rPr>
          <w:rFonts w:ascii="Times New Roman" w:eastAsia="仿宋" w:hAnsi="Times New Roman" w:cs="Times New Roman" w:hint="eastAsia"/>
          <w:color w:val="000000"/>
          <w:sz w:val="24"/>
          <w:szCs w:val="24"/>
          <w:lang w:val="en-US" w:eastAsia="zh-CN"/>
        </w:rPr>
        <w:t>亦</w:t>
      </w:r>
      <w:r>
        <w:rPr>
          <w:rFonts w:ascii="Times New Roman" w:eastAsia="仿宋" w:hAnsi="Times New Roman" w:cs="Times New Roman" w:hint="default"/>
          <w:color w:val="000000"/>
          <w:sz w:val="24"/>
          <w:szCs w:val="24"/>
        </w:rPr>
        <w:t>有所</w:t>
      </w:r>
      <w:r>
        <w:rPr>
          <w:rFonts w:ascii="Times New Roman" w:eastAsia="仿宋" w:hAnsi="Times New Roman" w:cs="Times New Roman" w:hint="eastAsia"/>
          <w:color w:val="000000"/>
          <w:sz w:val="24"/>
          <w:szCs w:val="24"/>
          <w:lang w:val="en-US" w:eastAsia="zh-CN"/>
        </w:rPr>
        <w:t>不同</w:t>
      </w:r>
      <w:r>
        <w:rPr>
          <w:rFonts w:ascii="Times New Roman" w:eastAsia="仿宋" w:hAnsi="Times New Roman" w:cs="Times New Roman" w:hint="default"/>
          <w:color w:val="000000"/>
          <w:sz w:val="24"/>
          <w:szCs w:val="24"/>
        </w:rPr>
        <w:t>，贵州习惯食用其</w:t>
      </w:r>
      <w:r>
        <w:rPr>
          <w:rFonts w:ascii="Times New Roman" w:eastAsia="仿宋" w:hAnsi="Times New Roman" w:cs="Times New Roman" w:hint="eastAsia"/>
          <w:color w:val="000000"/>
          <w:sz w:val="24"/>
          <w:szCs w:val="24"/>
          <w:lang w:val="en-US" w:eastAsia="zh-CN"/>
        </w:rPr>
        <w:t>地面下</w:t>
      </w:r>
      <w:r>
        <w:rPr>
          <w:rFonts w:ascii="Times New Roman" w:eastAsia="仿宋" w:hAnsi="Times New Roman" w:cs="Times New Roman" w:hint="default"/>
          <w:color w:val="000000"/>
          <w:sz w:val="24"/>
          <w:szCs w:val="24"/>
        </w:rPr>
        <w:t>根</w:t>
      </w:r>
      <w:r>
        <w:rPr>
          <w:rFonts w:ascii="Times New Roman" w:eastAsia="仿宋" w:hAnsi="Times New Roman" w:cs="Times New Roman" w:hint="eastAsia"/>
          <w:color w:val="000000"/>
          <w:sz w:val="24"/>
          <w:szCs w:val="24"/>
          <w:lang w:val="en-US" w:eastAsia="zh-CN"/>
        </w:rPr>
        <w:t>茎</w:t>
      </w:r>
      <w:r>
        <w:rPr>
          <w:rFonts w:ascii="Times New Roman" w:eastAsia="仿宋" w:hAnsi="Times New Roman" w:cs="Times New Roman" w:hint="default"/>
          <w:color w:val="000000"/>
          <w:sz w:val="24"/>
          <w:szCs w:val="24"/>
        </w:rPr>
        <w:t>而四川、云南喜食鲜叶或叶根同食。在贵州</w:t>
      </w:r>
      <w:r>
        <w:rPr>
          <w:rFonts w:ascii="Times New Roman" w:eastAsia="仿宋" w:hAnsi="Times New Roman" w:cs="Times New Roman" w:hint="eastAsia"/>
          <w:color w:val="000000"/>
          <w:sz w:val="24"/>
          <w:szCs w:val="24"/>
          <w:lang w:eastAsia="zh-CN"/>
        </w:rPr>
        <w:t>，</w:t>
      </w:r>
      <w:r>
        <w:rPr>
          <w:rFonts w:ascii="Times New Roman" w:eastAsia="仿宋" w:hAnsi="Times New Roman" w:cs="Times New Roman" w:hint="default"/>
          <w:color w:val="000000"/>
          <w:sz w:val="24"/>
          <w:szCs w:val="24"/>
        </w:rPr>
        <w:t>折耳根有“凉拌折耳根”</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“酸菜</w:t>
      </w:r>
      <w:r>
        <w:rPr>
          <w:rFonts w:ascii="Times New Roman" w:eastAsia="仿宋" w:hAnsi="Times New Roman" w:cs="Times New Roman" w:hint="default"/>
          <w:color w:val="000000"/>
          <w:sz w:val="24"/>
          <w:szCs w:val="24"/>
          <w:lang w:val="en-US" w:eastAsia="zh-CN"/>
        </w:rPr>
        <w:t>拌</w:t>
      </w:r>
      <w:r>
        <w:rPr>
          <w:rFonts w:ascii="Times New Roman" w:eastAsia="仿宋" w:hAnsi="Times New Roman" w:cs="Times New Roman" w:hint="default"/>
          <w:color w:val="000000"/>
          <w:sz w:val="24"/>
          <w:szCs w:val="24"/>
        </w:rPr>
        <w:t>折耳根”</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“折耳根炒腊肉”等经典食用方法，</w:t>
      </w:r>
      <w:r>
        <w:rPr>
          <w:rFonts w:ascii="Times New Roman" w:eastAsia="仿宋" w:hAnsi="Times New Roman" w:cs="Times New Roman" w:hint="eastAsia"/>
          <w:color w:val="000000"/>
          <w:sz w:val="24"/>
          <w:szCs w:val="24"/>
          <w:lang w:val="en-US" w:eastAsia="zh-CN"/>
        </w:rPr>
        <w:t>折耳根在</w:t>
      </w:r>
      <w:r>
        <w:rPr>
          <w:rFonts w:ascii="Times New Roman" w:eastAsia="仿宋" w:hAnsi="Times New Roman" w:cs="Times New Roman" w:hint="default"/>
          <w:color w:val="000000"/>
          <w:sz w:val="24"/>
          <w:szCs w:val="24"/>
          <w:lang w:val="en-US" w:eastAsia="zh-CN"/>
        </w:rPr>
        <w:t>贵州</w:t>
      </w:r>
      <w:r>
        <w:rPr>
          <w:rFonts w:ascii="Times New Roman" w:eastAsia="仿宋" w:hAnsi="Times New Roman" w:cs="Times New Roman" w:hint="default"/>
          <w:color w:val="000000"/>
          <w:sz w:val="24"/>
          <w:szCs w:val="24"/>
        </w:rPr>
        <w:t>还是“万能蘸水配料”</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折耳根在贵州不仅有悠久的食用历史，还有老少皆</w:t>
      </w:r>
      <w:r>
        <w:rPr>
          <w:rFonts w:ascii="Times New Roman" w:eastAsia="仿宋" w:hAnsi="Times New Roman" w:cs="Times New Roman" w:hint="default"/>
          <w:color w:val="000000"/>
          <w:sz w:val="24"/>
          <w:szCs w:val="24"/>
          <w:lang w:val="en-US" w:eastAsia="zh-CN"/>
        </w:rPr>
        <w:t>食</w:t>
      </w:r>
      <w:r>
        <w:rPr>
          <w:rFonts w:ascii="Times New Roman" w:eastAsia="仿宋" w:hAnsi="Times New Roman" w:cs="Times New Roman" w:hint="default"/>
          <w:color w:val="000000"/>
          <w:sz w:val="24"/>
          <w:szCs w:val="24"/>
        </w:rPr>
        <w:t>“全覆盖式”普惠人群</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现贵州已有食品公司将</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做成</w:t>
      </w:r>
      <w:r>
        <w:rPr>
          <w:rFonts w:ascii="Times New Roman" w:eastAsia="仿宋" w:hAnsi="Times New Roman" w:cs="Times New Roman" w:hint="eastAsia"/>
          <w:color w:val="000000"/>
          <w:sz w:val="24"/>
          <w:szCs w:val="24"/>
          <w:lang w:val="en-US" w:eastAsia="zh-CN"/>
        </w:rPr>
        <w:t>特色乳品和</w:t>
      </w:r>
      <w:r>
        <w:rPr>
          <w:rFonts w:ascii="Times New Roman" w:eastAsia="仿宋" w:hAnsi="Times New Roman" w:cs="Times New Roman" w:hint="default"/>
          <w:color w:val="000000"/>
          <w:sz w:val="24"/>
          <w:szCs w:val="24"/>
        </w:rPr>
        <w:t>各种口味的特色小吃，如番茄味、海苔味、椒盐味、麻辣味、孜然味油炸</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3、折耳根种植</w:t>
      </w:r>
      <w:r>
        <w:rPr>
          <w:rFonts w:ascii="Times New Roman" w:eastAsia="仿宋" w:hAnsi="Times New Roman" w:cs="Times New Roman" w:hint="eastAsia"/>
          <w:b/>
          <w:bCs/>
          <w:sz w:val="28"/>
          <w:szCs w:val="28"/>
          <w:lang w:val="en-US" w:eastAsia="zh-CN"/>
        </w:rPr>
        <w:t>在政府主导下向</w:t>
      </w:r>
      <w:r>
        <w:rPr>
          <w:rFonts w:ascii="Times New Roman" w:eastAsia="仿宋" w:hAnsi="Times New Roman" w:cs="Times New Roman" w:hint="default"/>
          <w:b/>
          <w:bCs/>
          <w:sz w:val="28"/>
          <w:szCs w:val="28"/>
          <w:lang w:val="en-US" w:eastAsia="zh-CN"/>
        </w:rPr>
        <w:t>规模</w:t>
      </w:r>
      <w:r>
        <w:rPr>
          <w:rFonts w:ascii="Times New Roman" w:eastAsia="仿宋" w:hAnsi="Times New Roman" w:cs="Times New Roman" w:hint="eastAsia"/>
          <w:b/>
          <w:bCs/>
          <w:sz w:val="28"/>
          <w:szCs w:val="28"/>
          <w:lang w:val="en-US" w:eastAsia="zh-CN"/>
        </w:rPr>
        <w:t>化发展</w:t>
      </w:r>
      <w:r>
        <w:rPr>
          <w:rFonts w:ascii="Times New Roman" w:eastAsia="仿宋" w:hAnsi="Times New Roman" w:cs="Times New Roman" w:hint="default"/>
          <w:b/>
          <w:bCs/>
          <w:sz w:val="28"/>
          <w:szCs w:val="28"/>
          <w:lang w:val="en-US" w:eastAsia="zh-CN"/>
        </w:rPr>
        <w:t>，</w:t>
      </w:r>
      <w:r>
        <w:rPr>
          <w:rFonts w:ascii="Times New Roman" w:eastAsia="仿宋" w:hAnsi="Times New Roman" w:cs="Times New Roman" w:hint="eastAsia"/>
          <w:b/>
          <w:bCs/>
          <w:sz w:val="28"/>
          <w:szCs w:val="28"/>
          <w:lang w:val="en-US" w:eastAsia="zh-CN"/>
        </w:rPr>
        <w:t>成</w:t>
      </w:r>
      <w:r>
        <w:rPr>
          <w:rFonts w:ascii="Times New Roman" w:eastAsia="仿宋" w:hAnsi="Times New Roman" w:cs="Times New Roman" w:hint="default"/>
          <w:b/>
          <w:bCs/>
          <w:sz w:val="28"/>
          <w:szCs w:val="28"/>
          <w:lang w:val="en-US" w:eastAsia="zh-CN"/>
        </w:rPr>
        <w:t>为增收致富有力支撑。</w:t>
      </w:r>
    </w:p>
    <w:p>
      <w:pPr>
        <w:pStyle w:val="Foote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ascii="Times New Roman" w:eastAsia="仿宋" w:hAnsi="Times New Roman" w:cs="Times New Roman" w:hint="default"/>
          <w:color w:val="000000"/>
          <w:sz w:val="24"/>
          <w:szCs w:val="24"/>
        </w:rPr>
      </w:pPr>
      <w:r>
        <w:rPr>
          <w:rFonts w:ascii="Times New Roman" w:eastAsia="仿宋" w:hAnsi="Times New Roman" w:cs="Times New Roman" w:hint="default"/>
          <w:color w:val="000000"/>
          <w:sz w:val="24"/>
          <w:szCs w:val="24"/>
        </w:rPr>
        <w:t>折耳根在贵州因其日均消耗量大，现有野生资源远不能满足日常消费需求</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目前黔产折耳根市场供应</w:t>
      </w:r>
      <w:r>
        <w:rPr>
          <w:rFonts w:ascii="Times New Roman" w:eastAsia="仿宋" w:hAnsi="Times New Roman" w:cs="Times New Roman" w:hint="eastAsia"/>
          <w:color w:val="000000"/>
          <w:sz w:val="24"/>
          <w:szCs w:val="24"/>
          <w:lang w:val="en-US" w:eastAsia="zh-CN"/>
        </w:rPr>
        <w:t>有原来的野生资源</w:t>
      </w:r>
      <w:r>
        <w:rPr>
          <w:rFonts w:ascii="Times New Roman" w:eastAsia="仿宋" w:hAnsi="Times New Roman" w:cs="Times New Roman" w:hint="default"/>
          <w:color w:val="000000"/>
          <w:sz w:val="24"/>
          <w:szCs w:val="24"/>
        </w:rPr>
        <w:t>主要</w:t>
      </w:r>
      <w:r>
        <w:rPr>
          <w:rFonts w:ascii="Times New Roman" w:eastAsia="仿宋" w:hAnsi="Times New Roman" w:cs="Times New Roman" w:hint="eastAsia"/>
          <w:color w:val="000000"/>
          <w:sz w:val="24"/>
          <w:szCs w:val="24"/>
          <w:lang w:val="en-US" w:eastAsia="zh-CN"/>
        </w:rPr>
        <w:t>逐步过渡到</w:t>
      </w:r>
      <w:r>
        <w:rPr>
          <w:rFonts w:ascii="Times New Roman" w:eastAsia="仿宋" w:hAnsi="Times New Roman" w:cs="Times New Roman" w:hint="default"/>
          <w:color w:val="000000"/>
          <w:sz w:val="24"/>
          <w:szCs w:val="24"/>
        </w:rPr>
        <w:t>以人工栽培为主</w:t>
      </w:r>
      <w:r>
        <w:rPr>
          <w:rFonts w:ascii="Times New Roman" w:eastAsia="仿宋" w:hAnsi="Times New Roman" w:cs="Times New Roman" w:hint="eastAsia"/>
          <w:color w:val="000000"/>
          <w:sz w:val="24"/>
          <w:szCs w:val="24"/>
          <w:lang w:val="en-US" w:eastAsia="zh-CN"/>
        </w:rPr>
        <w:t>野生资源为辅</w:t>
      </w:r>
      <w:r>
        <w:rPr>
          <w:rFonts w:ascii="Times New Roman" w:eastAsia="仿宋" w:hAnsi="Times New Roman" w:cs="Times New Roman" w:hint="default"/>
          <w:color w:val="000000"/>
          <w:sz w:val="24"/>
          <w:szCs w:val="24"/>
        </w:rPr>
        <w:t>。十三五期间，贵州省委省政府加大对折耳根、香椿、阳荷等10余个特色野生蔬菜产业发展推动和扶持力度，现全省人工栽培或规模化利用的野生蔬菜总面积约5万亩，其中折耳根占一半以上</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年产值超5亿元；十四五期间，基于消费需求的快速增长，各地不断扩大</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种植规模，如黔南州长顺县广顺镇核子村就紧扣</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特色产业，整合资金1000余万元，探索形成以茭白种植为主体，</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、辣椒种植为双翼的“一体双翼”集体经济发展路径，为群众增收致富提供了有力支撑。</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color w:val="auto"/>
          <w:sz w:val="28"/>
          <w:szCs w:val="28"/>
        </w:rPr>
      </w:pPr>
      <w:r>
        <w:rPr>
          <w:rFonts w:ascii="Times New Roman" w:eastAsia="仿宋" w:hAnsi="Times New Roman" w:cs="Times New Roman" w:hint="default"/>
          <w:b/>
          <w:bCs/>
          <w:color w:val="auto"/>
          <w:sz w:val="28"/>
          <w:szCs w:val="28"/>
          <w:lang w:val="en-US" w:eastAsia="zh-CN"/>
        </w:rPr>
        <w:t>4、</w:t>
      </w:r>
      <w:r>
        <w:rPr>
          <w:rFonts w:ascii="Times New Roman" w:eastAsia="仿宋" w:hAnsi="Times New Roman" w:cs="Times New Roman" w:hint="eastAsia"/>
          <w:b/>
          <w:bCs/>
          <w:color w:val="auto"/>
          <w:sz w:val="28"/>
          <w:szCs w:val="28"/>
          <w:lang w:val="en-US" w:eastAsia="zh-CN"/>
        </w:rPr>
        <w:t>风险监测识别</w:t>
      </w:r>
      <w:r>
        <w:rPr>
          <w:rFonts w:ascii="Times New Roman" w:eastAsia="仿宋" w:hAnsi="Times New Roman" w:cs="Times New Roman" w:hint="default"/>
          <w:b/>
          <w:bCs/>
          <w:color w:val="auto"/>
          <w:sz w:val="28"/>
          <w:szCs w:val="28"/>
          <w:lang w:val="en-US" w:eastAsia="zh-CN"/>
        </w:rPr>
        <w:t>折耳根</w:t>
      </w:r>
      <w:r>
        <w:rPr>
          <w:rFonts w:ascii="Times New Roman" w:eastAsia="仿宋" w:hAnsi="Times New Roman" w:cs="Times New Roman" w:hint="eastAsia"/>
          <w:b/>
          <w:bCs/>
          <w:color w:val="auto"/>
          <w:sz w:val="28"/>
          <w:szCs w:val="28"/>
          <w:lang w:val="en-US" w:eastAsia="zh-CN"/>
        </w:rPr>
        <w:t>重金属“超标率”较高</w:t>
      </w:r>
      <w:r>
        <w:rPr>
          <w:rFonts w:ascii="Times New Roman" w:eastAsia="仿宋" w:hAnsi="Times New Roman" w:cs="Times New Roman" w:hint="default"/>
          <w:b/>
          <w:bCs/>
          <w:color w:val="auto"/>
          <w:sz w:val="28"/>
          <w:szCs w:val="28"/>
          <w:lang w:val="en-US" w:eastAsia="zh-CN"/>
        </w:rPr>
        <w:t>，</w:t>
      </w:r>
      <w:r>
        <w:rPr>
          <w:rFonts w:ascii="Times New Roman" w:eastAsia="仿宋" w:hAnsi="Times New Roman" w:cs="Times New Roman" w:hint="eastAsia"/>
          <w:b/>
          <w:bCs/>
          <w:color w:val="auto"/>
          <w:sz w:val="28"/>
          <w:szCs w:val="28"/>
          <w:lang w:val="en-US" w:eastAsia="zh-CN"/>
        </w:rPr>
        <w:t>急需为</w:t>
      </w:r>
      <w:r>
        <w:rPr>
          <w:rFonts w:ascii="Times New Roman" w:eastAsia="仿宋" w:hAnsi="Times New Roman" w:cs="Times New Roman" w:hint="default"/>
          <w:b/>
          <w:bCs/>
          <w:color w:val="auto"/>
          <w:sz w:val="28"/>
          <w:szCs w:val="28"/>
          <w:lang w:val="en-US" w:eastAsia="zh-CN"/>
        </w:rPr>
        <w:t>折耳根</w:t>
      </w:r>
      <w:r>
        <w:rPr>
          <w:rFonts w:ascii="Times New Roman" w:eastAsia="仿宋" w:hAnsi="Times New Roman" w:cs="Times New Roman" w:hint="eastAsia"/>
          <w:b/>
          <w:bCs/>
          <w:color w:val="auto"/>
          <w:sz w:val="28"/>
          <w:szCs w:val="28"/>
          <w:lang w:val="en-US" w:eastAsia="zh-CN"/>
        </w:rPr>
        <w:t>食用安全正名</w:t>
      </w:r>
      <w:r>
        <w:rPr>
          <w:rFonts w:ascii="Times New Roman" w:eastAsia="仿宋" w:hAnsi="Times New Roman" w:cs="Times New Roman" w:hint="default"/>
          <w:b/>
          <w:bCs/>
          <w:color w:val="auto"/>
          <w:sz w:val="28"/>
          <w:szCs w:val="28"/>
          <w:lang w:val="en-US" w:eastAsia="zh-CN"/>
        </w:rPr>
        <w:t>。</w:t>
      </w:r>
    </w:p>
    <w:p>
      <w:pPr>
        <w:pStyle w:val="Footer"/>
        <w:spacing w:line="360" w:lineRule="auto"/>
        <w:ind w:firstLine="480" w:firstLineChars="200"/>
        <w:jc w:val="both"/>
        <w:rPr>
          <w:rFonts w:ascii="Times New Roman" w:eastAsia="仿宋" w:hAnsi="Times New Roman" w:cs="Times New Roman" w:hint="default"/>
          <w:color w:val="000000"/>
          <w:sz w:val="24"/>
          <w:szCs w:val="24"/>
          <w:lang w:val="en-US" w:eastAsia="zh-CN"/>
        </w:rPr>
        <w:sectPr>
          <w:footerReference w:type="default" r:id="rId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720"/>
          <w:titlePg w:val="0"/>
          <w:docGrid w:type="lines" w:linePitch="312" w:charSpace="0"/>
        </w:sectPr>
      </w:pPr>
    </w:p>
    <w:p>
      <w:pPr>
        <w:pStyle w:val="Footer"/>
        <w:spacing w:line="360" w:lineRule="auto"/>
        <w:ind w:firstLine="480" w:firstLineChars="200"/>
        <w:jc w:val="both"/>
        <w:rPr>
          <w:rFonts w:ascii="Times New Roman" w:eastAsia="仿宋" w:hAnsi="Times New Roman" w:cs="Times New Roman" w:hint="default"/>
          <w:color w:val="000000"/>
          <w:sz w:val="24"/>
          <w:szCs w:val="24"/>
          <w:lang w:val="en-US" w:eastAsia="zh-CN"/>
        </w:rPr>
      </w:pPr>
      <w:r>
        <w:rPr>
          <w:rFonts w:ascii="Times New Roman" w:eastAsia="仿宋" w:hAnsi="Times New Roman" w:cs="Times New Roman" w:hint="default"/>
          <w:color w:val="000000"/>
          <w:sz w:val="24"/>
          <w:szCs w:val="24"/>
        </w:rPr>
        <w:t>随着人们生活水平的提高，人们对食品安全问题更加关注，其中蔬菜重金属污染和含量超标问题也亦日益成为关注热点。重金属元素在土壤植物系统中的迁移转化能直接影响农产品的产量和质量，关乎人体健康，因此，耕地土壤重金属污染和食品安全也一直是热点课题。贵州是典型的</w:t>
      </w:r>
      <w:r>
        <w:rPr>
          <w:rFonts w:ascii="Times New Roman" w:eastAsia="仿宋" w:hAnsi="Times New Roman" w:cs="Times New Roman" w:hint="default"/>
          <w:color w:val="000000"/>
          <w:sz w:val="24"/>
          <w:szCs w:val="24"/>
          <w:lang w:val="en-US" w:eastAsia="zh-CN"/>
        </w:rPr>
        <w:t>喀斯特</w:t>
      </w:r>
      <w:r>
        <w:rPr>
          <w:rFonts w:ascii="Times New Roman" w:eastAsia="仿宋" w:hAnsi="Times New Roman" w:cs="Times New Roman" w:hint="default"/>
          <w:color w:val="000000"/>
          <w:sz w:val="24"/>
          <w:szCs w:val="24"/>
        </w:rPr>
        <w:t>地貌特征，具有典型的重金属高背景特点，通过开展土地质量地球化学调查工作初步证实，</w:t>
      </w:r>
      <w:r>
        <w:rPr>
          <w:rFonts w:ascii="Times New Roman" w:eastAsia="仿宋" w:hAnsi="Times New Roman" w:cs="Times New Roman" w:hint="default"/>
          <w:color w:val="000000"/>
          <w:sz w:val="24"/>
          <w:szCs w:val="24"/>
          <w:lang w:val="en-US" w:eastAsia="zh-CN"/>
        </w:rPr>
        <w:t>喀斯特</w:t>
      </w:r>
      <w:r>
        <w:rPr>
          <w:rFonts w:ascii="Times New Roman" w:eastAsia="仿宋" w:hAnsi="Times New Roman" w:cs="Times New Roman" w:hint="default"/>
          <w:color w:val="000000"/>
          <w:sz w:val="24"/>
          <w:szCs w:val="24"/>
        </w:rPr>
        <w:t>地貌土壤中重金属高背景属性与特殊的地质过程密切相关，土壤中多数重金属元素处于“高背景、低活性”的状态。据全国土壤重金属调查显示，贵州土壤中镉含量的最小值为0.042 mg/kg，最大值为7.650 mg/kg，均值为0.659 mg/kg，已显著高于无公害蔬菜及水果的产地环境中镉的限量值要求(&lt;0.3～0.6 mg/kg)</w:t>
      </w:r>
      <w:r>
        <w:rPr>
          <w:rFonts w:ascii="Times New Roman" w:eastAsia="仿宋" w:hAnsi="Times New Roman" w:cs="Times New Roman" w:hint="default"/>
          <w:color w:val="000000"/>
          <w:sz w:val="24"/>
          <w:szCs w:val="24"/>
          <w:vertAlign w:val="superscript"/>
          <w:lang w:val="en-US" w:eastAsia="zh-CN"/>
        </w:rPr>
        <w:t>[1]</w:t>
      </w:r>
      <w:r>
        <w:rPr>
          <w:rFonts w:ascii="Times New Roman" w:eastAsia="仿宋" w:hAnsi="Times New Roman" w:cs="Times New Roman" w:hint="default"/>
          <w:color w:val="000000"/>
          <w:sz w:val="24"/>
          <w:szCs w:val="24"/>
        </w:rPr>
        <w:t>。土壤中铅的污染水平较轻，土壤铅污染主要集中在黔南州、安顺市</w:t>
      </w:r>
      <w:r>
        <w:rPr>
          <w:rFonts w:ascii="Times New Roman" w:eastAsia="仿宋" w:hAnsi="Times New Roman" w:cs="Times New Roman" w:hint="default"/>
          <w:color w:val="000000"/>
          <w:sz w:val="24"/>
          <w:szCs w:val="24"/>
          <w:vertAlign w:val="superscript"/>
          <w:lang w:val="en-US" w:eastAsia="zh-CN"/>
        </w:rPr>
        <w:t>[2-3]</w:t>
      </w:r>
      <w:r>
        <w:rPr>
          <w:rFonts w:ascii="Times New Roman" w:eastAsia="仿宋" w:hAnsi="Times New Roman" w:cs="Times New Roman" w:hint="default"/>
          <w:color w:val="000000"/>
          <w:sz w:val="24"/>
          <w:szCs w:val="24"/>
        </w:rPr>
        <w:t>。折耳根属于根茎类植物，</w:t>
      </w:r>
      <w:r>
        <w:rPr>
          <w:rFonts w:ascii="Times New Roman" w:eastAsia="仿宋" w:hAnsi="Times New Roman" w:cs="Times New Roman" w:hint="default"/>
          <w:color w:val="000000"/>
          <w:sz w:val="24"/>
          <w:szCs w:val="24"/>
          <w:lang w:val="en-US" w:eastAsia="zh-CN"/>
        </w:rPr>
        <w:t>针对部分</w:t>
      </w:r>
      <w:r>
        <w:rPr>
          <w:rFonts w:ascii="Times New Roman" w:eastAsia="仿宋" w:hAnsi="Times New Roman" w:cs="Times New Roman" w:hint="default"/>
          <w:color w:val="000000"/>
          <w:sz w:val="24"/>
          <w:szCs w:val="24"/>
        </w:rPr>
        <w:t>金属元素易</w:t>
      </w:r>
      <w:r>
        <w:rPr>
          <w:rFonts w:ascii="Times New Roman" w:eastAsia="仿宋" w:hAnsi="Times New Roman" w:cs="Times New Roman" w:hint="default"/>
          <w:color w:val="000000"/>
          <w:sz w:val="24"/>
          <w:szCs w:val="24"/>
          <w:lang w:val="en-US" w:eastAsia="zh-CN"/>
        </w:rPr>
        <w:t>通过</w:t>
      </w:r>
      <w:r>
        <w:rPr>
          <w:rFonts w:ascii="Times New Roman" w:eastAsia="仿宋" w:hAnsi="Times New Roman" w:cs="Times New Roman" w:hint="default"/>
          <w:color w:val="000000"/>
          <w:sz w:val="24"/>
          <w:szCs w:val="24"/>
        </w:rPr>
        <w:t>土壤富集，从而造成</w:t>
      </w:r>
      <w:r>
        <w:rPr>
          <w:rFonts w:ascii="Times New Roman" w:eastAsia="仿宋" w:hAnsi="Times New Roman" w:cs="Times New Roman" w:hint="default"/>
          <w:color w:val="000000"/>
          <w:sz w:val="24"/>
          <w:szCs w:val="24"/>
          <w:lang w:val="en-US" w:eastAsia="zh-CN"/>
        </w:rPr>
        <w:t>重</w:t>
      </w:r>
      <w:r>
        <w:rPr>
          <w:rFonts w:ascii="Times New Roman" w:eastAsia="仿宋" w:hAnsi="Times New Roman" w:cs="Times New Roman" w:hint="default"/>
          <w:color w:val="000000"/>
          <w:sz w:val="24"/>
          <w:szCs w:val="24"/>
        </w:rPr>
        <w:t>金属</w:t>
      </w:r>
      <w:r>
        <w:rPr>
          <w:rFonts w:ascii="Times New Roman" w:eastAsia="仿宋" w:hAnsi="Times New Roman" w:cs="Times New Roman" w:hint="default"/>
          <w:color w:val="000000"/>
          <w:sz w:val="24"/>
          <w:szCs w:val="24"/>
          <w:lang w:val="en-US" w:eastAsia="zh-CN"/>
        </w:rPr>
        <w:t>污染物含量</w:t>
      </w:r>
      <w:r>
        <w:rPr>
          <w:rFonts w:ascii="Times New Roman" w:eastAsia="仿宋" w:hAnsi="Times New Roman" w:cs="Times New Roman" w:hint="default"/>
          <w:color w:val="000000"/>
          <w:sz w:val="24"/>
          <w:szCs w:val="24"/>
        </w:rPr>
        <w:t>较高</w:t>
      </w:r>
      <w:r>
        <w:rPr>
          <w:rFonts w:ascii="Times New Roman" w:eastAsia="仿宋" w:hAnsi="Times New Roman" w:cs="Times New Roman" w:hint="default"/>
          <w:color w:val="000000"/>
          <w:sz w:val="24"/>
          <w:szCs w:val="24"/>
          <w:lang w:val="en-US" w:eastAsia="zh-CN"/>
        </w:rPr>
        <w:t>或超标</w:t>
      </w:r>
      <w:r>
        <w:rPr>
          <w:rFonts w:ascii="Times New Roman" w:eastAsia="仿宋" w:hAnsi="Times New Roman" w:cs="Times New Roman" w:hint="default"/>
          <w:color w:val="000000"/>
          <w:sz w:val="24"/>
          <w:szCs w:val="24"/>
        </w:rPr>
        <w:t>。</w:t>
      </w:r>
      <w:r>
        <w:rPr>
          <w:rFonts w:ascii="Times New Roman" w:eastAsia="仿宋" w:hAnsi="Times New Roman" w:cs="Times New Roman" w:hint="default"/>
          <w:color w:val="000000"/>
          <w:sz w:val="24"/>
          <w:szCs w:val="24"/>
          <w:lang w:val="en-US" w:eastAsia="zh-CN"/>
        </w:rPr>
        <w:t>为了解折耳根中重金属污染现况，</w:t>
      </w:r>
      <w:r>
        <w:rPr>
          <w:rFonts w:ascii="Times New Roman" w:eastAsia="仿宋" w:hAnsi="Times New Roman" w:cs="Times New Roman" w:hint="default"/>
          <w:color w:val="000000"/>
          <w:sz w:val="24"/>
          <w:szCs w:val="24"/>
        </w:rPr>
        <w:t>2020年国家</w:t>
      </w:r>
      <w:r>
        <w:rPr>
          <w:rFonts w:ascii="Times New Roman" w:eastAsia="仿宋" w:hAnsi="Times New Roman" w:cs="Times New Roman" w:hint="default"/>
          <w:color w:val="000000"/>
          <w:sz w:val="24"/>
          <w:szCs w:val="24"/>
          <w:lang w:val="en-US" w:eastAsia="zh-CN"/>
        </w:rPr>
        <w:t>食品安全</w:t>
      </w:r>
      <w:r>
        <w:rPr>
          <w:rFonts w:ascii="Times New Roman" w:eastAsia="仿宋" w:hAnsi="Times New Roman" w:cs="Times New Roman" w:hint="default"/>
          <w:color w:val="000000"/>
          <w:sz w:val="24"/>
          <w:szCs w:val="24"/>
        </w:rPr>
        <w:t>监测方案开始对折耳根开展监测，监测数据显示贵州上报折耳根重金属铅和</w:t>
      </w:r>
      <w:r>
        <w:rPr>
          <w:rFonts w:ascii="Times New Roman" w:eastAsia="仿宋" w:hAnsi="Times New Roman" w:cs="Times New Roman" w:hint="default"/>
          <w:color w:val="000000"/>
          <w:sz w:val="24"/>
          <w:szCs w:val="24"/>
          <w:lang w:val="en-US" w:eastAsia="zh-CN"/>
        </w:rPr>
        <w:t>镉</w:t>
      </w:r>
      <w:r>
        <w:rPr>
          <w:rFonts w:ascii="Times New Roman" w:eastAsia="仿宋" w:hAnsi="Times New Roman" w:cs="Times New Roman" w:hint="default"/>
          <w:color w:val="000000"/>
          <w:sz w:val="24"/>
          <w:szCs w:val="24"/>
        </w:rPr>
        <w:t>的含量相对较高，按照“临时限值标准”</w:t>
      </w:r>
      <w:r>
        <w:rPr>
          <w:rFonts w:ascii="Times New Roman" w:eastAsia="仿宋" w:hAnsi="Times New Roman" w:cs="Times New Roman" w:hint="default"/>
          <w:color w:val="000000"/>
          <w:sz w:val="24"/>
          <w:szCs w:val="24"/>
          <w:lang w:val="en-US" w:eastAsia="zh-CN"/>
        </w:rPr>
        <w:t>铅</w:t>
      </w:r>
      <w:r>
        <w:rPr>
          <w:rFonts w:ascii="Times New Roman" w:eastAsia="仿宋" w:hAnsi="Times New Roman" w:cs="Times New Roman" w:hint="default"/>
          <w:color w:val="000000"/>
          <w:sz w:val="24"/>
          <w:szCs w:val="24"/>
        </w:rPr>
        <w:t>≤0.</w:t>
      </w:r>
      <w:r>
        <w:rPr>
          <w:rFonts w:ascii="Times New Roman" w:eastAsia="仿宋" w:hAnsi="Times New Roman" w:cs="Times New Roman" w:hint="default"/>
          <w:color w:val="000000"/>
          <w:sz w:val="24"/>
          <w:szCs w:val="24"/>
          <w:lang w:val="en-US" w:eastAsia="zh-CN"/>
        </w:rPr>
        <w:t>3</w:t>
      </w:r>
      <w:r>
        <w:rPr>
          <w:rFonts w:ascii="Times New Roman" w:eastAsia="仿宋" w:hAnsi="Times New Roman" w:cs="Times New Roman" w:hint="default"/>
          <w:color w:val="000000"/>
          <w:sz w:val="24"/>
          <w:szCs w:val="24"/>
        </w:rPr>
        <w:t>mg/kg</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镉</w:t>
      </w:r>
      <w:r>
        <w:rPr>
          <w:rFonts w:ascii="Times New Roman" w:eastAsia="仿宋" w:hAnsi="Times New Roman" w:cs="Times New Roman" w:hint="default"/>
          <w:color w:val="000000"/>
          <w:sz w:val="24"/>
          <w:szCs w:val="24"/>
        </w:rPr>
        <w:t>≤0.</w:t>
      </w:r>
      <w:r>
        <w:rPr>
          <w:rFonts w:ascii="Times New Roman" w:eastAsia="仿宋" w:hAnsi="Times New Roman" w:cs="Times New Roman" w:hint="default"/>
          <w:color w:val="000000"/>
          <w:sz w:val="24"/>
          <w:szCs w:val="24"/>
          <w:lang w:val="en-US" w:eastAsia="zh-CN"/>
        </w:rPr>
        <w:t>2</w:t>
      </w:r>
      <w:r>
        <w:rPr>
          <w:rFonts w:ascii="Times New Roman" w:eastAsia="仿宋" w:hAnsi="Times New Roman" w:cs="Times New Roman" w:hint="default"/>
          <w:color w:val="000000"/>
          <w:sz w:val="24"/>
          <w:szCs w:val="24"/>
        </w:rPr>
        <w:t>mg/kg来判定耳根“超标严重”，因</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在贵州有较普遍的食用习惯和较广的食用人群，</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“重金属超标”问题</w:t>
      </w:r>
      <w:r>
        <w:rPr>
          <w:rFonts w:ascii="Times New Roman" w:eastAsia="仿宋" w:hAnsi="Times New Roman" w:cs="Times New Roman" w:hint="default"/>
          <w:color w:val="000000"/>
          <w:sz w:val="24"/>
          <w:szCs w:val="24"/>
          <w:lang w:val="en-US" w:eastAsia="zh-CN"/>
        </w:rPr>
        <w:t>因涉及民生</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省政府分管领导高度重视，</w:t>
      </w:r>
      <w:r>
        <w:rPr>
          <w:rFonts w:ascii="Times New Roman" w:eastAsia="仿宋" w:hAnsi="Times New Roman" w:cs="Times New Roman" w:hint="default"/>
          <w:color w:val="000000"/>
          <w:sz w:val="24"/>
          <w:szCs w:val="24"/>
          <w:lang w:val="en-US" w:eastAsia="zh-CN"/>
        </w:rPr>
        <w:t>批示</w:t>
      </w:r>
      <w:r>
        <w:rPr>
          <w:rFonts w:ascii="Times New Roman" w:eastAsia="仿宋" w:hAnsi="Times New Roman" w:cs="Times New Roman" w:hint="default"/>
          <w:color w:val="000000"/>
          <w:sz w:val="24"/>
          <w:szCs w:val="24"/>
        </w:rPr>
        <w:t>卫健委牵头开展专项监测，为此贵州省</w:t>
      </w:r>
      <w:r>
        <w:rPr>
          <w:rFonts w:ascii="Times New Roman" w:eastAsia="仿宋" w:hAnsi="Times New Roman" w:cs="Times New Roman" w:hint="default"/>
          <w:color w:val="000000"/>
          <w:sz w:val="24"/>
          <w:szCs w:val="24"/>
          <w:lang w:val="en-US" w:eastAsia="zh-CN"/>
        </w:rPr>
        <w:t>于</w:t>
      </w:r>
      <w:r>
        <w:rPr>
          <w:rFonts w:ascii="Times New Roman" w:eastAsia="仿宋" w:hAnsi="Times New Roman" w:cs="Times New Roman" w:hint="default"/>
          <w:color w:val="000000"/>
          <w:sz w:val="24"/>
          <w:szCs w:val="24"/>
        </w:rPr>
        <w:t>2020年-2023年先后3次开展</w:t>
      </w:r>
      <w:r>
        <w:rPr>
          <w:rFonts w:ascii="Times New Roman" w:eastAsia="仿宋" w:hAnsi="Times New Roman" w:cs="Times New Roman" w:hint="default"/>
          <w:color w:val="000000"/>
          <w:sz w:val="24"/>
          <w:szCs w:val="24"/>
          <w:lang w:val="en-US" w:eastAsia="zh-CN"/>
        </w:rPr>
        <w:t>了</w:t>
      </w:r>
      <w:r>
        <w:rPr>
          <w:rFonts w:ascii="Times New Roman" w:eastAsia="仿宋" w:hAnsi="Times New Roman" w:cs="Times New Roman" w:hint="default"/>
          <w:color w:val="000000"/>
          <w:sz w:val="24"/>
          <w:szCs w:val="24"/>
        </w:rPr>
        <w:t>折耳根重金属含量监测</w:t>
      </w:r>
      <w:r>
        <w:rPr>
          <w:rFonts w:ascii="Times New Roman" w:eastAsia="仿宋" w:hAnsi="Times New Roman" w:cs="Times New Roman" w:hint="default"/>
          <w:color w:val="000000"/>
          <w:sz w:val="24"/>
          <w:szCs w:val="24"/>
          <w:lang w:val="en-US" w:eastAsia="zh-CN"/>
        </w:rPr>
        <w:t xml:space="preserve"> </w:t>
      </w:r>
      <w:r>
        <w:rPr>
          <w:rFonts w:ascii="Times New Roman" w:eastAsia="仿宋" w:hAnsi="Times New Roman" w:cs="Times New Roman" w:hint="default"/>
          <w:color w:val="000000"/>
          <w:sz w:val="24"/>
          <w:szCs w:val="24"/>
        </w:rPr>
        <w:t>，</w:t>
      </w:r>
      <w:r>
        <w:rPr>
          <w:rFonts w:ascii="Times New Roman" w:eastAsia="仿宋" w:hAnsi="Times New Roman" w:cs="Times New Roman" w:hint="default"/>
          <w:color w:val="000000"/>
          <w:sz w:val="24"/>
          <w:szCs w:val="24"/>
          <w:lang w:val="en-US" w:eastAsia="zh-CN"/>
        </w:rPr>
        <w:t>基本摸清了折耳根中15种元素含量水平，</w:t>
      </w:r>
      <w:r>
        <w:rPr>
          <w:rFonts w:ascii="Times New Roman" w:eastAsia="仿宋" w:hAnsi="Times New Roman" w:cs="Times New Roman" w:hint="eastAsia"/>
          <w:color w:val="000000"/>
          <w:sz w:val="24"/>
          <w:szCs w:val="24"/>
          <w:lang w:val="en-US" w:eastAsia="zh-CN"/>
        </w:rPr>
        <w:t>进一步</w:t>
      </w:r>
      <w:r>
        <w:rPr>
          <w:rFonts w:ascii="Times New Roman" w:eastAsia="仿宋" w:hAnsi="Times New Roman" w:cs="Times New Roman" w:hint="default"/>
          <w:color w:val="000000"/>
          <w:sz w:val="24"/>
          <w:szCs w:val="24"/>
        </w:rPr>
        <w:t>结合折耳根膳食摄入</w:t>
      </w:r>
      <w:r>
        <w:rPr>
          <w:rFonts w:ascii="Times New Roman" w:eastAsia="仿宋" w:hAnsi="Times New Roman" w:cs="Times New Roman" w:hint="eastAsia"/>
          <w:color w:val="000000"/>
          <w:sz w:val="24"/>
          <w:szCs w:val="24"/>
          <w:lang w:val="en-US" w:eastAsia="zh-CN"/>
        </w:rPr>
        <w:t>水平</w:t>
      </w:r>
      <w:r>
        <w:rPr>
          <w:rFonts w:ascii="Times New Roman" w:eastAsia="仿宋" w:hAnsi="Times New Roman" w:cs="Times New Roman" w:hint="default"/>
          <w:color w:val="000000"/>
          <w:sz w:val="24"/>
          <w:szCs w:val="24"/>
          <w:lang w:val="en-US" w:eastAsia="zh-CN"/>
        </w:rPr>
        <w:t>和食用习惯</w:t>
      </w:r>
      <w:r>
        <w:rPr>
          <w:rFonts w:ascii="Times New Roman" w:eastAsia="仿宋" w:hAnsi="Times New Roman" w:cs="Times New Roman" w:hint="eastAsia"/>
          <w:color w:val="000000"/>
          <w:sz w:val="24"/>
          <w:szCs w:val="24"/>
          <w:lang w:val="en-US" w:eastAsia="zh-CN"/>
        </w:rPr>
        <w:t>对折耳根</w:t>
      </w:r>
      <w:r>
        <w:rPr>
          <w:rFonts w:ascii="Times New Roman" w:eastAsia="仿宋" w:hAnsi="Times New Roman" w:cs="Times New Roman" w:hint="default"/>
          <w:color w:val="000000"/>
          <w:sz w:val="24"/>
          <w:szCs w:val="24"/>
          <w:lang w:val="en-US" w:eastAsia="zh-CN"/>
        </w:rPr>
        <w:t>开展了</w:t>
      </w:r>
      <w:r>
        <w:rPr>
          <w:rFonts w:ascii="Times New Roman" w:eastAsia="仿宋" w:hAnsi="Times New Roman" w:cs="Times New Roman" w:hint="default"/>
          <w:color w:val="000000"/>
          <w:sz w:val="24"/>
          <w:szCs w:val="24"/>
        </w:rPr>
        <w:t>膳食重金属</w:t>
      </w:r>
      <w:r>
        <w:rPr>
          <w:rFonts w:ascii="Times New Roman" w:eastAsia="仿宋" w:hAnsi="Times New Roman" w:cs="Times New Roman" w:hint="default"/>
          <w:color w:val="000000"/>
          <w:sz w:val="24"/>
          <w:szCs w:val="24"/>
          <w:lang w:val="en-US" w:eastAsia="zh-CN"/>
        </w:rPr>
        <w:t>的</w:t>
      </w:r>
      <w:r>
        <w:rPr>
          <w:rFonts w:ascii="Times New Roman" w:eastAsia="仿宋" w:hAnsi="Times New Roman" w:cs="Times New Roman" w:hint="default"/>
          <w:color w:val="000000"/>
          <w:sz w:val="24"/>
          <w:szCs w:val="24"/>
        </w:rPr>
        <w:t>暴露风险评估</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为折耳根</w:t>
      </w:r>
      <w:r>
        <w:rPr>
          <w:rFonts w:ascii="Times New Roman" w:eastAsia="仿宋" w:hAnsi="Times New Roman" w:cs="Times New Roman" w:hint="eastAsia"/>
          <w:color w:val="000000"/>
          <w:sz w:val="24"/>
          <w:szCs w:val="24"/>
          <w:lang w:val="en-US" w:eastAsia="zh-CN"/>
        </w:rPr>
        <w:t>食用是否安全和可能对健康造成的危害提供科学依据</w:t>
      </w:r>
      <w:r>
        <w:rPr>
          <w:rFonts w:ascii="Times New Roman" w:eastAsia="仿宋" w:hAnsi="Times New Roman" w:cs="Times New Roman" w:hint="default"/>
          <w:color w:val="000000"/>
          <w:sz w:val="24"/>
          <w:szCs w:val="24"/>
          <w:lang w:val="en-US" w:eastAsia="zh-CN"/>
        </w:rPr>
        <w:t>。</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rPr>
      </w:pPr>
      <w:bookmarkStart w:id="4" w:name="_Toc14890"/>
      <w:r>
        <w:rPr>
          <w:rFonts w:ascii="Times New Roman" w:eastAsia="仿宋" w:hAnsi="Times New Roman" w:cs="Times New Roman" w:hint="default"/>
          <w:sz w:val="28"/>
          <w:szCs w:val="28"/>
        </w:rPr>
        <w:t>（二）制定</w:t>
      </w:r>
      <w:r>
        <w:rPr>
          <w:rFonts w:ascii="Times New Roman" w:eastAsia="仿宋" w:hAnsi="Times New Roman" w:cs="Times New Roman" w:hint="default"/>
          <w:sz w:val="28"/>
          <w:szCs w:val="28"/>
          <w:lang w:val="en-US" w:eastAsia="zh-CN"/>
        </w:rPr>
        <w:t>折耳根</w:t>
      </w:r>
      <w:r>
        <w:rPr>
          <w:rFonts w:ascii="Times New Roman" w:eastAsia="仿宋" w:hAnsi="Times New Roman" w:cs="Times New Roman" w:hint="default"/>
          <w:sz w:val="28"/>
          <w:szCs w:val="28"/>
        </w:rPr>
        <w:t>食品安全地方</w:t>
      </w:r>
      <w:r>
        <w:rPr>
          <w:rFonts w:ascii="Times New Roman" w:eastAsia="仿宋" w:hAnsi="Times New Roman" w:cs="Times New Roman" w:hint="default"/>
          <w:color w:val="auto"/>
          <w:sz w:val="28"/>
          <w:szCs w:val="28"/>
        </w:rPr>
        <w:t>标准的必要性和意义</w:t>
      </w:r>
      <w:bookmarkEnd w:id="4"/>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color w:val="auto"/>
          <w:sz w:val="28"/>
          <w:szCs w:val="28"/>
        </w:rPr>
      </w:pPr>
      <w:r>
        <w:rPr>
          <w:rFonts w:ascii="Times New Roman" w:eastAsia="仿宋" w:hAnsi="Times New Roman" w:cs="Times New Roman" w:hint="default"/>
          <w:b/>
          <w:bCs/>
          <w:color w:val="auto"/>
          <w:sz w:val="28"/>
          <w:szCs w:val="28"/>
          <w:lang w:val="en-US" w:eastAsia="zh-CN"/>
        </w:rPr>
        <w:t>1、</w:t>
      </w:r>
      <w:r>
        <w:rPr>
          <w:rFonts w:ascii="Times New Roman" w:eastAsia="仿宋" w:hAnsi="Times New Roman" w:cs="Times New Roman" w:hint="eastAsia"/>
          <w:b/>
          <w:bCs/>
          <w:color w:val="auto"/>
          <w:sz w:val="28"/>
          <w:szCs w:val="28"/>
          <w:lang w:val="en-US" w:eastAsia="zh-CN"/>
        </w:rPr>
        <w:t>鲜折耳根</w:t>
      </w:r>
      <w:r>
        <w:rPr>
          <w:rFonts w:ascii="Times New Roman" w:eastAsia="仿宋" w:hAnsi="Times New Roman" w:cs="Times New Roman" w:hint="default"/>
          <w:b/>
          <w:bCs/>
          <w:color w:val="auto"/>
          <w:sz w:val="28"/>
          <w:szCs w:val="28"/>
          <w:lang w:val="en-US" w:eastAsia="zh-CN"/>
        </w:rPr>
        <w:t>使用《中国药典》中重金属及有害元素一致性限量指导值判</w:t>
      </w:r>
      <w:r>
        <w:rPr>
          <w:rFonts w:ascii="Times New Roman" w:eastAsia="仿宋" w:hAnsi="Times New Roman" w:cs="Times New Roman" w:hint="eastAsia"/>
          <w:b/>
          <w:bCs/>
          <w:color w:val="auto"/>
          <w:sz w:val="28"/>
          <w:szCs w:val="28"/>
          <w:lang w:val="en-US" w:eastAsia="zh-CN"/>
        </w:rPr>
        <w:t>定</w:t>
      </w:r>
      <w:r>
        <w:rPr>
          <w:rFonts w:ascii="Times New Roman" w:eastAsia="仿宋" w:hAnsi="Times New Roman" w:cs="Times New Roman" w:hint="default"/>
          <w:b/>
          <w:bCs/>
          <w:color w:val="auto"/>
          <w:sz w:val="28"/>
          <w:szCs w:val="28"/>
          <w:lang w:val="en-US" w:eastAsia="zh-CN"/>
        </w:rPr>
        <w:t>折耳根膳食摄入是否安全不</w:t>
      </w:r>
      <w:r>
        <w:rPr>
          <w:rFonts w:ascii="Times New Roman" w:eastAsia="仿宋" w:hAnsi="Times New Roman" w:cs="Times New Roman" w:hint="eastAsia"/>
          <w:b/>
          <w:bCs/>
          <w:color w:val="auto"/>
          <w:sz w:val="28"/>
          <w:szCs w:val="28"/>
          <w:lang w:val="en-US" w:eastAsia="zh-CN"/>
        </w:rPr>
        <w:t>严谨</w:t>
      </w:r>
      <w:r>
        <w:rPr>
          <w:rFonts w:ascii="Times New Roman" w:eastAsia="仿宋" w:hAnsi="Times New Roman" w:cs="Times New Roman" w:hint="default"/>
          <w:b/>
          <w:bCs/>
          <w:color w:val="auto"/>
          <w:sz w:val="28"/>
          <w:szCs w:val="28"/>
          <w:lang w:val="en-US" w:eastAsia="zh-CN"/>
        </w:rPr>
        <w:t>。</w:t>
      </w:r>
    </w:p>
    <w:p>
      <w:pPr>
        <w:pStyle w:val="Footer"/>
        <w:spacing w:line="360" w:lineRule="auto"/>
        <w:ind w:firstLine="480" w:firstLineChars="200"/>
        <w:jc w:val="both"/>
        <w:rPr>
          <w:rFonts w:ascii="Times New Roman" w:eastAsia="仿宋" w:hAnsi="Times New Roman" w:cs="Times New Roman" w:hint="default"/>
          <w:color w:val="000000"/>
          <w:sz w:val="24"/>
          <w:szCs w:val="24"/>
          <w:lang w:val="en-US" w:eastAsia="zh-CN"/>
        </w:rPr>
        <w:sectPr>
          <w:footerReference w:type="default" r:id="rId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3"/>
          <w:cols w:num="1" w:space="720"/>
          <w:titlePg w:val="0"/>
          <w:docGrid w:type="lines" w:linePitch="312" w:charSpace="0"/>
        </w:sectPr>
      </w:pPr>
      <w:r>
        <w:rPr>
          <w:rFonts w:ascii="Times New Roman" w:eastAsia="仿宋" w:hAnsi="Times New Roman" w:cs="Times New Roman" w:hint="default"/>
          <w:color w:val="000000"/>
          <w:sz w:val="24"/>
          <w:szCs w:val="24"/>
          <w:lang w:val="en-US" w:eastAsia="zh-CN"/>
        </w:rPr>
        <w:t>《中国药典》</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2020版</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中药材</w:t>
      </w:r>
      <w:r>
        <w:rPr>
          <w:rFonts w:ascii="Times New Roman" w:eastAsia="仿宋" w:hAnsi="Times New Roman" w:cs="Times New Roman" w:hint="eastAsia"/>
          <w:color w:val="000000"/>
          <w:sz w:val="24"/>
          <w:szCs w:val="24"/>
          <w:lang w:val="en-US" w:eastAsia="zh-CN"/>
        </w:rPr>
        <w:t>/饮片收载有</w:t>
      </w:r>
      <w:r>
        <w:rPr>
          <w:rFonts w:ascii="Times New Roman" w:eastAsia="仿宋" w:hAnsi="Times New Roman" w:cs="Times New Roman" w:hint="default"/>
          <w:color w:val="000000"/>
          <w:sz w:val="24"/>
          <w:szCs w:val="24"/>
          <w:lang w:val="en-US" w:eastAsia="zh-CN"/>
        </w:rPr>
        <w:t>鱼腥草</w:t>
      </w:r>
      <w:r>
        <w:rPr>
          <w:rFonts w:ascii="Times New Roman" w:eastAsia="仿宋" w:hAnsi="Times New Roman" w:cs="Times New Roman" w:hint="eastAsia"/>
          <w:color w:val="000000"/>
          <w:sz w:val="24"/>
          <w:szCs w:val="24"/>
          <w:lang w:val="en-US" w:eastAsia="zh-CN"/>
        </w:rPr>
        <w:t>，</w:t>
      </w:r>
      <w:r>
        <w:rPr>
          <w:rFonts w:ascii="Times New Roman" w:eastAsia="仿宋" w:hAnsi="Times New Roman" w:cs="Times New Roman" w:hint="default"/>
          <w:color w:val="000000"/>
          <w:sz w:val="24"/>
          <w:szCs w:val="24"/>
          <w:lang w:val="en-US" w:eastAsia="zh-CN"/>
        </w:rPr>
        <w:t>药材用鱼腥草常为夏季茎叶茂盛花穗多时采割，去除杂质，晒干</w:t>
      </w:r>
      <w:r>
        <w:rPr>
          <w:rFonts w:ascii="Times New Roman" w:eastAsia="仿宋" w:hAnsi="Times New Roman" w:cs="Times New Roman" w:hint="eastAsia"/>
          <w:color w:val="000000"/>
          <w:sz w:val="24"/>
          <w:szCs w:val="24"/>
          <w:lang w:val="en-US" w:eastAsia="zh-CN"/>
        </w:rPr>
        <w:t>的</w:t>
      </w:r>
      <w:r>
        <w:rPr>
          <w:rFonts w:ascii="Times New Roman" w:eastAsia="仿宋" w:hAnsi="Times New Roman" w:cs="Times New Roman" w:hint="default"/>
          <w:color w:val="000000"/>
          <w:sz w:val="24"/>
          <w:szCs w:val="24"/>
          <w:lang w:val="en-US" w:eastAsia="zh-CN"/>
        </w:rPr>
        <w:t>干品。药典中推荐药材中重金属及有害元素一致性限量指导值分别为铅不得超过5mg/kg，镉不得超过1mg/kg，砷不得超过2mg/kg，汞不得超过0.2mg/kg，铜不得超过20mg/kg。</w:t>
      </w:r>
      <w:r>
        <w:rPr>
          <w:rFonts w:ascii="Times New Roman" w:eastAsia="仿宋" w:hAnsi="Times New Roman" w:cs="Times New Roman" w:hint="default"/>
          <w:sz w:val="24"/>
          <w:szCs w:val="24"/>
          <w:lang w:val="en-US" w:eastAsia="zh-CN"/>
        </w:rPr>
        <w:t>药用鱼腥草主要使用干品提取制备成药液，鱼腥草植株中的重金属并非完全转化或迁移到提取液中，存在一定的转化比例，且为治病而短期食用；折耳根作为地方特色蔬菜食用，主要食用折耳根的根且为鲜品</w:t>
      </w:r>
      <w:r>
        <w:rPr>
          <w:rFonts w:ascii="Times New Roman" w:eastAsia="仿宋" w:hAnsi="Times New Roman" w:cs="Times New Roman" w:hint="default"/>
          <w:color w:val="000000"/>
          <w:sz w:val="24"/>
          <w:szCs w:val="24"/>
          <w:lang w:val="en-US" w:eastAsia="zh-CN"/>
        </w:rPr>
        <w:t>为主，膳食摄入的折耳根中的重金属及有害元素全部进入人体，因此，折耳根作为</w:t>
      </w:r>
    </w:p>
    <w:p>
      <w:pPr>
        <w:pStyle w:val="Footer"/>
        <w:spacing w:line="360" w:lineRule="auto"/>
        <w:ind w:firstLine="480" w:firstLineChars="200"/>
        <w:jc w:val="both"/>
        <w:rPr>
          <w:rFonts w:ascii="Times New Roman" w:eastAsia="仿宋" w:hAnsi="Times New Roman" w:cs="Times New Roman" w:hint="default"/>
          <w:color w:val="000000"/>
          <w:sz w:val="24"/>
          <w:szCs w:val="24"/>
          <w:lang w:val="en-US" w:eastAsia="zh-CN"/>
        </w:rPr>
      </w:pPr>
      <w:r>
        <w:rPr>
          <w:rFonts w:ascii="Times New Roman" w:eastAsia="仿宋" w:hAnsi="Times New Roman" w:cs="Times New Roman" w:hint="default"/>
          <w:sz w:val="24"/>
          <w:szCs w:val="24"/>
          <w:lang w:val="en-US" w:eastAsia="zh-CN"/>
        </w:rPr>
        <w:t>“地方特色蔬菜”与药用折耳根的食用方式、食用量、食用周期、干湿品重金属含量等具有显著差异，</w:t>
      </w:r>
      <w:r>
        <w:rPr>
          <w:rFonts w:ascii="Times New Roman" w:eastAsia="仿宋" w:hAnsi="Times New Roman" w:cs="Times New Roman" w:hint="default"/>
          <w:color w:val="000000"/>
          <w:sz w:val="24"/>
          <w:szCs w:val="24"/>
          <w:lang w:val="en-US" w:eastAsia="zh-CN"/>
        </w:rPr>
        <w:t>使用药典中的药材重金属及有害元素一致性限量指导值来判断作蔬菜食用折耳根是否安全不</w:t>
      </w:r>
      <w:r>
        <w:rPr>
          <w:rFonts w:ascii="Times New Roman" w:eastAsia="仿宋" w:hAnsi="Times New Roman" w:cs="Times New Roman" w:hint="eastAsia"/>
          <w:color w:val="000000"/>
          <w:sz w:val="24"/>
          <w:szCs w:val="24"/>
          <w:lang w:val="en-US" w:eastAsia="zh-CN"/>
        </w:rPr>
        <w:t>严谨</w:t>
      </w:r>
      <w:r>
        <w:rPr>
          <w:rFonts w:ascii="Times New Roman" w:eastAsia="仿宋" w:hAnsi="Times New Roman" w:cs="Times New Roman" w:hint="default"/>
          <w:color w:val="000000"/>
          <w:sz w:val="24"/>
          <w:szCs w:val="24"/>
          <w:lang w:val="en-US" w:eastAsia="zh-CN"/>
        </w:rPr>
        <w:t>，需进一步开展膳食暴露评估，确定合理</w:t>
      </w:r>
      <w:r>
        <w:rPr>
          <w:rFonts w:ascii="Times New Roman" w:eastAsia="仿宋" w:hAnsi="Times New Roman" w:cs="Times New Roman" w:hint="eastAsia"/>
          <w:color w:val="000000"/>
          <w:sz w:val="24"/>
          <w:szCs w:val="24"/>
          <w:lang w:val="en-US" w:eastAsia="zh-CN"/>
        </w:rPr>
        <w:t>污染物控制</w:t>
      </w:r>
      <w:r>
        <w:rPr>
          <w:rFonts w:ascii="Times New Roman" w:eastAsia="仿宋" w:hAnsi="Times New Roman" w:cs="Times New Roman" w:hint="default"/>
          <w:color w:val="000000"/>
          <w:sz w:val="24"/>
          <w:szCs w:val="24"/>
          <w:lang w:val="en-US" w:eastAsia="zh-CN"/>
        </w:rPr>
        <w:t>限量值</w:t>
      </w:r>
      <w:r>
        <w:rPr>
          <w:rFonts w:ascii="Times New Roman" w:eastAsia="仿宋" w:hAnsi="Times New Roman" w:cs="Times New Roman" w:hint="eastAsia"/>
          <w:color w:val="000000"/>
          <w:sz w:val="24"/>
          <w:szCs w:val="24"/>
          <w:lang w:val="en-US" w:eastAsia="zh-CN"/>
        </w:rPr>
        <w:t>，</w:t>
      </w:r>
      <w:r>
        <w:rPr>
          <w:rFonts w:ascii="Times New Roman" w:eastAsia="仿宋" w:hAnsi="Times New Roman" w:cs="Times New Roman" w:hint="default"/>
          <w:color w:val="000000"/>
          <w:sz w:val="24"/>
          <w:szCs w:val="24"/>
          <w:lang w:val="en-US" w:eastAsia="zh-CN"/>
        </w:rPr>
        <w:t>制定折耳根</w:t>
      </w:r>
      <w:r>
        <w:rPr>
          <w:rFonts w:ascii="Times New Roman" w:eastAsia="仿宋" w:hAnsi="Times New Roman" w:cs="Times New Roman" w:hint="eastAsia"/>
          <w:color w:val="000000"/>
          <w:sz w:val="24"/>
          <w:szCs w:val="24"/>
          <w:lang w:val="en-US" w:eastAsia="zh-CN"/>
        </w:rPr>
        <w:t>鲜品的</w:t>
      </w:r>
      <w:r>
        <w:rPr>
          <w:rFonts w:ascii="Times New Roman" w:eastAsia="仿宋" w:hAnsi="Times New Roman" w:cs="Times New Roman" w:hint="default"/>
          <w:color w:val="000000"/>
          <w:sz w:val="24"/>
          <w:szCs w:val="24"/>
          <w:lang w:val="en-US" w:eastAsia="zh-CN"/>
        </w:rPr>
        <w:t>食品安全地方标准，确保作为地域特色蔬菜食用的安全性。</w:t>
      </w:r>
    </w:p>
    <w:p>
      <w:pPr>
        <w:keepNext w:val="0"/>
        <w:keepLines w:val="0"/>
        <w:pageBreakBefore w:val="0"/>
        <w:widowControl w:val="0"/>
        <w:numPr>
          <w:ilvl w:val="0"/>
          <w:numId w:val="6"/>
        </w:numPr>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color w:val="auto"/>
          <w:sz w:val="28"/>
          <w:szCs w:val="28"/>
        </w:rPr>
      </w:pPr>
      <w:r>
        <w:rPr>
          <w:rFonts w:ascii="Times New Roman" w:eastAsia="仿宋" w:hAnsi="Times New Roman" w:cs="Times New Roman" w:hint="eastAsia"/>
          <w:b/>
          <w:bCs/>
          <w:color w:val="auto"/>
          <w:sz w:val="28"/>
          <w:szCs w:val="28"/>
          <w:lang w:val="en-US" w:eastAsia="zh-CN"/>
        </w:rPr>
        <w:t>鲜折耳根</w:t>
      </w:r>
      <w:r>
        <w:rPr>
          <w:rFonts w:ascii="Times New Roman" w:eastAsia="仿宋" w:hAnsi="Times New Roman" w:cs="Times New Roman" w:hint="default"/>
          <w:b/>
          <w:bCs/>
          <w:color w:val="auto"/>
          <w:sz w:val="28"/>
          <w:szCs w:val="28"/>
          <w:lang w:val="en-US" w:eastAsia="zh-CN"/>
        </w:rPr>
        <w:t>使用《食品安全国家标准 食品中污染物限量》（GB 2762）中根茎类或叶类蔬菜判断折耳根是否合格不科学。</w:t>
      </w:r>
    </w:p>
    <w:p>
      <w:pPr>
        <w:pStyle w:val="Footer"/>
        <w:spacing w:line="360" w:lineRule="auto"/>
        <w:ind w:firstLine="480" w:firstLineChars="200"/>
        <w:jc w:val="both"/>
        <w:rPr>
          <w:rFonts w:ascii="Times New Roman" w:eastAsia="仿宋" w:hAnsi="Times New Roman" w:cs="Times New Roman" w:hint="default"/>
          <w:sz w:val="24"/>
          <w:szCs w:val="24"/>
          <w:lang w:val="en-US" w:eastAsia="zh-CN"/>
        </w:rPr>
      </w:pPr>
      <w:r>
        <w:rPr>
          <w:rFonts w:ascii="Times New Roman" w:eastAsia="仿宋" w:hAnsi="Times New Roman" w:cs="Times New Roman" w:hint="default"/>
          <w:sz w:val="24"/>
          <w:szCs w:val="24"/>
          <w:lang w:val="en-US" w:eastAsia="zh-CN"/>
        </w:rPr>
        <w:t>折耳根具有明显地域特色</w:t>
      </w:r>
      <w:r>
        <w:rPr>
          <w:rFonts w:ascii="Times New Roman" w:eastAsia="仿宋" w:hAnsi="Times New Roman" w:cs="Times New Roman" w:hint="eastAsia"/>
          <w:sz w:val="24"/>
          <w:szCs w:val="24"/>
          <w:lang w:val="en-US" w:eastAsia="zh-CN"/>
        </w:rPr>
        <w:t>类</w:t>
      </w:r>
      <w:r>
        <w:rPr>
          <w:rFonts w:ascii="Times New Roman" w:eastAsia="仿宋" w:hAnsi="Times New Roman" w:cs="Times New Roman" w:hint="default"/>
          <w:sz w:val="24"/>
          <w:szCs w:val="24"/>
          <w:lang w:val="en-US" w:eastAsia="zh-CN"/>
        </w:rPr>
        <w:t>“蔬菜”，针对折耳根国家没有单独制定食品安全国家限量标准，其它省份</w:t>
      </w:r>
      <w:r>
        <w:rPr>
          <w:rFonts w:ascii="Times New Roman" w:eastAsia="仿宋" w:hAnsi="Times New Roman" w:cs="Times New Roman" w:hint="eastAsia"/>
          <w:sz w:val="24"/>
          <w:szCs w:val="24"/>
          <w:lang w:val="en-US" w:eastAsia="zh-CN"/>
        </w:rPr>
        <w:t>亦未</w:t>
      </w:r>
      <w:r>
        <w:rPr>
          <w:rFonts w:ascii="Times New Roman" w:eastAsia="仿宋" w:hAnsi="Times New Roman" w:cs="Times New Roman" w:hint="default"/>
          <w:sz w:val="24"/>
          <w:szCs w:val="24"/>
          <w:lang w:val="en-US" w:eastAsia="zh-CN"/>
        </w:rPr>
        <w:t>制定折耳根食品安全地方标准。</w:t>
      </w:r>
      <w:r>
        <w:rPr>
          <w:rFonts w:ascii="Times New Roman" w:eastAsia="仿宋" w:hAnsi="Times New Roman" w:cs="Times New Roman" w:hint="eastAsia"/>
          <w:sz w:val="24"/>
          <w:szCs w:val="24"/>
          <w:lang w:val="en-US" w:eastAsia="zh-CN"/>
        </w:rPr>
        <w:t>国家针对</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eastAsia"/>
          <w:sz w:val="24"/>
          <w:szCs w:val="24"/>
          <w:lang w:val="en-US" w:eastAsia="zh-CN"/>
        </w:rPr>
        <w:t>风险</w:t>
      </w:r>
      <w:r>
        <w:rPr>
          <w:rFonts w:ascii="Times New Roman" w:eastAsia="仿宋" w:hAnsi="Times New Roman" w:cs="Times New Roman" w:hint="default"/>
          <w:sz w:val="24"/>
          <w:szCs w:val="24"/>
          <w:lang w:val="en-US" w:eastAsia="zh-CN"/>
        </w:rPr>
        <w:t>监测重金属含量“是否合格”结果判定</w:t>
      </w:r>
      <w:r>
        <w:rPr>
          <w:rFonts w:ascii="Times New Roman" w:eastAsia="仿宋" w:hAnsi="Times New Roman" w:cs="Times New Roman" w:hint="eastAsia"/>
          <w:sz w:val="24"/>
          <w:szCs w:val="24"/>
          <w:lang w:val="en-US" w:eastAsia="zh-CN"/>
        </w:rPr>
        <w:t>均是</w:t>
      </w:r>
      <w:r>
        <w:rPr>
          <w:rFonts w:ascii="Times New Roman" w:eastAsia="仿宋" w:hAnsi="Times New Roman" w:cs="Times New Roman" w:hint="default"/>
          <w:sz w:val="24"/>
          <w:szCs w:val="24"/>
          <w:lang w:val="en-US" w:eastAsia="zh-CN"/>
        </w:rPr>
        <w:t>设置</w:t>
      </w:r>
      <w:r>
        <w:rPr>
          <w:rFonts w:ascii="Times New Roman" w:eastAsia="仿宋" w:hAnsi="Times New Roman" w:cs="Times New Roman" w:hint="eastAsia"/>
          <w:sz w:val="24"/>
          <w:szCs w:val="24"/>
          <w:lang w:val="en-US" w:eastAsia="zh-CN"/>
        </w:rPr>
        <w:t>“</w:t>
      </w:r>
      <w:r>
        <w:rPr>
          <w:rFonts w:ascii="Times New Roman" w:eastAsia="仿宋" w:hAnsi="Times New Roman" w:cs="Times New Roman" w:hint="default"/>
          <w:sz w:val="24"/>
          <w:szCs w:val="24"/>
          <w:lang w:val="en-US" w:eastAsia="zh-CN"/>
        </w:rPr>
        <w:t>临时限量值</w:t>
      </w:r>
      <w:r>
        <w:rPr>
          <w:rFonts w:ascii="Times New Roman" w:eastAsia="仿宋" w:hAnsi="Times New Roman" w:cs="Times New Roman" w:hint="eastAsia"/>
          <w:sz w:val="24"/>
          <w:szCs w:val="24"/>
          <w:lang w:val="en-US" w:eastAsia="zh-CN"/>
        </w:rPr>
        <w:t>”</w:t>
      </w:r>
      <w:r>
        <w:rPr>
          <w:rFonts w:ascii="Times New Roman" w:eastAsia="仿宋" w:hAnsi="Times New Roman" w:cs="Times New Roman" w:hint="default"/>
          <w:sz w:val="24"/>
          <w:szCs w:val="24"/>
          <w:lang w:val="en-US" w:eastAsia="zh-CN"/>
        </w:rPr>
        <w:t>，</w:t>
      </w:r>
      <w:r>
        <w:rPr>
          <w:rFonts w:ascii="Times New Roman" w:eastAsia="仿宋" w:hAnsi="Times New Roman" w:cs="Times New Roman" w:hint="eastAsia"/>
          <w:sz w:val="24"/>
          <w:szCs w:val="24"/>
          <w:lang w:val="en-US" w:eastAsia="zh-CN"/>
        </w:rPr>
        <w:t>主要</w:t>
      </w:r>
      <w:r>
        <w:rPr>
          <w:rFonts w:ascii="Times New Roman" w:eastAsia="仿宋" w:hAnsi="Times New Roman" w:cs="Times New Roman" w:hint="default"/>
          <w:sz w:val="24"/>
          <w:szCs w:val="24"/>
          <w:lang w:val="en-US" w:eastAsia="zh-CN"/>
        </w:rPr>
        <w:t>参照</w:t>
      </w:r>
      <w:r>
        <w:rPr>
          <w:rFonts w:ascii="Times New Roman" w:eastAsia="仿宋" w:hAnsi="Times New Roman" w:hint="default"/>
          <w:sz w:val="24"/>
          <w:szCs w:val="24"/>
        </w:rPr>
        <w:t>《食品安全国家标准 食品中污染物限量》（GB 2762</w:t>
      </w:r>
      <w:r>
        <w:rPr>
          <w:rFonts w:ascii="Times New Roman" w:eastAsia="仿宋" w:hAnsi="Times New Roman" w:hint="eastAsia"/>
          <w:sz w:val="24"/>
          <w:szCs w:val="24"/>
          <w:lang w:val="en-US" w:eastAsia="zh-CN"/>
        </w:rPr>
        <w:t>-2022</w:t>
      </w:r>
      <w:r>
        <w:rPr>
          <w:rFonts w:ascii="Times New Roman" w:eastAsia="仿宋" w:hAnsi="Times New Roman" w:hint="default"/>
          <w:sz w:val="24"/>
          <w:szCs w:val="24"/>
        </w:rPr>
        <w:t>）</w:t>
      </w:r>
      <w:r>
        <w:rPr>
          <w:rFonts w:ascii="Times New Roman" w:eastAsia="仿宋" w:hAnsi="Times New Roman" w:cs="Times New Roman" w:hint="default"/>
          <w:sz w:val="24"/>
          <w:szCs w:val="24"/>
          <w:lang w:val="en-US" w:eastAsia="zh-CN"/>
        </w:rPr>
        <w:t>“蔬菜及其制品”类别中“叶类蔬菜”、“薯类”、“块根和块茎蔬菜”限量要求来判定。《食品安全国家标准 食品中污染物限量》“蔬菜及其制品”类别中“叶类蔬菜”主要指油麦菜、菠菜、卷心菜等，“薯类”和“块根和块茎蔬菜”通常是指红薯和土豆，而折耳根作为贵州地域特色蔬菜食用的</w:t>
      </w:r>
      <w:r>
        <w:rPr>
          <w:rFonts w:ascii="Times New Roman" w:eastAsia="仿宋" w:hAnsi="Times New Roman" w:cs="Times New Roman" w:hint="eastAsia"/>
          <w:sz w:val="24"/>
          <w:szCs w:val="24"/>
          <w:lang w:val="en-US" w:eastAsia="zh-CN"/>
        </w:rPr>
        <w:t>是</w:t>
      </w:r>
      <w:r>
        <w:rPr>
          <w:rFonts w:ascii="Times New Roman" w:eastAsia="仿宋" w:hAnsi="Times New Roman" w:cs="Times New Roman" w:hint="default"/>
          <w:sz w:val="24"/>
          <w:szCs w:val="24"/>
          <w:lang w:val="en-US" w:eastAsia="zh-CN"/>
        </w:rPr>
        <w:t>新鲜根，折耳根易于富集土壤中重金属铅、镉等元素，贵州属于典型喀斯特地貌特征，土壤重金属具有高背景值，导致折耳根中铅、镉</w:t>
      </w:r>
      <w:r>
        <w:rPr>
          <w:rFonts w:ascii="Times New Roman" w:eastAsia="仿宋" w:hAnsi="Times New Roman" w:cs="Times New Roman" w:hint="eastAsia"/>
          <w:sz w:val="24"/>
          <w:szCs w:val="24"/>
          <w:lang w:val="en-US" w:eastAsia="zh-CN"/>
        </w:rPr>
        <w:t>污染物残留绝对值相对</w:t>
      </w:r>
      <w:r>
        <w:rPr>
          <w:rFonts w:ascii="Times New Roman" w:eastAsia="仿宋" w:hAnsi="Times New Roman" w:cs="Times New Roman" w:hint="default"/>
          <w:sz w:val="24"/>
          <w:szCs w:val="24"/>
          <w:lang w:val="en-US" w:eastAsia="zh-CN"/>
        </w:rPr>
        <w:t>较高，但</w:t>
      </w:r>
      <w:r>
        <w:rPr>
          <w:rFonts w:ascii="Times New Roman" w:eastAsia="仿宋" w:hAnsi="Times New Roman" w:cs="Times New Roman" w:hint="eastAsia"/>
          <w:sz w:val="24"/>
          <w:szCs w:val="24"/>
          <w:lang w:val="en-US" w:eastAsia="zh-CN"/>
        </w:rPr>
        <w:t>结合</w:t>
      </w:r>
      <w:r>
        <w:rPr>
          <w:rFonts w:ascii="Times New Roman" w:eastAsia="仿宋" w:hAnsi="Times New Roman" w:cs="Times New Roman" w:hint="default"/>
          <w:sz w:val="24"/>
          <w:szCs w:val="24"/>
          <w:lang w:val="en-US" w:eastAsia="zh-CN"/>
        </w:rPr>
        <w:t>折耳根膳食</w:t>
      </w:r>
      <w:r>
        <w:rPr>
          <w:rFonts w:ascii="Times New Roman" w:eastAsia="仿宋" w:hAnsi="Times New Roman" w:cs="Times New Roman" w:hint="eastAsia"/>
          <w:sz w:val="24"/>
          <w:szCs w:val="24"/>
          <w:lang w:val="en-US" w:eastAsia="zh-CN"/>
        </w:rPr>
        <w:t>摄入水平考量（95%人群≤25g/d，平均值为12.3g/d），其摄入</w:t>
      </w:r>
      <w:r>
        <w:rPr>
          <w:rFonts w:ascii="Times New Roman" w:eastAsia="仿宋" w:hAnsi="Times New Roman" w:cs="Times New Roman" w:hint="default"/>
          <w:sz w:val="24"/>
          <w:szCs w:val="24"/>
          <w:lang w:val="en-US" w:eastAsia="zh-CN"/>
        </w:rPr>
        <w:t>量远低于《中国膳食指南》新鲜蔬菜300g</w:t>
      </w:r>
      <w:r>
        <w:rPr>
          <w:rFonts w:ascii="Times New Roman" w:eastAsia="仿宋" w:hAnsi="Times New Roman" w:cs="Times New Roman" w:hint="eastAsia"/>
          <w:sz w:val="24"/>
          <w:szCs w:val="24"/>
          <w:lang w:val="en-US" w:eastAsia="zh-CN"/>
        </w:rPr>
        <w:t>/d</w:t>
      </w:r>
      <w:r>
        <w:rPr>
          <w:rFonts w:ascii="Times New Roman" w:eastAsia="仿宋" w:hAnsi="Times New Roman" w:cs="Times New Roman" w:hint="default"/>
          <w:sz w:val="24"/>
          <w:szCs w:val="24"/>
          <w:lang w:val="en-US" w:eastAsia="zh-CN"/>
        </w:rPr>
        <w:t>的推荐食用量，</w:t>
      </w:r>
      <w:r>
        <w:rPr>
          <w:rFonts w:ascii="Times New Roman" w:eastAsia="仿宋" w:hAnsi="Times New Roman" w:cs="Times New Roman" w:hint="eastAsia"/>
          <w:sz w:val="24"/>
          <w:szCs w:val="24"/>
          <w:lang w:val="en-US" w:eastAsia="zh-CN"/>
        </w:rPr>
        <w:t>与典型的</w:t>
      </w:r>
      <w:r>
        <w:rPr>
          <w:rFonts w:ascii="Times New Roman" w:eastAsia="仿宋" w:hAnsi="Times New Roman" w:cs="Times New Roman" w:hint="default"/>
          <w:sz w:val="24"/>
          <w:szCs w:val="24"/>
          <w:lang w:val="en-US" w:eastAsia="zh-CN"/>
        </w:rPr>
        <w:t>块根块茎类红薯和土豆膳食摄入水平</w:t>
      </w:r>
      <w:r>
        <w:rPr>
          <w:rFonts w:ascii="Times New Roman" w:eastAsia="仿宋" w:hAnsi="Times New Roman" w:cs="Times New Roman" w:hint="eastAsia"/>
          <w:sz w:val="24"/>
          <w:szCs w:val="24"/>
          <w:lang w:val="en-US" w:eastAsia="zh-CN"/>
        </w:rPr>
        <w:t>相比，</w:t>
      </w:r>
      <w:r>
        <w:rPr>
          <w:rFonts w:ascii="Times New Roman" w:eastAsia="仿宋" w:hAnsi="Times New Roman" w:cs="Times New Roman" w:hint="default"/>
          <w:sz w:val="24"/>
          <w:szCs w:val="24"/>
          <w:lang w:val="en-US" w:eastAsia="zh-CN"/>
        </w:rPr>
        <w:t>折耳根（鱼腥草）</w:t>
      </w:r>
      <w:r>
        <w:rPr>
          <w:rFonts w:ascii="Times New Roman" w:eastAsia="仿宋" w:hAnsi="Times New Roman" w:cs="Times New Roman" w:hint="eastAsia"/>
          <w:sz w:val="24"/>
          <w:szCs w:val="24"/>
          <w:lang w:val="en-US" w:eastAsia="zh-CN"/>
        </w:rPr>
        <w:t>膳食摄入亦</w:t>
      </w:r>
      <w:r>
        <w:rPr>
          <w:rFonts w:ascii="Times New Roman" w:eastAsia="仿宋" w:hAnsi="Times New Roman" w:cs="Times New Roman" w:hint="default"/>
          <w:sz w:val="24"/>
          <w:szCs w:val="24"/>
          <w:lang w:val="en-US" w:eastAsia="zh-CN"/>
        </w:rPr>
        <w:t>不在同一水平，因此，</w:t>
      </w:r>
      <w:r>
        <w:rPr>
          <w:rFonts w:ascii="Times New Roman" w:eastAsia="仿宋" w:hAnsi="Times New Roman" w:cs="Times New Roman" w:hint="eastAsia"/>
          <w:sz w:val="24"/>
          <w:szCs w:val="24"/>
          <w:lang w:val="en-US" w:eastAsia="zh-CN"/>
        </w:rPr>
        <w:t>按照</w:t>
      </w:r>
      <w:r>
        <w:rPr>
          <w:rFonts w:ascii="Times New Roman" w:eastAsia="仿宋" w:hAnsi="Times New Roman" w:cs="Times New Roman" w:hint="default"/>
          <w:sz w:val="24"/>
          <w:szCs w:val="24"/>
          <w:lang w:val="en-US" w:eastAsia="zh-CN"/>
        </w:rPr>
        <w:t>《食品安全国家标准 食品中污染物限量》（GB 2762</w:t>
      </w:r>
      <w:r>
        <w:rPr>
          <w:rFonts w:ascii="Times New Roman" w:eastAsia="仿宋" w:hAnsi="Times New Roman" w:cs="Times New Roman" w:hint="eastAsia"/>
          <w:sz w:val="24"/>
          <w:szCs w:val="24"/>
          <w:lang w:val="en-US" w:eastAsia="zh-CN"/>
        </w:rPr>
        <w:t>-2022</w:t>
      </w:r>
      <w:r>
        <w:rPr>
          <w:rFonts w:ascii="Times New Roman" w:eastAsia="仿宋" w:hAnsi="Times New Roman" w:cs="Times New Roman" w:hint="default"/>
          <w:sz w:val="24"/>
          <w:szCs w:val="24"/>
          <w:lang w:val="en-US" w:eastAsia="zh-CN"/>
        </w:rPr>
        <w:t>）中“叶类蔬菜”、“薯类”、“块根和块茎蔬菜”限量要求来判定黔产折耳根中铅</w:t>
      </w:r>
      <w:r>
        <w:rPr>
          <w:rFonts w:ascii="Times New Roman" w:eastAsia="仿宋" w:hAnsi="Times New Roman" w:cs="Times New Roman" w:hint="eastAsia"/>
          <w:sz w:val="24"/>
          <w:szCs w:val="24"/>
          <w:lang w:val="en-US" w:eastAsia="zh-CN"/>
        </w:rPr>
        <w:t>、</w:t>
      </w:r>
      <w:r>
        <w:rPr>
          <w:rFonts w:ascii="Times New Roman" w:eastAsia="仿宋" w:hAnsi="Times New Roman" w:cs="Times New Roman" w:hint="default"/>
          <w:sz w:val="24"/>
          <w:szCs w:val="24"/>
          <w:lang w:val="en-US" w:eastAsia="zh-CN"/>
        </w:rPr>
        <w:t>镉含量“是否合格”是不科学的，</w:t>
      </w:r>
      <w:r>
        <w:rPr>
          <w:rFonts w:ascii="Times New Roman" w:eastAsia="仿宋" w:hAnsi="Times New Roman" w:cs="Times New Roman" w:hint="default"/>
          <w:color w:val="000000"/>
          <w:sz w:val="24"/>
          <w:szCs w:val="24"/>
          <w:lang w:val="en-US" w:eastAsia="zh-CN"/>
        </w:rPr>
        <w:t>会</w:t>
      </w:r>
      <w:r>
        <w:rPr>
          <w:rFonts w:ascii="Times New Roman" w:eastAsia="仿宋" w:hAnsi="Times New Roman" w:cs="Times New Roman" w:hint="eastAsia"/>
          <w:color w:val="000000"/>
          <w:sz w:val="24"/>
          <w:szCs w:val="24"/>
          <w:lang w:val="en-US" w:eastAsia="zh-CN"/>
        </w:rPr>
        <w:t>出现</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eastAsia"/>
          <w:color w:val="000000"/>
          <w:sz w:val="24"/>
          <w:szCs w:val="24"/>
          <w:lang w:val="en-US" w:eastAsia="zh-CN"/>
        </w:rPr>
        <w:t>“</w:t>
      </w:r>
      <w:r>
        <w:rPr>
          <w:rFonts w:ascii="Times New Roman" w:eastAsia="仿宋" w:hAnsi="Times New Roman" w:cs="Times New Roman" w:hint="default"/>
          <w:color w:val="000000"/>
          <w:sz w:val="24"/>
          <w:szCs w:val="24"/>
          <w:lang w:val="en-US" w:eastAsia="zh-CN"/>
        </w:rPr>
        <w:t>重金属超标</w:t>
      </w:r>
      <w:r>
        <w:rPr>
          <w:rFonts w:ascii="Times New Roman" w:eastAsia="仿宋" w:hAnsi="Times New Roman" w:cs="Times New Roman" w:hint="eastAsia"/>
          <w:color w:val="000000"/>
          <w:sz w:val="24"/>
          <w:szCs w:val="24"/>
          <w:lang w:val="en-US" w:eastAsia="zh-CN"/>
        </w:rPr>
        <w:t>”问题</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eastAsia"/>
          <w:color w:val="000000"/>
          <w:sz w:val="24"/>
          <w:szCs w:val="24"/>
          <w:lang w:val="en-US" w:eastAsia="zh-CN"/>
        </w:rPr>
        <w:t>出现折耳根</w:t>
      </w:r>
      <w:r>
        <w:rPr>
          <w:rFonts w:ascii="Times New Roman" w:eastAsia="仿宋" w:hAnsi="Times New Roman" w:cs="Times New Roman" w:hint="default"/>
          <w:color w:val="000000"/>
          <w:sz w:val="24"/>
          <w:szCs w:val="24"/>
          <w:lang w:val="en-US" w:eastAsia="zh-CN"/>
        </w:rPr>
        <w:t>“大多不合格”的“假象”，且易引起</w:t>
      </w:r>
      <w:r>
        <w:rPr>
          <w:rFonts w:ascii="Times New Roman" w:eastAsia="仿宋" w:hAnsi="Times New Roman" w:cs="Times New Roman" w:hint="eastAsia"/>
          <w:color w:val="000000"/>
          <w:sz w:val="24"/>
          <w:szCs w:val="24"/>
          <w:lang w:val="en-US" w:eastAsia="zh-CN"/>
        </w:rPr>
        <w:t>食品安全相关</w:t>
      </w:r>
      <w:r>
        <w:rPr>
          <w:rFonts w:ascii="Times New Roman" w:eastAsia="仿宋" w:hAnsi="Times New Roman" w:cs="Times New Roman" w:hint="default"/>
          <w:color w:val="000000"/>
          <w:sz w:val="24"/>
          <w:szCs w:val="24"/>
          <w:lang w:val="en-US" w:eastAsia="zh-CN"/>
        </w:rPr>
        <w:t>舆情，因此，</w:t>
      </w:r>
      <w:r>
        <w:rPr>
          <w:rFonts w:ascii="Times New Roman" w:eastAsia="仿宋" w:hAnsi="Times New Roman" w:cs="Times New Roman" w:hint="eastAsia"/>
          <w:color w:val="000000"/>
          <w:sz w:val="24"/>
          <w:szCs w:val="24"/>
          <w:lang w:val="en-US" w:eastAsia="zh-CN"/>
        </w:rPr>
        <w:t>针对</w:t>
      </w:r>
      <w:r>
        <w:rPr>
          <w:rFonts w:ascii="Times New Roman" w:eastAsia="仿宋" w:hAnsi="Times New Roman" w:cs="Times New Roman" w:hint="default"/>
          <w:color w:val="000000"/>
          <w:sz w:val="24"/>
          <w:szCs w:val="24"/>
          <w:lang w:val="en-US" w:eastAsia="zh-CN"/>
        </w:rPr>
        <w:t>黔产折耳根</w:t>
      </w:r>
      <w:r>
        <w:rPr>
          <w:rFonts w:ascii="Times New Roman" w:eastAsia="仿宋" w:hAnsi="Times New Roman" w:cs="Times New Roman" w:hint="eastAsia"/>
          <w:color w:val="000000"/>
          <w:sz w:val="24"/>
          <w:szCs w:val="24"/>
          <w:lang w:val="en-US" w:eastAsia="zh-CN"/>
        </w:rPr>
        <w:t>开展专项监测，根据监测结果开展风险评估，结合产业发展需要科学设定金属污染物限量指标、根据评估结果设定合理限制，制定发布</w:t>
      </w:r>
      <w:r>
        <w:rPr>
          <w:rFonts w:ascii="Times New Roman" w:eastAsia="仿宋" w:hAnsi="Times New Roman" w:cs="Times New Roman" w:hint="default"/>
          <w:color w:val="000000"/>
          <w:sz w:val="24"/>
          <w:szCs w:val="24"/>
          <w:lang w:val="en-US" w:eastAsia="zh-CN"/>
        </w:rPr>
        <w:t>折耳根食品安全地方标准，有效解决国家基础标准不能覆盖或不适用问题。</w:t>
      </w:r>
    </w:p>
    <w:p>
      <w:pPr>
        <w:keepNext w:val="0"/>
        <w:keepLines w:val="0"/>
        <w:pageBreakBefore w:val="0"/>
        <w:widowControl w:val="0"/>
        <w:numPr>
          <w:ilvl w:val="0"/>
          <w:numId w:val="6"/>
        </w:numPr>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color w:val="auto"/>
          <w:sz w:val="28"/>
          <w:szCs w:val="28"/>
        </w:rPr>
        <w:sectPr>
          <w:footerReference w:type="default" r:id="rId1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4"/>
          <w:cols w:num="1" w:space="720"/>
          <w:titlePg w:val="0"/>
          <w:docGrid w:type="lines" w:linePitch="312" w:charSpace="0"/>
        </w:sectPr>
      </w:pPr>
      <w:r>
        <w:rPr>
          <w:rFonts w:ascii="Times New Roman" w:eastAsia="仿宋" w:hAnsi="Times New Roman" w:cs="Times New Roman" w:hint="default"/>
          <w:b/>
          <w:bCs/>
          <w:color w:val="auto"/>
          <w:sz w:val="28"/>
          <w:szCs w:val="28"/>
          <w:lang w:val="en-US" w:eastAsia="zh-CN"/>
        </w:rPr>
        <w:t>制定</w:t>
      </w:r>
      <w:r>
        <w:rPr>
          <w:rFonts w:ascii="Times New Roman" w:eastAsia="仿宋" w:hAnsi="Times New Roman" w:cs="Times New Roman" w:hint="eastAsia"/>
          <w:b/>
          <w:bCs/>
          <w:color w:val="auto"/>
          <w:sz w:val="28"/>
          <w:szCs w:val="28"/>
          <w:lang w:val="en-US" w:eastAsia="zh-CN"/>
        </w:rPr>
        <w:t>发布</w:t>
      </w:r>
      <w:r>
        <w:rPr>
          <w:rFonts w:ascii="Times New Roman" w:eastAsia="仿宋" w:hAnsi="Times New Roman" w:cs="Times New Roman" w:hint="default"/>
          <w:b/>
          <w:bCs/>
          <w:color w:val="auto"/>
          <w:sz w:val="28"/>
          <w:szCs w:val="28"/>
          <w:lang w:val="en-US" w:eastAsia="zh-CN"/>
        </w:rPr>
        <w:t>折耳根</w:t>
      </w:r>
      <w:r>
        <w:rPr>
          <w:rFonts w:ascii="Times New Roman" w:eastAsia="仿宋" w:hAnsi="Times New Roman" w:cs="Times New Roman" w:hint="eastAsia"/>
          <w:b/>
          <w:bCs/>
          <w:color w:val="auto"/>
          <w:sz w:val="28"/>
          <w:szCs w:val="28"/>
          <w:lang w:val="en-US" w:eastAsia="zh-CN"/>
        </w:rPr>
        <w:t>相关</w:t>
      </w:r>
      <w:r>
        <w:rPr>
          <w:rFonts w:ascii="Times New Roman" w:eastAsia="仿宋" w:hAnsi="Times New Roman" w:cs="Times New Roman" w:hint="default"/>
          <w:b/>
          <w:bCs/>
          <w:color w:val="auto"/>
          <w:sz w:val="28"/>
          <w:szCs w:val="28"/>
          <w:lang w:val="en-US" w:eastAsia="zh-CN"/>
        </w:rPr>
        <w:t>食品安全地方标准，</w:t>
      </w:r>
      <w:r>
        <w:rPr>
          <w:rFonts w:ascii="Times New Roman" w:eastAsia="仿宋" w:hAnsi="Times New Roman" w:cs="Times New Roman" w:hint="eastAsia"/>
          <w:b/>
          <w:bCs/>
          <w:color w:val="auto"/>
          <w:sz w:val="28"/>
          <w:szCs w:val="28"/>
          <w:lang w:val="en-US" w:eastAsia="zh-CN"/>
        </w:rPr>
        <w:t>可有效</w:t>
      </w:r>
      <w:r>
        <w:rPr>
          <w:rFonts w:ascii="Times New Roman" w:eastAsia="仿宋" w:hAnsi="Times New Roman" w:cs="Times New Roman" w:hint="default"/>
          <w:b/>
          <w:bCs/>
          <w:color w:val="auto"/>
          <w:sz w:val="28"/>
          <w:szCs w:val="28"/>
          <w:lang w:val="en-US" w:eastAsia="zh-CN"/>
        </w:rPr>
        <w:t>推进地方特色蔬菜折耳根的</w:t>
      </w:r>
      <w:r>
        <w:rPr>
          <w:rFonts w:ascii="Times New Roman" w:eastAsia="仿宋" w:hAnsi="Times New Roman" w:cs="Times New Roman" w:hint="eastAsia"/>
          <w:b/>
          <w:bCs/>
          <w:color w:val="auto"/>
          <w:sz w:val="28"/>
          <w:szCs w:val="28"/>
          <w:lang w:val="en-US" w:eastAsia="zh-CN"/>
        </w:rPr>
        <w:t>产业发展</w:t>
      </w:r>
      <w:r>
        <w:rPr>
          <w:rFonts w:ascii="Times New Roman" w:eastAsia="仿宋" w:hAnsi="Times New Roman" w:cs="Times New Roman" w:hint="default"/>
          <w:b/>
          <w:bCs/>
          <w:color w:val="auto"/>
          <w:sz w:val="28"/>
          <w:szCs w:val="28"/>
          <w:lang w:val="en-US" w:eastAsia="zh-CN"/>
        </w:rPr>
        <w:t>，为国抽提供适宜的判定标准，</w:t>
      </w:r>
      <w:r>
        <w:rPr>
          <w:rFonts w:ascii="Times New Roman" w:eastAsia="仿宋" w:hAnsi="Times New Roman" w:cs="Times New Roman" w:hint="eastAsia"/>
          <w:b/>
          <w:bCs/>
          <w:color w:val="auto"/>
          <w:sz w:val="28"/>
          <w:szCs w:val="28"/>
          <w:lang w:val="en-US" w:eastAsia="zh-CN"/>
        </w:rPr>
        <w:t>有效</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line="360" w:lineRule="auto"/>
        <w:ind w:left="0" w:firstLine="560" w:firstLineChars="200"/>
        <w:jc w:val="left"/>
        <w:textAlignment w:val="auto"/>
        <w:rPr>
          <w:rFonts w:ascii="Times New Roman" w:eastAsia="仿宋" w:hAnsi="Times New Roman" w:hint="default"/>
          <w:b/>
          <w:bCs/>
          <w:color w:val="auto"/>
          <w:sz w:val="28"/>
          <w:szCs w:val="28"/>
        </w:rPr>
      </w:pPr>
      <w:r>
        <w:rPr>
          <w:rFonts w:ascii="Times New Roman" w:eastAsia="仿宋" w:hAnsi="Times New Roman" w:cs="Times New Roman" w:hint="default"/>
          <w:b/>
          <w:bCs/>
          <w:color w:val="auto"/>
          <w:sz w:val="28"/>
          <w:szCs w:val="28"/>
          <w:lang w:val="en-US" w:eastAsia="zh-CN"/>
        </w:rPr>
        <w:t>保障百姓舌尖上</w:t>
      </w:r>
      <w:r>
        <w:rPr>
          <w:rFonts w:ascii="Times New Roman" w:eastAsia="仿宋" w:hAnsi="Times New Roman" w:cs="Times New Roman" w:hint="eastAsia"/>
          <w:b/>
          <w:bCs/>
          <w:color w:val="auto"/>
          <w:sz w:val="28"/>
          <w:szCs w:val="28"/>
          <w:lang w:val="en-US" w:eastAsia="zh-CN"/>
        </w:rPr>
        <w:t>的</w:t>
      </w:r>
      <w:r>
        <w:rPr>
          <w:rFonts w:ascii="Times New Roman" w:eastAsia="仿宋" w:hAnsi="Times New Roman" w:cs="Times New Roman" w:hint="default"/>
          <w:b/>
          <w:bCs/>
          <w:color w:val="auto"/>
          <w:sz w:val="28"/>
          <w:szCs w:val="28"/>
          <w:lang w:val="en-US" w:eastAsia="zh-CN"/>
        </w:rPr>
        <w:t>安全。</w:t>
      </w:r>
    </w:p>
    <w:p>
      <w:pPr>
        <w:spacing w:line="360" w:lineRule="auto"/>
        <w:ind w:firstLine="480" w:firstLineChars="200"/>
        <w:jc w:val="left"/>
        <w:rPr>
          <w:rFonts w:ascii="Times New Roman" w:eastAsia="仿宋" w:hAnsi="Times New Roman" w:hint="default"/>
          <w:color w:val="000000"/>
          <w:sz w:val="24"/>
          <w:szCs w:val="24"/>
        </w:rPr>
      </w:pPr>
      <w:r>
        <w:rPr>
          <w:rFonts w:ascii="Times New Roman" w:eastAsia="仿宋" w:hAnsi="Times New Roman" w:cs="Times New Roman" w:hint="default"/>
          <w:sz w:val="24"/>
          <w:szCs w:val="24"/>
          <w:lang w:val="en-US" w:eastAsia="zh-CN"/>
        </w:rPr>
        <w:t>折耳根作为地方特色蔬菜，使用《中国药典》</w:t>
      </w:r>
      <w:r>
        <w:rPr>
          <w:rFonts w:ascii="Times New Roman" w:eastAsia="仿宋" w:hAnsi="Times New Roman" w:cs="Times New Roman" w:hint="default"/>
          <w:color w:val="000000"/>
          <w:sz w:val="24"/>
          <w:szCs w:val="24"/>
          <w:lang w:val="en-US" w:eastAsia="zh-CN"/>
        </w:rPr>
        <w:t>重金属及有害元素一致性限量指导值或</w:t>
      </w:r>
      <w:r>
        <w:rPr>
          <w:rFonts w:ascii="Times New Roman" w:eastAsia="仿宋" w:hAnsi="Times New Roman" w:cs="Times New Roman" w:hint="default"/>
          <w:sz w:val="24"/>
          <w:szCs w:val="24"/>
          <w:lang w:val="en-US" w:eastAsia="zh-CN"/>
        </w:rPr>
        <w:t>《食品安全国家标准 食品中污染物限量》（GB 2762</w:t>
      </w:r>
      <w:r>
        <w:rPr>
          <w:rFonts w:ascii="Times New Roman" w:eastAsia="仿宋" w:hAnsi="Times New Roman" w:cs="Times New Roman" w:hint="eastAsia"/>
          <w:sz w:val="24"/>
          <w:szCs w:val="24"/>
          <w:lang w:val="en-US" w:eastAsia="zh-CN"/>
        </w:rPr>
        <w:t>-2022</w:t>
      </w:r>
      <w:r>
        <w:rPr>
          <w:rFonts w:ascii="Times New Roman" w:eastAsia="仿宋" w:hAnsi="Times New Roman" w:cs="Times New Roman" w:hint="default"/>
          <w:sz w:val="24"/>
          <w:szCs w:val="24"/>
          <w:lang w:val="en-US" w:eastAsia="zh-CN"/>
        </w:rPr>
        <w:t>）中“叶类蔬菜”、“薯类”、“块根和块茎蔬菜”限量值</w:t>
      </w:r>
      <w:r>
        <w:rPr>
          <w:rFonts w:ascii="Times New Roman" w:eastAsia="仿宋" w:hAnsi="Times New Roman" w:cs="Times New Roman" w:hint="default"/>
          <w:color w:val="000000"/>
          <w:sz w:val="24"/>
          <w:szCs w:val="24"/>
          <w:lang w:val="en-US" w:eastAsia="zh-CN"/>
        </w:rPr>
        <w:t>来判断作蔬菜食用黔产折耳根是否安全或合格</w:t>
      </w:r>
      <w:r>
        <w:rPr>
          <w:rFonts w:ascii="Times New Roman" w:eastAsia="仿宋" w:hAnsi="Times New Roman" w:cs="Times New Roman" w:hint="eastAsia"/>
          <w:color w:val="000000"/>
          <w:sz w:val="24"/>
          <w:szCs w:val="24"/>
          <w:lang w:val="en-US" w:eastAsia="zh-CN"/>
        </w:rPr>
        <w:t>均不严谨或</w:t>
      </w:r>
      <w:r>
        <w:rPr>
          <w:rFonts w:ascii="Times New Roman" w:eastAsia="仿宋" w:hAnsi="Times New Roman" w:cs="Times New Roman" w:hint="default"/>
          <w:color w:val="000000"/>
          <w:sz w:val="24"/>
          <w:szCs w:val="24"/>
          <w:lang w:val="en-US" w:eastAsia="zh-CN"/>
        </w:rPr>
        <w:t>不科学，其它省份也</w:t>
      </w:r>
      <w:r>
        <w:rPr>
          <w:rFonts w:ascii="Times New Roman" w:eastAsia="仿宋" w:hAnsi="Times New Roman" w:cs="Times New Roman" w:hint="eastAsia"/>
          <w:color w:val="000000"/>
          <w:sz w:val="24"/>
          <w:szCs w:val="24"/>
          <w:lang w:val="en-US" w:eastAsia="zh-CN"/>
        </w:rPr>
        <w:t>未</w:t>
      </w:r>
      <w:r>
        <w:rPr>
          <w:rFonts w:ascii="Times New Roman" w:eastAsia="仿宋" w:hAnsi="Times New Roman" w:cs="Times New Roman" w:hint="default"/>
          <w:color w:val="000000"/>
          <w:sz w:val="24"/>
          <w:szCs w:val="24"/>
          <w:lang w:val="en-US" w:eastAsia="zh-CN"/>
        </w:rPr>
        <w:t>颁布折耳根相关地方标准，无适宜的判断标准导致国家食品安全抽样检验</w:t>
      </w:r>
      <w:r>
        <w:rPr>
          <w:rFonts w:ascii="Times New Roman" w:eastAsia="仿宋" w:hAnsi="Times New Roman" w:cs="Times New Roman" w:hint="default"/>
          <w:sz w:val="24"/>
          <w:szCs w:val="24"/>
          <w:lang w:val="en-US" w:eastAsia="zh-CN"/>
        </w:rPr>
        <w:t>“</w:t>
      </w:r>
      <w:r>
        <w:rPr>
          <w:rFonts w:ascii="Times New Roman" w:eastAsia="仿宋" w:hAnsi="Times New Roman" w:cs="Times New Roman" w:hint="default"/>
          <w:color w:val="000000"/>
          <w:sz w:val="24"/>
          <w:szCs w:val="24"/>
          <w:lang w:val="en-US" w:eastAsia="zh-CN"/>
        </w:rPr>
        <w:t>从不</w:t>
      </w:r>
      <w:r>
        <w:rPr>
          <w:rFonts w:ascii="Times New Roman" w:eastAsia="仿宋" w:hAnsi="Times New Roman" w:cs="Times New Roman" w:hint="default"/>
          <w:sz w:val="24"/>
          <w:szCs w:val="24"/>
          <w:lang w:val="en-US" w:eastAsia="zh-CN"/>
        </w:rPr>
        <w:t>涉</w:t>
      </w:r>
      <w:r>
        <w:rPr>
          <w:rFonts w:ascii="Times New Roman" w:eastAsia="仿宋" w:hAnsi="Times New Roman" w:cs="Times New Roman" w:hint="eastAsia"/>
          <w:sz w:val="24"/>
          <w:szCs w:val="24"/>
          <w:lang w:val="en-US" w:eastAsia="zh-CN"/>
        </w:rPr>
        <w:t>及</w:t>
      </w:r>
      <w:r>
        <w:rPr>
          <w:rFonts w:ascii="Times New Roman" w:eastAsia="仿宋" w:hAnsi="Times New Roman" w:cs="Times New Roman" w:hint="default"/>
          <w:sz w:val="24"/>
          <w:szCs w:val="24"/>
          <w:lang w:val="en-US" w:eastAsia="zh-CN"/>
        </w:rPr>
        <w:t>”折耳根这一地方特色蔬菜的原因，未对折耳根地方特色蔬菜质量进行监控，因此，</w:t>
      </w:r>
      <w:r>
        <w:rPr>
          <w:rFonts w:ascii="Times New Roman" w:eastAsia="仿宋" w:hAnsi="Times New Roman" w:cs="Times New Roman" w:hint="eastAsia"/>
          <w:sz w:val="24"/>
          <w:szCs w:val="24"/>
          <w:lang w:val="en-US" w:eastAsia="zh-CN"/>
        </w:rPr>
        <w:t>急</w:t>
      </w:r>
      <w:r>
        <w:rPr>
          <w:rFonts w:ascii="Times New Roman" w:eastAsia="仿宋" w:hAnsi="Times New Roman" w:cs="Times New Roman" w:hint="default"/>
          <w:sz w:val="24"/>
          <w:szCs w:val="24"/>
          <w:lang w:val="en-US" w:eastAsia="zh-CN"/>
        </w:rPr>
        <w:t>需结合</w:t>
      </w:r>
      <w:r>
        <w:rPr>
          <w:rFonts w:ascii="Times New Roman" w:eastAsia="仿宋" w:hAnsi="Times New Roman" w:cs="Times New Roman" w:hint="eastAsia"/>
          <w:sz w:val="24"/>
          <w:szCs w:val="24"/>
          <w:lang w:val="en-US" w:eastAsia="zh-CN"/>
        </w:rPr>
        <w:t>专项监测结果和膳食摄入特点</w:t>
      </w:r>
      <w:r>
        <w:rPr>
          <w:rFonts w:ascii="Times New Roman" w:eastAsia="仿宋" w:hAnsi="Times New Roman" w:cs="Times New Roman" w:hint="default"/>
          <w:sz w:val="24"/>
          <w:szCs w:val="24"/>
          <w:lang w:val="en-US" w:eastAsia="zh-CN"/>
        </w:rPr>
        <w:t>制定</w:t>
      </w:r>
      <w:r>
        <w:rPr>
          <w:rFonts w:ascii="Times New Roman" w:eastAsia="仿宋" w:hAnsi="Times New Roman" w:cs="Times New Roman" w:hint="eastAsia"/>
          <w:sz w:val="24"/>
          <w:szCs w:val="24"/>
          <w:lang w:val="en-US" w:eastAsia="zh-CN"/>
        </w:rPr>
        <w:t>有针对性的</w:t>
      </w:r>
      <w:r>
        <w:rPr>
          <w:rFonts w:ascii="Times New Roman" w:eastAsia="仿宋" w:hAnsi="Times New Roman" w:cs="Times New Roman" w:hint="default"/>
          <w:sz w:val="24"/>
          <w:szCs w:val="24"/>
          <w:lang w:val="en-US" w:eastAsia="zh-CN"/>
        </w:rPr>
        <w:t>食品安全地方标准，合理设定污染物等指标限量值，提供适宜的合格判断依据，推进对折耳根地方特色蔬菜质量进行有效监管，</w:t>
      </w:r>
      <w:r>
        <w:rPr>
          <w:rFonts w:ascii="Times New Roman" w:eastAsia="仿宋" w:hAnsi="Times New Roman" w:cs="Times New Roman" w:hint="default"/>
          <w:color w:val="000000"/>
          <w:sz w:val="24"/>
          <w:szCs w:val="24"/>
          <w:lang w:val="en-US" w:eastAsia="zh-CN"/>
        </w:rPr>
        <w:t>保障百姓舌尖上的安全。</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4、《食品安全地方标准</w:t>
      </w:r>
      <w:r>
        <w:rPr>
          <w:rFonts w:ascii="Times New Roman" w:eastAsia="仿宋" w:hAnsi="Times New Roman" w:cs="Times New Roman" w:hint="eastAsia"/>
          <w:b/>
          <w:bCs/>
          <w:sz w:val="28"/>
          <w:szCs w:val="28"/>
          <w:lang w:val="en-US" w:eastAsia="zh-CN"/>
        </w:rPr>
        <w:t xml:space="preserve"> </w:t>
      </w:r>
      <w:r>
        <w:rPr>
          <w:rFonts w:ascii="Times New Roman" w:eastAsia="仿宋" w:hAnsi="Times New Roman" w:cs="Times New Roman" w:hint="default"/>
          <w:b/>
          <w:bCs/>
          <w:sz w:val="28"/>
          <w:szCs w:val="28"/>
          <w:lang w:val="en-US" w:eastAsia="zh-CN"/>
        </w:rPr>
        <w:t>折耳根</w:t>
      </w:r>
      <w:r>
        <w:rPr>
          <w:rFonts w:ascii="Times New Roman" w:eastAsia="仿宋" w:hAnsi="Times New Roman" w:cs="Times New Roman" w:hint="eastAsia"/>
          <w:b/>
          <w:bCs/>
          <w:sz w:val="28"/>
          <w:szCs w:val="28"/>
          <w:lang w:val="en-US" w:eastAsia="zh-CN"/>
        </w:rPr>
        <w:t>（鱼腥草）</w:t>
      </w:r>
      <w:r>
        <w:rPr>
          <w:rFonts w:ascii="Times New Roman" w:eastAsia="仿宋" w:hAnsi="Times New Roman" w:cs="Times New Roman" w:hint="default"/>
          <w:b/>
          <w:bCs/>
          <w:sz w:val="28"/>
          <w:szCs w:val="28"/>
          <w:lang w:val="en-US" w:eastAsia="zh-CN"/>
        </w:rPr>
        <w:t>》</w:t>
      </w:r>
      <w:r>
        <w:rPr>
          <w:rFonts w:ascii="Times New Roman" w:eastAsia="仿宋" w:hAnsi="Times New Roman" w:cs="Times New Roman" w:hint="eastAsia"/>
          <w:b/>
          <w:bCs/>
          <w:sz w:val="28"/>
          <w:szCs w:val="28"/>
          <w:lang w:val="en-US" w:eastAsia="zh-CN"/>
        </w:rPr>
        <w:t>的</w:t>
      </w:r>
      <w:r>
        <w:rPr>
          <w:rFonts w:ascii="Times New Roman" w:eastAsia="仿宋" w:hAnsi="Times New Roman" w:cs="Times New Roman" w:hint="default"/>
          <w:b/>
          <w:bCs/>
          <w:sz w:val="28"/>
          <w:szCs w:val="28"/>
          <w:lang w:val="en-US" w:eastAsia="zh-CN"/>
        </w:rPr>
        <w:t>制定</w:t>
      </w:r>
      <w:r>
        <w:rPr>
          <w:rFonts w:ascii="Times New Roman" w:eastAsia="仿宋" w:hAnsi="Times New Roman" w:cs="Times New Roman" w:hint="eastAsia"/>
          <w:b/>
          <w:bCs/>
          <w:sz w:val="28"/>
          <w:szCs w:val="28"/>
          <w:lang w:val="en-US" w:eastAsia="zh-CN"/>
        </w:rPr>
        <w:t>发布</w:t>
      </w:r>
      <w:r>
        <w:rPr>
          <w:rFonts w:ascii="Times New Roman" w:eastAsia="仿宋" w:hAnsi="Times New Roman" w:cs="Times New Roman" w:hint="default"/>
          <w:b/>
          <w:bCs/>
          <w:sz w:val="28"/>
          <w:szCs w:val="28"/>
          <w:lang w:val="en-US" w:eastAsia="zh-CN"/>
        </w:rPr>
        <w:t>，</w:t>
      </w:r>
      <w:r>
        <w:rPr>
          <w:rFonts w:ascii="Times New Roman" w:eastAsia="仿宋" w:hAnsi="Times New Roman" w:cs="Times New Roman" w:hint="eastAsia"/>
          <w:b/>
          <w:bCs/>
          <w:sz w:val="28"/>
          <w:szCs w:val="28"/>
          <w:lang w:val="en-US" w:eastAsia="zh-CN"/>
        </w:rPr>
        <w:t>可针对性</w:t>
      </w:r>
      <w:r>
        <w:rPr>
          <w:rFonts w:ascii="Times New Roman" w:eastAsia="仿宋" w:hAnsi="Times New Roman" w:cs="Times New Roman" w:hint="default"/>
          <w:b/>
          <w:bCs/>
          <w:sz w:val="28"/>
          <w:szCs w:val="28"/>
          <w:lang w:val="en-US" w:eastAsia="zh-CN"/>
        </w:rPr>
        <w:t>指导种植户合理选择种植环境</w:t>
      </w:r>
      <w:r>
        <w:rPr>
          <w:rFonts w:ascii="Times New Roman" w:eastAsia="仿宋" w:hAnsi="Times New Roman" w:cs="Times New Roman" w:hint="eastAsia"/>
          <w:b/>
          <w:bCs/>
          <w:sz w:val="28"/>
          <w:szCs w:val="28"/>
          <w:lang w:val="en-US" w:eastAsia="zh-CN"/>
        </w:rPr>
        <w:t>、关注加工过程风险点</w:t>
      </w:r>
      <w:r>
        <w:rPr>
          <w:rFonts w:ascii="Times New Roman" w:eastAsia="仿宋" w:hAnsi="Times New Roman" w:cs="Times New Roman" w:hint="default"/>
          <w:b/>
          <w:bCs/>
          <w:sz w:val="28"/>
          <w:szCs w:val="28"/>
          <w:lang w:val="en-US" w:eastAsia="zh-CN"/>
        </w:rPr>
        <w:t>，从源头上保障折耳根产品质量</w:t>
      </w:r>
      <w:r>
        <w:rPr>
          <w:rFonts w:ascii="Times New Roman" w:eastAsia="仿宋" w:hAnsi="Times New Roman" w:cs="Times New Roman" w:hint="eastAsia"/>
          <w:b/>
          <w:bCs/>
          <w:sz w:val="28"/>
          <w:szCs w:val="28"/>
          <w:lang w:val="en-US" w:eastAsia="zh-CN"/>
        </w:rPr>
        <w:t>和食用</w:t>
      </w:r>
      <w:r>
        <w:rPr>
          <w:rFonts w:ascii="Times New Roman" w:eastAsia="仿宋" w:hAnsi="Times New Roman" w:cs="Times New Roman" w:hint="default"/>
          <w:b/>
          <w:bCs/>
          <w:sz w:val="28"/>
          <w:szCs w:val="28"/>
          <w:lang w:val="en-US" w:eastAsia="zh-CN"/>
        </w:rPr>
        <w:t>安全。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Times New Roman" w:eastAsia="仿宋" w:hAnsi="Times New Roman" w:hint="default"/>
          <w:color w:val="000000"/>
          <w:sz w:val="24"/>
          <w:szCs w:val="24"/>
        </w:rPr>
      </w:pPr>
      <w:r>
        <w:rPr>
          <w:rFonts w:ascii="Times New Roman" w:eastAsia="仿宋" w:hAnsi="Times New Roman" w:cs="Times New Roman" w:hint="default"/>
          <w:sz w:val="24"/>
          <w:szCs w:val="24"/>
        </w:rPr>
        <w:t>项目组以落实省委、省政府重要指示，</w:t>
      </w:r>
      <w:r>
        <w:rPr>
          <w:rFonts w:ascii="Times New Roman" w:eastAsia="仿宋" w:hAnsi="Times New Roman" w:cs="Times New Roman" w:hint="eastAsia"/>
          <w:sz w:val="24"/>
          <w:szCs w:val="24"/>
          <w:lang w:val="en-US" w:eastAsia="zh-CN"/>
        </w:rPr>
        <w:t>连续3年</w:t>
      </w:r>
      <w:r>
        <w:rPr>
          <w:rFonts w:ascii="Times New Roman" w:eastAsia="仿宋" w:hAnsi="Times New Roman" w:cs="Times New Roman" w:hint="default"/>
          <w:sz w:val="24"/>
          <w:szCs w:val="24"/>
          <w:lang w:val="en-US" w:eastAsia="zh-CN"/>
        </w:rPr>
        <w:t>开展折耳根</w:t>
      </w:r>
      <w:r>
        <w:rPr>
          <w:rFonts w:ascii="Times New Roman" w:eastAsia="仿宋" w:hAnsi="Times New Roman" w:cs="Times New Roman" w:hint="eastAsia"/>
          <w:sz w:val="24"/>
          <w:szCs w:val="24"/>
          <w:lang w:val="en-US" w:eastAsia="zh-CN"/>
        </w:rPr>
        <w:t>重金属污染</w:t>
      </w:r>
      <w:r>
        <w:rPr>
          <w:rFonts w:ascii="Times New Roman" w:eastAsia="仿宋" w:hAnsi="Times New Roman" w:cs="Times New Roman" w:hint="default"/>
          <w:sz w:val="24"/>
          <w:szCs w:val="24"/>
          <w:lang w:val="en-US" w:eastAsia="zh-CN"/>
        </w:rPr>
        <w:t>专项监测</w:t>
      </w:r>
      <w:r>
        <w:rPr>
          <w:rFonts w:ascii="Times New Roman" w:eastAsia="仿宋" w:hAnsi="Times New Roman" w:cs="Times New Roman" w:hint="eastAsia"/>
          <w:sz w:val="24"/>
          <w:szCs w:val="24"/>
          <w:lang w:val="en-US" w:eastAsia="zh-CN"/>
        </w:rPr>
        <w:t>，并结合</w:t>
      </w:r>
      <w:r>
        <w:rPr>
          <w:rFonts w:ascii="Times New Roman" w:eastAsia="仿宋" w:hAnsi="Times New Roman" w:cs="Times New Roman" w:hint="default"/>
          <w:sz w:val="24"/>
          <w:szCs w:val="24"/>
          <w:lang w:val="en-US" w:eastAsia="zh-CN"/>
        </w:rPr>
        <w:t>膳食</w:t>
      </w:r>
      <w:r>
        <w:rPr>
          <w:rFonts w:ascii="Times New Roman" w:eastAsia="仿宋" w:hAnsi="Times New Roman" w:cs="Times New Roman" w:hint="eastAsia"/>
          <w:sz w:val="24"/>
          <w:szCs w:val="24"/>
          <w:lang w:val="en-US" w:eastAsia="zh-CN"/>
        </w:rPr>
        <w:t>摄入水平开展</w:t>
      </w:r>
      <w:r>
        <w:rPr>
          <w:rFonts w:ascii="Times New Roman" w:eastAsia="仿宋" w:hAnsi="Times New Roman" w:cs="Times New Roman" w:hint="default"/>
          <w:sz w:val="24"/>
          <w:szCs w:val="24"/>
          <w:lang w:val="en-US" w:eastAsia="zh-CN"/>
        </w:rPr>
        <w:t>折耳根重金属暴露风险评估</w:t>
      </w:r>
      <w:r>
        <w:rPr>
          <w:rFonts w:ascii="Times New Roman" w:eastAsia="仿宋" w:hAnsi="Times New Roman" w:cs="Times New Roman" w:hint="eastAsia"/>
          <w:sz w:val="24"/>
          <w:szCs w:val="24"/>
          <w:lang w:val="en-US" w:eastAsia="zh-CN"/>
        </w:rPr>
        <w:t>（折耳根重金属暴露风险评估报告见附件）</w:t>
      </w:r>
      <w:r>
        <w:rPr>
          <w:rFonts w:ascii="Times New Roman" w:eastAsia="仿宋" w:hAnsi="Times New Roman" w:cs="Times New Roman" w:hint="default"/>
          <w:sz w:val="24"/>
          <w:szCs w:val="24"/>
          <w:lang w:val="en-US" w:eastAsia="zh-CN"/>
        </w:rPr>
        <w:t>，科学</w:t>
      </w:r>
      <w:r>
        <w:rPr>
          <w:rFonts w:ascii="Times New Roman" w:eastAsia="仿宋" w:hAnsi="Times New Roman" w:cs="Times New Roman" w:hint="default"/>
          <w:sz w:val="24"/>
          <w:szCs w:val="24"/>
        </w:rPr>
        <w:t>回答</w:t>
      </w:r>
      <w:r>
        <w:rPr>
          <w:rFonts w:ascii="Times New Roman" w:eastAsia="仿宋" w:hAnsi="Times New Roman" w:cs="Times New Roman" w:hint="eastAsia"/>
          <w:sz w:val="24"/>
          <w:szCs w:val="24"/>
          <w:lang w:val="en-US" w:eastAsia="zh-CN"/>
        </w:rPr>
        <w:t>了省政府领导批示的</w:t>
      </w:r>
      <w:r>
        <w:rPr>
          <w:rFonts w:ascii="Times New Roman" w:eastAsia="仿宋" w:hAnsi="Times New Roman" w:cs="Times New Roman" w:hint="default"/>
          <w:sz w:val="24"/>
          <w:szCs w:val="24"/>
        </w:rPr>
        <w:t>“我省</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食用是否安全”这一问题</w:t>
      </w:r>
      <w:r>
        <w:rPr>
          <w:rFonts w:ascii="Times New Roman" w:eastAsia="仿宋" w:hAnsi="Times New Roman" w:cs="Times New Roman" w:hint="default"/>
          <w:sz w:val="24"/>
          <w:szCs w:val="24"/>
          <w:lang w:eastAsia="zh-CN"/>
        </w:rPr>
        <w:t>。</w:t>
      </w:r>
      <w:r>
        <w:rPr>
          <w:rFonts w:ascii="Times New Roman" w:eastAsia="仿宋" w:hAnsi="Times New Roman" w:cs="Times New Roman" w:hint="eastAsia"/>
          <w:sz w:val="24"/>
          <w:szCs w:val="24"/>
          <w:lang w:val="en-US" w:eastAsia="zh-CN"/>
        </w:rPr>
        <w:t>通过</w:t>
      </w:r>
      <w:r>
        <w:rPr>
          <w:rFonts w:ascii="Times New Roman" w:eastAsia="仿宋" w:hAnsi="Times New Roman" w:cs="Times New Roman" w:hint="default"/>
          <w:sz w:val="24"/>
          <w:szCs w:val="24"/>
        </w:rPr>
        <w:t>开展</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中元素专项监测，摸清了我省各市州</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中元素含量水平，</w:t>
      </w:r>
      <w:r>
        <w:rPr>
          <w:rFonts w:ascii="Times New Roman" w:eastAsia="仿宋" w:hAnsi="Times New Roman" w:cs="Times New Roman" w:hint="default"/>
          <w:sz w:val="24"/>
          <w:szCs w:val="24"/>
          <w:lang w:val="en-US" w:eastAsia="zh-CN"/>
        </w:rPr>
        <w:t>证实了</w:t>
      </w:r>
      <w:r>
        <w:rPr>
          <w:rFonts w:ascii="Times New Roman" w:eastAsia="仿宋" w:hAnsi="Times New Roman" w:cs="Times New Roman" w:hint="default"/>
          <w:sz w:val="24"/>
          <w:szCs w:val="24"/>
        </w:rPr>
        <w:t>我省不同地区</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中金属污染物含量水平确实存</w:t>
      </w:r>
      <w:r>
        <w:rPr>
          <w:rFonts w:ascii="Times New Roman" w:eastAsia="仿宋" w:hAnsi="Times New Roman" w:cs="Times New Roman" w:hint="default"/>
          <w:sz w:val="24"/>
          <w:szCs w:val="24"/>
          <w:lang w:val="en-US" w:eastAsia="zh-CN"/>
        </w:rPr>
        <w:t>在</w:t>
      </w:r>
      <w:r>
        <w:rPr>
          <w:rFonts w:ascii="Times New Roman" w:eastAsia="仿宋" w:hAnsi="Times New Roman" w:cs="Times New Roman" w:hint="default"/>
          <w:sz w:val="24"/>
          <w:szCs w:val="24"/>
        </w:rPr>
        <w:t>一定地域差异</w:t>
      </w:r>
      <w:r>
        <w:rPr>
          <w:rFonts w:ascii="Times New Roman" w:eastAsia="仿宋" w:hAnsi="Times New Roman" w:cs="Times New Roman" w:hint="default"/>
          <w:sz w:val="24"/>
          <w:szCs w:val="24"/>
          <w:lang w:eastAsia="zh-CN"/>
        </w:rPr>
        <w:t>。</w:t>
      </w:r>
      <w:r>
        <w:rPr>
          <w:rFonts w:ascii="Times New Roman" w:eastAsia="仿宋" w:hAnsi="Times New Roman" w:cs="Times New Roman" w:hint="default"/>
          <w:color w:val="000000"/>
          <w:sz w:val="24"/>
          <w:szCs w:val="24"/>
          <w:lang w:val="en-US" w:eastAsia="zh-CN"/>
        </w:rPr>
        <w:t>考虑折耳根的根系发达，</w:t>
      </w:r>
      <w:r>
        <w:rPr>
          <w:rFonts w:ascii="Times New Roman" w:eastAsia="仿宋" w:hAnsi="Times New Roman" w:cs="Times New Roman" w:hint="eastAsia"/>
          <w:color w:val="000000"/>
          <w:sz w:val="24"/>
          <w:szCs w:val="24"/>
          <w:lang w:val="en-US" w:eastAsia="zh-CN"/>
        </w:rPr>
        <w:t>推测可</w:t>
      </w:r>
      <w:r>
        <w:rPr>
          <w:rFonts w:ascii="Times New Roman" w:eastAsia="仿宋" w:hAnsi="Times New Roman" w:cs="Times New Roman" w:hint="default"/>
          <w:color w:val="000000"/>
          <w:sz w:val="24"/>
          <w:szCs w:val="24"/>
          <w:lang w:val="en-US" w:eastAsia="zh-CN"/>
        </w:rPr>
        <w:t>通过根系富集重金属的</w:t>
      </w:r>
      <w:r>
        <w:rPr>
          <w:rFonts w:ascii="Times New Roman" w:eastAsia="仿宋" w:hAnsi="Times New Roman" w:cs="Times New Roman" w:hint="eastAsia"/>
          <w:color w:val="000000"/>
          <w:sz w:val="24"/>
          <w:szCs w:val="24"/>
          <w:lang w:val="en-US" w:eastAsia="zh-CN"/>
        </w:rPr>
        <w:t>可能</w:t>
      </w:r>
      <w:r>
        <w:rPr>
          <w:rFonts w:ascii="Times New Roman" w:eastAsia="仿宋" w:hAnsi="Times New Roman" w:cs="Times New Roman" w:hint="default"/>
          <w:color w:val="000000"/>
          <w:sz w:val="24"/>
          <w:szCs w:val="24"/>
          <w:lang w:val="en-US" w:eastAsia="zh-CN"/>
        </w:rPr>
        <w:t>情况，</w:t>
      </w:r>
      <w:r>
        <w:rPr>
          <w:rFonts w:ascii="Times New Roman" w:eastAsia="仿宋" w:hAnsi="Times New Roman" w:cs="Times New Roman" w:hint="eastAsia"/>
          <w:color w:val="000000"/>
          <w:sz w:val="24"/>
          <w:szCs w:val="24"/>
          <w:lang w:val="en-US" w:eastAsia="zh-CN"/>
        </w:rPr>
        <w:t>进一步</w:t>
      </w:r>
      <w:r>
        <w:rPr>
          <w:rFonts w:ascii="Times New Roman" w:eastAsia="仿宋" w:hAnsi="Times New Roman" w:cs="Times New Roman" w:hint="default"/>
          <w:color w:val="000000"/>
          <w:sz w:val="24"/>
          <w:szCs w:val="24"/>
          <w:lang w:val="en-US" w:eastAsia="zh-CN"/>
        </w:rPr>
        <w:t>关注</w:t>
      </w:r>
      <w:r>
        <w:rPr>
          <w:rFonts w:ascii="Times New Roman" w:eastAsia="仿宋" w:hAnsi="Times New Roman" w:cs="Times New Roman" w:hint="eastAsia"/>
          <w:color w:val="000000"/>
          <w:sz w:val="24"/>
          <w:szCs w:val="24"/>
          <w:lang w:val="en-US" w:eastAsia="zh-CN"/>
        </w:rPr>
        <w:t>并验证</w:t>
      </w:r>
      <w:r>
        <w:rPr>
          <w:rFonts w:ascii="Times New Roman" w:eastAsia="仿宋" w:hAnsi="Times New Roman" w:cs="Times New Roman" w:hint="default"/>
          <w:color w:val="000000"/>
          <w:sz w:val="24"/>
          <w:szCs w:val="24"/>
          <w:lang w:val="en-US" w:eastAsia="zh-CN"/>
        </w:rPr>
        <w:t>折耳根的摘洗方式</w:t>
      </w:r>
      <w:r>
        <w:rPr>
          <w:rFonts w:ascii="Times New Roman" w:eastAsia="仿宋" w:hAnsi="Times New Roman" w:cs="Times New Roman" w:hint="eastAsia"/>
          <w:color w:val="000000"/>
          <w:sz w:val="24"/>
          <w:szCs w:val="24"/>
          <w:lang w:val="en-US" w:eastAsia="zh-CN"/>
        </w:rPr>
        <w:t>对含量影响</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default"/>
          <w:color w:val="000000"/>
          <w:sz w:val="24"/>
          <w:szCs w:val="24"/>
        </w:rPr>
        <w:t>比较</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样品去除须根前后对铅、镉含量的变化，</w:t>
      </w:r>
      <w:r>
        <w:rPr>
          <w:rFonts w:ascii="Times New Roman" w:eastAsia="仿宋" w:hAnsi="Times New Roman" w:cs="Times New Roman" w:hint="eastAsia"/>
          <w:color w:val="000000"/>
          <w:sz w:val="24"/>
          <w:szCs w:val="24"/>
          <w:lang w:val="en-US" w:eastAsia="zh-CN"/>
        </w:rPr>
        <w:t>证实</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样品中铅</w:t>
      </w:r>
      <w:r>
        <w:rPr>
          <w:rFonts w:ascii="Times New Roman" w:eastAsia="仿宋" w:hAnsi="Times New Roman" w:cs="Times New Roman" w:hint="eastAsia"/>
          <w:color w:val="000000"/>
          <w:sz w:val="24"/>
          <w:szCs w:val="24"/>
          <w:lang w:eastAsia="zh-CN"/>
        </w:rPr>
        <w:t>、</w:t>
      </w:r>
      <w:r>
        <w:rPr>
          <w:rFonts w:ascii="Times New Roman" w:eastAsia="仿宋" w:hAnsi="Times New Roman" w:cs="Times New Roman" w:hint="default"/>
          <w:color w:val="000000"/>
          <w:sz w:val="24"/>
          <w:szCs w:val="24"/>
        </w:rPr>
        <w:t>镉</w:t>
      </w:r>
      <w:r>
        <w:rPr>
          <w:rFonts w:ascii="Times New Roman" w:eastAsia="仿宋" w:hAnsi="Times New Roman" w:cs="Times New Roman" w:hint="eastAsia"/>
          <w:color w:val="000000"/>
          <w:sz w:val="24"/>
          <w:szCs w:val="24"/>
          <w:lang w:val="en-US" w:eastAsia="zh-CN"/>
        </w:rPr>
        <w:t>本底</w:t>
      </w:r>
      <w:r>
        <w:rPr>
          <w:rFonts w:ascii="Times New Roman" w:eastAsia="仿宋" w:hAnsi="Times New Roman" w:cs="Times New Roman" w:hint="default"/>
          <w:color w:val="000000"/>
          <w:sz w:val="24"/>
          <w:szCs w:val="24"/>
        </w:rPr>
        <w:t>含量越高，</w:t>
      </w:r>
      <w:r>
        <w:rPr>
          <w:rFonts w:ascii="Times New Roman" w:eastAsia="仿宋" w:hAnsi="Times New Roman" w:cs="Times New Roman" w:hint="eastAsia"/>
          <w:color w:val="000000"/>
          <w:sz w:val="24"/>
          <w:szCs w:val="24"/>
          <w:lang w:val="en-US" w:eastAsia="zh-CN"/>
        </w:rPr>
        <w:t>在</w:t>
      </w:r>
      <w:r>
        <w:rPr>
          <w:rFonts w:ascii="Times New Roman" w:eastAsia="仿宋" w:hAnsi="Times New Roman" w:cs="Times New Roman" w:hint="default"/>
          <w:color w:val="000000"/>
          <w:sz w:val="24"/>
          <w:szCs w:val="24"/>
        </w:rPr>
        <w:t>去除须根后含量下降越显著</w:t>
      </w:r>
      <w:r>
        <w:rPr>
          <w:rFonts w:ascii="Times New Roman" w:eastAsia="仿宋" w:hAnsi="Times New Roman" w:cs="Times New Roman" w:hint="eastAsia"/>
          <w:color w:val="000000"/>
          <w:sz w:val="24"/>
          <w:szCs w:val="24"/>
          <w:lang w:val="en-US" w:eastAsia="zh-CN"/>
        </w:rPr>
        <w:t>的假设</w:t>
      </w:r>
      <w:r>
        <w:rPr>
          <w:rFonts w:ascii="Times New Roman" w:eastAsia="仿宋" w:hAnsi="Times New Roman" w:cs="Times New Roman" w:hint="default"/>
          <w:color w:val="000000"/>
          <w:sz w:val="24"/>
          <w:szCs w:val="24"/>
        </w:rPr>
        <w:t>，</w:t>
      </w:r>
      <w:r>
        <w:rPr>
          <w:rFonts w:ascii="Times New Roman" w:eastAsia="仿宋" w:hAnsi="Times New Roman" w:cs="Times New Roman" w:hint="eastAsia"/>
          <w:color w:val="000000"/>
          <w:sz w:val="24"/>
          <w:szCs w:val="24"/>
          <w:lang w:val="en-US" w:eastAsia="zh-CN"/>
        </w:rPr>
        <w:t>确认</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eastAsia"/>
          <w:color w:val="000000"/>
          <w:sz w:val="24"/>
          <w:szCs w:val="24"/>
          <w:lang w:val="en-US" w:eastAsia="zh-CN"/>
        </w:rPr>
        <w:t>在仔细</w:t>
      </w:r>
      <w:r>
        <w:rPr>
          <w:rFonts w:ascii="Times New Roman" w:eastAsia="仿宋" w:hAnsi="Times New Roman" w:cs="Times New Roman" w:hint="default"/>
          <w:color w:val="000000"/>
          <w:sz w:val="24"/>
          <w:szCs w:val="24"/>
        </w:rPr>
        <w:t>去除</w:t>
      </w:r>
      <w:r>
        <w:rPr>
          <w:rFonts w:ascii="Times New Roman" w:eastAsia="仿宋" w:hAnsi="Times New Roman" w:cs="Times New Roman" w:hint="eastAsia"/>
          <w:color w:val="000000"/>
          <w:sz w:val="24"/>
          <w:szCs w:val="24"/>
          <w:lang w:val="en-US" w:eastAsia="zh-CN"/>
        </w:rPr>
        <w:t>所有</w:t>
      </w:r>
      <w:r>
        <w:rPr>
          <w:rFonts w:ascii="Times New Roman" w:eastAsia="仿宋" w:hAnsi="Times New Roman" w:cs="Times New Roman" w:hint="default"/>
          <w:color w:val="000000"/>
          <w:sz w:val="24"/>
          <w:szCs w:val="24"/>
        </w:rPr>
        <w:t>须根后</w:t>
      </w:r>
      <w:r>
        <w:rPr>
          <w:rFonts w:ascii="Times New Roman" w:eastAsia="仿宋" w:hAnsi="Times New Roman" w:cs="Times New Roman" w:hint="eastAsia"/>
          <w:color w:val="000000"/>
          <w:sz w:val="24"/>
          <w:szCs w:val="24"/>
          <w:lang w:eastAsia="zh-CN"/>
        </w:rPr>
        <w:t>，</w:t>
      </w:r>
      <w:r>
        <w:rPr>
          <w:rFonts w:ascii="Times New Roman" w:eastAsia="仿宋" w:hAnsi="Times New Roman" w:cs="Times New Roman" w:hint="eastAsia"/>
          <w:color w:val="000000"/>
          <w:sz w:val="24"/>
          <w:szCs w:val="24"/>
          <w:lang w:val="en-US" w:eastAsia="zh-CN"/>
        </w:rPr>
        <w:t>其</w:t>
      </w:r>
      <w:r>
        <w:rPr>
          <w:rFonts w:ascii="Times New Roman" w:eastAsia="仿宋" w:hAnsi="Times New Roman" w:cs="Times New Roman" w:hint="default"/>
          <w:color w:val="000000"/>
          <w:sz w:val="24"/>
          <w:szCs w:val="24"/>
        </w:rPr>
        <w:t>铅和镉平均</w:t>
      </w:r>
      <w:r>
        <w:rPr>
          <w:rFonts w:ascii="Times New Roman" w:eastAsia="仿宋" w:hAnsi="Times New Roman" w:cs="Times New Roman" w:hint="eastAsia"/>
          <w:color w:val="000000"/>
          <w:sz w:val="24"/>
          <w:szCs w:val="24"/>
          <w:lang w:val="en-US" w:eastAsia="zh-CN"/>
        </w:rPr>
        <w:t>含量水平可</w:t>
      </w:r>
      <w:r>
        <w:rPr>
          <w:rFonts w:ascii="Times New Roman" w:eastAsia="仿宋" w:hAnsi="Times New Roman" w:cs="Times New Roman" w:hint="default"/>
          <w:color w:val="000000"/>
          <w:sz w:val="24"/>
          <w:szCs w:val="24"/>
        </w:rPr>
        <w:t>降低25.1%和24.2%，</w:t>
      </w:r>
      <w:r>
        <w:rPr>
          <w:rFonts w:ascii="Times New Roman" w:eastAsia="仿宋" w:hAnsi="Times New Roman" w:cs="Times New Roman" w:hint="default"/>
          <w:color w:val="000000"/>
          <w:sz w:val="24"/>
          <w:szCs w:val="24"/>
          <w:lang w:val="en-US" w:eastAsia="zh-CN"/>
        </w:rPr>
        <w:t>提示</w:t>
      </w:r>
      <w:r>
        <w:rPr>
          <w:rFonts w:ascii="Times New Roman" w:eastAsia="仿宋" w:hAnsi="Times New Roman" w:cs="Times New Roman" w:hint="default"/>
          <w:color w:val="000000"/>
          <w:sz w:val="24"/>
          <w:szCs w:val="24"/>
        </w:rPr>
        <w:t>在膳食</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时，彻底去除须根</w:t>
      </w:r>
      <w:r>
        <w:rPr>
          <w:rFonts w:ascii="Times New Roman" w:eastAsia="仿宋" w:hAnsi="Times New Roman" w:cs="Times New Roman" w:hint="eastAsia"/>
          <w:color w:val="000000"/>
          <w:sz w:val="24"/>
          <w:szCs w:val="24"/>
          <w:lang w:val="en-US" w:eastAsia="zh-CN"/>
        </w:rPr>
        <w:t>可有效</w:t>
      </w:r>
      <w:r>
        <w:rPr>
          <w:rFonts w:ascii="Times New Roman" w:eastAsia="仿宋" w:hAnsi="Times New Roman" w:cs="Times New Roman" w:hint="default"/>
          <w:color w:val="000000"/>
          <w:sz w:val="24"/>
          <w:szCs w:val="24"/>
        </w:rPr>
        <w:t>降低</w:t>
      </w:r>
      <w:r>
        <w:rPr>
          <w:rFonts w:ascii="Times New Roman" w:eastAsia="仿宋" w:hAnsi="Times New Roman" w:cs="Times New Roman" w:hint="eastAsia"/>
          <w:color w:val="000000"/>
          <w:sz w:val="24"/>
          <w:szCs w:val="24"/>
          <w:lang w:val="en-US" w:eastAsia="zh-CN"/>
        </w:rPr>
        <w:t>重</w:t>
      </w:r>
      <w:r>
        <w:rPr>
          <w:rFonts w:ascii="Times New Roman" w:eastAsia="仿宋" w:hAnsi="Times New Roman" w:cs="Times New Roman" w:hint="default"/>
          <w:color w:val="000000"/>
          <w:sz w:val="24"/>
          <w:szCs w:val="24"/>
          <w:lang w:val="en-US" w:eastAsia="zh-CN"/>
        </w:rPr>
        <w:t>金属</w:t>
      </w:r>
      <w:r>
        <w:rPr>
          <w:rFonts w:ascii="Times New Roman" w:eastAsia="仿宋" w:hAnsi="Times New Roman" w:cs="Times New Roman" w:hint="default"/>
          <w:color w:val="000000"/>
          <w:sz w:val="24"/>
          <w:szCs w:val="24"/>
        </w:rPr>
        <w:t>的</w:t>
      </w:r>
      <w:r>
        <w:rPr>
          <w:rFonts w:ascii="Times New Roman" w:eastAsia="仿宋" w:hAnsi="Times New Roman" w:cs="Times New Roman" w:hint="eastAsia"/>
          <w:color w:val="000000"/>
          <w:sz w:val="24"/>
          <w:szCs w:val="24"/>
          <w:lang w:val="en-US" w:eastAsia="zh-CN"/>
        </w:rPr>
        <w:t>暴露</w:t>
      </w:r>
      <w:r>
        <w:rPr>
          <w:rFonts w:ascii="Times New Roman" w:eastAsia="仿宋" w:hAnsi="Times New Roman" w:cs="Times New Roman" w:hint="default"/>
          <w:color w:val="000000"/>
          <w:sz w:val="24"/>
          <w:szCs w:val="24"/>
        </w:rPr>
        <w:t>。</w:t>
      </w:r>
      <w:r>
        <w:rPr>
          <w:rFonts w:ascii="Times New Roman" w:eastAsia="仿宋" w:hAnsi="Times New Roman" w:cs="Times New Roman" w:hint="default"/>
          <w:color w:val="000000"/>
          <w:sz w:val="24"/>
          <w:szCs w:val="24"/>
          <w:lang w:val="en-US" w:eastAsia="zh-CN"/>
        </w:rPr>
        <w:t>因此，通过居民膳食习惯和膳食量合理制定折耳根限量，指导折耳根种植户合理选择种植环境</w:t>
      </w:r>
      <w:r>
        <w:rPr>
          <w:rFonts w:ascii="Times New Roman" w:eastAsia="仿宋" w:hAnsi="Times New Roman" w:cs="Times New Roman" w:hint="eastAsia"/>
          <w:color w:val="000000"/>
          <w:sz w:val="24"/>
          <w:szCs w:val="24"/>
          <w:lang w:val="en-US" w:eastAsia="zh-CN"/>
        </w:rPr>
        <w:t>、关注加工过程</w:t>
      </w:r>
      <w:r>
        <w:rPr>
          <w:rFonts w:ascii="Times New Roman" w:eastAsia="仿宋" w:hAnsi="Times New Roman" w:cs="Times New Roman" w:hint="default"/>
          <w:color w:val="000000"/>
          <w:sz w:val="24"/>
          <w:szCs w:val="24"/>
          <w:lang w:val="en-US" w:eastAsia="zh-CN"/>
        </w:rPr>
        <w:t>，从源头上保障</w:t>
      </w:r>
      <w:r>
        <w:rPr>
          <w:rFonts w:ascii="Times New Roman" w:eastAsia="仿宋" w:hAnsi="Times New Roman" w:cs="Times New Roman" w:hint="eastAsia"/>
          <w:color w:val="000000"/>
          <w:sz w:val="24"/>
          <w:szCs w:val="24"/>
          <w:lang w:val="en-US" w:eastAsia="zh-CN"/>
        </w:rPr>
        <w:t>折耳根产品质量和</w:t>
      </w:r>
      <w:r>
        <w:rPr>
          <w:rFonts w:ascii="Times New Roman" w:eastAsia="仿宋" w:hAnsi="Times New Roman" w:cs="Times New Roman" w:hint="default"/>
          <w:color w:val="000000"/>
          <w:sz w:val="24"/>
          <w:szCs w:val="24"/>
          <w:lang w:val="en-US" w:eastAsia="zh-CN"/>
        </w:rPr>
        <w:t>食</w:t>
      </w:r>
      <w:r>
        <w:rPr>
          <w:rFonts w:ascii="Times New Roman" w:eastAsia="仿宋" w:hAnsi="Times New Roman" w:cs="Times New Roman" w:hint="eastAsia"/>
          <w:color w:val="000000"/>
          <w:sz w:val="24"/>
          <w:szCs w:val="24"/>
          <w:lang w:val="en-US" w:eastAsia="zh-CN"/>
        </w:rPr>
        <w:t>用</w:t>
      </w:r>
      <w:r>
        <w:rPr>
          <w:rFonts w:ascii="Times New Roman" w:eastAsia="仿宋" w:hAnsi="Times New Roman" w:cs="Times New Roman" w:hint="default"/>
          <w:color w:val="000000"/>
          <w:sz w:val="24"/>
          <w:szCs w:val="24"/>
          <w:lang w:val="en-US" w:eastAsia="zh-CN"/>
        </w:rPr>
        <w:t>安全。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Times New Roman" w:eastAsia="仿宋" w:hAnsi="Times New Roman" w:hint="default"/>
          <w:color w:val="000000"/>
          <w:sz w:val="24"/>
          <w:szCs w:val="24"/>
        </w:rPr>
        <w:sectPr>
          <w:footerReference w:type="default" r:id="rId1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5"/>
          <w:cols w:num="1" w:space="720"/>
          <w:titlePg w:val="0"/>
          <w:docGrid w:type="lines" w:linePitch="312" w:charSpace="0"/>
        </w:sectPr>
      </w:pPr>
      <w:r>
        <w:rPr>
          <w:rFonts w:ascii="Times New Roman" w:eastAsia="仿宋" w:hAnsi="Times New Roman" w:cs="Times New Roman" w:hint="default"/>
          <w:color w:val="000000"/>
          <w:sz w:val="24"/>
          <w:szCs w:val="24"/>
        </w:rPr>
        <w:t>综上所述，为</w:t>
      </w:r>
      <w:r>
        <w:rPr>
          <w:rFonts w:ascii="Times New Roman" w:eastAsia="仿宋" w:hAnsi="Times New Roman" w:cs="Times New Roman" w:hint="default"/>
          <w:color w:val="000000"/>
          <w:sz w:val="24"/>
          <w:szCs w:val="24"/>
          <w:lang w:val="en-US" w:eastAsia="zh-CN"/>
        </w:rPr>
        <w:t>有效解决</w:t>
      </w:r>
      <w:r>
        <w:rPr>
          <w:rFonts w:ascii="Times New Roman" w:eastAsia="仿宋" w:hAnsi="Times New Roman" w:cs="Times New Roman" w:hint="eastAsia"/>
          <w:sz w:val="24"/>
          <w:szCs w:val="24"/>
          <w:lang w:val="en-US" w:eastAsia="zh-CN"/>
        </w:rPr>
        <w:t>贵州</w:t>
      </w:r>
      <w:r>
        <w:rPr>
          <w:rFonts w:ascii="Times New Roman" w:eastAsia="仿宋" w:hAnsi="Times New Roman" w:cs="Times New Roman" w:hint="default"/>
          <w:color w:val="000000"/>
          <w:sz w:val="24"/>
          <w:szCs w:val="24"/>
          <w:lang w:val="en-US" w:eastAsia="zh-CN"/>
        </w:rPr>
        <w:t>地方特色蔬菜折耳根</w:t>
      </w:r>
      <w:r>
        <w:rPr>
          <w:rFonts w:ascii="Times New Roman" w:eastAsia="仿宋" w:hAnsi="Times New Roman" w:cs="Times New Roman" w:hint="eastAsia"/>
          <w:color w:val="000000"/>
          <w:sz w:val="24"/>
          <w:szCs w:val="24"/>
          <w:lang w:val="en-US" w:eastAsia="zh-CN"/>
        </w:rPr>
        <w:t>产品质量和安全判定标准</w:t>
      </w:r>
      <w:r>
        <w:rPr>
          <w:rFonts w:ascii="Times New Roman" w:eastAsia="仿宋" w:hAnsi="Times New Roman" w:cs="Times New Roman" w:hint="default"/>
          <w:color w:val="000000"/>
          <w:sz w:val="24"/>
          <w:szCs w:val="24"/>
          <w:lang w:val="en-US" w:eastAsia="zh-CN"/>
        </w:rPr>
        <w:t>不适宜</w:t>
      </w:r>
      <w:r>
        <w:rPr>
          <w:rFonts w:ascii="Times New Roman" w:eastAsia="仿宋" w:hAnsi="Times New Roman" w:cs="Times New Roman" w:hint="eastAsia"/>
          <w:color w:val="000000"/>
          <w:sz w:val="24"/>
          <w:szCs w:val="24"/>
          <w:lang w:val="en-US" w:eastAsia="zh-CN"/>
        </w:rPr>
        <w:t>和不科学</w:t>
      </w:r>
      <w:r>
        <w:rPr>
          <w:rFonts w:ascii="Times New Roman" w:eastAsia="仿宋" w:hAnsi="Times New Roman" w:cs="Times New Roman" w:hint="default"/>
          <w:color w:val="000000"/>
          <w:sz w:val="24"/>
          <w:szCs w:val="24"/>
          <w:lang w:val="en-US" w:eastAsia="zh-CN"/>
        </w:rPr>
        <w:t>问题，急需根据</w:t>
      </w:r>
      <w:r>
        <w:rPr>
          <w:rFonts w:ascii="Times New Roman" w:eastAsia="仿宋" w:hAnsi="Times New Roman" w:cs="Times New Roman" w:hint="default"/>
          <w:color w:val="000000"/>
          <w:sz w:val="24"/>
          <w:szCs w:val="24"/>
        </w:rPr>
        <w:t>我省</w:t>
      </w:r>
      <w:r>
        <w:rPr>
          <w:rFonts w:ascii="Times New Roman" w:eastAsia="仿宋" w:hAnsi="Times New Roman" w:cs="Times New Roman" w:hint="eastAsia"/>
          <w:color w:val="000000"/>
          <w:sz w:val="24"/>
          <w:szCs w:val="24"/>
          <w:lang w:val="en-US" w:eastAsia="zh-CN"/>
        </w:rPr>
        <w:t>针对</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eastAsia"/>
          <w:color w:val="000000"/>
          <w:sz w:val="24"/>
          <w:szCs w:val="24"/>
          <w:lang w:val="en-US" w:eastAsia="zh-CN"/>
        </w:rPr>
        <w:t>重</w:t>
      </w:r>
      <w:r>
        <w:rPr>
          <w:rFonts w:ascii="Times New Roman" w:eastAsia="仿宋" w:hAnsi="Times New Roman" w:cs="Times New Roman" w:hint="default"/>
          <w:color w:val="000000"/>
          <w:sz w:val="24"/>
          <w:szCs w:val="24"/>
        </w:rPr>
        <w:t>金属</w:t>
      </w:r>
      <w:r>
        <w:rPr>
          <w:rFonts w:ascii="Times New Roman" w:eastAsia="仿宋" w:hAnsi="Times New Roman" w:cs="Times New Roman" w:hint="eastAsia"/>
          <w:color w:val="000000"/>
          <w:sz w:val="24"/>
          <w:szCs w:val="24"/>
          <w:lang w:val="en-US" w:eastAsia="zh-CN"/>
        </w:rPr>
        <w:t>专项</w:t>
      </w:r>
      <w:r>
        <w:rPr>
          <w:rFonts w:ascii="Times New Roman" w:eastAsia="仿宋" w:hAnsi="Times New Roman" w:cs="Times New Roman" w:hint="default"/>
          <w:color w:val="000000"/>
          <w:sz w:val="24"/>
          <w:szCs w:val="24"/>
          <w:lang w:val="en-US" w:eastAsia="zh-CN"/>
        </w:rPr>
        <w:t>监测结果</w:t>
      </w:r>
      <w:r>
        <w:rPr>
          <w:rFonts w:ascii="Times New Roman" w:eastAsia="仿宋" w:hAnsi="Times New Roman" w:cs="Times New Roman" w:hint="default"/>
          <w:color w:val="000000"/>
          <w:sz w:val="24"/>
          <w:szCs w:val="24"/>
        </w:rPr>
        <w:t>，</w:t>
      </w:r>
      <w:r>
        <w:rPr>
          <w:rFonts w:ascii="Times New Roman" w:eastAsia="仿宋" w:hAnsi="Times New Roman" w:cs="Times New Roman" w:hint="eastAsia"/>
          <w:color w:val="000000"/>
          <w:sz w:val="24"/>
          <w:szCs w:val="24"/>
          <w:lang w:val="en-US" w:eastAsia="zh-CN"/>
        </w:rPr>
        <w:t>在</w:t>
      </w:r>
      <w:r>
        <w:rPr>
          <w:rFonts w:ascii="Times New Roman" w:eastAsia="仿宋" w:hAnsi="Times New Roman" w:cs="Times New Roman" w:hint="default"/>
          <w:color w:val="000000"/>
          <w:sz w:val="24"/>
          <w:szCs w:val="24"/>
        </w:rPr>
        <w:t>居民膳食</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Times New Roman" w:eastAsia="仿宋" w:hAnsi="Times New Roman" w:hint="default"/>
          <w:color w:val="000000"/>
          <w:sz w:val="24"/>
          <w:szCs w:val="24"/>
        </w:rPr>
      </w:pPr>
      <w:r>
        <w:rPr>
          <w:rFonts w:ascii="Times New Roman" w:eastAsia="仿宋" w:hAnsi="Times New Roman" w:cs="Times New Roman" w:hint="eastAsia"/>
          <w:color w:val="000000"/>
          <w:sz w:val="24"/>
          <w:szCs w:val="24"/>
          <w:lang w:val="en-US" w:eastAsia="zh-CN"/>
        </w:rPr>
        <w:t>折耳根</w:t>
      </w:r>
      <w:r>
        <w:rPr>
          <w:rFonts w:ascii="Times New Roman" w:eastAsia="仿宋" w:hAnsi="Times New Roman" w:cs="Times New Roman" w:hint="default"/>
          <w:color w:val="000000"/>
          <w:sz w:val="24"/>
          <w:szCs w:val="24"/>
        </w:rPr>
        <w:t>摄</w:t>
      </w:r>
      <w:r>
        <w:rPr>
          <w:rFonts w:ascii="Times New Roman" w:eastAsia="仿宋" w:hAnsi="Times New Roman" w:cs="Times New Roman" w:hint="eastAsia"/>
          <w:color w:val="000000"/>
          <w:sz w:val="24"/>
          <w:szCs w:val="24"/>
          <w:lang w:val="en-US" w:eastAsia="zh-CN"/>
        </w:rPr>
        <w:t>入</w:t>
      </w:r>
      <w:r>
        <w:rPr>
          <w:rFonts w:ascii="Times New Roman" w:eastAsia="仿宋" w:hAnsi="Times New Roman" w:cs="Times New Roman" w:hint="default"/>
          <w:color w:val="000000"/>
          <w:sz w:val="24"/>
          <w:szCs w:val="24"/>
        </w:rPr>
        <w:t>水平调查</w:t>
      </w:r>
      <w:r>
        <w:rPr>
          <w:rFonts w:ascii="Times New Roman" w:eastAsia="仿宋" w:hAnsi="Times New Roman" w:cs="Times New Roman" w:hint="eastAsia"/>
          <w:color w:val="000000"/>
          <w:sz w:val="24"/>
          <w:szCs w:val="24"/>
          <w:lang w:val="en-US" w:eastAsia="zh-CN"/>
        </w:rPr>
        <w:t>基础上</w:t>
      </w:r>
      <w:r>
        <w:rPr>
          <w:rFonts w:ascii="Times New Roman" w:eastAsia="仿宋" w:hAnsi="Times New Roman" w:cs="Times New Roman" w:hint="default"/>
          <w:color w:val="000000"/>
          <w:sz w:val="24"/>
          <w:szCs w:val="24"/>
        </w:rPr>
        <w:t>，</w:t>
      </w:r>
      <w:r>
        <w:rPr>
          <w:rFonts w:ascii="Times New Roman" w:eastAsia="仿宋" w:hAnsi="Times New Roman" w:cs="Times New Roman" w:hint="eastAsia"/>
          <w:color w:val="000000"/>
          <w:sz w:val="24"/>
          <w:szCs w:val="24"/>
          <w:lang w:val="en-US" w:eastAsia="zh-CN"/>
        </w:rPr>
        <w:t>有针对性</w:t>
      </w:r>
      <w:r>
        <w:rPr>
          <w:rFonts w:ascii="Times New Roman" w:eastAsia="仿宋" w:hAnsi="Times New Roman" w:cs="Times New Roman" w:hint="default"/>
          <w:color w:val="000000"/>
          <w:sz w:val="24"/>
          <w:szCs w:val="24"/>
        </w:rPr>
        <w:t>评估</w:t>
      </w:r>
      <w:r>
        <w:rPr>
          <w:rFonts w:ascii="Times New Roman" w:eastAsia="仿宋" w:hAnsi="Times New Roman" w:cs="Times New Roman" w:hint="default"/>
          <w:color w:val="000000"/>
          <w:sz w:val="24"/>
          <w:szCs w:val="24"/>
          <w:lang w:eastAsia="zh-CN"/>
        </w:rPr>
        <w:t>我</w:t>
      </w:r>
      <w:r>
        <w:rPr>
          <w:rFonts w:ascii="Times New Roman" w:eastAsia="仿宋" w:hAnsi="Times New Roman" w:cs="Times New Roman" w:hint="default"/>
          <w:color w:val="000000"/>
          <w:sz w:val="24"/>
          <w:szCs w:val="24"/>
          <w:lang w:val="en-US" w:eastAsia="zh-CN"/>
        </w:rPr>
        <w:t>省居民折耳根</w:t>
      </w:r>
      <w:r>
        <w:rPr>
          <w:rFonts w:ascii="Times New Roman" w:eastAsia="仿宋" w:hAnsi="Times New Roman" w:cs="Times New Roman" w:hint="eastAsia"/>
          <w:color w:val="000000"/>
          <w:sz w:val="24"/>
          <w:szCs w:val="24"/>
          <w:lang w:val="en-US" w:eastAsia="zh-CN"/>
        </w:rPr>
        <w:t>重金属</w:t>
      </w:r>
      <w:r>
        <w:rPr>
          <w:rFonts w:ascii="Times New Roman" w:eastAsia="仿宋" w:hAnsi="Times New Roman" w:cs="Times New Roman" w:hint="default"/>
          <w:color w:val="000000"/>
          <w:sz w:val="24"/>
          <w:szCs w:val="24"/>
          <w:lang w:val="en-US" w:eastAsia="zh-CN"/>
        </w:rPr>
        <w:t>暴露风险</w:t>
      </w:r>
      <w:r>
        <w:rPr>
          <w:rFonts w:ascii="Times New Roman" w:eastAsia="仿宋" w:hAnsi="Times New Roman" w:cs="Times New Roman" w:hint="eastAsia"/>
          <w:color w:val="000000"/>
          <w:sz w:val="24"/>
          <w:szCs w:val="24"/>
          <w:lang w:val="en-US" w:eastAsia="zh-CN"/>
        </w:rPr>
        <w:t>和可能对健康造成的危害</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eastAsia"/>
          <w:color w:val="000000"/>
          <w:sz w:val="24"/>
          <w:szCs w:val="24"/>
          <w:lang w:val="en-US" w:eastAsia="zh-CN"/>
        </w:rPr>
        <w:t>配合贵州农村产业发展需要，</w:t>
      </w:r>
      <w:r>
        <w:rPr>
          <w:rFonts w:ascii="Times New Roman" w:eastAsia="仿宋" w:hAnsi="Times New Roman" w:cs="Times New Roman" w:hint="default"/>
          <w:color w:val="000000"/>
          <w:sz w:val="24"/>
          <w:szCs w:val="24"/>
          <w:lang w:val="en-US" w:eastAsia="zh-CN"/>
        </w:rPr>
        <w:t>制定发布《食品安全地方标准</w:t>
      </w:r>
      <w:r>
        <w:rPr>
          <w:rFonts w:ascii="Times New Roman" w:eastAsia="仿宋" w:hAnsi="Times New Roman" w:cs="Times New Roman" w:hint="eastAsia"/>
          <w:color w:val="000000"/>
          <w:sz w:val="24"/>
          <w:szCs w:val="24"/>
          <w:lang w:val="en-US" w:eastAsia="zh-CN"/>
        </w:rPr>
        <w:t xml:space="preserve"> </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eastAsia"/>
          <w:color w:val="000000"/>
          <w:sz w:val="24"/>
          <w:szCs w:val="24"/>
          <w:lang w:val="en-US" w:eastAsia="zh-CN"/>
        </w:rPr>
        <w:t>（鱼腥草）</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eastAsia"/>
          <w:color w:val="000000"/>
          <w:sz w:val="24"/>
          <w:szCs w:val="24"/>
          <w:lang w:val="en-US" w:eastAsia="zh-CN"/>
        </w:rPr>
        <w:t>科学</w:t>
      </w:r>
      <w:r>
        <w:rPr>
          <w:rFonts w:ascii="Times New Roman" w:eastAsia="仿宋" w:hAnsi="Times New Roman" w:cs="Times New Roman" w:hint="default"/>
          <w:color w:val="000000"/>
          <w:sz w:val="24"/>
          <w:szCs w:val="24"/>
          <w:lang w:val="en-US" w:eastAsia="zh-CN"/>
        </w:rPr>
        <w:t>设置污染物</w:t>
      </w:r>
      <w:r>
        <w:rPr>
          <w:rFonts w:ascii="Times New Roman" w:eastAsia="仿宋" w:hAnsi="Times New Roman" w:cs="Times New Roman" w:hint="eastAsia"/>
          <w:color w:val="000000"/>
          <w:sz w:val="24"/>
          <w:szCs w:val="24"/>
          <w:lang w:val="en-US" w:eastAsia="zh-CN"/>
        </w:rPr>
        <w:t>控制指标并根据风险评估结果给与</w:t>
      </w:r>
      <w:r>
        <w:rPr>
          <w:rFonts w:ascii="Times New Roman" w:eastAsia="仿宋" w:hAnsi="Times New Roman" w:cs="Times New Roman" w:hint="default"/>
          <w:color w:val="000000"/>
          <w:sz w:val="24"/>
          <w:szCs w:val="24"/>
          <w:lang w:val="en-US" w:eastAsia="zh-CN"/>
        </w:rPr>
        <w:t>合理的限值</w:t>
      </w:r>
      <w:r>
        <w:rPr>
          <w:rFonts w:ascii="Times New Roman" w:eastAsia="仿宋" w:hAnsi="Times New Roman" w:cs="Times New Roman" w:hint="eastAsia"/>
          <w:color w:val="000000"/>
          <w:sz w:val="24"/>
          <w:szCs w:val="24"/>
          <w:lang w:val="en-US" w:eastAsia="zh-CN"/>
        </w:rPr>
        <w:t>要求</w:t>
      </w:r>
      <w:r>
        <w:rPr>
          <w:rFonts w:ascii="Times New Roman" w:eastAsia="仿宋" w:hAnsi="Times New Roman" w:cs="Times New Roman" w:hint="default"/>
          <w:color w:val="000000"/>
          <w:sz w:val="24"/>
          <w:szCs w:val="24"/>
          <w:lang w:val="en-US" w:eastAsia="zh-CN"/>
        </w:rPr>
        <w:t>，为</w:t>
      </w:r>
      <w:r>
        <w:rPr>
          <w:rFonts w:ascii="Times New Roman" w:eastAsia="仿宋" w:hAnsi="Times New Roman" w:cs="Times New Roman" w:hint="eastAsia"/>
          <w:color w:val="000000"/>
          <w:sz w:val="24"/>
          <w:szCs w:val="24"/>
          <w:lang w:val="en-US" w:eastAsia="zh-CN"/>
        </w:rPr>
        <w:t>贵州地方特色蔬菜折耳根</w:t>
      </w:r>
      <w:r>
        <w:rPr>
          <w:rFonts w:ascii="Times New Roman" w:eastAsia="仿宋" w:hAnsi="Times New Roman" w:cs="Times New Roman" w:hint="default"/>
          <w:color w:val="000000"/>
          <w:sz w:val="24"/>
          <w:szCs w:val="24"/>
          <w:lang w:val="en-US" w:eastAsia="zh-CN"/>
        </w:rPr>
        <w:t>提供适宜的合格判定标准，</w:t>
      </w:r>
      <w:r>
        <w:rPr>
          <w:rFonts w:ascii="Times New Roman" w:eastAsia="仿宋" w:hAnsi="Times New Roman" w:cs="Times New Roman" w:hint="eastAsia"/>
          <w:color w:val="000000"/>
          <w:sz w:val="24"/>
          <w:szCs w:val="24"/>
          <w:lang w:val="en-US" w:eastAsia="zh-CN"/>
        </w:rPr>
        <w:t>对</w:t>
      </w:r>
      <w:r>
        <w:rPr>
          <w:rFonts w:ascii="Times New Roman" w:eastAsia="仿宋" w:hAnsi="Times New Roman" w:cs="Times New Roman" w:hint="default"/>
          <w:color w:val="000000"/>
          <w:sz w:val="24"/>
          <w:szCs w:val="24"/>
          <w:lang w:val="en-US" w:eastAsia="zh-CN"/>
        </w:rPr>
        <w:t>加强地方特色蔬菜监</w:t>
      </w:r>
      <w:r>
        <w:rPr>
          <w:rFonts w:ascii="Times New Roman" w:eastAsia="仿宋" w:hAnsi="Times New Roman" w:cs="Times New Roman" w:hint="eastAsia"/>
          <w:color w:val="000000"/>
          <w:sz w:val="24"/>
          <w:szCs w:val="24"/>
          <w:lang w:val="en-US" w:eastAsia="zh-CN"/>
        </w:rPr>
        <w:t>管提供执法依据</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eastAsia"/>
          <w:color w:val="000000"/>
          <w:sz w:val="24"/>
          <w:szCs w:val="24"/>
          <w:lang w:val="en-US" w:eastAsia="zh-CN"/>
        </w:rPr>
        <w:t>进而</w:t>
      </w:r>
      <w:r>
        <w:rPr>
          <w:rFonts w:ascii="Times New Roman" w:eastAsia="仿宋" w:hAnsi="Times New Roman" w:cs="Times New Roman" w:hint="default"/>
          <w:color w:val="000000"/>
          <w:sz w:val="24"/>
          <w:szCs w:val="24"/>
          <w:lang w:val="en-US" w:eastAsia="zh-CN"/>
        </w:rPr>
        <w:t>指导折耳根种植户合理选择适宜的种植环境，确保折耳根膳食</w:t>
      </w:r>
      <w:r>
        <w:rPr>
          <w:rFonts w:ascii="Times New Roman" w:eastAsia="仿宋" w:hAnsi="Times New Roman" w:cs="Times New Roman" w:hint="eastAsia"/>
          <w:color w:val="000000"/>
          <w:sz w:val="24"/>
          <w:szCs w:val="24"/>
          <w:lang w:val="en-US" w:eastAsia="zh-CN"/>
        </w:rPr>
        <w:t>摄入</w:t>
      </w:r>
      <w:r>
        <w:rPr>
          <w:rFonts w:ascii="Times New Roman" w:eastAsia="仿宋" w:hAnsi="Times New Roman" w:cs="Times New Roman" w:hint="default"/>
          <w:color w:val="000000"/>
          <w:sz w:val="24"/>
          <w:szCs w:val="24"/>
          <w:lang w:val="en-US" w:eastAsia="zh-CN"/>
        </w:rPr>
        <w:t>安全。</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rPr>
      </w:pPr>
      <w:bookmarkStart w:id="5" w:name="_Toc694"/>
      <w:r>
        <w:rPr>
          <w:rFonts w:ascii="Times New Roman" w:eastAsia="仿宋" w:hAnsi="Times New Roman" w:cs="Times New Roman" w:hint="default"/>
          <w:sz w:val="30"/>
          <w:szCs w:val="30"/>
          <w:lang w:val="en-US" w:eastAsia="zh-CN"/>
        </w:rPr>
        <w:t>二、</w:t>
      </w:r>
      <w:r>
        <w:rPr>
          <w:rFonts w:ascii="Times New Roman" w:eastAsia="仿宋" w:hAnsi="Times New Roman" w:cs="Times New Roman" w:hint="default"/>
          <w:sz w:val="30"/>
          <w:szCs w:val="30"/>
        </w:rPr>
        <w:t>工作简况</w:t>
      </w:r>
      <w:bookmarkEnd w:id="5"/>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280" w:firstLineChars="100"/>
        <w:textAlignment w:val="auto"/>
        <w:rPr>
          <w:rFonts w:ascii="Times New Roman" w:eastAsia="仿宋" w:hAnsi="Times New Roman" w:cs="Times New Roman" w:hint="default"/>
          <w:sz w:val="28"/>
          <w:szCs w:val="28"/>
        </w:rPr>
      </w:pPr>
      <w:bookmarkStart w:id="6" w:name="_Toc19223"/>
      <w:r>
        <w:rPr>
          <w:rFonts w:ascii="Times New Roman" w:eastAsia="仿宋" w:hAnsi="Times New Roman" w:cs="Times New Roman" w:hint="default"/>
          <w:sz w:val="28"/>
          <w:szCs w:val="28"/>
        </w:rPr>
        <w:t>（一）任务来源</w:t>
      </w:r>
      <w:bookmarkEnd w:id="6"/>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lang w:val="en-US" w:eastAsia="zh-CN"/>
        </w:rPr>
        <w:t>2022年7月21日贵州省卫生健康委组织省相关监管部门负责人及食品安全地方标准审评委员会相关专家召开立项评审会，《食品安全地方标准 折耳根》通过立项预评审，2022年08月12日贵州省卫生健康委下发了《关于征求贵州省2022年食品安全地方标准预立项计划意见的函》，公开征求相关部门及社会意见，2022年10月贵州省卫生健康委下发了《关于开展贵州省2022年食品安全地方标准制定工作的通知》，《食品安全地方标准 折耳根》最终通过立项。贵州省疾控中心牵头成立了《食品安全地方标准  折耳根》标准编制小组开展标准编制工作。该标准由贵州省疾控中心、9个市州疾病预防控制中心、贵州省检测技术研究中心、</w:t>
      </w:r>
      <w:r>
        <w:rPr>
          <w:rFonts w:ascii="Times New Roman" w:eastAsia="仿宋" w:hAnsi="Times New Roman" w:cs="Times New Roman" w:hint="eastAsia"/>
          <w:color w:val="000000"/>
          <w:sz w:val="24"/>
          <w:szCs w:val="24"/>
          <w:lang w:val="en-US" w:eastAsia="zh-CN"/>
        </w:rPr>
        <w:t>贵州中医药大学第二附属医院、</w:t>
      </w:r>
      <w:r>
        <w:rPr>
          <w:rFonts w:ascii="Times New Roman" w:eastAsia="仿宋" w:hAnsi="Times New Roman" w:cs="Times New Roman" w:hint="default"/>
          <w:color w:val="000000"/>
          <w:sz w:val="24"/>
          <w:szCs w:val="24"/>
          <w:lang w:val="en-US" w:eastAsia="zh-CN"/>
        </w:rPr>
        <w:t>贵州省分析测试研究院、黔南州人民医院共同参与制定。标准主要起草人</w:t>
      </w:r>
      <w:r>
        <w:rPr>
          <w:rFonts w:ascii="Times New Roman" w:eastAsia="仿宋" w:hAnsi="Times New Roman" w:cs="Times New Roman" w:hint="default"/>
          <w:color w:val="000000"/>
          <w:kern w:val="2"/>
          <w:sz w:val="24"/>
          <w:szCs w:val="24"/>
          <w:lang w:val="en-US" w:eastAsia="zh-CN" w:bidi="ar-SA"/>
        </w:rPr>
        <w:t>为周贻兵、毕珊、</w:t>
      </w:r>
      <w:r>
        <w:rPr>
          <w:rFonts w:ascii="Times New Roman" w:eastAsia="仿宋" w:hAnsi="Times New Roman" w:cs="Times New Roman" w:hint="eastAsia"/>
          <w:color w:val="000000"/>
          <w:kern w:val="2"/>
          <w:sz w:val="24"/>
          <w:szCs w:val="24"/>
          <w:lang w:val="en-US" w:eastAsia="zh-CN" w:bidi="ar-SA"/>
        </w:rPr>
        <w:t>王叶、</w:t>
      </w:r>
      <w:r>
        <w:rPr>
          <w:rFonts w:ascii="Times New Roman" w:eastAsia="仿宋" w:hAnsi="Times New Roman" w:cs="Times New Roman" w:hint="default"/>
          <w:color w:val="000000"/>
          <w:kern w:val="2"/>
          <w:sz w:val="24"/>
          <w:szCs w:val="24"/>
          <w:lang w:val="en-US" w:eastAsia="zh-CN" w:bidi="ar-SA"/>
        </w:rPr>
        <w:t>王睿、林野、杨绍群、张权、刘文政、廖春、李磊、王颖怡、刘贵荣、孟春杨、张权、吴玉田、彭蕾、殷忠、张健飞、</w:t>
      </w:r>
      <w:r>
        <w:rPr>
          <w:rFonts w:ascii="Times New Roman" w:eastAsia="仿宋" w:hAnsi="Times New Roman" w:hint="default"/>
          <w:color w:val="000000"/>
          <w:sz w:val="24"/>
          <w:szCs w:val="24"/>
          <w:lang w:val="en-US" w:eastAsia="zh-CN"/>
        </w:rPr>
        <w:t>何晓雅</w:t>
      </w:r>
      <w:r>
        <w:rPr>
          <w:rFonts w:ascii="Times New Roman" w:eastAsia="仿宋" w:hAnsi="Times New Roman" w:hint="eastAsia"/>
          <w:color w:val="000000"/>
          <w:sz w:val="24"/>
          <w:szCs w:val="24"/>
          <w:lang w:val="en-US" w:eastAsia="zh-CN"/>
        </w:rPr>
        <w:t>、</w:t>
      </w:r>
      <w:r>
        <w:rPr>
          <w:rFonts w:ascii="Times New Roman" w:eastAsia="仿宋" w:hAnsi="Times New Roman" w:cs="Times New Roman" w:hint="default"/>
          <w:color w:val="000000"/>
          <w:kern w:val="2"/>
          <w:sz w:val="24"/>
          <w:szCs w:val="24"/>
          <w:lang w:val="en-US" w:eastAsia="zh-CN" w:bidi="ar-SA"/>
        </w:rPr>
        <w:t>吴桃丽、李晓慧、杨琪、张人弘、杨辉、王亮、赵浩然、韦刚、罗吉。</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rPr>
      </w:pPr>
      <w:bookmarkStart w:id="7" w:name="_Toc5843"/>
      <w:bookmarkStart w:id="8" w:name="_Toc12667"/>
      <w:bookmarkStart w:id="9" w:name="_Toc7706"/>
      <w:r>
        <w:rPr>
          <w:rFonts w:ascii="Times New Roman" w:eastAsia="仿宋" w:hAnsi="Times New Roman" w:cs="Times New Roman" w:hint="default"/>
          <w:sz w:val="28"/>
          <w:szCs w:val="28"/>
        </w:rPr>
        <w:t>（二）主要协作单位</w:t>
      </w:r>
      <w:bookmarkEnd w:id="7"/>
      <w:bookmarkEnd w:id="8"/>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1、</w:t>
      </w:r>
      <w:r>
        <w:rPr>
          <w:rFonts w:ascii="Times New Roman" w:eastAsia="仿宋" w:hAnsi="Times New Roman" w:cs="Times New Roman" w:hint="default"/>
          <w:b/>
          <w:bCs/>
          <w:sz w:val="28"/>
          <w:szCs w:val="28"/>
        </w:rPr>
        <w:t>市</w:t>
      </w:r>
      <w:r>
        <w:rPr>
          <w:rFonts w:ascii="Times New Roman" w:eastAsia="仿宋" w:hAnsi="Times New Roman" w:cs="Times New Roman" w:hint="default"/>
          <w:b/>
          <w:bCs/>
          <w:sz w:val="28"/>
          <w:szCs w:val="28"/>
          <w:lang w:val="en-US" w:eastAsia="zh-CN"/>
        </w:rPr>
        <w:t>(</w:t>
      </w:r>
      <w:r>
        <w:rPr>
          <w:rFonts w:ascii="Times New Roman" w:eastAsia="仿宋" w:hAnsi="Times New Roman" w:cs="Times New Roman" w:hint="default"/>
          <w:b/>
          <w:bCs/>
          <w:sz w:val="28"/>
          <w:szCs w:val="28"/>
        </w:rPr>
        <w:t>州</w:t>
      </w:r>
      <w:r>
        <w:rPr>
          <w:rFonts w:ascii="Times New Roman" w:eastAsia="仿宋" w:hAnsi="Times New Roman" w:cs="Times New Roman" w:hint="default"/>
          <w:b/>
          <w:bCs/>
          <w:sz w:val="28"/>
          <w:szCs w:val="28"/>
          <w:lang w:val="en-US" w:eastAsia="zh-CN"/>
        </w:rPr>
        <w:t>)</w:t>
      </w:r>
      <w:r>
        <w:rPr>
          <w:rFonts w:ascii="Times New Roman" w:eastAsia="仿宋" w:hAnsi="Times New Roman" w:cs="Times New Roman" w:hint="default"/>
          <w:b/>
          <w:bCs/>
          <w:sz w:val="28"/>
          <w:szCs w:val="28"/>
        </w:rPr>
        <w:t>疾控中心</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sectPr>
          <w:footerReference w:type="default" r:id="rId1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6"/>
          <w:cols w:num="1" w:space="720"/>
          <w:titlePg w:val="0"/>
          <w:docGrid w:type="lines" w:linePitch="312" w:charSpace="0"/>
        </w:sectPr>
      </w:pPr>
      <w:r>
        <w:rPr>
          <w:rFonts w:ascii="Times New Roman" w:eastAsia="仿宋" w:hAnsi="Times New Roman" w:cs="Times New Roman" w:hint="default"/>
          <w:color w:val="37352F"/>
          <w:kern w:val="0"/>
          <w:sz w:val="24"/>
          <w:szCs w:val="24"/>
        </w:rPr>
        <w:t>贵州省9个市（州）</w:t>
      </w:r>
      <w:r>
        <w:rPr>
          <w:rFonts w:ascii="Times New Roman" w:eastAsia="仿宋" w:hAnsi="Times New Roman" w:cs="Times New Roman" w:hint="default"/>
          <w:color w:val="37352F"/>
          <w:kern w:val="0"/>
          <w:sz w:val="24"/>
          <w:szCs w:val="24"/>
          <w:lang w:val="en-US" w:eastAsia="zh-CN"/>
        </w:rPr>
        <w:t>疾控中心实验室均通过</w:t>
      </w:r>
      <w:r>
        <w:rPr>
          <w:rFonts w:ascii="Times New Roman" w:eastAsia="仿宋" w:hAnsi="Times New Roman" w:cs="Times New Roman" w:hint="default"/>
          <w:color w:val="37352F"/>
          <w:kern w:val="0"/>
          <w:sz w:val="24"/>
          <w:szCs w:val="24"/>
        </w:rPr>
        <w:t>省级</w:t>
      </w:r>
      <w:r>
        <w:rPr>
          <w:rFonts w:ascii="Times New Roman" w:eastAsia="仿宋" w:hAnsi="Times New Roman" w:cs="Times New Roman" w:hint="default"/>
          <w:color w:val="37352F"/>
          <w:kern w:val="0"/>
          <w:sz w:val="24"/>
          <w:szCs w:val="24"/>
          <w:lang w:val="en-US" w:eastAsia="zh-CN"/>
        </w:rPr>
        <w:t>资质认证</w:t>
      </w:r>
      <w:r>
        <w:rPr>
          <w:rFonts w:ascii="Times New Roman" w:eastAsia="仿宋" w:hAnsi="Times New Roman" w:cs="Times New Roman" w:hint="default"/>
          <w:color w:val="37352F"/>
          <w:kern w:val="0"/>
          <w:sz w:val="24"/>
          <w:szCs w:val="24"/>
        </w:rPr>
        <w:t>，</w:t>
      </w:r>
      <w:r>
        <w:rPr>
          <w:rFonts w:ascii="Times New Roman" w:eastAsia="仿宋" w:hAnsi="Times New Roman" w:cs="Times New Roman" w:hint="default"/>
          <w:sz w:val="24"/>
          <w:szCs w:val="24"/>
        </w:rPr>
        <w:t>承担国家食品安全风险监测工作</w:t>
      </w:r>
      <w:r>
        <w:rPr>
          <w:rFonts w:ascii="Times New Roman" w:eastAsia="仿宋" w:hAnsi="Times New Roman" w:cs="Times New Roman" w:hint="default"/>
          <w:sz w:val="24"/>
          <w:szCs w:val="24"/>
          <w:lang w:eastAsia="zh-CN"/>
        </w:rPr>
        <w:t>，</w:t>
      </w:r>
      <w:r>
        <w:rPr>
          <w:rFonts w:ascii="Times New Roman" w:eastAsia="仿宋" w:hAnsi="Times New Roman" w:cs="Times New Roman" w:hint="default"/>
          <w:color w:val="37352F"/>
          <w:kern w:val="0"/>
          <w:sz w:val="24"/>
          <w:szCs w:val="24"/>
        </w:rPr>
        <w:t>配备电感耦合等离子体质谱</w:t>
      </w:r>
      <w:r>
        <w:rPr>
          <w:rFonts w:ascii="Times New Roman" w:eastAsia="仿宋" w:hAnsi="Times New Roman" w:cs="Times New Roman" w:hint="default"/>
          <w:color w:val="37352F"/>
          <w:kern w:val="0"/>
          <w:sz w:val="24"/>
          <w:szCs w:val="24"/>
          <w:lang w:eastAsia="zh-CN"/>
        </w:rPr>
        <w:t>、</w:t>
      </w:r>
      <w:r>
        <w:rPr>
          <w:rFonts w:ascii="Times New Roman" w:eastAsia="仿宋" w:hAnsi="Times New Roman" w:cs="Times New Roman" w:hint="default"/>
          <w:color w:val="37352F"/>
          <w:kern w:val="0"/>
          <w:sz w:val="24"/>
          <w:szCs w:val="24"/>
          <w:lang w:val="en-US" w:eastAsia="zh-CN"/>
        </w:rPr>
        <w:t>原子吸收、原子荧光、</w:t>
      </w:r>
      <w:r>
        <w:rPr>
          <w:rFonts w:ascii="Times New Roman" w:eastAsia="仿宋" w:hAnsi="Times New Roman" w:cs="Times New Roman" w:hint="default"/>
          <w:color w:val="37352F"/>
          <w:kern w:val="0"/>
          <w:sz w:val="24"/>
          <w:szCs w:val="24"/>
        </w:rPr>
        <w:t>液相色谱质谱联用仪等大型精密检测仪器，</w:t>
      </w:r>
      <w:r>
        <w:rPr>
          <w:rFonts w:ascii="Times New Roman" w:eastAsia="仿宋" w:hAnsi="Times New Roman" w:cs="Times New Roman" w:hint="default"/>
          <w:sz w:val="24"/>
          <w:szCs w:val="24"/>
        </w:rPr>
        <w:t>负责</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样品制备、样品检测、样品</w:t>
      </w:r>
      <w:r>
        <w:rPr>
          <w:rFonts w:ascii="Times New Roman" w:eastAsia="仿宋" w:hAnsi="Times New Roman" w:cs="Times New Roman" w:hint="default"/>
          <w:sz w:val="24"/>
          <w:szCs w:val="24"/>
          <w:lang w:val="en-US" w:eastAsia="zh-CN"/>
        </w:rPr>
        <w:t>交叉</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复核和数据汇总上报。</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2、贵州省检测技术研究中心、贵州省分析测试研究院</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贵州省检测技术研究应用中心具有承担国家、省、市、县等食品监督抽检和风险监测任务，为贵州省指定的食品复检机构。贵州省分析测试研究院是专业从事检验检测工作的综合性实验室，在检验检测专业性方面具有较高的能力和水平。两家单位负责</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元素异常检测数据样品的复核确认工作，参与标准文本的的编制和审定工作。</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3、贵州中医药大学第二附属医院、黔南州人民医院</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作为食源性疾病哨点监测医院，负责</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调查问卷收集和统计工作，负责食用</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引起的食源性疾病资料的收集和整理工作。</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rPr>
      </w:pPr>
      <w:bookmarkStart w:id="10" w:name="_Toc25653"/>
      <w:bookmarkStart w:id="11" w:name="_Toc1080"/>
      <w:r>
        <w:rPr>
          <w:rFonts w:ascii="Times New Roman" w:eastAsia="仿宋" w:hAnsi="Times New Roman" w:cs="Times New Roman" w:hint="default"/>
          <w:sz w:val="28"/>
          <w:szCs w:val="28"/>
        </w:rPr>
        <w:t>（三）起草过程</w:t>
      </w:r>
      <w:bookmarkEnd w:id="10"/>
      <w:bookmarkEnd w:id="11"/>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按照省卫生健康委下发的《贵州省2022年食品安全地方标准制定工作的通知》要求，贵州省疾控中心于2022年11月成立由周贻兵为总负责《</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》地方标准撰写协作组，全面协调负责标准文本及编制说明的撰写工作，相关工作推进如下：</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2022月12日-2023年1月，整理完成2020年、2021年</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 xml:space="preserve">中元素监测数据和分析，初步拟定《食品安全地方标准 </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》框架，明确需进一步补充完善的数据。</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2023年2月-2023年</w:t>
      </w:r>
      <w:r>
        <w:rPr>
          <w:rFonts w:ascii="Times New Roman" w:eastAsia="仿宋" w:hAnsi="Times New Roman" w:cs="Times New Roman" w:hint="default"/>
          <w:sz w:val="24"/>
          <w:szCs w:val="24"/>
          <w:lang w:val="en-US" w:eastAsia="zh-CN"/>
        </w:rPr>
        <w:t>6</w:t>
      </w:r>
      <w:r>
        <w:rPr>
          <w:rFonts w:ascii="Times New Roman" w:eastAsia="仿宋" w:hAnsi="Times New Roman" w:cs="Times New Roman" w:hint="default"/>
          <w:sz w:val="24"/>
          <w:szCs w:val="24"/>
        </w:rPr>
        <w:t>月，完成需补充样品的采样、样品的检测，数据复核比对工作。</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2023年</w:t>
      </w:r>
      <w:r>
        <w:rPr>
          <w:rFonts w:ascii="Times New Roman" w:eastAsia="仿宋" w:hAnsi="Times New Roman" w:cs="Times New Roman" w:hint="default"/>
          <w:sz w:val="24"/>
          <w:szCs w:val="24"/>
          <w:lang w:val="en-US" w:eastAsia="zh-CN"/>
        </w:rPr>
        <w:t>7</w:t>
      </w:r>
      <w:r>
        <w:rPr>
          <w:rFonts w:ascii="Times New Roman" w:eastAsia="仿宋" w:hAnsi="Times New Roman" w:cs="Times New Roman" w:hint="default"/>
          <w:sz w:val="24"/>
          <w:szCs w:val="24"/>
        </w:rPr>
        <w:t>月-2023年</w:t>
      </w:r>
      <w:r>
        <w:rPr>
          <w:rFonts w:ascii="Times New Roman" w:eastAsia="仿宋" w:hAnsi="Times New Roman" w:cs="Times New Roman" w:hint="default"/>
          <w:sz w:val="24"/>
          <w:szCs w:val="24"/>
          <w:lang w:val="en-US" w:eastAsia="zh-CN"/>
        </w:rPr>
        <w:t>8</w:t>
      </w:r>
      <w:r>
        <w:rPr>
          <w:rFonts w:ascii="Times New Roman" w:eastAsia="仿宋" w:hAnsi="Times New Roman" w:cs="Times New Roman" w:hint="default"/>
          <w:sz w:val="24"/>
          <w:szCs w:val="24"/>
        </w:rPr>
        <w:t>月，完成</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膳食食用量问卷调查设计和问卷的发放，收集整理问卷，统计分析有关内容。</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 xml:space="preserve"> 2023年</w:t>
      </w:r>
      <w:r>
        <w:rPr>
          <w:rFonts w:ascii="Times New Roman" w:eastAsia="仿宋" w:hAnsi="Times New Roman" w:cs="Times New Roman" w:hint="default"/>
          <w:sz w:val="24"/>
          <w:szCs w:val="24"/>
          <w:lang w:val="en-US" w:eastAsia="zh-CN"/>
        </w:rPr>
        <w:t>9</w:t>
      </w:r>
      <w:r>
        <w:rPr>
          <w:rFonts w:ascii="Times New Roman" w:eastAsia="仿宋" w:hAnsi="Times New Roman" w:cs="Times New Roman" w:hint="default"/>
          <w:sz w:val="24"/>
          <w:szCs w:val="24"/>
        </w:rPr>
        <w:t>月-</w:t>
      </w:r>
      <w:r>
        <w:rPr>
          <w:rFonts w:ascii="Times New Roman" w:eastAsia="仿宋" w:hAnsi="Times New Roman" w:cs="Times New Roman" w:hint="default"/>
          <w:sz w:val="24"/>
          <w:szCs w:val="24"/>
          <w:lang w:val="en-US" w:eastAsia="zh-CN"/>
        </w:rPr>
        <w:t>11</w:t>
      </w:r>
      <w:r>
        <w:rPr>
          <w:rFonts w:ascii="Times New Roman" w:eastAsia="仿宋" w:hAnsi="Times New Roman" w:cs="Times New Roman" w:hint="default"/>
          <w:sz w:val="24"/>
          <w:szCs w:val="24"/>
        </w:rPr>
        <w:t>月，成立</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食品安全风险评估小组，做了详细的分工，开展</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中重点关注有害元素的风险评估</w:t>
      </w:r>
      <w:r>
        <w:rPr>
          <w:rFonts w:ascii="Times New Roman" w:eastAsia="仿宋" w:hAnsi="Times New Roman" w:cs="Times New Roman" w:hint="default"/>
          <w:sz w:val="24"/>
          <w:szCs w:val="24"/>
          <w:lang w:eastAsia="zh-CN"/>
        </w:rPr>
        <w:t>，</w:t>
      </w:r>
      <w:r>
        <w:rPr>
          <w:rFonts w:ascii="Times New Roman" w:eastAsia="仿宋" w:hAnsi="Times New Roman" w:cs="Times New Roman" w:hint="default"/>
          <w:sz w:val="24"/>
          <w:szCs w:val="24"/>
          <w:lang w:val="en-US" w:eastAsia="zh-CN"/>
        </w:rPr>
        <w:t>并将评估报告提交省卫生健康委。</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sectPr>
          <w:footerReference w:type="default" r:id="rId1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7"/>
          <w:cols w:num="1" w:space="720"/>
          <w:titlePg w:val="0"/>
          <w:docGrid w:type="lines" w:linePitch="312" w:charSpace="0"/>
        </w:sectPr>
      </w:pPr>
      <w:r>
        <w:rPr>
          <w:rFonts w:ascii="Times New Roman" w:eastAsia="仿宋" w:hAnsi="Times New Roman" w:cs="Times New Roman" w:hint="default"/>
          <w:sz w:val="24"/>
          <w:szCs w:val="24"/>
        </w:rPr>
        <w:t>2023年</w:t>
      </w:r>
      <w:r>
        <w:rPr>
          <w:rFonts w:ascii="Times New Roman" w:eastAsia="仿宋" w:hAnsi="Times New Roman" w:cs="Times New Roman" w:hint="default"/>
          <w:sz w:val="24"/>
          <w:szCs w:val="24"/>
          <w:lang w:val="en-US" w:eastAsia="zh-CN"/>
        </w:rPr>
        <w:t>12</w:t>
      </w:r>
      <w:r>
        <w:rPr>
          <w:rFonts w:ascii="Times New Roman" w:eastAsia="仿宋" w:hAnsi="Times New Roman" w:cs="Times New Roman" w:hint="default"/>
          <w:sz w:val="24"/>
          <w:szCs w:val="24"/>
        </w:rPr>
        <w:t>月，</w:t>
      </w:r>
      <w:r>
        <w:rPr>
          <w:rFonts w:ascii="Times New Roman" w:eastAsia="仿宋" w:hAnsi="Times New Roman" w:cs="Times New Roman" w:hint="default"/>
          <w:sz w:val="24"/>
          <w:szCs w:val="24"/>
          <w:lang w:val="en-US" w:eastAsia="zh-CN"/>
        </w:rPr>
        <w:t>根据折耳根中重点关注的重金属元素的风险评估结论，结合折耳根中重金属检出水平，</w:t>
      </w:r>
      <w:r>
        <w:rPr>
          <w:rFonts w:ascii="Times New Roman" w:eastAsia="仿宋" w:hAnsi="Times New Roman" w:cs="Times New Roman" w:hint="default"/>
          <w:sz w:val="24"/>
          <w:szCs w:val="24"/>
        </w:rPr>
        <w:t>明确食品安全风险点，确定合理的限量</w:t>
      </w:r>
      <w:r>
        <w:rPr>
          <w:rFonts w:ascii="Times New Roman" w:eastAsia="仿宋" w:hAnsi="Times New Roman" w:cs="Times New Roman" w:hint="default"/>
          <w:sz w:val="24"/>
          <w:szCs w:val="24"/>
          <w:lang w:eastAsia="zh-CN"/>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完成标准文本初稿和编制说明。</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lang w:val="en-US" w:eastAsia="zh-CN"/>
        </w:rPr>
        <w:t>2024年1-2月，</w:t>
      </w:r>
      <w:r>
        <w:rPr>
          <w:rFonts w:ascii="Times New Roman" w:eastAsia="仿宋" w:hAnsi="Times New Roman" w:cs="Times New Roman" w:hint="default"/>
          <w:sz w:val="24"/>
          <w:szCs w:val="24"/>
        </w:rPr>
        <w:t xml:space="preserve">组织标准编制组专家召开研讨会，对标准初稿提出修改意见，进一步修改完善《食品安全地方标准 </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》标文本和编制说明，提交卫健委</w:t>
      </w:r>
      <w:r>
        <w:rPr>
          <w:rFonts w:ascii="Times New Roman" w:eastAsia="仿宋" w:hAnsi="Times New Roman" w:cs="Times New Roman" w:hint="eastAsia"/>
          <w:sz w:val="24"/>
          <w:szCs w:val="24"/>
          <w:lang w:val="en-US" w:eastAsia="zh-CN"/>
        </w:rPr>
        <w:t>向</w:t>
      </w:r>
      <w:r>
        <w:rPr>
          <w:rFonts w:ascii="Times New Roman" w:eastAsia="仿宋" w:hAnsi="Times New Roman" w:cs="Times New Roman" w:hint="default"/>
          <w:sz w:val="24"/>
          <w:szCs w:val="24"/>
        </w:rPr>
        <w:t>社会公开征集意见。</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lang w:val="en-US" w:eastAsia="zh-CN"/>
        </w:rPr>
      </w:pPr>
      <w:bookmarkStart w:id="12" w:name="_Toc19646"/>
      <w:r>
        <w:rPr>
          <w:rFonts w:ascii="Times New Roman" w:eastAsia="仿宋" w:hAnsi="Times New Roman" w:cs="Times New Roman" w:hint="default"/>
          <w:sz w:val="30"/>
          <w:szCs w:val="30"/>
          <w:lang w:val="en-US" w:eastAsia="zh-CN"/>
        </w:rPr>
        <w:t>三、制定标准的原则和依据，与现行法律、法规、标准的关系，国内外现行相关法律、法规和标准情况</w:t>
      </w:r>
      <w:bookmarkEnd w:id="12"/>
    </w:p>
    <w:bookmarkEnd w:id="9"/>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280" w:firstLineChars="100"/>
        <w:textAlignment w:val="auto"/>
        <w:rPr>
          <w:rFonts w:ascii="Times New Roman" w:eastAsia="仿宋" w:hAnsi="Times New Roman" w:cs="Times New Roman" w:hint="default"/>
          <w:sz w:val="28"/>
          <w:szCs w:val="28"/>
        </w:rPr>
      </w:pPr>
      <w:bookmarkStart w:id="13" w:name="_Toc26290"/>
      <w:bookmarkStart w:id="14" w:name="_Toc14790"/>
      <w:r>
        <w:rPr>
          <w:rFonts w:ascii="Times New Roman" w:eastAsia="仿宋" w:hAnsi="Times New Roman" w:cs="Times New Roman" w:hint="default"/>
          <w:sz w:val="28"/>
          <w:szCs w:val="28"/>
        </w:rPr>
        <w:t>（一）制定原则</w:t>
      </w:r>
      <w:bookmarkEnd w:id="13"/>
      <w:bookmarkEnd w:id="14"/>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 xml:space="preserve">1、规范原则  </w:t>
      </w:r>
    </w:p>
    <w:p>
      <w:pPr>
        <w:spacing w:line="360" w:lineRule="auto"/>
        <w:ind w:firstLine="480" w:firstLineChars="200"/>
        <w:rPr>
          <w:rFonts w:ascii="Times New Roman" w:eastAsia="仿宋" w:hAnsi="Times New Roman" w:hint="default"/>
          <w:sz w:val="24"/>
          <w:szCs w:val="24"/>
        </w:rPr>
      </w:pPr>
      <w:r>
        <w:rPr>
          <w:rFonts w:ascii="Times New Roman" w:eastAsia="仿宋" w:hAnsi="Times New Roman" w:cs="Times New Roman" w:hint="default"/>
          <w:sz w:val="24"/>
          <w:szCs w:val="24"/>
        </w:rPr>
        <w:t xml:space="preserve">《贵州省食品安全地方标准 </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》标准文本格式按照GB/T 1.1—2020《标准化工作导则 第1部分：标准化文件的结构和起草规则》要求进行制定，同时参照相关现行有效的食品安全国家标准文本进行总体框架设置和文本格式设计。</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 xml:space="preserve">2、实用原则  </w:t>
      </w:r>
    </w:p>
    <w:p>
      <w:pPr>
        <w:numPr>
          <w:ilvl w:val="0"/>
          <w:numId w:val="0"/>
        </w:numPr>
        <w:spacing w:line="360" w:lineRule="auto"/>
        <w:ind w:firstLine="480" w:firstLineChars="200"/>
        <w:rPr>
          <w:rFonts w:ascii="Times New Roman" w:eastAsia="仿宋" w:hAnsi="Times New Roman" w:hint="default"/>
          <w:sz w:val="24"/>
          <w:szCs w:val="24"/>
        </w:rPr>
      </w:pPr>
      <w:r>
        <w:rPr>
          <w:rFonts w:ascii="Times New Roman" w:eastAsia="仿宋" w:hAnsi="Times New Roman" w:cs="Times New Roman" w:hint="default"/>
          <w:sz w:val="24"/>
          <w:szCs w:val="24"/>
        </w:rPr>
        <w:t>通过对</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中重点关注元素的风险评估，落实“我省</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食用是否安全”这一问题。根据代表性样品中元素的含量水平，结合膳食摄入量，合理设置特征元素污染物指标及限值，与国家食品安全基础标准GB 2762互补，为市场监管部分的监督抽检是否合格判定提供</w:t>
      </w:r>
      <w:r>
        <w:rPr>
          <w:rFonts w:ascii="Times New Roman" w:eastAsia="仿宋" w:hAnsi="Times New Roman" w:cs="Times New Roman" w:hint="default"/>
          <w:sz w:val="24"/>
          <w:szCs w:val="24"/>
          <w:lang w:val="en-US" w:eastAsia="zh-CN"/>
        </w:rPr>
        <w:t>参考</w:t>
      </w:r>
      <w:r>
        <w:rPr>
          <w:rFonts w:ascii="Times New Roman" w:eastAsia="仿宋" w:hAnsi="Times New Roman" w:cs="Times New Roman" w:hint="default"/>
          <w:sz w:val="24"/>
          <w:szCs w:val="24"/>
        </w:rPr>
        <w:t>依据，为</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特色小吃深加企业采购提供参考，确保食用安全，为</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种植户选择种植环境提供指导。</w:t>
      </w:r>
    </w:p>
    <w:p>
      <w:pPr>
        <w:numPr>
          <w:ilvl w:val="0"/>
          <w:numId w:val="7"/>
        </w:numPr>
        <w:spacing w:line="360" w:lineRule="auto"/>
        <w:ind w:firstLine="560" w:firstLineChars="200"/>
        <w:rPr>
          <w:rFonts w:ascii="Times New Roman" w:eastAsia="仿宋" w:hAnsi="Times New Roman" w:hint="default"/>
          <w:b/>
          <w:bCs/>
          <w:sz w:val="24"/>
          <w:szCs w:val="24"/>
        </w:rPr>
      </w:pPr>
      <w:r>
        <w:rPr>
          <w:rFonts w:ascii="Times New Roman" w:eastAsia="仿宋" w:hAnsi="Times New Roman" w:cs="Times New Roman" w:hint="default"/>
          <w:b/>
          <w:bCs/>
          <w:sz w:val="28"/>
          <w:szCs w:val="28"/>
          <w:lang w:val="en-US" w:eastAsia="zh-CN"/>
        </w:rPr>
        <w:t xml:space="preserve">简洁原则 </w:t>
      </w:r>
      <w:r>
        <w:rPr>
          <w:rFonts w:ascii="Times New Roman" w:eastAsia="仿宋" w:hAnsi="Times New Roman" w:cs="Times New Roman" w:hint="default"/>
          <w:b/>
          <w:bCs/>
          <w:sz w:val="24"/>
          <w:szCs w:val="24"/>
        </w:rPr>
        <w:t xml:space="preserve"> </w:t>
      </w:r>
    </w:p>
    <w:p>
      <w:pPr>
        <w:numPr>
          <w:ilvl w:val="0"/>
          <w:numId w:val="0"/>
        </w:numPr>
        <w:spacing w:line="360" w:lineRule="auto"/>
        <w:ind w:firstLine="480" w:firstLineChars="200"/>
        <w:rPr>
          <w:rFonts w:ascii="Times New Roman" w:eastAsia="仿宋" w:hAnsi="Times New Roman" w:hint="default"/>
          <w:sz w:val="24"/>
          <w:szCs w:val="24"/>
        </w:rPr>
        <w:sectPr>
          <w:footerReference w:type="default" r:id="rId1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8"/>
          <w:cols w:num="1" w:space="720"/>
          <w:titlePg w:val="0"/>
          <w:docGrid w:type="lines" w:linePitch="312" w:charSpace="0"/>
        </w:sectPr>
      </w:pPr>
      <w:r>
        <w:rPr>
          <w:rFonts w:ascii="Times New Roman" w:eastAsia="仿宋" w:hAnsi="Times New Roman" w:cs="Times New Roman" w:hint="default"/>
          <w:sz w:val="24"/>
          <w:szCs w:val="24"/>
        </w:rPr>
        <w:t>基于前期食品安全风险监测中发现</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 xml:space="preserve">铅、镉等金属元素含量较高问题，结合膳食膳食摄入量进行评估，重点关注元素的安全问题，文本简洁，在制定《食品安全地方标准  </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》时也借鉴相关食品国家产品标准和国内已发布实施的相关食品地方标准文本格式和表达方式，力求简洁、易懂、好用。</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rPr>
      </w:pPr>
      <w:bookmarkStart w:id="15" w:name="_Toc5897"/>
      <w:bookmarkStart w:id="16" w:name="_Toc29872"/>
      <w:r>
        <w:rPr>
          <w:rFonts w:ascii="Times New Roman" w:eastAsia="仿宋" w:hAnsi="Times New Roman" w:cs="Times New Roman" w:hint="default"/>
          <w:sz w:val="28"/>
          <w:szCs w:val="28"/>
        </w:rPr>
        <w:t>（二）制定依据</w:t>
      </w:r>
      <w:bookmarkEnd w:id="15"/>
      <w:bookmarkEnd w:id="16"/>
    </w:p>
    <w:p>
      <w:pPr>
        <w:widowControl/>
        <w:spacing w:line="360" w:lineRule="auto"/>
        <w:ind w:firstLine="480" w:firstLineChars="200"/>
        <w:jc w:val="left"/>
        <w:rPr>
          <w:rFonts w:ascii="Times New Roman" w:eastAsia="仿宋" w:hAnsi="Times New Roman" w:hint="default"/>
          <w:sz w:val="24"/>
          <w:szCs w:val="24"/>
        </w:rPr>
      </w:pPr>
      <w:bookmarkStart w:id="17" w:name="_Toc16676"/>
      <w:r>
        <w:rPr>
          <w:rFonts w:ascii="Times New Roman" w:eastAsia="仿宋" w:hAnsi="Times New Roman" w:cs="Times New Roman" w:hint="default"/>
          <w:sz w:val="24"/>
          <w:szCs w:val="24"/>
        </w:rPr>
        <w:t>本标准的制定主要参考GB/T 1.1-2020《标准化工作导则 第1部分：标准化文本的结构和起草规则》、GB 2763</w:t>
      </w:r>
      <w:r>
        <w:rPr>
          <w:rFonts w:ascii="Times New Roman" w:eastAsia="仿宋" w:hAnsi="Times New Roman" w:cs="Times New Roman" w:hint="eastAsia"/>
          <w:sz w:val="24"/>
          <w:szCs w:val="24"/>
          <w:lang w:val="en-US" w:eastAsia="zh-CN"/>
        </w:rPr>
        <w:t>-2021</w:t>
      </w:r>
      <w:r>
        <w:rPr>
          <w:rFonts w:ascii="Times New Roman" w:eastAsia="仿宋" w:hAnsi="Times New Roman" w:cs="Times New Roman" w:hint="default"/>
          <w:sz w:val="24"/>
          <w:szCs w:val="24"/>
        </w:rPr>
        <w:t>《食品安全国家标准 食品中农药最大残留限量》。限量指标设置和限量值确定是基于折耳根样品污染污染物水平筛查结果</w:t>
      </w:r>
      <w:r>
        <w:rPr>
          <w:rFonts w:ascii="Times New Roman" w:eastAsia="仿宋" w:hAnsi="Times New Roman" w:cs="Times New Roman" w:hint="default"/>
          <w:sz w:val="24"/>
          <w:szCs w:val="24"/>
          <w:lang w:val="en-US" w:eastAsia="zh-CN"/>
        </w:rPr>
        <w:t>及风险评估结论</w:t>
      </w:r>
      <w:r>
        <w:rPr>
          <w:rFonts w:ascii="Times New Roman" w:eastAsia="仿宋" w:hAnsi="Times New Roman" w:cs="Times New Roman" w:hint="default"/>
          <w:sz w:val="24"/>
          <w:szCs w:val="24"/>
        </w:rPr>
        <w:t>并参照国家标准相关要求综合评估考量确定。</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rPr>
      </w:pPr>
      <w:bookmarkStart w:id="18" w:name="_Toc7198"/>
      <w:r>
        <w:rPr>
          <w:rFonts w:ascii="Times New Roman" w:eastAsia="仿宋" w:hAnsi="Times New Roman" w:cs="Times New Roman" w:hint="default"/>
          <w:sz w:val="28"/>
          <w:szCs w:val="28"/>
          <w:lang w:eastAsia="zh-CN"/>
        </w:rPr>
        <w:t>（</w:t>
      </w:r>
      <w:r>
        <w:rPr>
          <w:rFonts w:ascii="Times New Roman" w:eastAsia="仿宋" w:hAnsi="Times New Roman" w:cs="Times New Roman" w:hint="default"/>
          <w:sz w:val="28"/>
          <w:szCs w:val="28"/>
          <w:lang w:val="en-US" w:eastAsia="zh-CN"/>
        </w:rPr>
        <w:t>三</w:t>
      </w:r>
      <w:r>
        <w:rPr>
          <w:rFonts w:ascii="Times New Roman" w:eastAsia="仿宋" w:hAnsi="Times New Roman" w:cs="Times New Roman" w:hint="default"/>
          <w:sz w:val="28"/>
          <w:szCs w:val="28"/>
          <w:lang w:eastAsia="zh-CN"/>
        </w:rPr>
        <w:t>）</w:t>
      </w:r>
      <w:r>
        <w:rPr>
          <w:rFonts w:ascii="Times New Roman" w:eastAsia="仿宋" w:hAnsi="Times New Roman" w:cs="Times New Roman" w:hint="default"/>
          <w:sz w:val="28"/>
          <w:szCs w:val="28"/>
        </w:rPr>
        <w:t>标准与现行法律、法规、标准的关系</w:t>
      </w:r>
      <w:bookmarkEnd w:id="17"/>
      <w:bookmarkEnd w:id="18"/>
      <w:bookmarkStart w:id="19" w:name="_Toc6496"/>
    </w:p>
    <w:p>
      <w:pPr>
        <w:pStyle w:val="Footer"/>
        <w:spacing w:line="360" w:lineRule="auto"/>
        <w:ind w:firstLine="480" w:firstLineChars="200"/>
        <w:rPr>
          <w:rFonts w:ascii="Times New Roman" w:eastAsia="仿宋" w:hAnsi="Times New Roman" w:cs="Times New Roman" w:hint="default"/>
          <w:sz w:val="24"/>
          <w:szCs w:val="24"/>
        </w:rPr>
      </w:pPr>
      <w:r>
        <w:rPr>
          <w:rFonts w:ascii="Times New Roman" w:eastAsia="仿宋" w:hAnsi="Times New Roman" w:cs="Times New Roman" w:hint="default"/>
          <w:sz w:val="24"/>
          <w:szCs w:val="24"/>
        </w:rPr>
        <w:t>卫生部关于进一步规范保健食品原料管理的通知（卫法监发[2002]51号）中既是食品又是药品物品名单包括</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鱼腥草</w:t>
      </w:r>
      <w:r>
        <w:rPr>
          <w:rFonts w:ascii="Times New Roman" w:eastAsia="仿宋" w:hAnsi="Times New Roman" w:cs="Times New Roman" w:hint="default"/>
          <w:sz w:val="24"/>
          <w:szCs w:val="24"/>
          <w:lang w:val="en-US" w:eastAsia="zh-CN"/>
        </w:rPr>
        <w:t>）</w:t>
      </w:r>
      <w:r>
        <w:rPr>
          <w:rFonts w:ascii="Times New Roman" w:eastAsia="仿宋" w:hAnsi="Times New Roman" w:cs="Times New Roman" w:hint="default"/>
          <w:sz w:val="24"/>
          <w:szCs w:val="24"/>
        </w:rPr>
        <w:t>，证明</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可作为食品原料合法依据，且具有悠久食用历史</w:t>
      </w:r>
      <w:r>
        <w:rPr>
          <w:rFonts w:ascii="Times New Roman" w:eastAsia="仿宋" w:hAnsi="Times New Roman" w:cs="Times New Roman" w:hint="default"/>
          <w:sz w:val="24"/>
          <w:szCs w:val="24"/>
          <w:lang w:eastAsia="zh-CN"/>
        </w:rPr>
        <w:t>，</w:t>
      </w:r>
      <w:r>
        <w:rPr>
          <w:rFonts w:ascii="Times New Roman" w:eastAsia="仿宋" w:hAnsi="Times New Roman" w:cs="Times New Roman" w:hint="default"/>
          <w:sz w:val="24"/>
          <w:szCs w:val="24"/>
          <w:lang w:val="en-US" w:eastAsia="zh-CN"/>
        </w:rPr>
        <w:t>食用人群广泛</w:t>
      </w:r>
      <w:r>
        <w:rPr>
          <w:rFonts w:ascii="Times New Roman" w:eastAsia="仿宋" w:hAnsi="Times New Roman" w:cs="Times New Roman" w:hint="default"/>
          <w:sz w:val="24"/>
          <w:szCs w:val="24"/>
        </w:rPr>
        <w:t>。目前国家没有制定专门的</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食品安全产品标准，</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从栽培、采收、加工、膳食摄入和监测结果考量，参照基础标准GB 2762 根茎类产品限量要求对</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质量安全判定明显不适宜，立项制定</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食品安全地方标准符合我国的相关法律法规规定，与国家食品安全基础标准互补，可有效补充国家（行业）标准未覆盖带来的监管盲区，</w:t>
      </w:r>
      <w:r>
        <w:rPr>
          <w:rFonts w:ascii="Times New Roman" w:eastAsia="仿宋" w:hAnsi="Times New Roman" w:cs="Times New Roman" w:hint="default"/>
          <w:sz w:val="24"/>
          <w:szCs w:val="24"/>
          <w:lang w:val="en-US" w:eastAsia="zh-CN"/>
        </w:rPr>
        <w:t>保障舌尖上的安全，</w:t>
      </w:r>
      <w:r>
        <w:rPr>
          <w:rFonts w:ascii="Times New Roman" w:eastAsia="仿宋" w:hAnsi="Times New Roman" w:cs="Times New Roman" w:hint="default"/>
          <w:sz w:val="24"/>
          <w:szCs w:val="24"/>
        </w:rPr>
        <w:t>与国内外现行相关法律、法规和标准不冲突。</w:t>
      </w:r>
    </w:p>
    <w:bookmarkEnd w:id="19"/>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lang w:val="en-US" w:eastAsia="zh-CN"/>
        </w:rPr>
      </w:pPr>
      <w:bookmarkStart w:id="20" w:name="_Toc12359"/>
      <w:bookmarkStart w:id="21" w:name="_Toc17091"/>
      <w:r>
        <w:rPr>
          <w:rFonts w:ascii="Times New Roman" w:eastAsia="仿宋" w:hAnsi="Times New Roman" w:cs="Times New Roman" w:hint="default"/>
          <w:sz w:val="30"/>
          <w:szCs w:val="30"/>
          <w:lang w:val="en-US" w:eastAsia="zh-CN"/>
        </w:rPr>
        <w:t>四、主要技术指标的说明</w:t>
      </w:r>
      <w:bookmarkEnd w:id="20"/>
      <w:bookmarkEnd w:id="21"/>
    </w:p>
    <w:p>
      <w:pPr>
        <w:widowControl/>
        <w:snapToGrid w:val="0"/>
        <w:spacing w:line="360" w:lineRule="auto"/>
        <w:ind w:firstLine="600" w:firstLineChars="250"/>
        <w:rPr>
          <w:rFonts w:ascii="Times New Roman" w:eastAsia="仿宋" w:hAnsi="Times New Roman" w:hint="default"/>
          <w:sz w:val="24"/>
          <w:szCs w:val="24"/>
        </w:rPr>
      </w:pPr>
      <w:r>
        <w:rPr>
          <w:rFonts w:ascii="Times New Roman" w:eastAsia="仿宋" w:hAnsi="Times New Roman" w:cs="Times New Roman" w:hint="default"/>
          <w:kern w:val="2"/>
          <w:sz w:val="24"/>
          <w:szCs w:val="24"/>
          <w:lang w:val="en-US" w:eastAsia="zh-CN" w:bidi="ar-SA"/>
        </w:rPr>
        <w:t>《食品安全地方标准 折耳根》标准格式参照GB/T 1.1—2020《标准化工作导则 第1部分：标准化文件的结构和起草规则》要求，参照现行食品安全国家标准文本格式和地方标准文本表达方式，与现行GB 2762</w:t>
      </w:r>
      <w:r>
        <w:rPr>
          <w:rFonts w:ascii="Times New Roman" w:eastAsia="仿宋" w:hAnsi="Times New Roman" w:cs="Times New Roman" w:hint="eastAsia"/>
          <w:kern w:val="2"/>
          <w:sz w:val="24"/>
          <w:szCs w:val="24"/>
          <w:lang w:val="en-US" w:eastAsia="zh-CN" w:bidi="ar-SA"/>
        </w:rPr>
        <w:t>-2022</w:t>
      </w:r>
      <w:r>
        <w:rPr>
          <w:rFonts w:ascii="Times New Roman" w:eastAsia="仿宋" w:hAnsi="Times New Roman" w:cs="Times New Roman" w:hint="default"/>
          <w:kern w:val="2"/>
          <w:sz w:val="24"/>
          <w:szCs w:val="24"/>
          <w:lang w:val="en-US" w:eastAsia="zh-CN" w:bidi="ar-SA"/>
        </w:rPr>
        <w:t>《食品安全国家标准 食品中污染物限量》、《中国药典》（2020版）等标准进行比较，并结合折耳根代表性样品中有害元素污染水平筛查结果及人群膳食摄入量综合开展评估后制定《食品安全地方标准</w:t>
      </w:r>
      <w:r>
        <w:rPr>
          <w:rFonts w:ascii="Times New Roman" w:eastAsia="仿宋" w:hAnsi="Times New Roman" w:cs="Times New Roman" w:hint="eastAsia"/>
          <w:kern w:val="2"/>
          <w:sz w:val="24"/>
          <w:szCs w:val="24"/>
          <w:lang w:val="en-US" w:eastAsia="zh-CN" w:bidi="ar-SA"/>
        </w:rPr>
        <w:t xml:space="preserve"> </w:t>
      </w:r>
      <w:r>
        <w:rPr>
          <w:rFonts w:ascii="Times New Roman" w:eastAsia="仿宋" w:hAnsi="Times New Roman" w:cs="Times New Roman" w:hint="default"/>
          <w:kern w:val="2"/>
          <w:sz w:val="24"/>
          <w:szCs w:val="24"/>
          <w:lang w:val="en-US" w:eastAsia="zh-CN" w:bidi="ar-SA"/>
        </w:rPr>
        <w:t>折耳根》。重点明确了折耳根原料种属、重点关注有害元素污染物和农药指标及限量有关内容。现就《食品安全地方标准</w:t>
      </w:r>
      <w:r>
        <w:rPr>
          <w:rFonts w:ascii="Times New Roman" w:eastAsia="仿宋" w:hAnsi="Times New Roman" w:cs="Times New Roman" w:hint="eastAsia"/>
          <w:kern w:val="2"/>
          <w:sz w:val="24"/>
          <w:szCs w:val="24"/>
          <w:lang w:val="en-US" w:eastAsia="zh-CN" w:bidi="ar-SA"/>
        </w:rPr>
        <w:t xml:space="preserve"> </w:t>
      </w:r>
      <w:r>
        <w:rPr>
          <w:rFonts w:ascii="Times New Roman" w:eastAsia="仿宋" w:hAnsi="Times New Roman" w:cs="Times New Roman" w:hint="default"/>
          <w:kern w:val="2"/>
          <w:sz w:val="24"/>
          <w:szCs w:val="24"/>
          <w:lang w:val="en-US" w:eastAsia="zh-CN" w:bidi="ar-SA"/>
        </w:rPr>
        <w:t>折耳根》主要条款说明及确定依据解释如下：</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lang w:eastAsia="zh-CN"/>
        </w:rPr>
      </w:pPr>
      <w:bookmarkStart w:id="22" w:name="_Toc15233"/>
      <w:bookmarkStart w:id="23" w:name="_Toc18355"/>
      <w:r>
        <w:rPr>
          <w:rFonts w:ascii="Times New Roman" w:eastAsia="仿宋" w:hAnsi="Times New Roman" w:cs="Times New Roman" w:hint="default"/>
          <w:sz w:val="28"/>
          <w:szCs w:val="28"/>
          <w:lang w:eastAsia="zh-CN"/>
        </w:rPr>
        <w:t>（一）适用范围</w:t>
      </w:r>
      <w:bookmarkEnd w:id="22"/>
      <w:bookmarkEnd w:id="23"/>
    </w:p>
    <w:p>
      <w:pPr>
        <w:keepNext w:val="0"/>
        <w:keepLines w:val="0"/>
        <w:pageBreakBefore w:val="0"/>
        <w:widowControl/>
        <w:kinsoku/>
        <w:wordWrap/>
        <w:overflowPunct/>
        <w:topLinePunct w:val="0"/>
        <w:autoSpaceDE/>
        <w:autoSpaceDN/>
        <w:bidi w:val="0"/>
        <w:adjustRightInd/>
        <w:snapToGrid w:val="0"/>
        <w:spacing w:line="360" w:lineRule="auto"/>
        <w:ind w:firstLine="600" w:firstLineChars="250"/>
        <w:textAlignment w:val="auto"/>
        <w:rPr>
          <w:rFonts w:ascii="Times New Roman" w:eastAsia="仿宋" w:hAnsi="Times New Roman" w:hint="default"/>
          <w:sz w:val="24"/>
          <w:szCs w:val="24"/>
        </w:rPr>
        <w:sectPr>
          <w:footerReference w:type="default" r:id="rId1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9"/>
          <w:cols w:num="1" w:space="720"/>
          <w:titlePg w:val="0"/>
          <w:docGrid w:type="lines" w:linePitch="312" w:charSpace="0"/>
        </w:sectPr>
      </w:pPr>
      <w:r>
        <w:rPr>
          <w:rFonts w:ascii="Times New Roman" w:eastAsia="仿宋" w:hAnsi="Times New Roman" w:cs="Times New Roman" w:hint="default"/>
          <w:sz w:val="24"/>
          <w:szCs w:val="24"/>
        </w:rPr>
        <w:t>按照GB/T 1.1—2020《标准化工作导则 第1部分：标准化文件的结构和起草规则》要求，在</w:t>
      </w:r>
      <w:r>
        <w:rPr>
          <w:rFonts w:ascii="Times New Roman" w:eastAsia="仿宋" w:hAnsi="Times New Roman" w:cs="Times New Roman" w:hint="default"/>
          <w:sz w:val="24"/>
          <w:szCs w:val="24"/>
          <w:lang w:val="en-US" w:eastAsia="zh-CN"/>
        </w:rPr>
        <w:t>折耳根</w:t>
      </w:r>
    </w:p>
    <w:p>
      <w:pPr>
        <w:keepNext w:val="0"/>
        <w:keepLines w:val="0"/>
        <w:pageBreakBefore w:val="0"/>
        <w:widowControl/>
        <w:kinsoku/>
        <w:wordWrap/>
        <w:overflowPunct/>
        <w:topLinePunct w:val="0"/>
        <w:autoSpaceDE/>
        <w:autoSpaceDN/>
        <w:bidi w:val="0"/>
        <w:adjustRightInd/>
        <w:snapToGrid w:val="0"/>
        <w:spacing w:line="360" w:lineRule="auto"/>
        <w:ind w:firstLine="600" w:firstLineChars="25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标准文本中第1部分首先明确了标准的适用范围。通过《</w:t>
      </w:r>
      <w:r>
        <w:rPr>
          <w:rFonts w:ascii="Times New Roman" w:eastAsia="仿宋" w:hAnsi="Times New Roman" w:cs="Times New Roman" w:hint="default"/>
          <w:kern w:val="2"/>
          <w:sz w:val="24"/>
          <w:szCs w:val="24"/>
          <w:lang w:val="en-US" w:eastAsia="zh-CN" w:bidi="ar-SA"/>
        </w:rPr>
        <w:t>食品安全地方标准</w:t>
      </w:r>
      <w:r>
        <w:rPr>
          <w:rFonts w:ascii="Times New Roman" w:eastAsia="仿宋" w:hAnsi="Times New Roman" w:cs="Times New Roman" w:hint="eastAsia"/>
          <w:kern w:val="2"/>
          <w:sz w:val="24"/>
          <w:szCs w:val="24"/>
          <w:lang w:val="en-US" w:eastAsia="zh-CN" w:bidi="ar-SA"/>
        </w:rPr>
        <w:t xml:space="preserve"> </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》标准中“范围”的描述，明确了</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标准文本结构和框架，</w:t>
      </w:r>
      <w:r>
        <w:rPr>
          <w:rFonts w:ascii="Times New Roman" w:eastAsia="仿宋" w:hAnsi="Times New Roman" w:cs="Times New Roman" w:hint="default"/>
          <w:spacing w:val="-8"/>
          <w:sz w:val="24"/>
          <w:szCs w:val="24"/>
        </w:rPr>
        <w:t>明确适用范围为 “贵州省内种植加工的折耳根鲜品”而非作为中药材使用的干制品，</w:t>
      </w:r>
      <w:r>
        <w:rPr>
          <w:rFonts w:ascii="Times New Roman" w:eastAsia="仿宋" w:hAnsi="Times New Roman" w:cs="Times New Roman" w:hint="default"/>
          <w:sz w:val="24"/>
          <w:szCs w:val="24"/>
        </w:rPr>
        <w:t>具体内容如下：</w:t>
      </w:r>
    </w:p>
    <w:p>
      <w:pPr>
        <w:keepNext w:val="0"/>
        <w:keepLines w:val="0"/>
        <w:pageBreakBefore w:val="0"/>
        <w:widowControl/>
        <w:kinsoku/>
        <w:wordWrap/>
        <w:overflowPunct/>
        <w:topLinePunct w:val="0"/>
        <w:autoSpaceDE/>
        <w:autoSpaceDN/>
        <w:bidi w:val="0"/>
        <w:adjustRightInd/>
        <w:snapToGrid w:val="0"/>
        <w:spacing w:line="360" w:lineRule="auto"/>
        <w:ind w:firstLine="600" w:firstLineChars="25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范围：本文件规定了</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w:t>
      </w:r>
      <w:r>
        <w:rPr>
          <w:rFonts w:ascii="Times New Roman" w:eastAsia="仿宋" w:hAnsi="Times New Roman" w:cs="Times New Roman" w:hint="default"/>
          <w:sz w:val="24"/>
          <w:szCs w:val="24"/>
          <w:lang w:val="en-US" w:eastAsia="zh-CN"/>
        </w:rPr>
        <w:t>鱼腥草</w:t>
      </w:r>
      <w:r>
        <w:rPr>
          <w:rFonts w:ascii="Times New Roman" w:eastAsia="仿宋" w:hAnsi="Times New Roman" w:cs="Times New Roman" w:hint="default"/>
          <w:sz w:val="24"/>
          <w:szCs w:val="24"/>
        </w:rPr>
        <w:t>）的术语和定义、要求（含检验方法）。</w:t>
      </w:r>
    </w:p>
    <w:p>
      <w:pPr>
        <w:keepNext w:val="0"/>
        <w:keepLines w:val="0"/>
        <w:pageBreakBefore w:val="0"/>
        <w:widowControl/>
        <w:kinsoku/>
        <w:wordWrap/>
        <w:overflowPunct/>
        <w:topLinePunct w:val="0"/>
        <w:autoSpaceDE/>
        <w:autoSpaceDN/>
        <w:bidi w:val="0"/>
        <w:adjustRightInd/>
        <w:snapToGrid w:val="0"/>
        <w:spacing w:line="360" w:lineRule="auto"/>
        <w:ind w:firstLine="600" w:firstLineChars="25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本文件适用于贵州省内种植和加工的</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w:t>
      </w:r>
      <w:r>
        <w:rPr>
          <w:rFonts w:ascii="Times New Roman" w:eastAsia="仿宋" w:hAnsi="Times New Roman" w:cs="Times New Roman" w:hint="default"/>
          <w:sz w:val="24"/>
          <w:szCs w:val="24"/>
          <w:lang w:val="en-US" w:eastAsia="zh-CN"/>
        </w:rPr>
        <w:t>鱼腥草</w:t>
      </w:r>
      <w:r>
        <w:rPr>
          <w:rFonts w:ascii="Times New Roman" w:eastAsia="仿宋" w:hAnsi="Times New Roman" w:cs="Times New Roman" w:hint="default"/>
          <w:sz w:val="24"/>
          <w:szCs w:val="24"/>
        </w:rPr>
        <w:t>）鲜品。</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lang w:eastAsia="zh-CN"/>
        </w:rPr>
      </w:pPr>
      <w:bookmarkStart w:id="24" w:name="_Toc1255"/>
      <w:bookmarkStart w:id="25" w:name="_Toc7990"/>
      <w:r>
        <w:rPr>
          <w:rFonts w:ascii="Times New Roman" w:eastAsia="仿宋" w:hAnsi="Times New Roman" w:cs="Times New Roman" w:hint="default"/>
          <w:sz w:val="28"/>
          <w:szCs w:val="28"/>
          <w:lang w:eastAsia="zh-CN"/>
        </w:rPr>
        <w:t>（二）规范性引用文件</w:t>
      </w:r>
      <w:bookmarkEnd w:id="24"/>
      <w:bookmarkEnd w:id="25"/>
    </w:p>
    <w:p>
      <w:pPr>
        <w:widowControl/>
        <w:snapToGrid w:val="0"/>
        <w:spacing w:line="360" w:lineRule="auto"/>
        <w:ind w:firstLine="600" w:firstLineChars="250"/>
        <w:rPr>
          <w:rFonts w:ascii="Times New Roman" w:eastAsia="仿宋" w:hAnsi="Times New Roman" w:hint="default"/>
          <w:sz w:val="24"/>
          <w:szCs w:val="24"/>
        </w:rPr>
      </w:pPr>
      <w:r>
        <w:rPr>
          <w:rFonts w:ascii="Times New Roman" w:eastAsia="仿宋" w:hAnsi="Times New Roman" w:cs="Times New Roman" w:hint="default"/>
          <w:sz w:val="24"/>
          <w:szCs w:val="24"/>
        </w:rPr>
        <w:t>按照GB/T 1.1—2020《标准化工作导则 第1部分：标准化文件的结构和起草规则》要求，对标准文本中使用到的有关标准和文件予以列出。本文件将涉及安全指标设置和配套检测方法，引用的标准、相关规范均列出，具体内容如下：</w:t>
      </w:r>
    </w:p>
    <w:p>
      <w:pPr>
        <w:widowControl/>
        <w:snapToGrid w:val="0"/>
        <w:spacing w:line="360" w:lineRule="auto"/>
        <w:ind w:firstLine="600" w:firstLineChars="250"/>
        <w:rPr>
          <w:rFonts w:ascii="Times New Roman" w:eastAsia="仿宋" w:hAnsi="Times New Roman" w:hint="default"/>
          <w:sz w:val="24"/>
          <w:szCs w:val="24"/>
        </w:rPr>
      </w:pPr>
      <w:r>
        <w:rPr>
          <w:rFonts w:ascii="Times New Roman" w:eastAsia="仿宋" w:hAnsi="Times New Roman" w:cs="Times New Roman" w:hint="default"/>
          <w:sz w:val="24"/>
          <w:szCs w:val="24"/>
        </w:rPr>
        <w:t>规范性引用文件：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a0"/>
        <w:spacing w:line="360" w:lineRule="auto"/>
        <w:ind w:firstLine="480"/>
        <w:rPr>
          <w:rFonts w:ascii="Times New Roman" w:eastAsia="仿宋" w:hint="default"/>
          <w:kern w:val="2"/>
          <w:sz w:val="24"/>
          <w:szCs w:val="24"/>
        </w:rPr>
      </w:pPr>
      <w:bookmarkStart w:id="26" w:name="_Toc5848"/>
      <w:r>
        <w:rPr>
          <w:rFonts w:ascii="Times New Roman" w:eastAsia="仿宋" w:hAnsi="Times New Roman" w:cs="Times New Roman" w:hint="default"/>
          <w:kern w:val="2"/>
          <w:sz w:val="24"/>
          <w:szCs w:val="24"/>
        </w:rPr>
        <w:t>GB 2763  食品安全国家标准 食品中农药最大残留限量</w:t>
      </w:r>
    </w:p>
    <w:p>
      <w:pPr>
        <w:pStyle w:val="a0"/>
        <w:spacing w:line="360" w:lineRule="auto"/>
        <w:ind w:firstLine="480"/>
        <w:rPr>
          <w:rFonts w:ascii="Times New Roman" w:eastAsia="仿宋" w:hint="default"/>
          <w:kern w:val="2"/>
          <w:sz w:val="24"/>
          <w:szCs w:val="24"/>
        </w:rPr>
      </w:pPr>
      <w:r>
        <w:rPr>
          <w:rFonts w:ascii="Times New Roman" w:eastAsia="仿宋" w:hAnsi="Times New Roman" w:cs="Times New Roman" w:hint="default"/>
          <w:kern w:val="2"/>
          <w:sz w:val="24"/>
          <w:szCs w:val="24"/>
        </w:rPr>
        <w:t>GB 5009.12  食品安全国家标准 食品中铅的测定</w:t>
      </w:r>
    </w:p>
    <w:p>
      <w:pPr>
        <w:pStyle w:val="a0"/>
        <w:spacing w:line="360" w:lineRule="auto"/>
        <w:ind w:firstLine="480"/>
        <w:rPr>
          <w:rFonts w:ascii="Times New Roman" w:eastAsia="仿宋" w:hint="default"/>
          <w:kern w:val="2"/>
          <w:sz w:val="24"/>
          <w:szCs w:val="24"/>
        </w:rPr>
      </w:pPr>
      <w:r>
        <w:rPr>
          <w:rFonts w:ascii="Times New Roman" w:eastAsia="仿宋" w:hAnsi="Times New Roman" w:cs="Times New Roman" w:hint="default"/>
          <w:kern w:val="2"/>
          <w:sz w:val="24"/>
          <w:szCs w:val="24"/>
        </w:rPr>
        <w:t>GB 5009.15  食品安全国家标准 食品中镉的测定</w:t>
      </w:r>
    </w:p>
    <w:p>
      <w:pPr>
        <w:pStyle w:val="a0"/>
        <w:spacing w:line="360" w:lineRule="auto"/>
        <w:ind w:firstLine="480"/>
        <w:rPr>
          <w:rFonts w:ascii="Times New Roman" w:eastAsia="仿宋" w:hint="default"/>
          <w:kern w:val="2"/>
          <w:sz w:val="24"/>
          <w:szCs w:val="24"/>
        </w:rPr>
      </w:pPr>
      <w:r>
        <w:rPr>
          <w:rFonts w:ascii="Times New Roman" w:eastAsia="仿宋" w:hAnsi="Times New Roman" w:cs="Times New Roman" w:hint="default"/>
          <w:kern w:val="2"/>
          <w:sz w:val="24"/>
          <w:szCs w:val="24"/>
        </w:rPr>
        <w:t>GB 5009.268  食品安全国家标准 食品中多元素的测定</w:t>
      </w:r>
    </w:p>
    <w:p>
      <w:pPr>
        <w:pStyle w:val="a0"/>
        <w:spacing w:line="360" w:lineRule="auto"/>
        <w:ind w:firstLine="480"/>
        <w:rPr>
          <w:rFonts w:ascii="Times New Roman" w:eastAsia="仿宋" w:hint="default"/>
          <w:kern w:val="2"/>
          <w:sz w:val="24"/>
          <w:szCs w:val="24"/>
        </w:rPr>
      </w:pPr>
      <w:r>
        <w:rPr>
          <w:rFonts w:ascii="Times New Roman" w:eastAsia="仿宋" w:hAnsi="Times New Roman" w:cs="Times New Roman" w:hint="default"/>
          <w:kern w:val="2"/>
          <w:sz w:val="24"/>
          <w:szCs w:val="24"/>
        </w:rPr>
        <w:t>GB 23200.113  食品安全国家标准 植物源性食品中208种农药及其代谢物残留量的测定 气相色谱-质谱联用法</w:t>
      </w:r>
    </w:p>
    <w:p>
      <w:pPr>
        <w:pStyle w:val="a0"/>
        <w:spacing w:line="360" w:lineRule="auto"/>
        <w:ind w:firstLine="480"/>
        <w:rPr>
          <w:rFonts w:ascii="Times New Roman" w:eastAsia="仿宋" w:hint="default"/>
          <w:kern w:val="2"/>
          <w:sz w:val="24"/>
          <w:szCs w:val="24"/>
        </w:rPr>
      </w:pPr>
      <w:r>
        <w:rPr>
          <w:rFonts w:ascii="Times New Roman" w:eastAsia="仿宋" w:hAnsi="Times New Roman" w:cs="Times New Roman" w:hint="default"/>
          <w:kern w:val="2"/>
          <w:sz w:val="24"/>
          <w:szCs w:val="24"/>
        </w:rPr>
        <w:t>GB/T 5009.19  食品中有机氯农药多组分残留量的测定</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lang w:eastAsia="zh-CN"/>
        </w:rPr>
      </w:pPr>
      <w:bookmarkStart w:id="27" w:name="_Toc13032"/>
      <w:r>
        <w:rPr>
          <w:rFonts w:ascii="Times New Roman" w:eastAsia="仿宋" w:hAnsi="Times New Roman" w:cs="Times New Roman" w:hint="default"/>
          <w:sz w:val="28"/>
          <w:szCs w:val="28"/>
          <w:lang w:eastAsia="zh-CN"/>
        </w:rPr>
        <w:t>（三）术语和定义</w:t>
      </w:r>
      <w:bookmarkEnd w:id="26"/>
      <w:bookmarkEnd w:id="27"/>
    </w:p>
    <w:p>
      <w:pPr>
        <w:widowControl/>
        <w:shd w:val="clear" w:color="auto" w:fill="FFFFFF"/>
        <w:spacing w:line="360" w:lineRule="auto"/>
        <w:ind w:firstLine="480" w:firstLineChars="200"/>
        <w:jc w:val="left"/>
        <w:rPr>
          <w:rFonts w:ascii="Times New Roman" w:eastAsia="仿宋" w:hAnsi="Times New Roman" w:hint="default"/>
          <w:spacing w:val="-8"/>
          <w:sz w:val="24"/>
          <w:szCs w:val="24"/>
        </w:rPr>
        <w:sectPr>
          <w:footerReference w:type="default" r:id="rId1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0"/>
          <w:cols w:num="1" w:space="720"/>
          <w:titlePg w:val="0"/>
          <w:docGrid w:type="lines" w:linePitch="312" w:charSpace="0"/>
        </w:sectPr>
      </w:pPr>
      <w:r>
        <w:rPr>
          <w:rFonts w:ascii="Times New Roman" w:eastAsia="仿宋" w:hAnsi="Times New Roman" w:cs="Times New Roman" w:hint="default"/>
          <w:sz w:val="24"/>
          <w:szCs w:val="24"/>
        </w:rPr>
        <w:t>该部分明确了折耳根（鱼腥草）的定义，通过定义的描述，确定了几方面内容，（1）明确了折耳根种属和拉丁名为“三白草科植物蕺菜鱼腥草（</w:t>
      </w:r>
      <w:r>
        <w:rPr>
          <w:rFonts w:ascii="Times New Roman" w:eastAsia="仿宋" w:hAnsi="Times New Roman" w:cs="Times New Roman" w:hint="default"/>
          <w:i/>
          <w:iCs/>
          <w:sz w:val="24"/>
          <w:szCs w:val="24"/>
        </w:rPr>
        <w:t xml:space="preserve">Houttuynia cordata </w:t>
      </w:r>
      <w:r>
        <w:rPr>
          <w:rFonts w:ascii="Times New Roman" w:eastAsia="仿宋" w:hAnsi="Times New Roman" w:cs="Times New Roman" w:hint="default"/>
          <w:i w:val="0"/>
          <w:iCs w:val="0"/>
          <w:sz w:val="24"/>
          <w:szCs w:val="24"/>
        </w:rPr>
        <w:t>Thunb.</w:t>
      </w:r>
      <w:r>
        <w:rPr>
          <w:rFonts w:ascii="Times New Roman" w:eastAsia="仿宋" w:hAnsi="Times New Roman" w:cs="Times New Roman" w:hint="default"/>
          <w:sz w:val="24"/>
          <w:szCs w:val="24"/>
        </w:rPr>
        <w:t>）的新鲜植株”，确保不同种植户所种植和不同</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深加工企业使用原料的一致性，避免乱用和错用食品原料。（2）</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作为食品，主要食用鲜品，且</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中元素</w:t>
      </w:r>
      <w:r>
        <w:rPr>
          <w:rFonts w:ascii="Times New Roman" w:eastAsia="仿宋" w:hAnsi="Times New Roman" w:cs="Times New Roman" w:hint="default"/>
          <w:sz w:val="24"/>
          <w:szCs w:val="24"/>
          <w:lang w:eastAsia="zh-CN"/>
        </w:rPr>
        <w:t>、</w:t>
      </w:r>
      <w:r>
        <w:rPr>
          <w:rFonts w:ascii="Times New Roman" w:eastAsia="仿宋" w:hAnsi="Times New Roman" w:cs="Times New Roman" w:hint="default"/>
          <w:sz w:val="24"/>
          <w:szCs w:val="24"/>
          <w:lang w:val="en-US" w:eastAsia="zh-CN"/>
        </w:rPr>
        <w:t>农药</w:t>
      </w:r>
      <w:r>
        <w:rPr>
          <w:rFonts w:ascii="Times New Roman" w:eastAsia="仿宋" w:hAnsi="Times New Roman" w:cs="Times New Roman" w:hint="default"/>
          <w:sz w:val="24"/>
          <w:szCs w:val="24"/>
        </w:rPr>
        <w:t>筛查结果均为鲜品中的含量，因此定义中明确了</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为新鲜植株而非干品，与中药材使用的</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干品有所区别。同时，</w:t>
      </w:r>
      <w:r>
        <w:rPr>
          <w:rFonts w:ascii="Times New Roman" w:eastAsia="仿宋" w:hAnsi="Times New Roman" w:cs="Times New Roman" w:hint="default"/>
          <w:spacing w:val="-8"/>
          <w:sz w:val="24"/>
          <w:szCs w:val="24"/>
        </w:rPr>
        <w:t>新鲜植株的</w:t>
      </w:r>
      <w:r>
        <w:rPr>
          <w:rFonts w:ascii="Times New Roman" w:eastAsia="仿宋" w:hAnsi="Times New Roman" w:cs="Times New Roman" w:hint="default"/>
          <w:spacing w:val="-8"/>
          <w:sz w:val="24"/>
          <w:szCs w:val="24"/>
          <w:lang w:val="en-US" w:eastAsia="zh-CN"/>
        </w:rPr>
        <w:t>折耳根</w:t>
      </w:r>
    </w:p>
    <w:p>
      <w:pPr>
        <w:widowControl/>
        <w:shd w:val="clear" w:color="auto" w:fill="FFFFFF"/>
        <w:spacing w:line="360" w:lineRule="auto"/>
        <w:ind w:firstLine="480" w:firstLineChars="200"/>
        <w:jc w:val="left"/>
        <w:rPr>
          <w:rFonts w:ascii="Times New Roman" w:eastAsia="仿宋" w:hAnsi="Times New Roman" w:hint="default"/>
          <w:spacing w:val="-8"/>
          <w:sz w:val="24"/>
          <w:szCs w:val="24"/>
        </w:rPr>
      </w:pPr>
      <w:r>
        <w:rPr>
          <w:rFonts w:ascii="Times New Roman" w:eastAsia="仿宋" w:hAnsi="Times New Roman" w:cs="Times New Roman" w:hint="default"/>
          <w:spacing w:val="-8"/>
          <w:sz w:val="24"/>
          <w:szCs w:val="24"/>
        </w:rPr>
        <w:t>质地鲜嫩，口感爽脆，更能保持其原本的口感、风味和维生素、矿物质等营养成分。（3）明确了新鲜</w:t>
      </w:r>
      <w:r>
        <w:rPr>
          <w:rFonts w:ascii="Times New Roman" w:eastAsia="仿宋" w:hAnsi="Times New Roman" w:cs="Times New Roman" w:hint="default"/>
          <w:spacing w:val="-8"/>
          <w:sz w:val="24"/>
          <w:szCs w:val="24"/>
          <w:lang w:val="en-US" w:eastAsia="zh-CN"/>
        </w:rPr>
        <w:t>折耳根</w:t>
      </w:r>
      <w:r>
        <w:rPr>
          <w:rFonts w:ascii="Times New Roman" w:eastAsia="仿宋" w:hAnsi="Times New Roman" w:cs="Times New Roman" w:hint="default"/>
          <w:spacing w:val="-8"/>
          <w:sz w:val="24"/>
          <w:szCs w:val="24"/>
        </w:rPr>
        <w:t>的处理过程，包括</w:t>
      </w:r>
      <w:r>
        <w:rPr>
          <w:rFonts w:ascii="Times New Roman" w:eastAsia="仿宋" w:hAnsi="Times New Roman" w:cs="Times New Roman" w:hint="eastAsia"/>
          <w:spacing w:val="-8"/>
          <w:sz w:val="24"/>
          <w:szCs w:val="24"/>
          <w:lang w:val="en-US" w:eastAsia="zh-CN"/>
        </w:rPr>
        <w:t>除杂</w:t>
      </w:r>
      <w:r>
        <w:rPr>
          <w:rFonts w:ascii="Times New Roman" w:eastAsia="仿宋" w:hAnsi="Times New Roman" w:cs="Times New Roman" w:hint="default"/>
          <w:spacing w:val="-8"/>
          <w:sz w:val="24"/>
          <w:szCs w:val="24"/>
        </w:rPr>
        <w:t>、</w:t>
      </w:r>
      <w:r>
        <w:rPr>
          <w:rFonts w:ascii="Times New Roman" w:eastAsia="仿宋" w:hAnsi="Times New Roman" w:cs="Times New Roman" w:hint="default"/>
          <w:spacing w:val="-8"/>
          <w:sz w:val="24"/>
          <w:szCs w:val="24"/>
          <w:lang w:val="en-US" w:eastAsia="zh-CN"/>
        </w:rPr>
        <w:t>摘</w:t>
      </w:r>
      <w:r>
        <w:rPr>
          <w:rFonts w:ascii="Times New Roman" w:eastAsia="仿宋" w:hAnsi="Times New Roman" w:cs="Times New Roman" w:hint="eastAsia"/>
          <w:spacing w:val="-8"/>
          <w:sz w:val="24"/>
          <w:szCs w:val="24"/>
          <w:lang w:val="en-US" w:eastAsia="zh-CN"/>
        </w:rPr>
        <w:t>洗</w:t>
      </w:r>
      <w:r>
        <w:rPr>
          <w:rFonts w:ascii="Times New Roman" w:eastAsia="仿宋" w:hAnsi="Times New Roman" w:cs="Times New Roman" w:hint="default"/>
          <w:spacing w:val="-8"/>
          <w:sz w:val="24"/>
          <w:szCs w:val="24"/>
          <w:lang w:val="en-US" w:eastAsia="zh-CN"/>
        </w:rPr>
        <w:t>、</w:t>
      </w:r>
      <w:r>
        <w:rPr>
          <w:rFonts w:ascii="Times New Roman" w:eastAsia="仿宋" w:hAnsi="Times New Roman" w:cs="Times New Roman" w:hint="default"/>
          <w:spacing w:val="-8"/>
          <w:sz w:val="24"/>
          <w:szCs w:val="24"/>
        </w:rPr>
        <w:t>沥水。因</w:t>
      </w:r>
      <w:r>
        <w:rPr>
          <w:rFonts w:ascii="Times New Roman" w:eastAsia="仿宋" w:hAnsi="Times New Roman" w:cs="Times New Roman" w:hint="default"/>
          <w:spacing w:val="-8"/>
          <w:sz w:val="24"/>
          <w:szCs w:val="24"/>
          <w:lang w:val="en-US" w:eastAsia="zh-CN"/>
        </w:rPr>
        <w:t>折耳根</w:t>
      </w:r>
      <w:r>
        <w:rPr>
          <w:rFonts w:ascii="Times New Roman" w:eastAsia="仿宋" w:hAnsi="Times New Roman" w:cs="Times New Roman" w:hint="default"/>
          <w:spacing w:val="-8"/>
          <w:sz w:val="24"/>
          <w:szCs w:val="24"/>
        </w:rPr>
        <w:t>属于根茎类植物，生长在土壤环境中，出土后根须会附着明显可见的泥土，清洗可以有效去除附着在</w:t>
      </w:r>
      <w:r>
        <w:rPr>
          <w:rFonts w:ascii="Times New Roman" w:eastAsia="仿宋" w:hAnsi="Times New Roman" w:cs="Times New Roman" w:hint="default"/>
          <w:spacing w:val="-8"/>
          <w:sz w:val="24"/>
          <w:szCs w:val="24"/>
          <w:lang w:val="en-US" w:eastAsia="zh-CN"/>
        </w:rPr>
        <w:t>折耳根</w:t>
      </w:r>
      <w:r>
        <w:rPr>
          <w:rFonts w:ascii="Times New Roman" w:eastAsia="仿宋" w:hAnsi="Times New Roman" w:cs="Times New Roman" w:hint="default"/>
          <w:spacing w:val="-8"/>
          <w:sz w:val="24"/>
          <w:szCs w:val="24"/>
        </w:rPr>
        <w:t>表面的泥土、污垢和其他有害物质，确保产品的卫生和安全、提高产品的可食用性。沥干水分可以减少产品的水分含量，不易腐烂变质。（4）明确了</w:t>
      </w:r>
      <w:r>
        <w:rPr>
          <w:rFonts w:ascii="Times New Roman" w:eastAsia="仿宋" w:hAnsi="Times New Roman" w:cs="Times New Roman" w:hint="default"/>
          <w:spacing w:val="-8"/>
          <w:sz w:val="24"/>
          <w:szCs w:val="24"/>
          <w:lang w:val="en-US" w:eastAsia="zh-CN"/>
        </w:rPr>
        <w:t>折耳根</w:t>
      </w:r>
      <w:r>
        <w:rPr>
          <w:rFonts w:ascii="Times New Roman" w:eastAsia="仿宋" w:hAnsi="Times New Roman" w:cs="Times New Roman" w:hint="default"/>
          <w:spacing w:val="-8"/>
          <w:sz w:val="24"/>
          <w:szCs w:val="24"/>
        </w:rPr>
        <w:t>的可食部分包括地面以下</w:t>
      </w:r>
      <w:r>
        <w:rPr>
          <w:rFonts w:ascii="Times New Roman" w:eastAsia="仿宋" w:hAnsi="Times New Roman" w:cs="Times New Roman" w:hint="default"/>
          <w:spacing w:val="-8"/>
          <w:sz w:val="24"/>
          <w:szCs w:val="24"/>
          <w:lang w:val="en-US" w:eastAsia="zh-CN"/>
        </w:rPr>
        <w:t>部分</w:t>
      </w:r>
      <w:r>
        <w:rPr>
          <w:rFonts w:ascii="Times New Roman" w:eastAsia="仿宋" w:hAnsi="Times New Roman" w:cs="Times New Roman" w:hint="default"/>
          <w:spacing w:val="-8"/>
          <w:sz w:val="24"/>
          <w:szCs w:val="24"/>
        </w:rPr>
        <w:t>根和地面以上</w:t>
      </w:r>
      <w:r>
        <w:rPr>
          <w:rFonts w:ascii="Times New Roman" w:eastAsia="仿宋" w:hAnsi="Times New Roman" w:cs="Times New Roman" w:hint="default"/>
          <w:spacing w:val="-8"/>
          <w:sz w:val="24"/>
          <w:szCs w:val="24"/>
          <w:lang w:val="en-US" w:eastAsia="zh-CN"/>
        </w:rPr>
        <w:t>部分</w:t>
      </w:r>
      <w:r>
        <w:rPr>
          <w:rFonts w:ascii="Times New Roman" w:eastAsia="仿宋" w:hAnsi="Times New Roman" w:cs="Times New Roman" w:hint="default"/>
          <w:spacing w:val="-8"/>
          <w:sz w:val="24"/>
          <w:szCs w:val="24"/>
        </w:rPr>
        <w:t>叶。</w:t>
      </w:r>
      <w:r>
        <w:rPr>
          <w:rFonts w:ascii="Times New Roman" w:eastAsia="仿宋" w:hAnsi="Times New Roman" w:cs="Times New Roman" w:hint="default"/>
          <w:spacing w:val="-8"/>
          <w:sz w:val="24"/>
          <w:szCs w:val="24"/>
          <w:lang w:val="en-US" w:eastAsia="zh-CN"/>
        </w:rPr>
        <w:t>折耳根的</w:t>
      </w:r>
      <w:r>
        <w:rPr>
          <w:rFonts w:ascii="Times New Roman" w:eastAsia="仿宋" w:hAnsi="Times New Roman" w:cs="Times New Roman" w:hint="default"/>
          <w:spacing w:val="-8"/>
          <w:sz w:val="24"/>
          <w:szCs w:val="24"/>
        </w:rPr>
        <w:t>根和叶都具有丰富的营养价值和食用价值，根富含淀粉类和纤维素，可用于凉拌、炒菜、小吃作料等，而叶富含维生素、矿物质和抗氧化物质，亦可用于凉拌、煮汤、炒菜等多种烹饪方式，消费者对折耳根不同部位的需求和喜好。</w:t>
      </w:r>
      <w:r>
        <w:rPr>
          <w:rFonts w:ascii="Times New Roman" w:eastAsia="仿宋" w:hAnsi="Times New Roman" w:cs="Times New Roman" w:hint="default"/>
          <w:spacing w:val="-8"/>
          <w:sz w:val="24"/>
          <w:szCs w:val="24"/>
          <w:lang w:eastAsia="zh-CN"/>
        </w:rPr>
        <w:t>（</w:t>
      </w:r>
      <w:r>
        <w:rPr>
          <w:rFonts w:ascii="Times New Roman" w:eastAsia="仿宋" w:hAnsi="Times New Roman" w:cs="Times New Roman" w:hint="default"/>
          <w:spacing w:val="-8"/>
          <w:sz w:val="24"/>
          <w:szCs w:val="24"/>
          <w:lang w:val="en-US" w:eastAsia="zh-CN"/>
        </w:rPr>
        <w:t>5</w:t>
      </w:r>
      <w:r>
        <w:rPr>
          <w:rFonts w:ascii="Times New Roman" w:eastAsia="仿宋" w:hAnsi="Times New Roman" w:cs="Times New Roman" w:hint="default"/>
          <w:spacing w:val="-8"/>
          <w:sz w:val="24"/>
          <w:szCs w:val="24"/>
          <w:lang w:eastAsia="zh-CN"/>
        </w:rPr>
        <w:t>）</w:t>
      </w:r>
      <w:r>
        <w:rPr>
          <w:rFonts w:ascii="Times New Roman" w:eastAsia="仿宋" w:hAnsi="Times New Roman" w:cs="Times New Roman" w:hint="default"/>
          <w:spacing w:val="-8"/>
          <w:sz w:val="24"/>
          <w:szCs w:val="24"/>
          <w:lang w:val="en-US" w:eastAsia="zh-CN"/>
        </w:rPr>
        <w:t>明确了折耳根归类。将折耳根归属于地域特色蔬菜，便于后期采用相关标准的判断。</w:t>
      </w:r>
      <w:r>
        <w:rPr>
          <w:rFonts w:ascii="Times New Roman" w:eastAsia="仿宋" w:hAnsi="Times New Roman" w:cs="Times New Roman" w:hint="default"/>
          <w:spacing w:val="-8"/>
          <w:sz w:val="24"/>
          <w:szCs w:val="24"/>
        </w:rPr>
        <w:t>标准文本具体内容如下：</w:t>
      </w:r>
    </w:p>
    <w:p>
      <w:pPr>
        <w:widowControl/>
        <w:shd w:val="clear" w:color="auto" w:fill="FFFFFF"/>
        <w:spacing w:line="360" w:lineRule="auto"/>
        <w:ind w:firstLine="480" w:firstLineChars="200"/>
        <w:jc w:val="left"/>
        <w:rPr>
          <w:rFonts w:ascii="Times New Roman" w:eastAsia="仿宋" w:hAnsi="Times New Roman" w:hint="default"/>
          <w:spacing w:val="-8"/>
          <w:sz w:val="24"/>
          <w:szCs w:val="24"/>
        </w:rPr>
      </w:pPr>
      <w:r>
        <w:rPr>
          <w:rFonts w:ascii="Times New Roman" w:eastAsia="仿宋" w:hAnsi="Times New Roman" w:cs="Times New Roman" w:hint="default"/>
          <w:spacing w:val="-8"/>
          <w:sz w:val="24"/>
          <w:szCs w:val="24"/>
          <w:lang w:val="en-US" w:eastAsia="zh-CN"/>
        </w:rPr>
        <w:t>折耳根（鱼腥草）</w:t>
      </w:r>
    </w:p>
    <w:p>
      <w:pPr>
        <w:pStyle w:val="a0"/>
        <w:keepNext w:val="0"/>
        <w:keepLines w:val="0"/>
        <w:pageBreakBefore w:val="0"/>
        <w:widowControl/>
        <w:kinsoku/>
        <w:wordWrap/>
        <w:overflowPunct/>
        <w:topLinePunct w:val="0"/>
        <w:bidi w:val="0"/>
        <w:adjustRightInd/>
        <w:snapToGrid/>
        <w:spacing w:line="360" w:lineRule="auto"/>
        <w:ind w:firstLine="420"/>
        <w:textAlignment w:val="auto"/>
        <w:rPr>
          <w:rFonts w:ascii="Times New Roman" w:eastAsia="仿宋" w:hint="default"/>
          <w:spacing w:val="-8"/>
          <w:kern w:val="2"/>
          <w:sz w:val="24"/>
          <w:szCs w:val="24"/>
        </w:rPr>
      </w:pPr>
      <w:r>
        <w:rPr>
          <w:rFonts w:ascii="Times New Roman" w:eastAsia="仿宋" w:hAnsi="Times New Roman" w:cs="Times New Roman" w:hint="default"/>
          <w:spacing w:val="-8"/>
          <w:kern w:val="2"/>
          <w:sz w:val="24"/>
          <w:szCs w:val="24"/>
          <w:lang w:val="en-US" w:eastAsia="zh-CN" w:bidi="ar-SA"/>
        </w:rPr>
        <w:t>三白草科植物蕺菜</w:t>
      </w:r>
      <w:r>
        <w:rPr>
          <w:rFonts w:ascii="Times New Roman" w:eastAsia="仿宋" w:hAnsi="Times New Roman" w:cs="Times New Roman" w:hint="default"/>
          <w:i/>
          <w:iCs/>
          <w:spacing w:val="-8"/>
          <w:kern w:val="2"/>
          <w:sz w:val="24"/>
          <w:szCs w:val="24"/>
        </w:rPr>
        <w:t xml:space="preserve">（Houttuynia cordata </w:t>
      </w:r>
      <w:r>
        <w:rPr>
          <w:rFonts w:ascii="Times New Roman" w:eastAsia="仿宋" w:hAnsi="Times New Roman" w:cs="Times New Roman" w:hint="default"/>
          <w:i w:val="0"/>
          <w:iCs w:val="0"/>
          <w:spacing w:val="-8"/>
          <w:kern w:val="2"/>
          <w:sz w:val="24"/>
          <w:szCs w:val="24"/>
        </w:rPr>
        <w:t>Thunb.</w:t>
      </w:r>
      <w:r>
        <w:rPr>
          <w:rFonts w:ascii="Times New Roman" w:eastAsia="仿宋" w:hAnsi="Times New Roman" w:cs="Times New Roman" w:hint="default"/>
          <w:i/>
          <w:iCs/>
          <w:spacing w:val="-8"/>
          <w:kern w:val="2"/>
          <w:sz w:val="24"/>
          <w:szCs w:val="24"/>
        </w:rPr>
        <w:t>）</w:t>
      </w:r>
      <w:r>
        <w:rPr>
          <w:rFonts w:ascii="Times New Roman" w:eastAsia="仿宋" w:hAnsi="Times New Roman" w:cs="Times New Roman" w:hint="default"/>
          <w:spacing w:val="-8"/>
          <w:kern w:val="2"/>
          <w:sz w:val="24"/>
          <w:szCs w:val="24"/>
          <w:lang w:val="en-US" w:eastAsia="zh-CN" w:bidi="ar-SA"/>
        </w:rPr>
        <w:t>的新鲜全草，植物全株一并采收或者根茎和叶片分开采收，经除杂、摘洗、沥干后市售的地域特色蔬菜。</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280" w:firstLineChars="100"/>
        <w:textAlignment w:val="auto"/>
        <w:rPr>
          <w:rFonts w:ascii="Times New Roman" w:eastAsia="仿宋" w:hAnsi="Times New Roman" w:cs="Times New Roman" w:hint="default"/>
          <w:sz w:val="28"/>
          <w:szCs w:val="28"/>
          <w:lang w:eastAsia="zh-CN"/>
        </w:rPr>
      </w:pPr>
      <w:bookmarkStart w:id="28" w:name="_Toc401"/>
      <w:r>
        <w:rPr>
          <w:rFonts w:ascii="Times New Roman" w:eastAsia="仿宋" w:hAnsi="Times New Roman" w:cs="Times New Roman" w:hint="default"/>
          <w:sz w:val="28"/>
          <w:szCs w:val="28"/>
          <w:lang w:eastAsia="zh-CN"/>
        </w:rPr>
        <w:t>（</w:t>
      </w:r>
      <w:r>
        <w:rPr>
          <w:rFonts w:ascii="Times New Roman" w:eastAsia="仿宋" w:hAnsi="Times New Roman" w:cs="Times New Roman" w:hint="default"/>
          <w:sz w:val="28"/>
          <w:szCs w:val="28"/>
          <w:lang w:val="en-US" w:eastAsia="zh-CN"/>
        </w:rPr>
        <w:t>四</w:t>
      </w:r>
      <w:r>
        <w:rPr>
          <w:rFonts w:ascii="Times New Roman" w:eastAsia="仿宋" w:hAnsi="Times New Roman" w:cs="Times New Roman" w:hint="default"/>
          <w:sz w:val="28"/>
          <w:szCs w:val="28"/>
          <w:lang w:eastAsia="zh-CN"/>
        </w:rPr>
        <w:t>）原料要求</w:t>
      </w:r>
      <w:bookmarkEnd w:id="28"/>
    </w:p>
    <w:p>
      <w:pPr>
        <w:pStyle w:val="a0"/>
        <w:spacing w:line="360" w:lineRule="auto"/>
        <w:ind w:firstLine="448"/>
        <w:rPr>
          <w:rFonts w:ascii="Times New Roman" w:eastAsia="仿宋" w:hint="default"/>
          <w:spacing w:val="-8"/>
          <w:kern w:val="2"/>
          <w:sz w:val="24"/>
          <w:szCs w:val="24"/>
        </w:rPr>
      </w:pPr>
      <w:r>
        <w:rPr>
          <w:rFonts w:ascii="Times New Roman" w:eastAsia="仿宋" w:hAnsi="Times New Roman" w:cs="Times New Roman" w:hint="default"/>
          <w:spacing w:val="-8"/>
          <w:kern w:val="2"/>
          <w:sz w:val="24"/>
          <w:szCs w:val="24"/>
        </w:rPr>
        <w:t>该部分首先要求</w:t>
      </w:r>
      <w:r>
        <w:rPr>
          <w:rFonts w:ascii="Times New Roman" w:eastAsia="仿宋" w:hAnsi="Times New Roman" w:cs="Times New Roman" w:hint="default"/>
          <w:spacing w:val="-8"/>
          <w:kern w:val="2"/>
          <w:sz w:val="24"/>
          <w:szCs w:val="24"/>
          <w:lang w:val="en-US" w:eastAsia="zh-CN"/>
        </w:rPr>
        <w:t>折耳根</w:t>
      </w:r>
      <w:r>
        <w:rPr>
          <w:rFonts w:ascii="Times New Roman" w:eastAsia="仿宋" w:hAnsi="Times New Roman" w:cs="Times New Roman" w:hint="default"/>
          <w:spacing w:val="-8"/>
          <w:kern w:val="2"/>
          <w:sz w:val="24"/>
          <w:szCs w:val="24"/>
        </w:rPr>
        <w:t>为鲜品，对其新鲜度、洁净度、气味做要求，确保原料的新鲜和干净。鲜</w:t>
      </w:r>
      <w:r>
        <w:rPr>
          <w:rFonts w:ascii="Times New Roman" w:eastAsia="仿宋" w:hAnsi="Times New Roman" w:cs="Times New Roman" w:hint="default"/>
          <w:spacing w:val="-8"/>
          <w:kern w:val="2"/>
          <w:sz w:val="24"/>
          <w:szCs w:val="24"/>
          <w:lang w:val="en-US" w:eastAsia="zh-CN"/>
        </w:rPr>
        <w:t>折耳根</w:t>
      </w:r>
      <w:r>
        <w:rPr>
          <w:rFonts w:ascii="Times New Roman" w:eastAsia="仿宋" w:hAnsi="Times New Roman" w:cs="Times New Roman" w:hint="default"/>
          <w:spacing w:val="-8"/>
          <w:kern w:val="2"/>
          <w:sz w:val="24"/>
          <w:szCs w:val="24"/>
        </w:rPr>
        <w:t>具有独特的鱼腥味特征，这是其识别原料的重要标志。</w:t>
      </w:r>
      <w:r>
        <w:rPr>
          <w:rFonts w:ascii="Times New Roman" w:eastAsia="仿宋" w:hAnsi="Times New Roman" w:cs="Times New Roman" w:hint="default"/>
          <w:spacing w:val="-8"/>
          <w:sz w:val="24"/>
          <w:szCs w:val="24"/>
        </w:rPr>
        <w:t>标准文本</w:t>
      </w:r>
      <w:r>
        <w:rPr>
          <w:rFonts w:ascii="Times New Roman" w:eastAsia="仿宋" w:hAnsi="Times New Roman" w:cs="Times New Roman" w:hint="default"/>
          <w:spacing w:val="-8"/>
          <w:kern w:val="2"/>
          <w:sz w:val="24"/>
          <w:szCs w:val="24"/>
        </w:rPr>
        <w:t>具体内容如下：</w:t>
      </w:r>
    </w:p>
    <w:p>
      <w:pPr>
        <w:pStyle w:val="ListParagraph"/>
        <w:spacing w:line="360" w:lineRule="auto"/>
        <w:ind w:firstLineChars="0"/>
        <w:rPr>
          <w:rFonts w:ascii="Times New Roman" w:eastAsia="仿宋" w:hAnsi="Times New Roman" w:cs="Times New Roman" w:hint="default"/>
          <w:spacing w:val="-8"/>
          <w:kern w:val="2"/>
          <w:sz w:val="24"/>
          <w:szCs w:val="24"/>
          <w:lang w:val="en-US" w:eastAsia="zh-CN" w:bidi="ar-SA"/>
        </w:rPr>
      </w:pPr>
      <w:r>
        <w:rPr>
          <w:rFonts w:ascii="Times New Roman" w:eastAsia="仿宋" w:hAnsi="Times New Roman" w:cs="Times New Roman" w:hint="default"/>
          <w:spacing w:val="-8"/>
          <w:kern w:val="2"/>
          <w:sz w:val="24"/>
          <w:szCs w:val="24"/>
          <w:lang w:val="en-US" w:eastAsia="zh-CN" w:bidi="ar-SA"/>
        </w:rPr>
        <w:t>应新鲜，无腐烂、无污染，鱼腥味特征明显。</w:t>
      </w: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280" w:firstLineChars="100"/>
        <w:textAlignment w:val="auto"/>
        <w:rPr>
          <w:rFonts w:ascii="Times New Roman" w:eastAsia="仿宋" w:hAnsi="Times New Roman" w:cs="Times New Roman" w:hint="default"/>
          <w:sz w:val="28"/>
          <w:szCs w:val="28"/>
          <w:lang w:eastAsia="zh-CN"/>
        </w:rPr>
      </w:pPr>
      <w:bookmarkStart w:id="29" w:name="_Toc12044"/>
      <w:r>
        <w:rPr>
          <w:rFonts w:ascii="Times New Roman" w:eastAsia="仿宋" w:hAnsi="Times New Roman" w:cs="Times New Roman" w:hint="default"/>
          <w:sz w:val="28"/>
          <w:szCs w:val="28"/>
          <w:lang w:eastAsia="zh-CN"/>
        </w:rPr>
        <w:t>（五）感官要求</w:t>
      </w:r>
      <w:bookmarkEnd w:id="29"/>
    </w:p>
    <w:p>
      <w:pPr>
        <w:pStyle w:val="ListParagraph"/>
        <w:spacing w:line="360" w:lineRule="auto"/>
        <w:ind w:firstLineChars="0"/>
        <w:rPr>
          <w:rFonts w:ascii="Times New Roman" w:eastAsia="仿宋" w:hAnsi="Times New Roman" w:cs="Times New Roman" w:hint="default"/>
          <w:spacing w:val="-8"/>
          <w:sz w:val="24"/>
          <w:szCs w:val="24"/>
        </w:rPr>
      </w:pPr>
      <w:r>
        <w:rPr>
          <w:rFonts w:ascii="Times New Roman" w:eastAsia="仿宋" w:hAnsi="Times New Roman" w:cs="Times New Roman" w:hint="default"/>
          <w:spacing w:val="-8"/>
          <w:sz w:val="24"/>
          <w:szCs w:val="24"/>
        </w:rPr>
        <w:t>作为食品，首先感官性状应良好。该部分结合</w:t>
      </w:r>
      <w:r>
        <w:rPr>
          <w:rFonts w:ascii="Times New Roman" w:eastAsia="仿宋" w:hAnsi="Times New Roman" w:cs="Times New Roman" w:hint="default"/>
          <w:spacing w:val="-8"/>
          <w:sz w:val="24"/>
          <w:szCs w:val="24"/>
          <w:lang w:val="en-US" w:eastAsia="zh-CN"/>
        </w:rPr>
        <w:t>折耳根</w:t>
      </w:r>
      <w:r>
        <w:rPr>
          <w:rFonts w:ascii="Times New Roman" w:eastAsia="仿宋" w:hAnsi="Times New Roman" w:cs="Times New Roman" w:hint="default"/>
          <w:spacing w:val="-8"/>
          <w:sz w:val="24"/>
          <w:szCs w:val="24"/>
        </w:rPr>
        <w:t>自然生长特点，根发展成熟后其外表颜色</w:t>
      </w:r>
      <w:r>
        <w:rPr>
          <w:rFonts w:ascii="Times New Roman" w:eastAsia="仿宋" w:hAnsi="Times New Roman" w:cs="Times New Roman" w:hint="eastAsia"/>
          <w:spacing w:val="-8"/>
          <w:sz w:val="24"/>
          <w:szCs w:val="24"/>
          <w:lang w:val="en-US" w:eastAsia="zh-CN"/>
        </w:rPr>
        <w:t>白</w:t>
      </w:r>
      <w:r>
        <w:rPr>
          <w:rFonts w:ascii="Times New Roman" w:eastAsia="仿宋" w:hAnsi="Times New Roman" w:cs="Times New Roman" w:hint="default"/>
          <w:spacing w:val="-8"/>
          <w:sz w:val="24"/>
          <w:szCs w:val="24"/>
        </w:rPr>
        <w:t>色，叶片下表面绿色</w:t>
      </w:r>
      <w:r>
        <w:rPr>
          <w:rFonts w:ascii="Times New Roman" w:eastAsia="仿宋" w:hAnsi="Times New Roman" w:cs="Times New Roman" w:hint="default"/>
          <w:spacing w:val="-8"/>
          <w:kern w:val="2"/>
          <w:sz w:val="24"/>
          <w:szCs w:val="24"/>
          <w:lang w:val="en-US" w:eastAsia="zh-CN" w:bidi="ar-SA"/>
        </w:rPr>
        <w:t>下表面常紫红色</w:t>
      </w:r>
      <w:r>
        <w:rPr>
          <w:rFonts w:ascii="Times New Roman" w:eastAsia="仿宋" w:hAnsi="Times New Roman" w:cs="Times New Roman" w:hint="default"/>
          <w:spacing w:val="-8"/>
          <w:sz w:val="24"/>
          <w:szCs w:val="24"/>
        </w:rPr>
        <w:t>，全株搓碎有均鱼腥气味等特征，对</w:t>
      </w:r>
      <w:r>
        <w:rPr>
          <w:rFonts w:ascii="Times New Roman" w:eastAsia="仿宋" w:hAnsi="Times New Roman" w:cs="Times New Roman" w:hint="default"/>
          <w:spacing w:val="-8"/>
          <w:sz w:val="24"/>
          <w:szCs w:val="24"/>
          <w:lang w:val="en-US" w:eastAsia="zh-CN"/>
        </w:rPr>
        <w:t>折耳根</w:t>
      </w:r>
      <w:r>
        <w:rPr>
          <w:rFonts w:ascii="Times New Roman" w:eastAsia="仿宋" w:hAnsi="Times New Roman" w:cs="Times New Roman" w:hint="default"/>
          <w:spacing w:val="-8"/>
          <w:sz w:val="24"/>
          <w:szCs w:val="24"/>
        </w:rPr>
        <w:t>感官性状、组织形态、气味、滋味及其检验方法作出了规定，优先通过感官性状的判断</w:t>
      </w:r>
      <w:r>
        <w:rPr>
          <w:rFonts w:ascii="Times New Roman" w:eastAsia="仿宋" w:hAnsi="Times New Roman" w:cs="Times New Roman" w:hint="default"/>
          <w:spacing w:val="-8"/>
          <w:sz w:val="24"/>
          <w:szCs w:val="24"/>
          <w:lang w:val="en-US" w:eastAsia="zh-CN"/>
        </w:rPr>
        <w:t>折耳根</w:t>
      </w:r>
      <w:r>
        <w:rPr>
          <w:rFonts w:ascii="Times New Roman" w:eastAsia="仿宋" w:hAnsi="Times New Roman" w:cs="Times New Roman" w:hint="default"/>
          <w:spacing w:val="-8"/>
          <w:sz w:val="24"/>
          <w:szCs w:val="24"/>
        </w:rPr>
        <w:t>是否满足要求的先决条件，具体规定如下</w:t>
      </w:r>
      <w:r>
        <w:rPr>
          <w:rFonts w:ascii="Times New Roman" w:eastAsia="仿宋" w:hAnsi="Times New Roman" w:cs="Times New Roman" w:hint="default"/>
          <w:spacing w:val="-8"/>
          <w:sz w:val="24"/>
          <w:szCs w:val="24"/>
          <w:lang w:eastAsia="zh-CN"/>
        </w:rPr>
        <w:t>（</w:t>
      </w:r>
      <w:r>
        <w:rPr>
          <w:rFonts w:ascii="Times New Roman" w:eastAsia="仿宋" w:hAnsi="Times New Roman" w:cs="Times New Roman" w:hint="default"/>
          <w:spacing w:val="-8"/>
          <w:sz w:val="24"/>
          <w:szCs w:val="24"/>
          <w:lang w:val="en-US" w:eastAsia="zh-CN"/>
        </w:rPr>
        <w:t>表1</w:t>
      </w:r>
      <w:r>
        <w:rPr>
          <w:rFonts w:ascii="Times New Roman" w:eastAsia="仿宋" w:hAnsi="Times New Roman" w:cs="Times New Roman" w:hint="default"/>
          <w:spacing w:val="-8"/>
          <w:sz w:val="24"/>
          <w:szCs w:val="24"/>
          <w:lang w:eastAsia="zh-CN"/>
        </w:rPr>
        <w:t>）</w:t>
      </w:r>
      <w:r>
        <w:rPr>
          <w:rFonts w:ascii="Times New Roman" w:eastAsia="仿宋" w:hAnsi="Times New Roman" w:cs="Times New Roman" w:hint="default"/>
          <w:spacing w:val="-8"/>
          <w:sz w:val="24"/>
          <w:szCs w:val="24"/>
        </w:rPr>
        <w:t>：</w:t>
      </w:r>
    </w:p>
    <w:p>
      <w:pPr>
        <w:pStyle w:val="a6"/>
        <w:numPr>
          <w:ilvl w:val="0"/>
          <w:numId w:val="0"/>
        </w:numPr>
        <w:spacing w:beforeLines="0" w:afterLines="0" w:line="360" w:lineRule="auto"/>
        <w:ind w:leftChars="0"/>
        <w:jc w:val="center"/>
        <w:rPr>
          <w:rFonts w:ascii="Times New Roman" w:eastAsia="仿宋" w:hint="default"/>
          <w:sz w:val="24"/>
          <w:szCs w:val="24"/>
        </w:rPr>
      </w:pPr>
      <w:r>
        <w:rPr>
          <w:rFonts w:ascii="Times New Roman" w:eastAsia="仿宋" w:hAnsi="Times New Roman" w:cs="Times New Roman" w:hint="default"/>
          <w:sz w:val="24"/>
          <w:szCs w:val="24"/>
          <w:lang w:val="en-US" w:eastAsia="zh-CN"/>
        </w:rPr>
        <w:t xml:space="preserve">表1 </w:t>
      </w:r>
      <w:r>
        <w:rPr>
          <w:rFonts w:ascii="Times New Roman" w:eastAsia="仿宋" w:hAnsi="Times New Roman" w:cs="Times New Roman" w:hint="default"/>
          <w:sz w:val="24"/>
          <w:szCs w:val="24"/>
        </w:rPr>
        <w:t>感官要求</w:t>
      </w:r>
    </w:p>
    <w:tbl>
      <w:tblPr>
        <w:tblStyle w:val="TableGrid0"/>
        <w:tblW w:w="93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816"/>
        <w:gridCol w:w="5133"/>
        <w:gridCol w:w="2425"/>
      </w:tblGrid>
      <w:tr>
        <w:tblPrEx>
          <w:tblW w:w="93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31"/>
          <w:tblHeader/>
          <w:jc w:val="center"/>
        </w:trPr>
        <w:tc>
          <w:tcPr>
            <w:tcW w:w="1816" w:type="dxa"/>
            <w:tcBorders>
              <w:top w:val="single" w:sz="8" w:space="0" w:color="auto"/>
            </w:tcBorders>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hAnsi="Times New Roman" w:cs="Times New Roman" w:hint="default"/>
                <w:sz w:val="21"/>
                <w:szCs w:val="21"/>
              </w:rPr>
            </w:pPr>
            <w:r>
              <w:rPr>
                <w:rFonts w:ascii="Times New Roman" w:hAnsi="Times New Roman" w:cs="Times New Roman" w:hint="default"/>
                <w:sz w:val="21"/>
                <w:szCs w:val="21"/>
              </w:rPr>
              <w:t>项 目</w:t>
            </w:r>
          </w:p>
        </w:tc>
        <w:tc>
          <w:tcPr>
            <w:tcW w:w="5133" w:type="dxa"/>
            <w:tcBorders>
              <w:top w:val="single" w:sz="8" w:space="0" w:color="auto"/>
            </w:tcBorders>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hAnsi="Times New Roman" w:cs="Times New Roman" w:hint="default"/>
                <w:sz w:val="21"/>
                <w:szCs w:val="21"/>
              </w:rPr>
            </w:pPr>
            <w:r>
              <w:rPr>
                <w:rFonts w:ascii="Times New Roman" w:hAnsi="Times New Roman" w:cs="Times New Roman" w:hint="default"/>
                <w:sz w:val="21"/>
                <w:szCs w:val="21"/>
              </w:rPr>
              <w:t>要 求</w:t>
            </w:r>
          </w:p>
        </w:tc>
        <w:tc>
          <w:tcPr>
            <w:tcW w:w="2425" w:type="dxa"/>
            <w:tcBorders>
              <w:top w:val="single" w:sz="8" w:space="0" w:color="auto"/>
            </w:tcBorders>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hAnsi="Times New Roman" w:cs="Times New Roman" w:hint="default"/>
                <w:sz w:val="21"/>
                <w:szCs w:val="21"/>
              </w:rPr>
            </w:pPr>
            <w:r>
              <w:rPr>
                <w:rFonts w:ascii="Times New Roman" w:hAnsi="Times New Roman" w:cs="Times New Roman" w:hint="default"/>
                <w:sz w:val="21"/>
                <w:szCs w:val="21"/>
              </w:rPr>
              <w:t>检验方法</w:t>
            </w:r>
          </w:p>
        </w:tc>
      </w:tr>
      <w:tr>
        <w:tblPrEx>
          <w:tblW w:w="9374" w:type="dxa"/>
          <w:jc w:val="center"/>
          <w:tblCellMar>
            <w:top w:w="0" w:type="dxa"/>
            <w:left w:w="0" w:type="dxa"/>
            <w:bottom w:w="0" w:type="dxa"/>
            <w:right w:w="0" w:type="dxa"/>
          </w:tblCellMar>
        </w:tblPrEx>
        <w:trPr>
          <w:jc w:val="center"/>
        </w:trPr>
        <w:tc>
          <w:tcPr>
            <w:tcW w:w="1816"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色 泽</w:t>
            </w:r>
          </w:p>
        </w:tc>
        <w:tc>
          <w:tcPr>
            <w:tcW w:w="5133"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叶片上表面呈绿色、下表面常紫红色，根茎呈白色</w:t>
            </w:r>
          </w:p>
        </w:tc>
        <w:tc>
          <w:tcPr>
            <w:tcW w:w="2425"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after="0" w:line="360" w:lineRule="auto"/>
              <w:ind w:firstLine="420" w:firstLineChars="200"/>
              <w:jc w:val="both"/>
              <w:textAlignment w:val="auto"/>
              <w:rPr>
                <w:rFonts w:ascii="Times New Roman" w:hAnsi="Times New Roman" w:cs="Times New Roman" w:hint="default"/>
                <w:sz w:val="21"/>
                <w:szCs w:val="21"/>
              </w:rPr>
            </w:pPr>
          </w:p>
        </w:tc>
      </w:tr>
    </w:tbl>
    <w:p>
      <w:pPr>
        <w:sectPr>
          <w:footerReference w:type="default" r:id="rId1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1"/>
          <w:cols w:num="1" w:space="720"/>
          <w:titlePg w:val="0"/>
          <w:docGrid w:type="lines" w:linePitch="312" w:charSpace="0"/>
        </w:sectPr>
      </w:pPr>
    </w:p>
    <w:tbl>
      <w:tblPr>
        <w:tblStyle w:val="TableGrid1"/>
        <w:tblW w:w="93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816"/>
        <w:gridCol w:w="5133"/>
        <w:gridCol w:w="2425"/>
      </w:tblGrid>
      <w:tr>
        <w:tblPrEx>
          <w:tblW w:w="93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jc w:val="center"/>
        </w:trPr>
        <w:tc>
          <w:tcPr>
            <w:tcW w:w="1816" w:type="dxa"/>
            <w:shd w:val="clear" w:color="auto" w:fill="auto"/>
            <w:vAlign w:val="center"/>
          </w:tcPr>
          <w:p/>
        </w:tc>
        <w:tc>
          <w:tcPr>
            <w:tcW w:w="5133" w:type="dxa"/>
            <w:shd w:val="clear" w:color="auto" w:fill="auto"/>
            <w:vAlign w:val="center"/>
          </w:tcPr>
          <w:p/>
        </w:tc>
        <w:tc>
          <w:tcPr>
            <w:tcW w:w="2425" w:type="dxa"/>
            <w:vMerge w:val="restart"/>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before="0" w:line="360" w:lineRule="auto"/>
              <w:ind w:firstLine="420" w:firstLineChars="200"/>
              <w:jc w:val="both"/>
              <w:textAlignment w:val="auto"/>
              <w:rPr>
                <w:rFonts w:ascii="Times New Roman" w:hAnsi="Times New Roman" w:cs="Times New Roman" w:hint="default"/>
                <w:sz w:val="21"/>
                <w:szCs w:val="21"/>
              </w:rPr>
            </w:pPr>
            <w:r>
              <w:rPr>
                <w:rFonts w:ascii="Times New Roman" w:eastAsia="仿宋" w:hAnsi="Times New Roman" w:cs="Times New Roman" w:hint="default"/>
                <w:spacing w:val="-8"/>
                <w:kern w:val="2"/>
                <w:sz w:val="21"/>
                <w:szCs w:val="21"/>
                <w:lang w:val="en-US" w:eastAsia="zh-CN" w:bidi="ar-SA"/>
              </w:rPr>
              <w:t>取适量样品置于洁净白色瓷盘中，在自然光线下目测其色泽、杂质，嗅其气味、尝其滋味</w:t>
            </w:r>
          </w:p>
        </w:tc>
      </w:tr>
      <w:tr>
        <w:tblPrEx>
          <w:tblW w:w="9374" w:type="dxa"/>
          <w:jc w:val="center"/>
          <w:tblCellMar>
            <w:top w:w="0" w:type="dxa"/>
            <w:left w:w="0" w:type="dxa"/>
            <w:bottom w:w="0" w:type="dxa"/>
            <w:right w:w="0" w:type="dxa"/>
          </w:tblCellMar>
        </w:tblPrEx>
        <w:trPr>
          <w:jc w:val="center"/>
        </w:trPr>
        <w:tc>
          <w:tcPr>
            <w:tcW w:w="1816"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组织形态</w:t>
            </w:r>
          </w:p>
        </w:tc>
        <w:tc>
          <w:tcPr>
            <w:tcW w:w="5133"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after="0" w:line="360" w:lineRule="auto"/>
              <w:textAlignment w:val="auto"/>
              <w:rPr>
                <w:rFonts w:ascii="Times New Roman" w:eastAsia="仿宋" w:hAnsi="Times New Roman" w:cs="Times New Roman" w:hint="default"/>
                <w:spacing w:val="-8"/>
                <w:kern w:val="2"/>
                <w:sz w:val="21"/>
                <w:szCs w:val="21"/>
                <w:lang w:val="en-US" w:eastAsia="zh-CN" w:bidi="ar-SA"/>
              </w:rPr>
            </w:pPr>
          </w:p>
        </w:tc>
        <w:tc>
          <w:tcPr>
            <w:tcW w:w="2425" w:type="dxa"/>
            <w:vMerge/>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hAnsi="Times New Roman" w:cs="Times New Roman" w:hint="default"/>
                <w:sz w:val="21"/>
                <w:szCs w:val="21"/>
              </w:rPr>
            </w:pPr>
          </w:p>
        </w:tc>
      </w:tr>
      <w:tr>
        <w:tblPrEx>
          <w:tblW w:w="9374" w:type="dxa"/>
          <w:jc w:val="center"/>
          <w:tblCellMar>
            <w:top w:w="0" w:type="dxa"/>
            <w:left w:w="0" w:type="dxa"/>
            <w:bottom w:w="0" w:type="dxa"/>
            <w:right w:w="0" w:type="dxa"/>
          </w:tblCellMar>
        </w:tblPrEx>
        <w:trPr>
          <w:jc w:val="center"/>
        </w:trPr>
        <w:tc>
          <w:tcPr>
            <w:tcW w:w="1816" w:type="dxa"/>
            <w:shd w:val="clear" w:color="auto" w:fill="auto"/>
            <w:vAlign w:val="center"/>
          </w:tcPr>
          <w:p/>
        </w:tc>
        <w:tc>
          <w:tcPr>
            <w:tcW w:w="5133"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before="0" w:line="360" w:lineRule="auto"/>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叶互生，叶片呈心形，先端渐尖，全缘，上表面密生腺点；叶柄细长，基部与托叶合生成鞘状；根茎呈圆柱形，节明显，节上有残存须根，质脆，易折断</w:t>
            </w:r>
          </w:p>
        </w:tc>
        <w:tc>
          <w:tcPr>
            <w:tcW w:w="2425" w:type="dxa"/>
            <w:vMerge/>
            <w:shd w:val="clear" w:color="auto" w:fill="auto"/>
            <w:vAlign w:val="center"/>
          </w:tcPr>
          <w:p/>
        </w:tc>
      </w:tr>
      <w:tr>
        <w:tblPrEx>
          <w:tblW w:w="9374" w:type="dxa"/>
          <w:jc w:val="center"/>
          <w:tblCellMar>
            <w:top w:w="0" w:type="dxa"/>
            <w:left w:w="0" w:type="dxa"/>
            <w:bottom w:w="0" w:type="dxa"/>
            <w:right w:w="0" w:type="dxa"/>
          </w:tblCellMar>
        </w:tblPrEx>
        <w:trPr>
          <w:jc w:val="center"/>
        </w:trPr>
        <w:tc>
          <w:tcPr>
            <w:tcW w:w="1816"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气味、滋味</w:t>
            </w:r>
          </w:p>
        </w:tc>
        <w:tc>
          <w:tcPr>
            <w:tcW w:w="5133"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ind w:firstLine="0" w:firstLineChars="0"/>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搓碎有鱼腥气味、味涩</w:t>
            </w:r>
          </w:p>
        </w:tc>
        <w:tc>
          <w:tcPr>
            <w:tcW w:w="2425" w:type="dxa"/>
            <w:vMerge/>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hAnsi="Times New Roman" w:cs="Times New Roman" w:hint="default"/>
                <w:sz w:val="21"/>
                <w:szCs w:val="21"/>
              </w:rPr>
            </w:pPr>
          </w:p>
        </w:tc>
      </w:tr>
      <w:tr>
        <w:tblPrEx>
          <w:tblW w:w="9374" w:type="dxa"/>
          <w:jc w:val="center"/>
          <w:tblCellMar>
            <w:top w:w="0" w:type="dxa"/>
            <w:left w:w="0" w:type="dxa"/>
            <w:bottom w:w="0" w:type="dxa"/>
            <w:right w:w="0" w:type="dxa"/>
          </w:tblCellMar>
        </w:tblPrEx>
        <w:trPr>
          <w:jc w:val="center"/>
        </w:trPr>
        <w:tc>
          <w:tcPr>
            <w:tcW w:w="1816"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杂 质</w:t>
            </w:r>
          </w:p>
        </w:tc>
        <w:tc>
          <w:tcPr>
            <w:tcW w:w="5133" w:type="dxa"/>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eastAsia="仿宋" w:hAnsi="Times New Roman" w:cs="Times New Roman" w:hint="default"/>
                <w:spacing w:val="-8"/>
                <w:kern w:val="2"/>
                <w:sz w:val="21"/>
                <w:szCs w:val="21"/>
                <w:lang w:val="en-US" w:eastAsia="zh-CN" w:bidi="ar-SA"/>
              </w:rPr>
            </w:pPr>
            <w:r>
              <w:rPr>
                <w:rFonts w:ascii="Times New Roman" w:eastAsia="仿宋" w:hAnsi="Times New Roman" w:cs="Times New Roman" w:hint="default"/>
                <w:spacing w:val="-8"/>
                <w:kern w:val="2"/>
                <w:sz w:val="21"/>
                <w:szCs w:val="21"/>
                <w:lang w:val="en-US" w:eastAsia="zh-CN" w:bidi="ar-SA"/>
              </w:rPr>
              <w:t>无肉眼可见外来杂质</w:t>
            </w:r>
          </w:p>
        </w:tc>
        <w:tc>
          <w:tcPr>
            <w:tcW w:w="2425" w:type="dxa"/>
            <w:vMerge/>
            <w:shd w:val="clear" w:color="auto" w:fill="auto"/>
            <w:vAlign w:val="center"/>
          </w:tcPr>
          <w:p>
            <w:pPr>
              <w:pStyle w:val="a7"/>
              <w:keepNext w:val="0"/>
              <w:keepLines w:val="0"/>
              <w:pageBreakBefore w:val="0"/>
              <w:widowControl/>
              <w:kinsoku/>
              <w:wordWrap/>
              <w:overflowPunct/>
              <w:topLinePunct w:val="0"/>
              <w:autoSpaceDE w:val="0"/>
              <w:autoSpaceDN w:val="0"/>
              <w:bidi w:val="0"/>
              <w:adjustRightInd/>
              <w:snapToGrid/>
              <w:spacing w:line="360" w:lineRule="auto"/>
              <w:textAlignment w:val="auto"/>
              <w:rPr>
                <w:rFonts w:ascii="Times New Roman" w:hAnsi="Times New Roman" w:cs="Times New Roman" w:hint="default"/>
                <w:sz w:val="21"/>
                <w:szCs w:val="21"/>
              </w:rPr>
            </w:pPr>
          </w:p>
        </w:tc>
      </w:tr>
    </w:tbl>
    <w:p>
      <w:pPr>
        <w:pStyle w:val="a0"/>
        <w:rPr>
          <w:rFonts w:ascii="Times New Roman" w:hint="default"/>
        </w:rPr>
      </w:pPr>
    </w:p>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280" w:firstLineChars="100"/>
        <w:textAlignment w:val="auto"/>
        <w:rPr>
          <w:rFonts w:ascii="Times New Roman" w:eastAsia="仿宋" w:hAnsi="Times New Roman" w:cs="Times New Roman" w:hint="default"/>
          <w:sz w:val="28"/>
          <w:szCs w:val="28"/>
          <w:lang w:eastAsia="zh-CN"/>
        </w:rPr>
      </w:pPr>
      <w:bookmarkStart w:id="30" w:name="_Toc30248"/>
      <w:r>
        <w:rPr>
          <w:rFonts w:ascii="Times New Roman" w:eastAsia="仿宋" w:hAnsi="Times New Roman" w:cs="Times New Roman" w:hint="default"/>
          <w:sz w:val="28"/>
          <w:szCs w:val="28"/>
          <w:lang w:eastAsia="zh-CN"/>
        </w:rPr>
        <w:t>（六）污染物指标及其限量</w:t>
      </w:r>
      <w:r>
        <w:rPr>
          <w:rFonts w:ascii="Times New Roman" w:eastAsia="仿宋" w:hAnsi="Times New Roman" w:cs="Times New Roman" w:hint="default"/>
          <w:sz w:val="28"/>
          <w:szCs w:val="28"/>
          <w:lang w:val="en-US" w:eastAsia="zh-CN"/>
        </w:rPr>
        <w:t>制定</w:t>
      </w:r>
      <w:bookmarkEnd w:id="30"/>
    </w:p>
    <w:p>
      <w:pPr>
        <w:pStyle w:val="a0"/>
        <w:spacing w:line="360" w:lineRule="auto"/>
        <w:ind w:firstLine="448"/>
        <w:rPr>
          <w:rFonts w:ascii="Times New Roman" w:eastAsia="仿宋" w:hint="default"/>
          <w:color w:val="000000"/>
          <w:sz w:val="24"/>
          <w:szCs w:val="24"/>
        </w:rPr>
      </w:pPr>
      <w:r>
        <w:rPr>
          <w:rFonts w:ascii="Times New Roman" w:eastAsia="仿宋" w:hAnsi="Times New Roman" w:cs="Times New Roman" w:hint="default"/>
          <w:color w:val="000000"/>
          <w:sz w:val="24"/>
          <w:szCs w:val="24"/>
          <w:lang w:val="en-US" w:eastAsia="zh-CN"/>
        </w:rPr>
        <w:t>技术指标的设定和限量值确定是基于标准制定组对我省折耳根代表性样品开展金属污染物及农药残留指标筛查的基础上做出的科学决策。根据554份表性样本(含根510份、叶44份)监测结果开展膳食评估确定安全指标和限量值。</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bookmarkStart w:id="31" w:name="_Toc3307"/>
      <w:r>
        <w:rPr>
          <w:rFonts w:ascii="Times New Roman" w:eastAsia="仿宋" w:hAnsi="Times New Roman" w:cs="Times New Roman" w:hint="default"/>
          <w:b/>
          <w:bCs/>
          <w:sz w:val="28"/>
          <w:szCs w:val="28"/>
          <w:lang w:val="en-US" w:eastAsia="zh-CN"/>
        </w:rPr>
        <w:t>1、折耳根中重金属元素含量监测数据来源</w:t>
      </w:r>
      <w:bookmarkEnd w:id="31"/>
    </w:p>
    <w:p>
      <w:pPr>
        <w:spacing w:line="360" w:lineRule="auto"/>
        <w:ind w:firstLine="480" w:firstLineChars="200"/>
        <w:jc w:val="left"/>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rPr>
        <w:t>本次评估所用的</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中元素含量数据</w:t>
      </w:r>
      <w:r>
        <w:rPr>
          <w:rFonts w:ascii="Times New Roman" w:eastAsia="仿宋" w:hAnsi="Times New Roman" w:cs="Times New Roman" w:hint="default"/>
          <w:color w:val="000000"/>
          <w:sz w:val="24"/>
          <w:szCs w:val="24"/>
          <w:lang w:val="en-US" w:eastAsia="zh-CN"/>
        </w:rPr>
        <w:t>均</w:t>
      </w:r>
      <w:r>
        <w:rPr>
          <w:rFonts w:ascii="Times New Roman" w:eastAsia="仿宋" w:hAnsi="Times New Roman" w:cs="Times New Roman" w:hint="default"/>
          <w:color w:val="000000"/>
          <w:sz w:val="24"/>
          <w:szCs w:val="24"/>
        </w:rPr>
        <w:t>来自2020年</w:t>
      </w:r>
      <w:r>
        <w:rPr>
          <w:rFonts w:ascii="Times New Roman" w:eastAsia="仿宋" w:hAnsi="Times New Roman" w:cs="Times New Roman" w:hint="default"/>
          <w:color w:val="000000"/>
          <w:sz w:val="24"/>
          <w:szCs w:val="24"/>
          <w:lang w:val="en-US" w:eastAsia="zh-CN"/>
        </w:rPr>
        <w:t>至</w:t>
      </w:r>
      <w:r>
        <w:rPr>
          <w:rFonts w:ascii="Times New Roman" w:eastAsia="仿宋" w:hAnsi="Times New Roman" w:cs="Times New Roman" w:hint="default"/>
          <w:color w:val="000000"/>
          <w:sz w:val="24"/>
          <w:szCs w:val="24"/>
        </w:rPr>
        <w:t>2023年贵州省</w:t>
      </w:r>
      <w:r>
        <w:rPr>
          <w:rFonts w:ascii="Times New Roman" w:eastAsia="仿宋" w:hAnsi="Times New Roman" w:cs="Times New Roman" w:hint="default"/>
          <w:color w:val="000000"/>
          <w:sz w:val="24"/>
          <w:szCs w:val="24"/>
          <w:lang w:val="en-US" w:eastAsia="zh-CN"/>
        </w:rPr>
        <w:t>承担</w:t>
      </w:r>
      <w:r>
        <w:rPr>
          <w:rFonts w:ascii="Times New Roman" w:eastAsia="仿宋" w:hAnsi="Times New Roman" w:cs="Times New Roman" w:hint="default"/>
          <w:color w:val="000000"/>
          <w:sz w:val="24"/>
          <w:szCs w:val="24"/>
        </w:rPr>
        <w:t>化学污染物及其有害因素监测</w:t>
      </w:r>
      <w:r>
        <w:rPr>
          <w:rFonts w:ascii="Times New Roman" w:eastAsia="仿宋" w:hAnsi="Times New Roman" w:cs="Times New Roman" w:hint="default"/>
          <w:color w:val="000000"/>
          <w:sz w:val="24"/>
          <w:szCs w:val="24"/>
          <w:lang w:val="en-US" w:eastAsia="zh-CN"/>
        </w:rPr>
        <w:t>折耳根国家常规监测和贵州省折耳根金属专项监测，样品采集范围涵盖</w:t>
      </w:r>
      <w:r>
        <w:rPr>
          <w:rFonts w:ascii="Times New Roman" w:eastAsia="仿宋" w:hAnsi="Times New Roman" w:cs="Times New Roman" w:hint="default"/>
          <w:color w:val="000000"/>
          <w:sz w:val="24"/>
          <w:szCs w:val="24"/>
        </w:rPr>
        <w:t>贵州省88个县（市、区）</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采集环节为</w:t>
      </w:r>
      <w:r>
        <w:rPr>
          <w:rFonts w:ascii="Times New Roman" w:eastAsia="仿宋" w:hAnsi="Times New Roman" w:cs="Times New Roman" w:hint="default"/>
          <w:color w:val="000000"/>
          <w:sz w:val="24"/>
          <w:szCs w:val="24"/>
        </w:rPr>
        <w:t>市售</w:t>
      </w:r>
      <w:r>
        <w:rPr>
          <w:rFonts w:ascii="Times New Roman" w:eastAsia="仿宋" w:hAnsi="Times New Roman" w:cs="Times New Roman" w:hint="default"/>
          <w:color w:val="000000"/>
          <w:sz w:val="24"/>
          <w:szCs w:val="24"/>
          <w:lang w:val="en-US" w:eastAsia="zh-CN"/>
        </w:rPr>
        <w:t>流通环节（超市、商店、农贸市场等）</w:t>
      </w:r>
      <w:r>
        <w:rPr>
          <w:rFonts w:ascii="Times New Roman" w:eastAsia="仿宋" w:hAnsi="Times New Roman" w:cs="Times New Roman" w:hint="default"/>
          <w:color w:val="000000"/>
          <w:sz w:val="24"/>
          <w:szCs w:val="24"/>
        </w:rPr>
        <w:t>，监测样本共计</w:t>
      </w:r>
      <w:r>
        <w:rPr>
          <w:rFonts w:ascii="Times New Roman" w:eastAsia="仿宋" w:hAnsi="Times New Roman" w:cs="Times New Roman" w:hint="default"/>
          <w:color w:val="000000"/>
          <w:sz w:val="24"/>
          <w:szCs w:val="24"/>
          <w:lang w:val="en-US" w:eastAsia="zh-CN"/>
        </w:rPr>
        <w:t>554份表性样本(</w:t>
      </w:r>
      <w:r>
        <w:rPr>
          <w:rFonts w:ascii="Times New Roman" w:eastAsia="仿宋" w:hAnsi="Times New Roman" w:cs="Times New Roman" w:hint="default"/>
          <w:color w:val="000000"/>
          <w:sz w:val="24"/>
          <w:szCs w:val="24"/>
        </w:rPr>
        <w:t>含根510份、叶44份)，样本量年度分布情况详见图1。贵阳、遵义、安顺、黔南、黔东南、铜仁、毕节、六盘水、黔西南9个市(州)监测样本</w:t>
      </w:r>
      <w:r>
        <w:rPr>
          <w:rFonts w:ascii="Times New Roman" w:eastAsia="仿宋" w:hAnsi="Times New Roman" w:cs="Times New Roman" w:hint="default"/>
          <w:color w:val="000000"/>
          <w:sz w:val="24"/>
          <w:szCs w:val="24"/>
          <w:lang w:val="en-US" w:eastAsia="zh-CN"/>
        </w:rPr>
        <w:t>量</w:t>
      </w:r>
      <w:r>
        <w:rPr>
          <w:rFonts w:ascii="Times New Roman" w:eastAsia="仿宋" w:hAnsi="Times New Roman" w:cs="Times New Roman" w:hint="default"/>
          <w:color w:val="000000"/>
          <w:sz w:val="24"/>
          <w:szCs w:val="24"/>
        </w:rPr>
        <w:t>分布见图2。所检测样品均为当地市场销售的</w:t>
      </w:r>
      <w:r>
        <w:rPr>
          <w:rFonts w:ascii="Times New Roman" w:eastAsia="仿宋" w:hAnsi="Times New Roman" w:cs="Times New Roman" w:hint="default"/>
          <w:color w:val="000000"/>
          <w:sz w:val="24"/>
          <w:szCs w:val="24"/>
          <w:lang w:val="en-US" w:eastAsia="zh-CN"/>
        </w:rPr>
        <w:t>地方特色蔬菜</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，代表了当地居民实际消费的</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食品品种，结果具有</w:t>
      </w:r>
      <w:r>
        <w:rPr>
          <w:rFonts w:ascii="Times New Roman" w:eastAsia="仿宋" w:hAnsi="Times New Roman" w:cs="Times New Roman" w:hint="default"/>
          <w:color w:val="000000"/>
          <w:sz w:val="24"/>
          <w:szCs w:val="24"/>
          <w:lang w:val="en-US" w:eastAsia="zh-CN"/>
        </w:rPr>
        <w:t>一定</w:t>
      </w:r>
      <w:r>
        <w:rPr>
          <w:rFonts w:ascii="Times New Roman" w:eastAsia="仿宋" w:hAnsi="Times New Roman" w:cs="Times New Roman" w:hint="default"/>
          <w:color w:val="000000"/>
          <w:sz w:val="24"/>
          <w:szCs w:val="24"/>
        </w:rPr>
        <w:t>的代表性。</w:t>
      </w:r>
    </w:p>
    <w:p>
      <w:pPr>
        <w:jc w:val="center"/>
        <w:rPr>
          <w:rFonts w:ascii="Times New Roman" w:eastAsia="仿宋" w:hAnsi="Times New Roman" w:hint="default"/>
          <w:color w:val="000000"/>
        </w:rPr>
      </w:pPr>
      <w:r>
        <w:rPr>
          <w:rFonts w:ascii="Times New Roman" w:hAnsi="Times New Roman" w:cs="Times New Roman" w:hint="default"/>
        </w:rPr>
        <w:drawing>
          <wp:inline distT="0" distB="0" distL="114300" distR="114300">
            <wp:extent cx="3536315" cy="1942465"/>
            <wp:effectExtent l="4445" t="4445" r="21590" b="1524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jc w:val="center"/>
        <w:rPr>
          <w:rFonts w:ascii="Times New Roman" w:eastAsia="仿宋" w:hAnsi="Times New Roman" w:hint="default"/>
          <w:color w:val="000000"/>
        </w:rPr>
        <w:sectPr>
          <w:footerReference w:type="default" r:id="rId19"/>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2"/>
          <w:cols w:num="1" w:space="720"/>
          <w:titlePg w:val="0"/>
          <w:docGrid w:type="lines" w:linePitch="312" w:charSpace="0"/>
        </w:sectPr>
      </w:pPr>
      <w:r>
        <w:rPr>
          <w:rFonts w:ascii="Times New Roman" w:eastAsia="仿宋" w:hAnsi="Times New Roman" w:cs="Times New Roman" w:hint="default"/>
          <w:color w:val="000000"/>
        </w:rPr>
        <w:t>图1 评估用</w:t>
      </w:r>
      <w:r>
        <w:rPr>
          <w:rFonts w:ascii="Times New Roman" w:eastAsia="仿宋" w:hAnsi="Times New Roman" w:cs="Times New Roman" w:hint="default"/>
          <w:color w:val="000000"/>
          <w:lang w:eastAsia="zh-CN"/>
        </w:rPr>
        <w:t>折耳根</w:t>
      </w:r>
      <w:r>
        <w:rPr>
          <w:rFonts w:ascii="Times New Roman" w:eastAsia="仿宋" w:hAnsi="Times New Roman" w:cs="Times New Roman" w:hint="default"/>
          <w:color w:val="000000"/>
        </w:rPr>
        <w:t>样本量年度分布图</w:t>
      </w:r>
    </w:p>
    <w:p>
      <w:pPr>
        <w:jc w:val="center"/>
        <w:rPr>
          <w:rFonts w:ascii="Times New Roman" w:eastAsia="仿宋" w:hAnsi="Times New Roman" w:hint="default"/>
          <w:color w:val="000000"/>
        </w:rPr>
      </w:pPr>
      <w:r>
        <w:rPr>
          <w:rFonts w:ascii="Times New Roman" w:eastAsia="仿宋" w:hAnsi="Times New Roman" w:cs="Times New Roman" w:hint="default"/>
          <w:color w:val="000000"/>
        </w:rPr>
        <w:drawing>
          <wp:inline distT="0" distB="0" distL="114300" distR="114300">
            <wp:extent cx="3757930" cy="2012950"/>
            <wp:effectExtent l="0" t="0" r="13970" b="635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xmlns:r="http://schemas.openxmlformats.org/officeDocument/2006/relationships" r:embed="rId20"/>
                    <a:stretch>
                      <a:fillRect/>
                    </a:stretch>
                  </pic:blipFill>
                  <pic:spPr>
                    <a:xfrm>
                      <a:off x="0" y="0"/>
                      <a:ext cx="3757930" cy="2012950"/>
                    </a:xfrm>
                    <a:prstGeom prst="rect">
                      <a:avLst/>
                    </a:prstGeom>
                    <a:noFill/>
                    <a:ln>
                      <a:noFill/>
                    </a:ln>
                  </pic:spPr>
                </pic:pic>
              </a:graphicData>
            </a:graphic>
          </wp:inline>
        </w:drawing>
      </w:r>
    </w:p>
    <w:p>
      <w:pPr>
        <w:jc w:val="center"/>
        <w:rPr>
          <w:rFonts w:ascii="Times New Roman" w:eastAsia="仿宋" w:hAnsi="Times New Roman" w:hint="default"/>
          <w:color w:val="000000"/>
        </w:rPr>
      </w:pPr>
      <w:r>
        <w:rPr>
          <w:rFonts w:ascii="Times New Roman" w:eastAsia="仿宋" w:hAnsi="Times New Roman" w:cs="Times New Roman" w:hint="default"/>
          <w:color w:val="000000"/>
        </w:rPr>
        <w:t>图2 各市(州)监测</w:t>
      </w:r>
      <w:r>
        <w:rPr>
          <w:rFonts w:ascii="Times New Roman" w:eastAsia="仿宋" w:hAnsi="Times New Roman" w:cs="Times New Roman" w:hint="default"/>
          <w:color w:val="000000"/>
          <w:lang w:eastAsia="zh-CN"/>
        </w:rPr>
        <w:t>折耳根</w:t>
      </w:r>
      <w:r>
        <w:rPr>
          <w:rFonts w:ascii="Times New Roman" w:eastAsia="仿宋" w:hAnsi="Times New Roman" w:cs="Times New Roman" w:hint="default"/>
          <w:color w:val="000000"/>
        </w:rPr>
        <w:t>样本量分布图</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bookmarkStart w:id="32" w:name="_Toc14857"/>
      <w:r>
        <w:rPr>
          <w:rFonts w:ascii="Times New Roman" w:eastAsia="仿宋" w:hAnsi="Times New Roman" w:cs="Times New Roman" w:hint="default"/>
          <w:b/>
          <w:bCs/>
          <w:sz w:val="28"/>
          <w:szCs w:val="28"/>
          <w:lang w:val="en-US" w:eastAsia="zh-CN"/>
        </w:rPr>
        <w:t>2、检测方法及数据质量控制</w:t>
      </w:r>
      <w:bookmarkEnd w:id="32"/>
    </w:p>
    <w:p>
      <w:pPr>
        <w:spacing w:line="360" w:lineRule="auto"/>
        <w:ind w:firstLine="480" w:firstLineChars="200"/>
        <w:jc w:val="left"/>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样品检测按照《国家食品污染和有害因素风险监测工作手册(中卷)》食品中多元素分析的标准操作程序方法</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与国标GB 5009.268相同</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统一进行。参</w:t>
      </w:r>
      <w:r>
        <w:rPr>
          <w:rFonts w:ascii="Times New Roman" w:eastAsia="仿宋" w:hAnsi="Times New Roman" w:cs="Times New Roman" w:hint="default"/>
          <w:color w:val="000000"/>
          <w:sz w:val="24"/>
          <w:szCs w:val="24"/>
          <w:lang w:val="en-US" w:eastAsia="zh-CN"/>
        </w:rPr>
        <w:t>与样品检测</w:t>
      </w:r>
      <w:r>
        <w:rPr>
          <w:rFonts w:ascii="Times New Roman" w:eastAsia="仿宋" w:hAnsi="Times New Roman" w:cs="Times New Roman" w:hint="default"/>
          <w:color w:val="000000"/>
          <w:sz w:val="24"/>
          <w:szCs w:val="24"/>
        </w:rPr>
        <w:t>的单位包括省疾控中心和</w:t>
      </w:r>
      <w:r>
        <w:rPr>
          <w:rFonts w:ascii="Times New Roman" w:eastAsia="仿宋" w:hAnsi="Times New Roman" w:cs="Times New Roman" w:hint="default"/>
          <w:color w:val="000000"/>
          <w:sz w:val="24"/>
          <w:szCs w:val="24"/>
          <w:lang w:val="en-US" w:eastAsia="zh-CN"/>
        </w:rPr>
        <w:t>9个</w:t>
      </w:r>
      <w:r>
        <w:rPr>
          <w:rFonts w:ascii="Times New Roman" w:eastAsia="仿宋" w:hAnsi="Times New Roman" w:cs="Times New Roman" w:hint="default"/>
          <w:color w:val="000000"/>
          <w:sz w:val="24"/>
          <w:szCs w:val="24"/>
        </w:rPr>
        <w:t>市(州)疾控中心，</w:t>
      </w:r>
      <w:r>
        <w:rPr>
          <w:rFonts w:ascii="Times New Roman" w:eastAsia="仿宋" w:hAnsi="Times New Roman" w:cs="Times New Roman" w:hint="default"/>
          <w:color w:val="000000"/>
          <w:sz w:val="24"/>
          <w:szCs w:val="24"/>
          <w:lang w:val="en-US" w:eastAsia="zh-CN"/>
        </w:rPr>
        <w:t>承检</w:t>
      </w:r>
      <w:r>
        <w:rPr>
          <w:rFonts w:ascii="Times New Roman" w:eastAsia="仿宋" w:hAnsi="Times New Roman" w:cs="Times New Roman" w:hint="default"/>
          <w:color w:val="000000"/>
          <w:sz w:val="24"/>
          <w:szCs w:val="24"/>
        </w:rPr>
        <w:t>实验室均</w:t>
      </w:r>
      <w:r>
        <w:rPr>
          <w:rFonts w:ascii="Times New Roman" w:eastAsia="仿宋" w:hAnsi="Times New Roman" w:cs="Times New Roman" w:hint="default"/>
          <w:color w:val="000000"/>
          <w:sz w:val="24"/>
          <w:szCs w:val="24"/>
          <w:lang w:val="en-US" w:eastAsia="zh-CN"/>
        </w:rPr>
        <w:t>通过</w:t>
      </w:r>
      <w:r>
        <w:rPr>
          <w:rFonts w:ascii="Times New Roman" w:eastAsia="仿宋" w:hAnsi="Times New Roman" w:cs="Times New Roman" w:hint="default"/>
          <w:color w:val="000000"/>
          <w:sz w:val="24"/>
          <w:szCs w:val="24"/>
        </w:rPr>
        <w:t>实验室资质认定</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且长期从事食品安全风险监测，参加国家食品安全风险评估中心，省级组织的实验时间比对活动。</w:t>
      </w:r>
      <w:r>
        <w:rPr>
          <w:rFonts w:ascii="Times New Roman" w:eastAsia="仿宋" w:hAnsi="Times New Roman" w:cs="Times New Roman" w:hint="default"/>
          <w:color w:val="000000"/>
          <w:sz w:val="24"/>
          <w:szCs w:val="24"/>
        </w:rPr>
        <w:t>在</w:t>
      </w:r>
      <w:r>
        <w:rPr>
          <w:rFonts w:ascii="Times New Roman" w:eastAsia="仿宋" w:hAnsi="Times New Roman" w:cs="Times New Roman" w:hint="default"/>
          <w:color w:val="000000"/>
          <w:sz w:val="24"/>
          <w:szCs w:val="24"/>
          <w:lang w:val="en-US" w:eastAsia="zh-CN"/>
        </w:rPr>
        <w:t>样本检测和</w:t>
      </w:r>
      <w:r>
        <w:rPr>
          <w:rFonts w:ascii="Times New Roman" w:eastAsia="仿宋" w:hAnsi="Times New Roman" w:cs="Times New Roman" w:hint="default"/>
          <w:color w:val="000000"/>
          <w:sz w:val="24"/>
          <w:szCs w:val="24"/>
        </w:rPr>
        <w:t>数据采集前，市州疾控检测人员均接受了统一的方法学和实验技术培训，并通过</w:t>
      </w:r>
      <w:r>
        <w:rPr>
          <w:rFonts w:ascii="Times New Roman" w:eastAsia="仿宋" w:hAnsi="Times New Roman" w:cs="Times New Roman" w:hint="default"/>
          <w:color w:val="000000"/>
          <w:sz w:val="24"/>
          <w:szCs w:val="24"/>
          <w:lang w:val="en-US" w:eastAsia="zh-CN"/>
        </w:rPr>
        <w:t>省疾控中心</w:t>
      </w:r>
      <w:r>
        <w:rPr>
          <w:rFonts w:ascii="Times New Roman" w:eastAsia="仿宋" w:hAnsi="Times New Roman" w:cs="Times New Roman" w:hint="default"/>
          <w:color w:val="000000"/>
          <w:sz w:val="24"/>
          <w:szCs w:val="24"/>
        </w:rPr>
        <w:t>统一组织的实验室间比对考核，因此，监测数据是在严格的分析质量控制条件下获得，</w:t>
      </w:r>
      <w:r>
        <w:rPr>
          <w:rFonts w:ascii="Times New Roman" w:eastAsia="仿宋" w:hAnsi="Times New Roman" w:cs="Times New Roman" w:hint="default"/>
          <w:color w:val="000000"/>
          <w:sz w:val="24"/>
          <w:szCs w:val="24"/>
          <w:lang w:val="en-US" w:eastAsia="zh-CN"/>
        </w:rPr>
        <w:t>检测数据</w:t>
      </w:r>
      <w:r>
        <w:rPr>
          <w:rFonts w:ascii="Times New Roman" w:eastAsia="仿宋" w:hAnsi="Times New Roman" w:cs="Times New Roman" w:hint="default"/>
          <w:color w:val="000000"/>
          <w:sz w:val="24"/>
          <w:szCs w:val="24"/>
        </w:rPr>
        <w:t>具有较高的</w:t>
      </w:r>
      <w:r>
        <w:rPr>
          <w:rFonts w:ascii="Times New Roman" w:eastAsia="仿宋" w:hAnsi="Times New Roman" w:cs="Times New Roman" w:hint="default"/>
          <w:color w:val="000000"/>
          <w:sz w:val="24"/>
          <w:szCs w:val="24"/>
          <w:lang w:val="en-US" w:eastAsia="zh-CN"/>
        </w:rPr>
        <w:t>结果可比性</w:t>
      </w:r>
      <w:r>
        <w:rPr>
          <w:rFonts w:ascii="Times New Roman" w:eastAsia="仿宋" w:hAnsi="Times New Roman" w:cs="Times New Roman" w:hint="default"/>
          <w:color w:val="000000"/>
          <w:sz w:val="24"/>
          <w:szCs w:val="24"/>
        </w:rPr>
        <w:t>和准确性。在实际检测中，各实验室的定量限存在着一定的差异，为了保证检测结果的统一和评估的保守性，根据WHO全球环境监测系统/食品污染监测与评估规划(GEMS/FOOD)第二次会议关于“食品中低水平污染物可信评价”中对未检出数据的处理原则，本次评估对未检出数据赋予1/2定量限参与统计分析。</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bookmarkStart w:id="33" w:name="_Toc1326"/>
      <w:r>
        <w:rPr>
          <w:rFonts w:ascii="Times New Roman" w:eastAsia="仿宋" w:hAnsi="Times New Roman" w:cs="Times New Roman" w:hint="default"/>
          <w:b/>
          <w:bCs/>
          <w:sz w:val="28"/>
          <w:szCs w:val="28"/>
          <w:lang w:val="en-US" w:eastAsia="zh-CN"/>
        </w:rPr>
        <w:t>3、折耳根中金属元素的筛查结果</w:t>
      </w:r>
      <w:bookmarkEnd w:id="33"/>
    </w:p>
    <w:p>
      <w:pPr>
        <w:widowControl/>
        <w:shd w:val="clear" w:color="auto" w:fill="FFFFFF"/>
        <w:spacing w:line="480" w:lineRule="atLeast"/>
        <w:ind w:firstLine="480" w:firstLineChars="200"/>
        <w:rPr>
          <w:rFonts w:ascii="Times New Roman" w:eastAsia="仿宋" w:hAnsi="Times New Roman" w:hint="default"/>
          <w:color w:val="000000"/>
          <w:sz w:val="24"/>
          <w:szCs w:val="24"/>
        </w:rPr>
        <w:sectPr>
          <w:footerReference w:type="default" r:id="rId2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3"/>
          <w:cols w:num="1" w:space="720"/>
          <w:titlePg w:val="0"/>
          <w:docGrid w:type="lines" w:linePitch="312" w:charSpace="0"/>
        </w:sectPr>
      </w:pP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属根茎类</w:t>
      </w:r>
      <w:r>
        <w:rPr>
          <w:rFonts w:ascii="Times New Roman" w:eastAsia="仿宋" w:hAnsi="Times New Roman" w:cs="Times New Roman" w:hint="default"/>
          <w:color w:val="000000"/>
          <w:sz w:val="24"/>
          <w:szCs w:val="24"/>
          <w:lang w:val="en-US" w:eastAsia="zh-CN"/>
        </w:rPr>
        <w:t>植物</w:t>
      </w:r>
      <w:r>
        <w:rPr>
          <w:rFonts w:ascii="Times New Roman" w:eastAsia="仿宋" w:hAnsi="Times New Roman" w:cs="Times New Roman" w:hint="default"/>
          <w:color w:val="000000"/>
          <w:sz w:val="24"/>
          <w:szCs w:val="24"/>
        </w:rPr>
        <w:t>，</w:t>
      </w:r>
      <w:r>
        <w:rPr>
          <w:rFonts w:ascii="Times New Roman" w:eastAsia="仿宋" w:hAnsi="Times New Roman" w:cs="Times New Roman" w:hint="default"/>
          <w:color w:val="000000"/>
          <w:sz w:val="24"/>
          <w:szCs w:val="24"/>
          <w:lang w:val="en-US" w:eastAsia="zh-CN"/>
        </w:rPr>
        <w:t>土壤环境</w:t>
      </w:r>
      <w:r>
        <w:rPr>
          <w:rFonts w:ascii="Times New Roman" w:eastAsia="仿宋" w:hAnsi="Times New Roman" w:cs="Times New Roman" w:hint="default"/>
          <w:color w:val="000000"/>
          <w:sz w:val="24"/>
          <w:szCs w:val="24"/>
        </w:rPr>
        <w:t>重金属元素</w:t>
      </w:r>
      <w:r>
        <w:rPr>
          <w:rFonts w:ascii="Times New Roman" w:eastAsia="仿宋" w:hAnsi="Times New Roman" w:cs="Times New Roman" w:hint="default"/>
          <w:color w:val="000000"/>
          <w:sz w:val="24"/>
          <w:szCs w:val="24"/>
          <w:lang w:val="en-US" w:eastAsia="zh-CN"/>
        </w:rPr>
        <w:t>可能在植株生长时</w:t>
      </w:r>
      <w:r>
        <w:rPr>
          <w:rFonts w:ascii="Times New Roman" w:eastAsia="仿宋" w:hAnsi="Times New Roman" w:cs="Times New Roman" w:hint="default"/>
          <w:color w:val="000000"/>
          <w:sz w:val="24"/>
          <w:szCs w:val="24"/>
        </w:rPr>
        <w:t>富集</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省疾控中心</w:t>
      </w:r>
      <w:r>
        <w:rPr>
          <w:rFonts w:ascii="Times New Roman" w:eastAsia="仿宋" w:hAnsi="Times New Roman" w:cs="Times New Roman" w:hint="default"/>
          <w:color w:val="000000"/>
          <w:sz w:val="24"/>
          <w:szCs w:val="24"/>
        </w:rPr>
        <w:t>2020-2021年对373份</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样品中铅、镉、砷、汞、铝、铬、镍、铜、硒、钒、锰、锂、锑、钡、锡15</w:t>
      </w:r>
      <w:r>
        <w:rPr>
          <w:rFonts w:ascii="Times New Roman" w:eastAsia="仿宋" w:hAnsi="Times New Roman" w:cs="Times New Roman" w:hint="default"/>
          <w:color w:val="000000"/>
          <w:sz w:val="24"/>
          <w:szCs w:val="24"/>
          <w:lang w:val="en-US" w:eastAsia="zh-CN"/>
        </w:rPr>
        <w:t>种</w:t>
      </w:r>
      <w:r>
        <w:rPr>
          <w:rFonts w:ascii="Times New Roman" w:eastAsia="仿宋" w:hAnsi="Times New Roman" w:cs="Times New Roman" w:hint="default"/>
          <w:color w:val="000000"/>
          <w:sz w:val="24"/>
          <w:szCs w:val="24"/>
        </w:rPr>
        <w:t>元素进行了检测，</w:t>
      </w:r>
      <w:r>
        <w:rPr>
          <w:rFonts w:ascii="Times New Roman" w:eastAsia="仿宋" w:hAnsi="Times New Roman" w:cs="Times New Roman" w:hint="default"/>
          <w:color w:val="000000"/>
          <w:sz w:val="24"/>
          <w:szCs w:val="24"/>
          <w:lang w:val="en-US" w:eastAsia="zh-CN"/>
        </w:rPr>
        <w:t>经统计分析</w:t>
      </w:r>
      <w:r>
        <w:rPr>
          <w:rFonts w:ascii="Times New Roman" w:eastAsia="仿宋" w:hAnsi="Times New Roman" w:cs="Times New Roman" w:hint="default"/>
          <w:color w:val="000000"/>
          <w:sz w:val="24"/>
          <w:szCs w:val="24"/>
        </w:rPr>
        <w:t>铅和镉含量</w:t>
      </w:r>
      <w:r>
        <w:rPr>
          <w:rFonts w:ascii="Times New Roman" w:eastAsia="仿宋" w:hAnsi="Times New Roman" w:cs="Times New Roman" w:hint="default"/>
          <w:color w:val="000000"/>
          <w:sz w:val="24"/>
          <w:szCs w:val="24"/>
          <w:lang w:val="en-US" w:eastAsia="zh-CN"/>
        </w:rPr>
        <w:t>相对</w:t>
      </w:r>
      <w:r>
        <w:rPr>
          <w:rFonts w:ascii="Times New Roman" w:eastAsia="仿宋" w:hAnsi="Times New Roman" w:cs="Times New Roman" w:hint="default"/>
          <w:color w:val="000000"/>
          <w:sz w:val="24"/>
          <w:szCs w:val="24"/>
        </w:rPr>
        <w:t>较高</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2023年又对137份</w:t>
      </w:r>
      <w:r>
        <w:rPr>
          <w:rFonts w:ascii="Times New Roman" w:eastAsia="仿宋" w:hAnsi="Times New Roman" w:cs="Times New Roman" w:hint="default"/>
          <w:color w:val="000000"/>
          <w:sz w:val="24"/>
          <w:szCs w:val="24"/>
          <w:lang w:eastAsia="zh-CN"/>
        </w:rPr>
        <w:t>折耳根</w:t>
      </w:r>
    </w:p>
    <w:p>
      <w:pPr>
        <w:widowControl/>
        <w:shd w:val="clear" w:color="auto" w:fill="FFFFFF"/>
        <w:spacing w:line="480" w:lineRule="atLeast"/>
        <w:ind w:firstLine="480" w:firstLineChars="200"/>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rPr>
        <w:t>样品中重点关注的铅、镉、砷、汞4种金属元素进行了核实，为了便于统计，未检出的样品按照1/2定量限进行统计分析，各元素检出情况及含量水平详见表</w:t>
      </w:r>
      <w:r>
        <w:rPr>
          <w:rFonts w:ascii="Times New Roman" w:eastAsia="仿宋" w:hAnsi="Times New Roman" w:cs="Times New Roman" w:hint="default"/>
          <w:color w:val="000000"/>
          <w:sz w:val="24"/>
          <w:szCs w:val="24"/>
          <w:lang w:val="en-US" w:eastAsia="zh-CN"/>
        </w:rPr>
        <w:t>2</w:t>
      </w:r>
      <w:r>
        <w:rPr>
          <w:rFonts w:ascii="Times New Roman" w:eastAsia="仿宋" w:hAnsi="Times New Roman" w:cs="Times New Roman" w:hint="default"/>
          <w:color w:val="000000"/>
          <w:sz w:val="24"/>
          <w:szCs w:val="24"/>
        </w:rPr>
        <w:t>，具体检测结果具体结果详见附表</w:t>
      </w:r>
      <w:r>
        <w:rPr>
          <w:rFonts w:ascii="Times New Roman" w:eastAsia="仿宋" w:hAnsi="Times New Roman" w:cs="Times New Roman" w:hint="default"/>
          <w:color w:val="000000"/>
          <w:sz w:val="24"/>
          <w:szCs w:val="24"/>
          <w:lang w:val="en-US" w:eastAsia="zh-CN"/>
        </w:rPr>
        <w:t>1</w:t>
      </w:r>
      <w:r>
        <w:rPr>
          <w:rFonts w:ascii="Times New Roman" w:eastAsia="仿宋" w:hAnsi="Times New Roman" w:cs="Times New Roman" w:hint="default"/>
          <w:color w:val="000000"/>
          <w:sz w:val="24"/>
          <w:szCs w:val="24"/>
          <w:lang w:eastAsia="zh-CN"/>
        </w:rPr>
        <w:t>。</w:t>
      </w:r>
    </w:p>
    <w:p>
      <w:pPr>
        <w:pStyle w:val="Footer"/>
        <w:jc w:val="center"/>
        <w:rPr>
          <w:rFonts w:ascii="Times New Roman" w:eastAsia="仿宋" w:hAnsi="Times New Roman" w:cs="Times New Roman" w:hint="default"/>
          <w:color w:val="000000"/>
          <w:sz w:val="21"/>
          <w:szCs w:val="21"/>
          <w:highlight w:val="yellow"/>
        </w:rPr>
      </w:pPr>
      <w:r>
        <w:rPr>
          <w:rFonts w:ascii="Times New Roman" w:eastAsia="仿宋" w:hAnsi="Times New Roman" w:cs="Times New Roman" w:hint="default"/>
          <w:color w:val="000000"/>
          <w:sz w:val="21"/>
          <w:szCs w:val="21"/>
          <w:highlight w:val="none"/>
        </w:rPr>
        <w:t>表</w:t>
      </w:r>
      <w:r>
        <w:rPr>
          <w:rFonts w:ascii="Times New Roman" w:eastAsia="仿宋" w:hAnsi="Times New Roman" w:cs="Times New Roman" w:hint="default"/>
          <w:color w:val="000000"/>
          <w:sz w:val="21"/>
          <w:szCs w:val="21"/>
          <w:highlight w:val="none"/>
          <w:lang w:val="en-US" w:eastAsia="zh-CN"/>
        </w:rPr>
        <w:t>2</w:t>
      </w:r>
      <w:r>
        <w:rPr>
          <w:rFonts w:ascii="Times New Roman" w:eastAsia="仿宋" w:hAnsi="Times New Roman" w:cs="Times New Roman" w:hint="default"/>
          <w:color w:val="000000"/>
          <w:sz w:val="21"/>
          <w:szCs w:val="21"/>
          <w:highlight w:val="none"/>
        </w:rPr>
        <w:t xml:space="preserve">. </w:t>
      </w:r>
      <w:r>
        <w:rPr>
          <w:rFonts w:ascii="Times New Roman" w:eastAsia="仿宋" w:hAnsi="Times New Roman" w:cs="Times New Roman" w:hint="default"/>
          <w:color w:val="000000"/>
          <w:sz w:val="21"/>
          <w:szCs w:val="21"/>
          <w:highlight w:val="none"/>
          <w:lang w:eastAsia="zh-CN"/>
        </w:rPr>
        <w:t>折耳根</w:t>
      </w:r>
      <w:r>
        <w:rPr>
          <w:rFonts w:ascii="Times New Roman" w:eastAsia="仿宋" w:hAnsi="Times New Roman" w:cs="Times New Roman" w:hint="default"/>
          <w:color w:val="000000"/>
          <w:sz w:val="21"/>
          <w:szCs w:val="21"/>
          <w:highlight w:val="none"/>
        </w:rPr>
        <w:t>中15种元素检出情况及含量水平</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6"/>
        <w:gridCol w:w="1175"/>
        <w:gridCol w:w="2125"/>
        <w:gridCol w:w="1787"/>
        <w:gridCol w:w="1247"/>
        <w:gridCol w:w="14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96" w:type="dxa"/>
            <w:tcBorders>
              <w:top w:val="single" w:sz="12" w:space="0" w:color="auto"/>
              <w:left w:val="nil"/>
              <w:bottom w:val="single" w:sz="12" w:space="0" w:color="auto"/>
              <w:right w:val="nil"/>
            </w:tcBorders>
            <w:noWrap w:val="0"/>
            <w:vAlign w:val="center"/>
          </w:tcPr>
          <w:p>
            <w:pPr>
              <w:widowControl/>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序号</w:t>
            </w:r>
          </w:p>
        </w:tc>
        <w:tc>
          <w:tcPr>
            <w:tcW w:w="1175" w:type="dxa"/>
            <w:tcBorders>
              <w:top w:val="single" w:sz="12" w:space="0" w:color="auto"/>
              <w:left w:val="nil"/>
              <w:bottom w:val="single" w:sz="12" w:space="0" w:color="auto"/>
              <w:right w:val="nil"/>
            </w:tcBorders>
            <w:noWrap w:val="0"/>
            <w:vAlign w:val="center"/>
          </w:tcPr>
          <w:p>
            <w:pPr>
              <w:widowControl/>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元素名称</w:t>
            </w:r>
          </w:p>
        </w:tc>
        <w:tc>
          <w:tcPr>
            <w:tcW w:w="2125" w:type="dxa"/>
            <w:tcBorders>
              <w:top w:val="single" w:sz="12" w:space="0" w:color="auto"/>
              <w:left w:val="nil"/>
              <w:bottom w:val="single" w:sz="12" w:space="0" w:color="auto"/>
              <w:right w:val="nil"/>
            </w:tcBorders>
            <w:noWrap w:val="0"/>
            <w:vAlign w:val="center"/>
          </w:tcPr>
          <w:p>
            <w:pPr>
              <w:widowControl/>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检出率</w:t>
            </w:r>
          </w:p>
        </w:tc>
        <w:tc>
          <w:tcPr>
            <w:tcW w:w="1787" w:type="dxa"/>
            <w:tcBorders>
              <w:top w:val="single" w:sz="12" w:space="0" w:color="auto"/>
              <w:left w:val="nil"/>
              <w:bottom w:val="single" w:sz="12" w:space="0" w:color="auto"/>
              <w:right w:val="nil"/>
            </w:tcBorders>
            <w:noWrap w:val="0"/>
            <w:vAlign w:val="center"/>
          </w:tcPr>
          <w:p>
            <w:pPr>
              <w:widowControl/>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检出样品含量范围（mg/kg）</w:t>
            </w:r>
          </w:p>
        </w:tc>
        <w:tc>
          <w:tcPr>
            <w:tcW w:w="1247" w:type="dxa"/>
            <w:tcBorders>
              <w:top w:val="single" w:sz="12" w:space="0" w:color="auto"/>
              <w:left w:val="nil"/>
              <w:bottom w:val="single" w:sz="12" w:space="0" w:color="auto"/>
              <w:right w:val="nil"/>
            </w:tcBorders>
            <w:noWrap w:val="0"/>
            <w:vAlign w:val="center"/>
          </w:tcPr>
          <w:p>
            <w:pPr>
              <w:widowControl/>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平均值（mg/kg）</w:t>
            </w:r>
          </w:p>
        </w:tc>
        <w:tc>
          <w:tcPr>
            <w:tcW w:w="1492" w:type="dxa"/>
            <w:tcBorders>
              <w:top w:val="single" w:sz="12" w:space="0" w:color="auto"/>
              <w:left w:val="nil"/>
              <w:bottom w:val="single" w:sz="12" w:space="0" w:color="auto"/>
              <w:right w:val="nil"/>
            </w:tcBorders>
            <w:noWrap w:val="0"/>
            <w:vAlign w:val="center"/>
          </w:tcPr>
          <w:p>
            <w:pPr>
              <w:widowControl/>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中位值（mg/kg）</w:t>
            </w:r>
          </w:p>
        </w:tc>
      </w:tr>
      <w:tr>
        <w:tblPrEx>
          <w:tblW w:w="0" w:type="auto"/>
          <w:jc w:val="center"/>
          <w:tblCellMar>
            <w:top w:w="0" w:type="dxa"/>
            <w:left w:w="108" w:type="dxa"/>
            <w:bottom w:w="0" w:type="dxa"/>
            <w:right w:w="108" w:type="dxa"/>
          </w:tblCellMar>
        </w:tblPrEx>
        <w:trPr>
          <w:jc w:val="center"/>
        </w:trPr>
        <w:tc>
          <w:tcPr>
            <w:tcW w:w="696" w:type="dxa"/>
            <w:tcBorders>
              <w:top w:val="single" w:sz="12" w:space="0" w:color="auto"/>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w:t>
            </w:r>
          </w:p>
        </w:tc>
        <w:tc>
          <w:tcPr>
            <w:tcW w:w="1175" w:type="dxa"/>
            <w:tcBorders>
              <w:top w:val="single" w:sz="12" w:space="0" w:color="auto"/>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铅</w:t>
            </w:r>
          </w:p>
        </w:tc>
        <w:tc>
          <w:tcPr>
            <w:tcW w:w="2125" w:type="dxa"/>
            <w:tcBorders>
              <w:top w:val="single" w:sz="12" w:space="0" w:color="auto"/>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90.59%（462/510）</w:t>
            </w:r>
          </w:p>
        </w:tc>
        <w:tc>
          <w:tcPr>
            <w:tcW w:w="1787" w:type="dxa"/>
            <w:tcBorders>
              <w:top w:val="single" w:sz="12" w:space="0" w:color="auto"/>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0.00443-2.51</w:t>
            </w:r>
          </w:p>
        </w:tc>
        <w:tc>
          <w:tcPr>
            <w:tcW w:w="1247" w:type="dxa"/>
            <w:tcBorders>
              <w:top w:val="single" w:sz="12" w:space="0" w:color="auto"/>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0.268</w:t>
            </w:r>
          </w:p>
        </w:tc>
        <w:tc>
          <w:tcPr>
            <w:tcW w:w="1492" w:type="dxa"/>
            <w:tcBorders>
              <w:top w:val="single" w:sz="12" w:space="0" w:color="auto"/>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0.183</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2</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镉</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98.04%（500/510）</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0.00919-0.744</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0.136</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0.104</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3</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总汞</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9.02%（46/510）</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0.0030-0.0525</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0.00209</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0.00150</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4</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总砷</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77.84%（397/510）</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0.0040-0.45</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0.0323</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0.0166</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5</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铝</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100%（373/373）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6.71-238</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43.4</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37.8</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6</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铬</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82.84%（309/373）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0.0126-1.49</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0.123</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0.0817</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7</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镍</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88.47%（330/373）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0.0580-15.6</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0.501</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0.311</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8</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铜</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99.73%（372/373）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0.449-6.83</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1.41</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1.26</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9</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硒</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28.68%（107/373）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0.0100-0.0828</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0.00886</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0.00500</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10</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钒</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98.93%（369/373）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0.0092-0.628</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0.0801</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0.0619</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11</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锰</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99.73%（372/373）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0.0638-118</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21.1</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16.7</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12</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锂</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72.65%（271/373）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0.0047-1.08</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0.073</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0.040</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13</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锑</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3.48%（13/373）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0.0103-1.43</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0.0060</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0.0050</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14</w:t>
            </w:r>
          </w:p>
        </w:tc>
        <w:tc>
          <w:tcPr>
            <w:tcW w:w="117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钡</w:t>
            </w:r>
          </w:p>
        </w:tc>
        <w:tc>
          <w:tcPr>
            <w:tcW w:w="2125"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100%（373/373）</w:t>
            </w:r>
          </w:p>
        </w:tc>
        <w:tc>
          <w:tcPr>
            <w:tcW w:w="178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0.24-71.45</w:t>
            </w:r>
          </w:p>
        </w:tc>
        <w:tc>
          <w:tcPr>
            <w:tcW w:w="1247"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6.21</w:t>
            </w:r>
          </w:p>
        </w:tc>
        <w:tc>
          <w:tcPr>
            <w:tcW w:w="1492" w:type="dxa"/>
            <w:tcBorders>
              <w:top w:val="nil"/>
              <w:left w:val="nil"/>
              <w:bottom w:val="nil"/>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3.46</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single" w:sz="12" w:space="0" w:color="auto"/>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15</w:t>
            </w:r>
          </w:p>
        </w:tc>
        <w:tc>
          <w:tcPr>
            <w:tcW w:w="1175" w:type="dxa"/>
            <w:tcBorders>
              <w:top w:val="nil"/>
              <w:left w:val="nil"/>
              <w:bottom w:val="single" w:sz="12" w:space="0" w:color="auto"/>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锡</w:t>
            </w:r>
          </w:p>
        </w:tc>
        <w:tc>
          <w:tcPr>
            <w:tcW w:w="2125" w:type="dxa"/>
            <w:tcBorders>
              <w:top w:val="nil"/>
              <w:left w:val="nil"/>
              <w:bottom w:val="single" w:sz="12" w:space="0" w:color="auto"/>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14.74%（55/373）</w:t>
            </w:r>
          </w:p>
        </w:tc>
        <w:tc>
          <w:tcPr>
            <w:tcW w:w="1787" w:type="dxa"/>
            <w:tcBorders>
              <w:top w:val="nil"/>
              <w:left w:val="nil"/>
              <w:bottom w:val="single" w:sz="12" w:space="0" w:color="auto"/>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0.0116-4.49</w:t>
            </w:r>
          </w:p>
        </w:tc>
        <w:tc>
          <w:tcPr>
            <w:tcW w:w="1247" w:type="dxa"/>
            <w:tcBorders>
              <w:top w:val="nil"/>
              <w:left w:val="nil"/>
              <w:bottom w:val="single" w:sz="12" w:space="0" w:color="auto"/>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0.0417</w:t>
            </w:r>
          </w:p>
        </w:tc>
        <w:tc>
          <w:tcPr>
            <w:tcW w:w="1492" w:type="dxa"/>
            <w:tcBorders>
              <w:top w:val="nil"/>
              <w:left w:val="nil"/>
              <w:bottom w:val="single" w:sz="12" w:space="0" w:color="auto"/>
              <w:right w:val="nil"/>
            </w:tcBorders>
            <w:noWrap w:val="0"/>
            <w:vAlign w:val="center"/>
          </w:tcPr>
          <w:p>
            <w:pPr>
              <w:widowControl/>
              <w:spacing w:line="480" w:lineRule="atLeast"/>
              <w:jc w:val="center"/>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0.0050</w:t>
            </w:r>
          </w:p>
        </w:tc>
      </w:tr>
    </w:tbl>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4、折耳根（叶）中重金属元素筛查结果</w:t>
      </w:r>
    </w:p>
    <w:p>
      <w:pPr>
        <w:pStyle w:val="Footer"/>
        <w:spacing w:line="360" w:lineRule="auto"/>
        <w:rPr>
          <w:rFonts w:ascii="Times New Roman" w:eastAsia="仿宋" w:hAnsi="Times New Roman" w:cs="Times New Roman" w:hint="default"/>
          <w:color w:val="000000"/>
          <w:kern w:val="0"/>
          <w:sz w:val="24"/>
          <w:szCs w:val="24"/>
          <w:lang w:val="en-US" w:eastAsia="zh-CN" w:bidi="ar"/>
        </w:rPr>
        <w:sectPr>
          <w:footerReference w:type="default" r:id="rId2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4"/>
          <w:cols w:num="1" w:space="720"/>
          <w:titlePg w:val="0"/>
          <w:docGrid w:type="lines" w:linePitch="312" w:charSpace="0"/>
        </w:sectPr>
      </w:pPr>
      <w:r>
        <w:rPr>
          <w:rFonts w:ascii="Times New Roman" w:eastAsia="仿宋" w:hAnsi="Times New Roman" w:cs="Times New Roman" w:hint="default"/>
          <w:b/>
          <w:sz w:val="28"/>
          <w:szCs w:val="28"/>
        </w:rPr>
        <w:t xml:space="preserve">  </w:t>
      </w:r>
      <w:r>
        <w:rPr>
          <w:rFonts w:ascii="Times New Roman" w:eastAsia="仿宋" w:hAnsi="Times New Roman" w:cs="Times New Roman" w:hint="default"/>
          <w:color w:val="000000"/>
          <w:sz w:val="24"/>
          <w:szCs w:val="24"/>
        </w:rPr>
        <w:t xml:space="preserve"> </w:t>
      </w:r>
      <w:r>
        <w:rPr>
          <w:rFonts w:ascii="Times New Roman" w:eastAsia="仿宋" w:hAnsi="Times New Roman" w:cs="Times New Roman" w:hint="default"/>
          <w:color w:val="000000"/>
          <w:sz w:val="24"/>
          <w:szCs w:val="24"/>
          <w:lang w:val="en-US" w:eastAsia="zh-CN"/>
        </w:rPr>
        <w:t>贵州居民主要膳食折耳根的根，在初春时节，折耳折正处于发芽阶段，叶鲜嫩，部分人群食用。为了解折耳根叶中铅、镉、砷、汞元素含量水平，</w:t>
      </w:r>
      <w:r>
        <w:rPr>
          <w:rFonts w:ascii="Times New Roman" w:eastAsia="仿宋" w:hAnsi="Times New Roman" w:cs="Times New Roman" w:hint="default"/>
          <w:color w:val="000000"/>
          <w:sz w:val="24"/>
          <w:szCs w:val="24"/>
        </w:rPr>
        <w:t>2023年对44份</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（叶）中关注的4种重金属</w:t>
      </w:r>
      <w:r>
        <w:rPr>
          <w:rFonts w:ascii="Times New Roman" w:eastAsia="仿宋" w:hAnsi="Times New Roman" w:cs="Times New Roman" w:hint="default"/>
          <w:color w:val="000000"/>
          <w:sz w:val="24"/>
          <w:szCs w:val="24"/>
          <w:lang w:val="en-US" w:eastAsia="zh-CN"/>
        </w:rPr>
        <w:t>元素</w:t>
      </w:r>
      <w:r>
        <w:rPr>
          <w:rFonts w:ascii="Times New Roman" w:eastAsia="仿宋" w:hAnsi="Times New Roman" w:cs="Times New Roman" w:hint="default"/>
          <w:color w:val="000000"/>
          <w:sz w:val="24"/>
          <w:szCs w:val="24"/>
        </w:rPr>
        <w:t>进行了监测，监测结果详见表3，由表3可以看出，</w:t>
      </w:r>
      <w:r>
        <w:rPr>
          <w:rFonts w:ascii="Times New Roman" w:eastAsia="仿宋" w:hAnsi="Times New Roman" w:cs="Times New Roman" w:hint="default"/>
          <w:color w:val="000000"/>
          <w:sz w:val="24"/>
          <w:szCs w:val="24"/>
          <w:lang w:val="en-US" w:eastAsia="zh-CN"/>
        </w:rPr>
        <w:t>铅和镉两种元素在折耳根叶和根中平均值和中位值无显著性差异，砷和汞的含量较低。折</w:t>
      </w:r>
      <w:r>
        <w:rPr>
          <w:rFonts w:ascii="Times New Roman" w:eastAsia="仿宋" w:hAnsi="Times New Roman" w:cs="Times New Roman" w:hint="default"/>
          <w:color w:val="000000"/>
          <w:sz w:val="24"/>
          <w:szCs w:val="24"/>
        </w:rPr>
        <w:t>耳根属于根茎类植物，</w:t>
      </w:r>
      <w:r>
        <w:rPr>
          <w:rFonts w:ascii="Times New Roman" w:eastAsia="仿宋" w:hAnsi="Times New Roman" w:cs="Times New Roman" w:hint="default"/>
          <w:color w:val="000000"/>
          <w:sz w:val="24"/>
          <w:szCs w:val="24"/>
          <w:lang w:val="en-US" w:eastAsia="zh-CN"/>
        </w:rPr>
        <w:t>针对部分</w:t>
      </w:r>
      <w:r>
        <w:rPr>
          <w:rFonts w:ascii="Times New Roman" w:eastAsia="仿宋" w:hAnsi="Times New Roman" w:cs="Times New Roman" w:hint="default"/>
          <w:color w:val="000000"/>
          <w:sz w:val="24"/>
          <w:szCs w:val="24"/>
        </w:rPr>
        <w:t>金属元素易</w:t>
      </w:r>
      <w:r>
        <w:rPr>
          <w:rFonts w:ascii="Times New Roman" w:eastAsia="仿宋" w:hAnsi="Times New Roman" w:cs="Times New Roman" w:hint="default"/>
          <w:color w:val="000000"/>
          <w:sz w:val="24"/>
          <w:szCs w:val="24"/>
          <w:lang w:val="en-US" w:eastAsia="zh-CN"/>
        </w:rPr>
        <w:t>通过</w:t>
      </w:r>
      <w:r>
        <w:rPr>
          <w:rFonts w:ascii="Times New Roman" w:eastAsia="仿宋" w:hAnsi="Times New Roman" w:cs="Times New Roman" w:hint="default"/>
          <w:color w:val="000000"/>
          <w:sz w:val="24"/>
          <w:szCs w:val="24"/>
        </w:rPr>
        <w:t>土壤富集，从而造成</w:t>
      </w:r>
      <w:r>
        <w:rPr>
          <w:rFonts w:ascii="Times New Roman" w:eastAsia="仿宋" w:hAnsi="Times New Roman" w:cs="Times New Roman" w:hint="default"/>
          <w:color w:val="000000"/>
          <w:sz w:val="24"/>
          <w:szCs w:val="24"/>
          <w:lang w:val="en-US" w:eastAsia="zh-CN"/>
        </w:rPr>
        <w:t>重</w:t>
      </w:r>
      <w:r>
        <w:rPr>
          <w:rFonts w:ascii="Times New Roman" w:eastAsia="仿宋" w:hAnsi="Times New Roman" w:cs="Times New Roman" w:hint="default"/>
          <w:color w:val="000000"/>
          <w:sz w:val="24"/>
          <w:szCs w:val="24"/>
        </w:rPr>
        <w:t>金属</w:t>
      </w:r>
      <w:r>
        <w:rPr>
          <w:rFonts w:ascii="Times New Roman" w:eastAsia="仿宋" w:hAnsi="Times New Roman" w:cs="Times New Roman" w:hint="default"/>
          <w:color w:val="000000"/>
          <w:sz w:val="24"/>
          <w:szCs w:val="24"/>
          <w:lang w:val="en-US" w:eastAsia="zh-CN"/>
        </w:rPr>
        <w:t>污染物含量</w:t>
      </w:r>
      <w:r>
        <w:rPr>
          <w:rFonts w:ascii="Times New Roman" w:eastAsia="仿宋" w:hAnsi="Times New Roman" w:cs="Times New Roman" w:hint="default"/>
          <w:color w:val="000000"/>
          <w:sz w:val="24"/>
          <w:szCs w:val="24"/>
        </w:rPr>
        <w:t>较高</w:t>
      </w:r>
      <w:r>
        <w:rPr>
          <w:rFonts w:ascii="Times New Roman" w:eastAsia="仿宋" w:hAnsi="Times New Roman" w:cs="Times New Roman" w:hint="default"/>
          <w:color w:val="000000"/>
          <w:sz w:val="24"/>
          <w:szCs w:val="24"/>
          <w:lang w:val="en-US" w:eastAsia="zh-CN"/>
        </w:rPr>
        <w:t>或超标</w:t>
      </w:r>
      <w:r>
        <w:rPr>
          <w:rFonts w:ascii="Times New Roman" w:eastAsia="仿宋" w:hAnsi="Times New Roman" w:cs="Times New Roman" w:hint="default"/>
          <w:color w:val="000000"/>
          <w:sz w:val="24"/>
          <w:szCs w:val="24"/>
        </w:rPr>
        <w:t>。</w:t>
      </w:r>
      <w:r>
        <w:rPr>
          <w:rFonts w:ascii="Times New Roman" w:eastAsia="仿宋" w:hAnsi="Times New Roman" w:cs="Times New Roman" w:hint="default"/>
          <w:color w:val="000000"/>
          <w:kern w:val="0"/>
          <w:sz w:val="24"/>
          <w:szCs w:val="24"/>
          <w:lang w:val="en-US" w:eastAsia="zh-CN" w:bidi="ar"/>
        </w:rPr>
        <w:t>文献研究结果显示，折耳根对土壤中的铅、镉等重金属具有很强的富集作用</w:t>
      </w:r>
      <w:r>
        <w:rPr>
          <w:rFonts w:ascii="Times New Roman" w:eastAsia="仿宋" w:hAnsi="Times New Roman" w:cs="Times New Roman" w:hint="default"/>
          <w:color w:val="000000"/>
          <w:kern w:val="0"/>
          <w:sz w:val="24"/>
          <w:szCs w:val="24"/>
          <w:vertAlign w:val="superscript"/>
          <w:lang w:val="en-US" w:eastAsia="zh-CN" w:bidi="ar"/>
        </w:rPr>
        <w:t>[4-5]</w:t>
      </w:r>
    </w:p>
    <w:p>
      <w:pPr>
        <w:pStyle w:val="Footer"/>
        <w:spacing w:line="360" w:lineRule="auto"/>
        <w:rPr>
          <w:rFonts w:ascii="Times New Roman" w:eastAsia="仿宋" w:hAnsi="Times New Roman" w:cs="Times New Roman" w:hint="default"/>
          <w:color w:val="000000"/>
          <w:kern w:val="0"/>
          <w:sz w:val="24"/>
          <w:szCs w:val="24"/>
          <w:lang w:val="en-US" w:eastAsia="zh-CN" w:bidi="ar"/>
        </w:rPr>
      </w:pPr>
      <w:r>
        <w:rPr>
          <w:rFonts w:ascii="Times New Roman" w:eastAsia="仿宋" w:hAnsi="Times New Roman" w:cs="Times New Roman" w:hint="default"/>
          <w:color w:val="000000"/>
          <w:kern w:val="0"/>
          <w:sz w:val="24"/>
          <w:szCs w:val="24"/>
          <w:lang w:val="en-US" w:eastAsia="zh-CN" w:bidi="ar"/>
        </w:rPr>
        <w:t>。折耳根对重金属的强吸收累积特点导致其食用安全存在一定隐患，研究表明镉含量顺序表现为须根＞地上茎＞地下茎＞叶；铅含量表现为须根＞叶＞地上茎＞地下茎，折耳根表现出较强的从根茎将铅迁移到叶的能力</w:t>
      </w:r>
      <w:r>
        <w:rPr>
          <w:rFonts w:ascii="Times New Roman" w:hAnsi="Times New Roman" w:cs="Times New Roman" w:hint="default"/>
          <w:vertAlign w:val="superscript"/>
          <w:lang w:val="en-US" w:eastAsia="zh-CN"/>
        </w:rPr>
        <w:t>[6]</w:t>
      </w:r>
      <w:r>
        <w:rPr>
          <w:rFonts w:ascii="Times New Roman" w:eastAsia="仿宋" w:hAnsi="Times New Roman" w:cs="Times New Roman" w:hint="default"/>
          <w:color w:val="000000"/>
          <w:kern w:val="0"/>
          <w:sz w:val="24"/>
          <w:szCs w:val="24"/>
          <w:lang w:val="en-US" w:eastAsia="zh-CN" w:bidi="ar"/>
        </w:rPr>
        <w:t>。不同生长期折耳根各部位重金属镉含量也呈现一定的差异，5月折耳根地下茎、地上茎、叶镉富集量均为整个生长周期内最大，此时地下茎镉富集量高达4.7 mg/kg，而后其镉富集量随着生长呈稳步下降。地上茎与叶中重金属镉吸附规律基本一致，7月为折耳根地上药用部位镉富集量最低时期，10月次之。不同生长期折耳根各部位铅含量也呈现了类似的趋势，折耳根地下茎5月富集量最高为2.4mg/kg，而后随着生长逐渐降低，10月份倒苗前最低为0.4mg/kg。地上茎与叶中重金属铅吸附规律基本一致，7月为折耳根地上药用部位铅富集量最低时期，10月次之</w:t>
      </w:r>
      <w:r>
        <w:rPr>
          <w:rFonts w:ascii="Times New Roman" w:eastAsia="仿宋" w:hAnsi="Times New Roman" w:cs="Times New Roman" w:hint="default"/>
          <w:color w:val="000000"/>
          <w:kern w:val="0"/>
          <w:sz w:val="24"/>
          <w:szCs w:val="24"/>
          <w:vertAlign w:val="superscript"/>
          <w:lang w:val="en-US" w:eastAsia="zh-CN" w:bidi="ar"/>
        </w:rPr>
        <w:t>[7]</w:t>
      </w:r>
      <w:r>
        <w:rPr>
          <w:rFonts w:ascii="Times New Roman" w:eastAsia="仿宋" w:hAnsi="Times New Roman" w:cs="Times New Roman" w:hint="default"/>
          <w:color w:val="000000"/>
          <w:kern w:val="0"/>
          <w:sz w:val="24"/>
          <w:szCs w:val="24"/>
          <w:lang w:val="en-US" w:eastAsia="zh-CN" w:bidi="ar"/>
        </w:rPr>
        <w:t>。贵州主要膳食折耳根的根，且折耳根叶受季节的影响，主要初春时节少数居民食用，且监测发现叶与根两者含量无显著性差异，无需将叶和根分开设置限量。</w:t>
      </w:r>
    </w:p>
    <w:p>
      <w:pPr>
        <w:pStyle w:val="Footer"/>
        <w:spacing w:line="360" w:lineRule="auto"/>
        <w:jc w:val="center"/>
        <w:rPr>
          <w:rFonts w:ascii="Times New Roman" w:eastAsia="仿宋" w:hAnsi="Times New Roman" w:cs="Times New Roman" w:hint="default"/>
          <w:bCs/>
          <w:sz w:val="21"/>
          <w:szCs w:val="21"/>
        </w:rPr>
      </w:pPr>
      <w:r>
        <w:rPr>
          <w:rFonts w:ascii="Times New Roman" w:eastAsia="仿宋" w:hAnsi="Times New Roman" w:cs="Times New Roman" w:hint="default"/>
          <w:bCs/>
          <w:sz w:val="21"/>
          <w:szCs w:val="21"/>
        </w:rPr>
        <w:t xml:space="preserve">表3 </w:t>
      </w:r>
      <w:r>
        <w:rPr>
          <w:rFonts w:ascii="Times New Roman" w:eastAsia="仿宋" w:hAnsi="Times New Roman" w:cs="Times New Roman" w:hint="default"/>
          <w:bCs/>
          <w:sz w:val="21"/>
          <w:szCs w:val="21"/>
          <w:lang w:val="en-US" w:eastAsia="zh-CN"/>
        </w:rPr>
        <w:t xml:space="preserve">  折耳根</w:t>
      </w:r>
      <w:r>
        <w:rPr>
          <w:rFonts w:ascii="Times New Roman" w:eastAsia="仿宋" w:hAnsi="Times New Roman" w:cs="Times New Roman" w:hint="default"/>
          <w:bCs/>
          <w:sz w:val="21"/>
          <w:szCs w:val="21"/>
        </w:rPr>
        <w:t>（叶）中4种元素检测结果</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6"/>
        <w:gridCol w:w="1175"/>
        <w:gridCol w:w="2125"/>
        <w:gridCol w:w="1787"/>
        <w:gridCol w:w="1247"/>
        <w:gridCol w:w="14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96" w:type="dxa"/>
            <w:tcBorders>
              <w:top w:val="single" w:sz="12" w:space="0" w:color="auto"/>
              <w:left w:val="nil"/>
              <w:bottom w:val="single" w:sz="12" w:space="0" w:color="auto"/>
              <w:right w:val="nil"/>
            </w:tcBorders>
            <w:vAlign w:val="center"/>
          </w:tcPr>
          <w:p>
            <w:pPr>
              <w:widowControl/>
              <w:jc w:val="center"/>
              <w:rPr>
                <w:rFonts w:ascii="Times New Roman" w:eastAsia="仿宋" w:hAnsi="Times New Roman" w:hint="default"/>
                <w:szCs w:val="21"/>
              </w:rPr>
            </w:pPr>
            <w:r>
              <w:rPr>
                <w:rFonts w:ascii="Times New Roman" w:eastAsia="仿宋" w:hAnsi="Times New Roman" w:cs="Times New Roman" w:hint="default"/>
                <w:szCs w:val="21"/>
              </w:rPr>
              <w:t>序号</w:t>
            </w:r>
          </w:p>
        </w:tc>
        <w:tc>
          <w:tcPr>
            <w:tcW w:w="1175" w:type="dxa"/>
            <w:tcBorders>
              <w:top w:val="single" w:sz="12" w:space="0" w:color="auto"/>
              <w:left w:val="nil"/>
              <w:bottom w:val="single" w:sz="12" w:space="0" w:color="auto"/>
              <w:right w:val="nil"/>
            </w:tcBorders>
            <w:vAlign w:val="center"/>
          </w:tcPr>
          <w:p>
            <w:pPr>
              <w:widowControl/>
              <w:jc w:val="center"/>
              <w:rPr>
                <w:rFonts w:ascii="Times New Roman" w:eastAsia="仿宋" w:hAnsi="Times New Roman" w:hint="default"/>
                <w:szCs w:val="21"/>
              </w:rPr>
            </w:pPr>
            <w:r>
              <w:rPr>
                <w:rFonts w:ascii="Times New Roman" w:eastAsia="仿宋" w:hAnsi="Times New Roman" w:cs="Times New Roman" w:hint="default"/>
                <w:szCs w:val="21"/>
              </w:rPr>
              <w:t>元素名称</w:t>
            </w:r>
          </w:p>
        </w:tc>
        <w:tc>
          <w:tcPr>
            <w:tcW w:w="2125" w:type="dxa"/>
            <w:tcBorders>
              <w:top w:val="single" w:sz="12" w:space="0" w:color="auto"/>
              <w:left w:val="nil"/>
              <w:bottom w:val="single" w:sz="12" w:space="0" w:color="auto"/>
              <w:right w:val="nil"/>
            </w:tcBorders>
            <w:vAlign w:val="center"/>
          </w:tcPr>
          <w:p>
            <w:pPr>
              <w:widowControl/>
              <w:jc w:val="center"/>
              <w:rPr>
                <w:rFonts w:ascii="Times New Roman" w:eastAsia="仿宋" w:hAnsi="Times New Roman" w:hint="default"/>
                <w:szCs w:val="21"/>
              </w:rPr>
            </w:pPr>
            <w:r>
              <w:rPr>
                <w:rFonts w:ascii="Times New Roman" w:eastAsia="仿宋" w:hAnsi="Times New Roman" w:cs="Times New Roman" w:hint="default"/>
                <w:szCs w:val="21"/>
              </w:rPr>
              <w:t>检出率</w:t>
            </w:r>
          </w:p>
        </w:tc>
        <w:tc>
          <w:tcPr>
            <w:tcW w:w="1787" w:type="dxa"/>
            <w:tcBorders>
              <w:top w:val="single" w:sz="12" w:space="0" w:color="auto"/>
              <w:left w:val="nil"/>
              <w:bottom w:val="single" w:sz="12" w:space="0" w:color="auto"/>
              <w:right w:val="nil"/>
            </w:tcBorders>
            <w:vAlign w:val="center"/>
          </w:tcPr>
          <w:p>
            <w:pPr>
              <w:widowControl/>
              <w:jc w:val="center"/>
              <w:rPr>
                <w:rFonts w:ascii="Times New Roman" w:eastAsia="仿宋" w:hAnsi="Times New Roman" w:hint="default"/>
                <w:szCs w:val="21"/>
              </w:rPr>
            </w:pPr>
            <w:r>
              <w:rPr>
                <w:rFonts w:ascii="Times New Roman" w:eastAsia="仿宋" w:hAnsi="Times New Roman" w:cs="Times New Roman" w:hint="default"/>
                <w:szCs w:val="21"/>
              </w:rPr>
              <w:t>检出样品含量范围（mg/kg）</w:t>
            </w:r>
          </w:p>
        </w:tc>
        <w:tc>
          <w:tcPr>
            <w:tcW w:w="1247" w:type="dxa"/>
            <w:tcBorders>
              <w:top w:val="single" w:sz="12" w:space="0" w:color="auto"/>
              <w:left w:val="nil"/>
              <w:bottom w:val="single" w:sz="12" w:space="0" w:color="auto"/>
              <w:right w:val="nil"/>
            </w:tcBorders>
            <w:vAlign w:val="center"/>
          </w:tcPr>
          <w:p>
            <w:pPr>
              <w:widowControl/>
              <w:jc w:val="center"/>
              <w:rPr>
                <w:rFonts w:ascii="Times New Roman" w:eastAsia="仿宋" w:hAnsi="Times New Roman" w:hint="default"/>
                <w:szCs w:val="21"/>
              </w:rPr>
            </w:pPr>
            <w:r>
              <w:rPr>
                <w:rFonts w:ascii="Times New Roman" w:eastAsia="仿宋" w:hAnsi="Times New Roman" w:cs="Times New Roman" w:hint="default"/>
                <w:szCs w:val="21"/>
              </w:rPr>
              <w:t>平均值（mg/kg）</w:t>
            </w:r>
          </w:p>
        </w:tc>
        <w:tc>
          <w:tcPr>
            <w:tcW w:w="1492" w:type="dxa"/>
            <w:tcBorders>
              <w:top w:val="single" w:sz="12" w:space="0" w:color="auto"/>
              <w:left w:val="nil"/>
              <w:bottom w:val="single" w:sz="12" w:space="0" w:color="auto"/>
              <w:right w:val="nil"/>
            </w:tcBorders>
            <w:vAlign w:val="center"/>
          </w:tcPr>
          <w:p>
            <w:pPr>
              <w:widowControl/>
              <w:jc w:val="center"/>
              <w:rPr>
                <w:rFonts w:ascii="Times New Roman" w:eastAsia="仿宋" w:hAnsi="Times New Roman" w:hint="default"/>
                <w:szCs w:val="21"/>
              </w:rPr>
            </w:pPr>
            <w:r>
              <w:rPr>
                <w:rFonts w:ascii="Times New Roman" w:eastAsia="仿宋" w:hAnsi="Times New Roman" w:cs="Times New Roman" w:hint="default"/>
                <w:szCs w:val="21"/>
              </w:rPr>
              <w:t>中位值（mg/kg）</w:t>
            </w:r>
          </w:p>
        </w:tc>
      </w:tr>
      <w:tr>
        <w:tblPrEx>
          <w:tblW w:w="0" w:type="auto"/>
          <w:jc w:val="center"/>
          <w:tblCellMar>
            <w:top w:w="0" w:type="dxa"/>
            <w:left w:w="108" w:type="dxa"/>
            <w:bottom w:w="0" w:type="dxa"/>
            <w:right w:w="108" w:type="dxa"/>
          </w:tblCellMar>
        </w:tblPrEx>
        <w:trPr>
          <w:jc w:val="center"/>
        </w:trPr>
        <w:tc>
          <w:tcPr>
            <w:tcW w:w="696" w:type="dxa"/>
            <w:tcBorders>
              <w:top w:val="single" w:sz="12" w:space="0" w:color="auto"/>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1</w:t>
            </w:r>
          </w:p>
        </w:tc>
        <w:tc>
          <w:tcPr>
            <w:tcW w:w="1175" w:type="dxa"/>
            <w:tcBorders>
              <w:top w:val="single" w:sz="12" w:space="0" w:color="auto"/>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铅</w:t>
            </w:r>
          </w:p>
        </w:tc>
        <w:tc>
          <w:tcPr>
            <w:tcW w:w="2125" w:type="dxa"/>
            <w:tcBorders>
              <w:top w:val="single" w:sz="12" w:space="0" w:color="auto"/>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100%（44/44）</w:t>
            </w:r>
          </w:p>
        </w:tc>
        <w:tc>
          <w:tcPr>
            <w:tcW w:w="1787" w:type="dxa"/>
            <w:tcBorders>
              <w:top w:val="single" w:sz="12" w:space="0" w:color="auto"/>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0.083-0.960</w:t>
            </w:r>
          </w:p>
        </w:tc>
        <w:tc>
          <w:tcPr>
            <w:tcW w:w="1247" w:type="dxa"/>
            <w:tcBorders>
              <w:top w:val="single" w:sz="12" w:space="0" w:color="auto"/>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0.301</w:t>
            </w:r>
          </w:p>
        </w:tc>
        <w:tc>
          <w:tcPr>
            <w:tcW w:w="1492" w:type="dxa"/>
            <w:tcBorders>
              <w:top w:val="single" w:sz="12" w:space="0" w:color="auto"/>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0.225</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2</w:t>
            </w:r>
          </w:p>
        </w:tc>
        <w:tc>
          <w:tcPr>
            <w:tcW w:w="1175"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镉</w:t>
            </w:r>
          </w:p>
        </w:tc>
        <w:tc>
          <w:tcPr>
            <w:tcW w:w="2125"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100%（44/44）</w:t>
            </w:r>
          </w:p>
        </w:tc>
        <w:tc>
          <w:tcPr>
            <w:tcW w:w="1787"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0.010-0.407</w:t>
            </w:r>
          </w:p>
        </w:tc>
        <w:tc>
          <w:tcPr>
            <w:tcW w:w="1247"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0.105</w:t>
            </w:r>
          </w:p>
        </w:tc>
        <w:tc>
          <w:tcPr>
            <w:tcW w:w="1492"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0.076</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3</w:t>
            </w:r>
          </w:p>
        </w:tc>
        <w:tc>
          <w:tcPr>
            <w:tcW w:w="1175"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总汞</w:t>
            </w:r>
          </w:p>
        </w:tc>
        <w:tc>
          <w:tcPr>
            <w:tcW w:w="2125"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0%（0/44）</w:t>
            </w:r>
          </w:p>
        </w:tc>
        <w:tc>
          <w:tcPr>
            <w:tcW w:w="1787"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&lt;0.0030</w:t>
            </w:r>
          </w:p>
        </w:tc>
        <w:tc>
          <w:tcPr>
            <w:tcW w:w="1247"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w:t>
            </w:r>
          </w:p>
        </w:tc>
        <w:tc>
          <w:tcPr>
            <w:tcW w:w="1492" w:type="dxa"/>
            <w:tcBorders>
              <w:top w:val="nil"/>
              <w:left w:val="nil"/>
              <w:bottom w:val="nil"/>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w:t>
            </w:r>
          </w:p>
        </w:tc>
      </w:tr>
      <w:tr>
        <w:tblPrEx>
          <w:tblW w:w="0" w:type="auto"/>
          <w:jc w:val="center"/>
          <w:tblCellMar>
            <w:top w:w="0" w:type="dxa"/>
            <w:left w:w="108" w:type="dxa"/>
            <w:bottom w:w="0" w:type="dxa"/>
            <w:right w:w="108" w:type="dxa"/>
          </w:tblCellMar>
        </w:tblPrEx>
        <w:trPr>
          <w:jc w:val="center"/>
        </w:trPr>
        <w:tc>
          <w:tcPr>
            <w:tcW w:w="696" w:type="dxa"/>
            <w:tcBorders>
              <w:top w:val="nil"/>
              <w:left w:val="nil"/>
              <w:bottom w:val="single" w:sz="12" w:space="0" w:color="auto"/>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4</w:t>
            </w:r>
          </w:p>
        </w:tc>
        <w:tc>
          <w:tcPr>
            <w:tcW w:w="1175" w:type="dxa"/>
            <w:tcBorders>
              <w:top w:val="nil"/>
              <w:left w:val="nil"/>
              <w:bottom w:val="single" w:sz="12" w:space="0" w:color="auto"/>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总砷</w:t>
            </w:r>
          </w:p>
        </w:tc>
        <w:tc>
          <w:tcPr>
            <w:tcW w:w="2125" w:type="dxa"/>
            <w:tcBorders>
              <w:top w:val="nil"/>
              <w:left w:val="nil"/>
              <w:bottom w:val="single" w:sz="12" w:space="0" w:color="auto"/>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100%（44/44）</w:t>
            </w:r>
          </w:p>
        </w:tc>
        <w:tc>
          <w:tcPr>
            <w:tcW w:w="1787" w:type="dxa"/>
            <w:tcBorders>
              <w:top w:val="nil"/>
              <w:left w:val="nil"/>
              <w:bottom w:val="single" w:sz="12" w:space="0" w:color="auto"/>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0.005-0.418</w:t>
            </w:r>
          </w:p>
        </w:tc>
        <w:tc>
          <w:tcPr>
            <w:tcW w:w="1247" w:type="dxa"/>
            <w:tcBorders>
              <w:top w:val="nil"/>
              <w:left w:val="nil"/>
              <w:bottom w:val="single" w:sz="12" w:space="0" w:color="auto"/>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0.077</w:t>
            </w:r>
          </w:p>
        </w:tc>
        <w:tc>
          <w:tcPr>
            <w:tcW w:w="1492" w:type="dxa"/>
            <w:tcBorders>
              <w:top w:val="nil"/>
              <w:left w:val="nil"/>
              <w:bottom w:val="single" w:sz="12" w:space="0" w:color="auto"/>
              <w:right w:val="nil"/>
            </w:tcBorders>
            <w:vAlign w:val="center"/>
          </w:tcPr>
          <w:p>
            <w:pPr>
              <w:widowControl/>
              <w:spacing w:line="480" w:lineRule="atLeast"/>
              <w:jc w:val="center"/>
              <w:rPr>
                <w:rFonts w:ascii="Times New Roman" w:eastAsia="仿宋" w:hAnsi="Times New Roman" w:hint="default"/>
                <w:szCs w:val="21"/>
              </w:rPr>
            </w:pPr>
            <w:r>
              <w:rPr>
                <w:rFonts w:ascii="Times New Roman" w:eastAsia="仿宋" w:hAnsi="Times New Roman" w:cs="Times New Roman" w:hint="default"/>
                <w:szCs w:val="21"/>
              </w:rPr>
              <w:t>0.040</w:t>
            </w:r>
          </w:p>
        </w:tc>
      </w:tr>
    </w:tbl>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5、需设置限量值的金属元素指标的确定</w:t>
      </w:r>
    </w:p>
    <w:p>
      <w:pPr>
        <w:pStyle w:val="Footer"/>
        <w:spacing w:line="360" w:lineRule="auto"/>
        <w:ind w:firstLine="480" w:firstLineChars="200"/>
        <w:jc w:val="both"/>
        <w:rPr>
          <w:rFonts w:ascii="Times New Roman" w:eastAsia="仿宋" w:hAnsi="Times New Roman" w:cs="Times New Roman" w:hint="default"/>
          <w:color w:val="000000"/>
          <w:sz w:val="24"/>
          <w:szCs w:val="24"/>
        </w:rPr>
        <w:sectPr>
          <w:footerReference w:type="default" r:id="rId2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5"/>
          <w:cols w:num="1" w:space="720"/>
          <w:titlePg w:val="0"/>
          <w:docGrid w:type="lines" w:linePitch="312" w:charSpace="0"/>
        </w:sectPr>
      </w:pPr>
      <w:r>
        <w:rPr>
          <w:rFonts w:ascii="Times New Roman" w:eastAsia="仿宋" w:hAnsi="Times New Roman" w:cs="Times New Roman" w:hint="default"/>
          <w:color w:val="000000"/>
          <w:sz w:val="24"/>
          <w:szCs w:val="24"/>
        </w:rPr>
        <w:t>《食品安全国家标准 食品中污染物</w:t>
      </w:r>
      <w:r>
        <w:rPr>
          <w:rFonts w:ascii="Times New Roman" w:eastAsia="仿宋" w:hAnsi="Times New Roman" w:cs="Times New Roman" w:hint="default"/>
          <w:color w:val="000000"/>
          <w:sz w:val="24"/>
          <w:szCs w:val="24"/>
          <w:lang w:val="en-US" w:eastAsia="zh-CN"/>
        </w:rPr>
        <w:t>限量</w:t>
      </w:r>
      <w:r>
        <w:rPr>
          <w:rFonts w:ascii="Times New Roman" w:eastAsia="仿宋" w:hAnsi="Times New Roman" w:cs="Times New Roman" w:hint="default"/>
          <w:color w:val="000000"/>
          <w:sz w:val="24"/>
          <w:szCs w:val="24"/>
        </w:rPr>
        <w:t>》（GB 2762- 2022）中仅将铅、镉、砷、汞、铬、锡、镍7种元素列为重点关注的污染物控制指标，中国药典对铅、镉、砷、汞、铜作了限值规</w:t>
      </w:r>
      <w:r>
        <w:rPr>
          <w:rFonts w:ascii="Times New Roman" w:eastAsia="仿宋" w:hAnsi="Times New Roman" w:cs="Times New Roman" w:hint="default"/>
          <w:color w:val="000000" w:themeColor="text1"/>
          <w:sz w:val="24"/>
          <w:szCs w:val="24"/>
          <w14:textFill>
            <w14:solidFill>
              <w14:schemeClr w14:val="tx1"/>
            </w14:solidFill>
          </w14:textFill>
        </w:rPr>
        <w:t>定，相</w:t>
      </w:r>
      <w:r>
        <w:rPr>
          <w:rFonts w:ascii="Times New Roman" w:eastAsia="仿宋" w:hAnsi="Times New Roman" w:cs="Times New Roman" w:hint="default"/>
          <w:color w:val="000000"/>
          <w:sz w:val="24"/>
          <w:szCs w:val="24"/>
        </w:rPr>
        <w:t>关的限量标准见表</w:t>
      </w:r>
      <w:r>
        <w:rPr>
          <w:rFonts w:ascii="Times New Roman" w:eastAsia="仿宋" w:hAnsi="Times New Roman" w:cs="Times New Roman" w:hint="default"/>
          <w:color w:val="000000"/>
          <w:sz w:val="24"/>
          <w:szCs w:val="24"/>
          <w:lang w:val="en-US" w:eastAsia="zh-CN"/>
        </w:rPr>
        <w:t>4</w:t>
      </w:r>
      <w:r>
        <w:rPr>
          <w:rFonts w:ascii="Times New Roman" w:eastAsia="仿宋" w:hAnsi="Times New Roman" w:cs="Times New Roman" w:hint="default"/>
          <w:color w:val="000000"/>
          <w:sz w:val="24"/>
          <w:szCs w:val="24"/>
        </w:rPr>
        <w:t>。根据</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监测结果，</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根茎中总汞检出率较低，平均含量为0.00150mg/kg</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总砷检出最大值为0.45mg/kg，平均值0.0166mg/kg，均低于《食品安全国家标准 食品中污染物</w:t>
      </w:r>
      <w:r>
        <w:rPr>
          <w:rFonts w:ascii="Times New Roman" w:eastAsia="仿宋" w:hAnsi="Times New Roman" w:cs="Times New Roman" w:hint="default"/>
          <w:color w:val="000000"/>
          <w:sz w:val="24"/>
          <w:szCs w:val="24"/>
          <w:lang w:val="en-US" w:eastAsia="zh-CN"/>
        </w:rPr>
        <w:t>限量</w:t>
      </w:r>
      <w:r>
        <w:rPr>
          <w:rFonts w:ascii="Times New Roman" w:eastAsia="仿宋" w:hAnsi="Times New Roman" w:cs="Times New Roman" w:hint="default"/>
          <w:color w:val="000000"/>
          <w:sz w:val="24"/>
          <w:szCs w:val="24"/>
        </w:rPr>
        <w:t>》（GB 2762- 2022）</w:t>
      </w:r>
      <w:r>
        <w:rPr>
          <w:rFonts w:ascii="Times New Roman" w:eastAsia="仿宋" w:hAnsi="Times New Roman" w:cs="Times New Roman" w:hint="default"/>
          <w:color w:val="000000"/>
          <w:sz w:val="24"/>
          <w:szCs w:val="24"/>
          <w:lang w:val="en-US" w:eastAsia="zh-CN"/>
        </w:rPr>
        <w:t>对</w:t>
      </w:r>
      <w:r>
        <w:rPr>
          <w:rFonts w:ascii="Times New Roman" w:eastAsia="仿宋" w:hAnsi="Times New Roman" w:cs="Times New Roman" w:hint="default"/>
          <w:color w:val="000000"/>
          <w:sz w:val="24"/>
          <w:szCs w:val="24"/>
        </w:rPr>
        <w:t>新鲜蔬菜中总汞限</w:t>
      </w:r>
      <w:r>
        <w:rPr>
          <w:rFonts w:ascii="Times New Roman" w:eastAsia="仿宋" w:hAnsi="Times New Roman" w:cs="Times New Roman" w:hint="default"/>
          <w:color w:val="000000"/>
          <w:sz w:val="24"/>
          <w:szCs w:val="24"/>
          <w:lang w:val="en-US" w:eastAsia="zh-CN"/>
        </w:rPr>
        <w:t>值</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default"/>
          <w:color w:val="000000"/>
          <w:sz w:val="24"/>
          <w:szCs w:val="24"/>
        </w:rPr>
        <w:t>0.01mg/kg</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和总砷限</w:t>
      </w:r>
      <w:r>
        <w:rPr>
          <w:rFonts w:ascii="Times New Roman" w:eastAsia="仿宋" w:hAnsi="Times New Roman" w:cs="Times New Roman" w:hint="default"/>
          <w:color w:val="000000"/>
          <w:sz w:val="24"/>
          <w:szCs w:val="24"/>
          <w:lang w:val="en-US" w:eastAsia="zh-CN"/>
        </w:rPr>
        <w:t>值</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default"/>
          <w:color w:val="000000"/>
          <w:sz w:val="24"/>
          <w:szCs w:val="24"/>
        </w:rPr>
        <w:t>0.5mg/kg</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的限量要求</w:t>
      </w:r>
      <w:r>
        <w:rPr>
          <w:rFonts w:ascii="Times New Roman" w:eastAsia="仿宋" w:hAnsi="Times New Roman" w:cs="Times New Roman" w:hint="default"/>
          <w:color w:val="000000"/>
          <w:sz w:val="24"/>
          <w:szCs w:val="24"/>
        </w:rPr>
        <w:t>，</w:t>
      </w:r>
      <w:r>
        <w:rPr>
          <w:rFonts w:ascii="Times New Roman" w:eastAsia="仿宋" w:hAnsi="Times New Roman" w:cs="Times New Roman" w:hint="default"/>
          <w:color w:val="000000"/>
          <w:sz w:val="24"/>
          <w:szCs w:val="24"/>
          <w:lang w:val="en-US" w:eastAsia="zh-CN"/>
        </w:rPr>
        <w:t>结合膳食摄入水平统筹考虑，由</w:t>
      </w:r>
      <w:r>
        <w:rPr>
          <w:rFonts w:ascii="Times New Roman" w:eastAsia="仿宋" w:hAnsi="Times New Roman" w:cs="Times New Roman" w:hint="default"/>
          <w:color w:val="000000"/>
          <w:sz w:val="24"/>
          <w:szCs w:val="24"/>
        </w:rPr>
        <w:t>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lang w:val="en-US" w:eastAsia="zh-CN"/>
        </w:rPr>
        <w:t>而导致的汞和砷重金属引起</w:t>
      </w:r>
      <w:r>
        <w:rPr>
          <w:rFonts w:ascii="Times New Roman" w:eastAsia="仿宋" w:hAnsi="Times New Roman" w:cs="Times New Roman" w:hint="default"/>
          <w:color w:val="000000"/>
          <w:sz w:val="24"/>
          <w:szCs w:val="24"/>
        </w:rPr>
        <w:t>安全风险隐患</w:t>
      </w:r>
      <w:r>
        <w:rPr>
          <w:rFonts w:ascii="Times New Roman" w:eastAsia="仿宋" w:hAnsi="Times New Roman" w:cs="Times New Roman" w:hint="default"/>
          <w:color w:val="000000"/>
          <w:sz w:val="24"/>
          <w:szCs w:val="24"/>
          <w:lang w:eastAsia="zh-CN"/>
        </w:rPr>
        <w:t>的</w:t>
      </w:r>
      <w:r>
        <w:rPr>
          <w:rFonts w:ascii="Times New Roman" w:eastAsia="仿宋" w:hAnsi="Times New Roman" w:cs="Times New Roman" w:hint="default"/>
          <w:color w:val="000000"/>
          <w:sz w:val="24"/>
          <w:szCs w:val="24"/>
          <w:lang w:val="en-US" w:eastAsia="zh-CN"/>
        </w:rPr>
        <w:t>几率极</w:t>
      </w:r>
      <w:r>
        <w:rPr>
          <w:rFonts w:ascii="Times New Roman" w:eastAsia="仿宋" w:hAnsi="Times New Roman" w:cs="Times New Roman" w:hint="default"/>
          <w:color w:val="000000"/>
          <w:sz w:val="24"/>
          <w:szCs w:val="24"/>
        </w:rPr>
        <w:t>低，无需</w:t>
      </w:r>
      <w:r>
        <w:rPr>
          <w:rFonts w:ascii="Times New Roman" w:eastAsia="仿宋" w:hAnsi="Times New Roman" w:cs="Times New Roman" w:hint="default"/>
          <w:color w:val="000000"/>
          <w:sz w:val="24"/>
          <w:szCs w:val="24"/>
          <w:lang w:val="en-US" w:eastAsia="zh-CN"/>
        </w:rPr>
        <w:t>设置限值</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《食品安全国家标准 食品中污染物</w:t>
      </w:r>
      <w:r>
        <w:rPr>
          <w:rFonts w:ascii="Times New Roman" w:eastAsia="仿宋" w:hAnsi="Times New Roman" w:cs="Times New Roman" w:hint="default"/>
          <w:color w:val="000000"/>
          <w:sz w:val="24"/>
          <w:szCs w:val="24"/>
          <w:lang w:val="en-US" w:eastAsia="zh-CN"/>
        </w:rPr>
        <w:t>限量</w:t>
      </w:r>
      <w:r>
        <w:rPr>
          <w:rFonts w:ascii="Times New Roman" w:eastAsia="仿宋" w:hAnsi="Times New Roman" w:cs="Times New Roman" w:hint="default"/>
          <w:color w:val="000000"/>
          <w:sz w:val="24"/>
          <w:szCs w:val="24"/>
        </w:rPr>
        <w:t>》（GB 2762-2022）中锡的限值设定是基于包装容器带来的污染考虑，</w:t>
      </w:r>
      <w:r>
        <w:rPr>
          <w:rFonts w:ascii="Times New Roman" w:eastAsia="仿宋" w:hAnsi="Times New Roman" w:cs="Times New Roman" w:hint="default"/>
          <w:color w:val="000000"/>
          <w:sz w:val="24"/>
          <w:szCs w:val="24"/>
          <w:lang w:val="en-US" w:eastAsia="zh-CN"/>
        </w:rPr>
        <w:t>标准</w:t>
      </w:r>
    </w:p>
    <w:p>
      <w:pPr>
        <w:pStyle w:val="Footer"/>
        <w:spacing w:line="360" w:lineRule="auto"/>
        <w:ind w:firstLine="480" w:firstLineChars="200"/>
        <w:jc w:val="both"/>
        <w:rPr>
          <w:rFonts w:ascii="Times New Roman" w:eastAsia="仿宋" w:hAnsi="Times New Roman" w:cs="Times New Roman" w:hint="default"/>
          <w:color w:val="000000"/>
          <w:sz w:val="24"/>
          <w:szCs w:val="24"/>
        </w:rPr>
      </w:pPr>
      <w:r>
        <w:rPr>
          <w:rFonts w:ascii="Times New Roman" w:eastAsia="仿宋" w:hAnsi="Times New Roman" w:cs="Times New Roman" w:hint="default"/>
          <w:color w:val="000000"/>
          <w:sz w:val="24"/>
          <w:szCs w:val="24"/>
        </w:rPr>
        <w:t>仅对婴幼儿配方食品、婴幼儿辅助食品中锡元素作限量规定，而</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中锡元素最大含量为4.49 mg/kg，平均含量为0.0417mg/kg，远低于婴幼儿配方食品、婴幼儿辅助食品中锡元素≤50 mg/kg限量标准，风险隐患极低，</w:t>
      </w:r>
      <w:r>
        <w:rPr>
          <w:rFonts w:ascii="Times New Roman" w:eastAsia="仿宋" w:hAnsi="Times New Roman" w:cs="Times New Roman" w:hint="default"/>
          <w:color w:val="000000"/>
          <w:sz w:val="24"/>
          <w:szCs w:val="24"/>
          <w:lang w:val="en-US" w:eastAsia="zh-CN"/>
        </w:rPr>
        <w:t>也</w:t>
      </w:r>
      <w:r>
        <w:rPr>
          <w:rFonts w:ascii="Times New Roman" w:eastAsia="仿宋" w:hAnsi="Times New Roman" w:cs="Times New Roman" w:hint="default"/>
          <w:color w:val="000000"/>
          <w:sz w:val="24"/>
          <w:szCs w:val="24"/>
        </w:rPr>
        <w:t>无需</w:t>
      </w:r>
      <w:r>
        <w:rPr>
          <w:rFonts w:ascii="Times New Roman" w:eastAsia="仿宋" w:hAnsi="Times New Roman" w:cs="Times New Roman" w:hint="default"/>
          <w:color w:val="000000"/>
          <w:sz w:val="24"/>
          <w:szCs w:val="24"/>
          <w:lang w:val="en-US" w:eastAsia="zh-CN"/>
        </w:rPr>
        <w:t>设置限值</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《食品安全国家标准 食品中污染物</w:t>
      </w:r>
      <w:r>
        <w:rPr>
          <w:rFonts w:ascii="Times New Roman" w:eastAsia="仿宋" w:hAnsi="Times New Roman" w:cs="Times New Roman" w:hint="default"/>
          <w:color w:val="000000"/>
          <w:sz w:val="24"/>
          <w:szCs w:val="24"/>
          <w:lang w:val="en-US" w:eastAsia="zh-CN"/>
        </w:rPr>
        <w:t>限量</w:t>
      </w:r>
      <w:r>
        <w:rPr>
          <w:rFonts w:ascii="Times New Roman" w:eastAsia="仿宋" w:hAnsi="Times New Roman" w:cs="Times New Roman" w:hint="default"/>
          <w:color w:val="000000"/>
          <w:sz w:val="24"/>
          <w:szCs w:val="24"/>
        </w:rPr>
        <w:t>》（GB 2762- 2022）仅</w:t>
      </w:r>
      <w:r>
        <w:rPr>
          <w:rFonts w:ascii="Times New Roman" w:eastAsia="仿宋" w:hAnsi="Times New Roman" w:cs="Times New Roman" w:hint="default"/>
          <w:color w:val="000000"/>
          <w:sz w:val="24"/>
          <w:szCs w:val="24"/>
          <w:lang w:val="en-US" w:eastAsia="zh-CN"/>
        </w:rPr>
        <w:t>对</w:t>
      </w:r>
      <w:r>
        <w:rPr>
          <w:rFonts w:ascii="Times New Roman" w:eastAsia="仿宋" w:hAnsi="Times New Roman" w:cs="Times New Roman" w:hint="default"/>
          <w:color w:val="000000"/>
          <w:sz w:val="24"/>
          <w:szCs w:val="24"/>
        </w:rPr>
        <w:t>油脂及其制品规定镍的限量1.0mg/kg</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《食品安全国家标准 食品中污染物</w:t>
      </w:r>
      <w:r>
        <w:rPr>
          <w:rFonts w:ascii="Times New Roman" w:eastAsia="仿宋" w:hAnsi="Times New Roman" w:cs="Times New Roman" w:hint="default"/>
          <w:color w:val="000000"/>
          <w:sz w:val="24"/>
          <w:szCs w:val="24"/>
          <w:lang w:val="en-US" w:eastAsia="zh-CN"/>
        </w:rPr>
        <w:t>限量</w:t>
      </w:r>
      <w:r>
        <w:rPr>
          <w:rFonts w:ascii="Times New Roman" w:eastAsia="仿宋" w:hAnsi="Times New Roman" w:cs="Times New Roman" w:hint="default"/>
          <w:color w:val="000000"/>
          <w:sz w:val="24"/>
          <w:szCs w:val="24"/>
        </w:rPr>
        <w:t>》（GB 2762- 2022）中铬元素在新鲜蔬菜中限值</w:t>
      </w:r>
      <w:r>
        <w:rPr>
          <w:rFonts w:ascii="Times New Roman" w:eastAsia="仿宋" w:hAnsi="Times New Roman" w:cs="Times New Roman" w:hint="default"/>
          <w:color w:val="000000"/>
          <w:sz w:val="24"/>
          <w:szCs w:val="24"/>
          <w:lang w:val="en-US" w:eastAsia="zh-CN"/>
        </w:rPr>
        <w:t>为</w:t>
      </w:r>
      <w:r>
        <w:rPr>
          <w:rFonts w:ascii="Times New Roman" w:eastAsia="仿宋" w:hAnsi="Times New Roman" w:cs="Times New Roman" w:hint="default"/>
          <w:color w:val="000000"/>
          <w:sz w:val="24"/>
          <w:szCs w:val="24"/>
        </w:rPr>
        <w:t>0.5mg/kg，</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lang w:val="en-US" w:eastAsia="zh-CN"/>
        </w:rPr>
        <w:t>样品</w:t>
      </w:r>
      <w:r>
        <w:rPr>
          <w:rFonts w:ascii="Times New Roman" w:eastAsia="仿宋" w:hAnsi="Times New Roman" w:cs="Times New Roman" w:hint="default"/>
          <w:color w:val="000000"/>
          <w:sz w:val="24"/>
          <w:szCs w:val="24"/>
        </w:rPr>
        <w:t>中</w:t>
      </w:r>
      <w:r>
        <w:rPr>
          <w:rFonts w:ascii="Times New Roman" w:eastAsia="仿宋" w:hAnsi="Times New Roman" w:cs="Times New Roman" w:hint="default"/>
          <w:color w:val="000000"/>
          <w:sz w:val="24"/>
          <w:szCs w:val="24"/>
          <w:lang w:val="en-US" w:eastAsia="zh-CN"/>
        </w:rPr>
        <w:t>铬</w:t>
      </w:r>
      <w:r>
        <w:rPr>
          <w:rFonts w:ascii="Times New Roman" w:eastAsia="仿宋" w:hAnsi="Times New Roman" w:cs="Times New Roman" w:hint="default"/>
          <w:color w:val="000000"/>
          <w:sz w:val="24"/>
          <w:szCs w:val="24"/>
        </w:rPr>
        <w:t>检出最大值1.49 mg/kg，平均值0.123 mg/kg，超过0.5mg/kg占比为2.41%，因此食用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造成铬和镍中毒的安全风险隐患较低</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微量元素硒和锂作为人体必需和有益的元素，其在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中含量与普通食品相比无显著区别，如小麦粉中硒0.089mg/kg，芹菜中锂0.102mg/kg等，硒和锂指标仅做摸底调查，无需进一步</w:t>
      </w:r>
      <w:r>
        <w:rPr>
          <w:rFonts w:ascii="Times New Roman" w:eastAsia="仿宋" w:hAnsi="Times New Roman" w:cs="Times New Roman" w:hint="default"/>
          <w:color w:val="000000"/>
          <w:sz w:val="24"/>
          <w:szCs w:val="24"/>
          <w:lang w:val="en-US" w:eastAsia="zh-CN"/>
        </w:rPr>
        <w:t>设置限值</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其他常规元素锑、铜、钒、钡、铝和锰虽有检出情况，但</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中</w:t>
      </w:r>
      <w:r>
        <w:rPr>
          <w:rFonts w:ascii="Times New Roman" w:eastAsia="仿宋" w:hAnsi="Times New Roman" w:cs="Times New Roman" w:hint="default"/>
          <w:color w:val="000000"/>
          <w:sz w:val="24"/>
          <w:szCs w:val="24"/>
          <w:lang w:val="en-US" w:eastAsia="zh-CN"/>
        </w:rPr>
        <w:t>含量水平与蔬菜、谷物等大宗膳食限量要求无明显差别，考虑</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lang w:val="en-US" w:eastAsia="zh-CN"/>
        </w:rPr>
        <w:t>膳食摄入水平</w:t>
      </w:r>
      <w:r>
        <w:rPr>
          <w:rFonts w:ascii="Times New Roman" w:eastAsia="仿宋" w:hAnsi="Times New Roman" w:cs="Times New Roman" w:hint="default"/>
          <w:color w:val="000000"/>
          <w:sz w:val="24"/>
          <w:szCs w:val="24"/>
        </w:rPr>
        <w:t>远低于大宗食品，总体评估食用安全风险隐患较低。</w:t>
      </w:r>
    </w:p>
    <w:p>
      <w:pPr>
        <w:pStyle w:val="Footer"/>
        <w:spacing w:line="360" w:lineRule="auto"/>
        <w:ind w:firstLine="480" w:firstLineChars="200"/>
        <w:jc w:val="both"/>
        <w:rPr>
          <w:rFonts w:ascii="Times New Roman" w:eastAsia="仿宋" w:hAnsi="Times New Roman" w:cs="Times New Roman" w:hint="default"/>
          <w:color w:val="000000"/>
          <w:sz w:val="24"/>
          <w:szCs w:val="24"/>
        </w:rPr>
      </w:pPr>
      <w:r>
        <w:rPr>
          <w:rFonts w:ascii="Times New Roman" w:eastAsia="仿宋" w:hAnsi="Times New Roman" w:cs="Times New Roman" w:hint="default"/>
          <w:b w:val="0"/>
          <w:bCs w:val="0"/>
          <w:color w:val="000000"/>
          <w:sz w:val="24"/>
          <w:szCs w:val="24"/>
          <w:lang w:val="en-US" w:eastAsia="zh-CN"/>
        </w:rPr>
        <w:t>总之，</w:t>
      </w:r>
      <w:r>
        <w:rPr>
          <w:rFonts w:ascii="Times New Roman" w:eastAsia="仿宋" w:hAnsi="Times New Roman" w:cs="Times New Roman" w:hint="default"/>
          <w:b/>
          <w:bCs/>
          <w:color w:val="000000"/>
          <w:sz w:val="24"/>
          <w:szCs w:val="24"/>
          <w:lang w:val="en-US" w:eastAsia="zh-CN"/>
        </w:rPr>
        <w:t>折耳根中铅、镉含量相对较高</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default"/>
          <w:color w:val="000000"/>
          <w:sz w:val="24"/>
          <w:szCs w:val="24"/>
        </w:rPr>
        <w:t>若</w:t>
      </w:r>
      <w:r>
        <w:rPr>
          <w:rFonts w:ascii="Times New Roman" w:eastAsia="仿宋" w:hAnsi="Times New Roman" w:cs="Times New Roman" w:hint="default"/>
          <w:color w:val="000000"/>
          <w:sz w:val="24"/>
          <w:szCs w:val="24"/>
          <w:lang w:val="en-US" w:eastAsia="zh-CN"/>
        </w:rPr>
        <w:t>参照</w:t>
      </w:r>
      <w:r>
        <w:rPr>
          <w:rFonts w:ascii="Times New Roman" w:eastAsia="仿宋" w:hAnsi="Times New Roman" w:cs="Times New Roman" w:hint="default"/>
          <w:color w:val="000000"/>
          <w:sz w:val="24"/>
          <w:szCs w:val="24"/>
        </w:rPr>
        <w:t>《食品安全国家标准 食品中污染物</w:t>
      </w:r>
      <w:r>
        <w:rPr>
          <w:rFonts w:ascii="Times New Roman" w:eastAsia="仿宋" w:hAnsi="Times New Roman" w:cs="Times New Roman" w:hint="default"/>
          <w:color w:val="000000"/>
          <w:sz w:val="24"/>
          <w:szCs w:val="24"/>
          <w:lang w:val="en-US" w:eastAsia="zh-CN"/>
        </w:rPr>
        <w:t>限量</w:t>
      </w:r>
      <w:r>
        <w:rPr>
          <w:rFonts w:ascii="Times New Roman" w:eastAsia="仿宋" w:hAnsi="Times New Roman" w:cs="Times New Roman" w:hint="default"/>
          <w:color w:val="000000"/>
          <w:sz w:val="24"/>
          <w:szCs w:val="24"/>
        </w:rPr>
        <w:t>》（GB 2762- 2022）</w:t>
      </w:r>
      <w:r>
        <w:rPr>
          <w:rFonts w:ascii="Times New Roman" w:eastAsia="仿宋" w:hAnsi="Times New Roman" w:cs="Times New Roman" w:hint="default"/>
          <w:color w:val="000000"/>
          <w:sz w:val="24"/>
          <w:szCs w:val="24"/>
          <w:lang w:val="en-US" w:eastAsia="zh-CN"/>
        </w:rPr>
        <w:t>新鲜</w:t>
      </w:r>
      <w:r>
        <w:rPr>
          <w:rFonts w:ascii="Times New Roman" w:eastAsia="仿宋" w:hAnsi="Times New Roman" w:cs="Times New Roman" w:hint="default"/>
          <w:color w:val="000000"/>
          <w:sz w:val="24"/>
          <w:szCs w:val="24"/>
        </w:rPr>
        <w:t>蔬菜铅限量0.</w:t>
      </w:r>
      <w:r>
        <w:rPr>
          <w:rFonts w:ascii="Times New Roman" w:eastAsia="仿宋" w:hAnsi="Times New Roman" w:cs="Times New Roman" w:hint="default"/>
          <w:color w:val="000000"/>
          <w:sz w:val="24"/>
          <w:szCs w:val="24"/>
          <w:lang w:val="en-US" w:eastAsia="zh-CN"/>
        </w:rPr>
        <w:t>1</w:t>
      </w:r>
      <w:r>
        <w:rPr>
          <w:rFonts w:ascii="Times New Roman" w:eastAsia="仿宋" w:hAnsi="Times New Roman" w:cs="Times New Roman" w:hint="default"/>
          <w:color w:val="000000"/>
          <w:sz w:val="24"/>
          <w:szCs w:val="24"/>
        </w:rPr>
        <w:t>mg/kg、块根</w:t>
      </w:r>
      <w:r>
        <w:rPr>
          <w:rFonts w:ascii="Times New Roman" w:eastAsia="仿宋" w:hAnsi="Times New Roman" w:cs="Times New Roman" w:hint="default"/>
          <w:color w:val="000000"/>
          <w:sz w:val="24"/>
          <w:szCs w:val="24"/>
          <w:lang w:val="en-US" w:eastAsia="zh-CN"/>
        </w:rPr>
        <w:t>块茎</w:t>
      </w:r>
      <w:r>
        <w:rPr>
          <w:rFonts w:ascii="Times New Roman" w:eastAsia="仿宋" w:hAnsi="Times New Roman" w:cs="Times New Roman" w:hint="default"/>
          <w:color w:val="000000"/>
          <w:sz w:val="24"/>
          <w:szCs w:val="24"/>
        </w:rPr>
        <w:t>类蔬菜镉限量0.1mg/kg进行评判安全性，其</w:t>
      </w:r>
      <w:r>
        <w:rPr>
          <w:rFonts w:ascii="Times New Roman" w:eastAsia="仿宋" w:hAnsi="Times New Roman" w:cs="Times New Roman" w:hint="default"/>
          <w:color w:val="000000"/>
          <w:sz w:val="24"/>
          <w:szCs w:val="24"/>
          <w:lang w:val="en-US" w:eastAsia="zh-CN"/>
        </w:rPr>
        <w:t>样品</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超标率</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rPr>
        <w:t>极高，</w:t>
      </w:r>
      <w:r>
        <w:rPr>
          <w:rFonts w:ascii="Times New Roman" w:eastAsia="仿宋" w:hAnsi="Times New Roman" w:cs="Times New Roman" w:hint="default"/>
          <w:b/>
          <w:bCs/>
          <w:color w:val="000000"/>
          <w:sz w:val="24"/>
          <w:szCs w:val="24"/>
          <w:lang w:val="en-US" w:eastAsia="zh-CN"/>
        </w:rPr>
        <w:t>应</w:t>
      </w:r>
      <w:r>
        <w:rPr>
          <w:rFonts w:ascii="Times New Roman" w:eastAsia="仿宋" w:hAnsi="Times New Roman" w:cs="Times New Roman" w:hint="default"/>
          <w:b/>
          <w:bCs/>
          <w:color w:val="000000"/>
          <w:sz w:val="24"/>
          <w:szCs w:val="24"/>
        </w:rPr>
        <w:t>结合膳食摄入量</w:t>
      </w:r>
      <w:r>
        <w:rPr>
          <w:rFonts w:ascii="Times New Roman" w:eastAsia="仿宋" w:hAnsi="Times New Roman" w:cs="Times New Roman" w:hint="default"/>
          <w:b/>
          <w:bCs/>
          <w:color w:val="000000"/>
          <w:sz w:val="24"/>
          <w:szCs w:val="24"/>
          <w:lang w:val="en-US" w:eastAsia="zh-CN"/>
        </w:rPr>
        <w:t>和食用习惯</w:t>
      </w:r>
      <w:r>
        <w:rPr>
          <w:rFonts w:ascii="Times New Roman" w:eastAsia="仿宋" w:hAnsi="Times New Roman" w:cs="Times New Roman" w:hint="default"/>
          <w:b/>
          <w:bCs/>
          <w:color w:val="000000"/>
          <w:sz w:val="24"/>
          <w:szCs w:val="24"/>
        </w:rPr>
        <w:t>进一步</w:t>
      </w:r>
      <w:r>
        <w:rPr>
          <w:rFonts w:ascii="Times New Roman" w:eastAsia="仿宋" w:hAnsi="Times New Roman" w:cs="Times New Roman" w:hint="default"/>
          <w:b/>
          <w:bCs/>
          <w:color w:val="000000"/>
          <w:sz w:val="24"/>
          <w:szCs w:val="24"/>
          <w:lang w:val="en-US" w:eastAsia="zh-CN"/>
        </w:rPr>
        <w:t>开展膳食暴露评估，合理设置污染物限值</w:t>
      </w:r>
      <w:r>
        <w:rPr>
          <w:rFonts w:ascii="Times New Roman" w:eastAsia="仿宋" w:hAnsi="Times New Roman" w:cs="Times New Roman" w:hint="default"/>
          <w:color w:val="000000"/>
          <w:sz w:val="24"/>
          <w:szCs w:val="24"/>
        </w:rPr>
        <w:t>。</w:t>
      </w:r>
    </w:p>
    <w:p>
      <w:pPr>
        <w:pStyle w:val="Footer"/>
        <w:spacing w:line="360" w:lineRule="auto"/>
        <w:ind w:firstLine="420" w:firstLineChars="200"/>
        <w:jc w:val="center"/>
        <w:rPr>
          <w:rFonts w:ascii="Times New Roman" w:eastAsia="仿宋" w:hAnsi="Times New Roman" w:cs="Times New Roman" w:hint="default"/>
          <w:color w:val="000000"/>
          <w:szCs w:val="21"/>
        </w:rPr>
      </w:pPr>
      <w:r>
        <w:rPr>
          <w:rFonts w:ascii="Times New Roman" w:eastAsia="仿宋" w:hAnsi="Times New Roman" w:cs="Times New Roman" w:hint="default"/>
          <w:color w:val="000000"/>
          <w:sz w:val="21"/>
          <w:szCs w:val="21"/>
        </w:rPr>
        <w:t>表</w:t>
      </w:r>
      <w:r>
        <w:rPr>
          <w:rFonts w:ascii="Times New Roman" w:eastAsia="仿宋" w:hAnsi="Times New Roman" w:cs="Times New Roman" w:hint="default"/>
          <w:color w:val="000000"/>
          <w:sz w:val="21"/>
          <w:szCs w:val="21"/>
          <w:lang w:val="en-US" w:eastAsia="zh-CN"/>
        </w:rPr>
        <w:t>4</w:t>
      </w:r>
      <w:r>
        <w:rPr>
          <w:rFonts w:ascii="Times New Roman" w:eastAsia="仿宋" w:hAnsi="Times New Roman" w:cs="Times New Roman" w:hint="default"/>
          <w:color w:val="000000"/>
          <w:sz w:val="21"/>
          <w:szCs w:val="21"/>
        </w:rPr>
        <w:t>相关重金属限量标准</w:t>
      </w:r>
    </w:p>
    <w:tbl>
      <w:tblPr>
        <w:tblStyle w:val="TableNormal"/>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661"/>
        <w:gridCol w:w="2966"/>
        <w:gridCol w:w="3713"/>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18"/>
          <w:jc w:val="center"/>
        </w:trPr>
        <w:tc>
          <w:tcPr>
            <w:tcW w:w="8340" w:type="dxa"/>
            <w:gridSpan w:val="3"/>
            <w:tcBorders>
              <w:top w:val="single" w:sz="12" w:space="0" w:color="auto"/>
              <w:bottom w:val="single" w:sz="12" w:space="0" w:color="auto"/>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eastAsia="仿宋" w:hAnsi="Times New Roman" w:hint="default"/>
                <w:bCs/>
                <w:color w:val="000000"/>
                <w:sz w:val="24"/>
                <w:szCs w:val="24"/>
              </w:rPr>
            </w:pPr>
            <w:r>
              <w:rPr>
                <w:rFonts w:ascii="Times New Roman" w:eastAsia="仿宋" w:hAnsi="Times New Roman" w:cs="Times New Roman" w:hint="default"/>
                <w:bCs/>
                <w:color w:val="000000"/>
                <w:sz w:val="24"/>
                <w:szCs w:val="24"/>
              </w:rPr>
              <w:t>限量标准（mg/kg）</w:t>
            </w:r>
          </w:p>
        </w:tc>
      </w:tr>
      <w:tr>
        <w:tblPrEx>
          <w:tblW w:w="0" w:type="auto"/>
          <w:jc w:val="center"/>
          <w:tblCellMar>
            <w:top w:w="0" w:type="dxa"/>
            <w:left w:w="108" w:type="dxa"/>
            <w:bottom w:w="0" w:type="dxa"/>
            <w:right w:w="108" w:type="dxa"/>
          </w:tblCellMar>
        </w:tblPrEx>
        <w:trPr>
          <w:trHeight w:val="334"/>
          <w:jc w:val="center"/>
        </w:trPr>
        <w:tc>
          <w:tcPr>
            <w:tcW w:w="1661" w:type="dxa"/>
            <w:tcBorders>
              <w:top w:val="single" w:sz="12" w:space="0" w:color="auto"/>
            </w:tcBorders>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元素</w:t>
            </w:r>
          </w:p>
        </w:tc>
        <w:tc>
          <w:tcPr>
            <w:tcW w:w="2966" w:type="dxa"/>
            <w:tcBorders>
              <w:top w:val="single" w:sz="12" w:space="0" w:color="auto"/>
            </w:tcBorders>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食品安全国家标准*</w:t>
            </w:r>
          </w:p>
        </w:tc>
        <w:tc>
          <w:tcPr>
            <w:tcW w:w="3713" w:type="dxa"/>
            <w:tcBorders>
              <w:top w:val="single" w:sz="12" w:space="0" w:color="auto"/>
            </w:tcBorders>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《中国药典》限量标准#</w:t>
            </w:r>
          </w:p>
        </w:tc>
      </w:tr>
      <w:tr>
        <w:tblPrEx>
          <w:tblW w:w="0" w:type="auto"/>
          <w:jc w:val="center"/>
          <w:tblCellMar>
            <w:top w:w="0" w:type="dxa"/>
            <w:left w:w="108" w:type="dxa"/>
            <w:bottom w:w="0" w:type="dxa"/>
            <w:right w:w="108" w:type="dxa"/>
          </w:tblCellMar>
        </w:tblPrEx>
        <w:trPr>
          <w:trHeight w:val="334"/>
          <w:jc w:val="center"/>
        </w:trPr>
        <w:tc>
          <w:tcPr>
            <w:tcW w:w="1661"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镉</w:t>
            </w:r>
          </w:p>
        </w:tc>
        <w:tc>
          <w:tcPr>
            <w:tcW w:w="2966"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0.10</w:t>
            </w:r>
          </w:p>
        </w:tc>
        <w:tc>
          <w:tcPr>
            <w:tcW w:w="3713"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1.00</w:t>
            </w:r>
          </w:p>
        </w:tc>
      </w:tr>
      <w:tr>
        <w:tblPrEx>
          <w:tblW w:w="0" w:type="auto"/>
          <w:jc w:val="center"/>
          <w:tblCellMar>
            <w:top w:w="0" w:type="dxa"/>
            <w:left w:w="108" w:type="dxa"/>
            <w:bottom w:w="0" w:type="dxa"/>
            <w:right w:w="108" w:type="dxa"/>
          </w:tblCellMar>
        </w:tblPrEx>
        <w:trPr>
          <w:trHeight w:val="334"/>
          <w:jc w:val="center"/>
        </w:trPr>
        <w:tc>
          <w:tcPr>
            <w:tcW w:w="1661"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铅</w:t>
            </w:r>
          </w:p>
        </w:tc>
        <w:tc>
          <w:tcPr>
            <w:tcW w:w="2966"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0.10</w:t>
            </w:r>
          </w:p>
        </w:tc>
        <w:tc>
          <w:tcPr>
            <w:tcW w:w="3713"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5.00</w:t>
            </w:r>
          </w:p>
        </w:tc>
      </w:tr>
      <w:tr>
        <w:tblPrEx>
          <w:tblW w:w="0" w:type="auto"/>
          <w:jc w:val="center"/>
          <w:tblCellMar>
            <w:top w:w="0" w:type="dxa"/>
            <w:left w:w="108" w:type="dxa"/>
            <w:bottom w:w="0" w:type="dxa"/>
            <w:right w:w="108" w:type="dxa"/>
          </w:tblCellMar>
        </w:tblPrEx>
        <w:trPr>
          <w:trHeight w:val="334"/>
          <w:jc w:val="center"/>
        </w:trPr>
        <w:tc>
          <w:tcPr>
            <w:tcW w:w="1661"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砷</w:t>
            </w:r>
          </w:p>
        </w:tc>
        <w:tc>
          <w:tcPr>
            <w:tcW w:w="2966"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0.50</w:t>
            </w:r>
          </w:p>
        </w:tc>
        <w:tc>
          <w:tcPr>
            <w:tcW w:w="3713"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2.00</w:t>
            </w:r>
          </w:p>
        </w:tc>
      </w:tr>
      <w:tr>
        <w:tblPrEx>
          <w:tblW w:w="0" w:type="auto"/>
          <w:jc w:val="center"/>
          <w:tblCellMar>
            <w:top w:w="0" w:type="dxa"/>
            <w:left w:w="108" w:type="dxa"/>
            <w:bottom w:w="0" w:type="dxa"/>
            <w:right w:w="108" w:type="dxa"/>
          </w:tblCellMar>
        </w:tblPrEx>
        <w:trPr>
          <w:trHeight w:val="334"/>
          <w:jc w:val="center"/>
        </w:trPr>
        <w:tc>
          <w:tcPr>
            <w:tcW w:w="1661"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铜</w:t>
            </w:r>
          </w:p>
        </w:tc>
        <w:tc>
          <w:tcPr>
            <w:tcW w:w="2966"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w:t>
            </w:r>
          </w:p>
        </w:tc>
        <w:tc>
          <w:tcPr>
            <w:tcW w:w="3713"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20.00</w:t>
            </w:r>
          </w:p>
        </w:tc>
      </w:tr>
      <w:tr>
        <w:tblPrEx>
          <w:tblW w:w="0" w:type="auto"/>
          <w:jc w:val="center"/>
          <w:tblCellMar>
            <w:top w:w="0" w:type="dxa"/>
            <w:left w:w="108" w:type="dxa"/>
            <w:bottom w:w="0" w:type="dxa"/>
            <w:right w:w="108" w:type="dxa"/>
          </w:tblCellMar>
        </w:tblPrEx>
        <w:trPr>
          <w:trHeight w:val="334"/>
          <w:jc w:val="center"/>
        </w:trPr>
        <w:tc>
          <w:tcPr>
            <w:tcW w:w="1661"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汞</w:t>
            </w:r>
          </w:p>
        </w:tc>
        <w:tc>
          <w:tcPr>
            <w:tcW w:w="2966"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0.01</w:t>
            </w:r>
          </w:p>
        </w:tc>
        <w:tc>
          <w:tcPr>
            <w:tcW w:w="3713" w:type="dxa"/>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0.20</w:t>
            </w:r>
          </w:p>
        </w:tc>
      </w:tr>
      <w:tr>
        <w:tblPrEx>
          <w:tblW w:w="0" w:type="auto"/>
          <w:jc w:val="center"/>
          <w:tblCellMar>
            <w:top w:w="0" w:type="dxa"/>
            <w:left w:w="108" w:type="dxa"/>
            <w:bottom w:w="0" w:type="dxa"/>
            <w:right w:w="108" w:type="dxa"/>
          </w:tblCellMar>
        </w:tblPrEx>
        <w:trPr>
          <w:trHeight w:val="418"/>
          <w:jc w:val="center"/>
        </w:trPr>
        <w:tc>
          <w:tcPr>
            <w:tcW w:w="1661" w:type="dxa"/>
            <w:tcBorders>
              <w:bottom w:val="single" w:sz="12" w:space="0" w:color="auto"/>
            </w:tcBorders>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铬</w:t>
            </w:r>
          </w:p>
        </w:tc>
        <w:tc>
          <w:tcPr>
            <w:tcW w:w="2966" w:type="dxa"/>
            <w:tcBorders>
              <w:bottom w:val="single" w:sz="12" w:space="0" w:color="auto"/>
            </w:tcBorders>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0.50</w:t>
            </w:r>
          </w:p>
        </w:tc>
        <w:tc>
          <w:tcPr>
            <w:tcW w:w="3713" w:type="dxa"/>
            <w:tcBorders>
              <w:bottom w:val="single" w:sz="12" w:space="0" w:color="auto"/>
            </w:tcBorders>
            <w:noWrap w:val="0"/>
            <w:vAlign w:val="center"/>
          </w:tcPr>
          <w:p>
            <w:pPr>
              <w:pStyle w:val="ListParagraph"/>
              <w:ind w:firstLine="0" w:firstLineChars="0"/>
              <w:jc w:val="center"/>
              <w:rPr>
                <w:rFonts w:ascii="Times New Roman" w:eastAsia="仿宋" w:hAnsi="Times New Roman" w:cs="Times New Roman" w:hint="default"/>
                <w:bCs/>
                <w:color w:val="000000"/>
                <w:sz w:val="24"/>
                <w:szCs w:val="24"/>
              </w:rPr>
            </w:pPr>
            <w:r>
              <w:rPr>
                <w:rFonts w:ascii="Times New Roman" w:eastAsia="仿宋" w:hAnsi="Times New Roman" w:cs="Times New Roman" w:hint="default"/>
                <w:bCs/>
                <w:color w:val="000000"/>
                <w:sz w:val="24"/>
                <w:szCs w:val="24"/>
              </w:rPr>
              <w:t>-</w:t>
            </w:r>
          </w:p>
        </w:tc>
      </w:tr>
    </w:tbl>
    <w:p>
      <w:pPr>
        <w:tabs>
          <w:tab w:val="left" w:pos="555"/>
        </w:tabs>
        <w:adjustRightInd w:val="0"/>
        <w:snapToGrid w:val="0"/>
        <w:spacing w:after="100" w:afterAutospacing="1"/>
        <w:ind w:firstLine="210" w:firstLineChars="100"/>
        <w:jc w:val="left"/>
        <w:rPr>
          <w:rFonts w:ascii="Times New Roman" w:eastAsia="仿宋" w:hAnsi="Times New Roman" w:hint="default"/>
          <w:color w:val="000000"/>
          <w:szCs w:val="21"/>
        </w:rPr>
      </w:pPr>
      <w:r>
        <w:rPr>
          <w:rFonts w:ascii="Times New Roman" w:eastAsia="仿宋" w:hAnsi="Times New Roman" w:cs="Times New Roman" w:hint="default"/>
          <w:color w:val="000000"/>
          <w:szCs w:val="21"/>
        </w:rPr>
        <w:t>注：*为GB 2762-2022《食品安全国家标准 食品中污染物限量》中蔬菜及其制品项下根茎类蔬菜相关限量标准；#为2020版《中国药典》中相关限量标准。</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bookmarkStart w:id="34" w:name="_Toc15468"/>
      <w:r>
        <w:rPr>
          <w:rFonts w:ascii="Times New Roman" w:eastAsia="仿宋" w:hAnsi="Times New Roman" w:cs="Times New Roman" w:hint="default"/>
          <w:b/>
          <w:bCs/>
          <w:sz w:val="28"/>
          <w:szCs w:val="28"/>
          <w:lang w:val="en-US" w:eastAsia="zh-CN"/>
        </w:rPr>
        <w:t>6、不同地区折耳根样品中铅、镉含量监测结果</w:t>
      </w:r>
      <w:bookmarkEnd w:id="34"/>
    </w:p>
    <w:p>
      <w:pPr>
        <w:spacing w:line="360" w:lineRule="auto"/>
        <w:ind w:firstLine="480" w:firstLineChars="200"/>
        <w:rPr>
          <w:rFonts w:ascii="Times New Roman" w:eastAsia="仿宋" w:hAnsi="Times New Roman" w:hint="default"/>
          <w:color w:val="000000"/>
          <w:sz w:val="24"/>
          <w:szCs w:val="24"/>
        </w:rPr>
        <w:sectPr>
          <w:footerReference w:type="default" r:id="rId2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6"/>
          <w:cols w:num="1" w:space="720"/>
          <w:titlePg w:val="0"/>
          <w:docGrid w:type="lines" w:linePitch="312" w:charSpace="0"/>
        </w:sectPr>
      </w:pPr>
      <w:r>
        <w:rPr>
          <w:rFonts w:ascii="Times New Roman" w:eastAsia="仿宋" w:hAnsi="Times New Roman" w:cs="Times New Roman" w:hint="default"/>
          <w:color w:val="000000"/>
          <w:sz w:val="24"/>
          <w:szCs w:val="24"/>
        </w:rPr>
        <w:t>由附表1可知，510份</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样品中，铅含量的平均值为0.268 mg/kg，中位值为0.183 mg/kg，最大值为2.51 mg/kg；镉含量的平均值为0.136 mg/kg，中位值为0.104 mg/kg，最大值为0.744 mg/kg；各市(州)市售</w:t>
      </w:r>
      <w:r>
        <w:rPr>
          <w:rFonts w:ascii="Times New Roman" w:eastAsia="仿宋" w:hAnsi="Times New Roman" w:cs="Times New Roman" w:hint="default"/>
          <w:color w:val="000000"/>
          <w:sz w:val="24"/>
          <w:szCs w:val="24"/>
          <w:lang w:eastAsia="zh-CN"/>
        </w:rPr>
        <w:t>折耳根</w:t>
      </w:r>
    </w:p>
    <w:p>
      <w:pPr>
        <w:spacing w:line="360" w:lineRule="auto"/>
        <w:ind w:firstLine="480" w:firstLineChars="200"/>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rPr>
        <w:t>中重金属含量监测统计结果见表</w:t>
      </w:r>
      <w:r>
        <w:rPr>
          <w:rFonts w:ascii="Times New Roman" w:eastAsia="仿宋" w:hAnsi="Times New Roman" w:cs="Times New Roman" w:hint="default"/>
          <w:color w:val="000000"/>
          <w:sz w:val="24"/>
          <w:szCs w:val="24"/>
          <w:lang w:val="en-US" w:eastAsia="zh-CN"/>
        </w:rPr>
        <w:t>5</w:t>
      </w:r>
      <w:r>
        <w:rPr>
          <w:rFonts w:ascii="Times New Roman" w:eastAsia="仿宋" w:hAnsi="Times New Roman" w:cs="Times New Roman" w:hint="default"/>
          <w:color w:val="000000"/>
          <w:sz w:val="24"/>
          <w:szCs w:val="24"/>
        </w:rPr>
        <w:t>。</w:t>
      </w:r>
    </w:p>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表</w:t>
      </w:r>
      <w:r>
        <w:rPr>
          <w:rFonts w:ascii="Times New Roman" w:eastAsia="仿宋" w:hAnsi="Times New Roman" w:cs="Times New Roman" w:hint="default"/>
          <w:color w:val="000000"/>
          <w:szCs w:val="21"/>
          <w:lang w:val="en-US" w:eastAsia="zh-CN"/>
        </w:rPr>
        <w:t>5</w:t>
      </w:r>
      <w:r>
        <w:rPr>
          <w:rFonts w:ascii="Times New Roman" w:eastAsia="仿宋" w:hAnsi="Times New Roman" w:cs="Times New Roman" w:hint="default"/>
          <w:color w:val="000000"/>
          <w:szCs w:val="21"/>
        </w:rPr>
        <w:t xml:space="preserve"> 各市(州)市售</w:t>
      </w:r>
      <w:r>
        <w:rPr>
          <w:rFonts w:ascii="Times New Roman" w:eastAsia="仿宋" w:hAnsi="Times New Roman" w:cs="Times New Roman" w:hint="default"/>
          <w:color w:val="000000"/>
          <w:szCs w:val="21"/>
          <w:lang w:eastAsia="zh-CN"/>
        </w:rPr>
        <w:t>折耳根</w:t>
      </w:r>
      <w:r>
        <w:rPr>
          <w:rFonts w:ascii="Times New Roman" w:eastAsia="仿宋" w:hAnsi="Times New Roman" w:cs="Times New Roman" w:hint="default"/>
          <w:color w:val="000000"/>
          <w:szCs w:val="21"/>
        </w:rPr>
        <w:t>中重金属含量监测统计结果</w:t>
      </w:r>
    </w:p>
    <w:tbl>
      <w:tblPr>
        <w:tblStyle w:val="TableNormal"/>
        <w:tblW w:w="1026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952"/>
        <w:gridCol w:w="952"/>
        <w:gridCol w:w="861"/>
        <w:gridCol w:w="728"/>
        <w:gridCol w:w="807"/>
        <w:gridCol w:w="807"/>
        <w:gridCol w:w="889"/>
        <w:gridCol w:w="867"/>
        <w:gridCol w:w="868"/>
        <w:gridCol w:w="884"/>
        <w:gridCol w:w="912"/>
        <w:gridCol w:w="738"/>
      </w:tblGrid>
      <w:tr>
        <w:tblPrEx>
          <w:tblW w:w="1026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319"/>
          <w:jc w:val="center"/>
        </w:trPr>
        <w:tc>
          <w:tcPr>
            <w:tcW w:w="1904" w:type="dxa"/>
            <w:gridSpan w:val="2"/>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采样地点</w:t>
            </w:r>
          </w:p>
        </w:tc>
        <w:tc>
          <w:tcPr>
            <w:tcW w:w="861"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贵阳</w:t>
            </w:r>
          </w:p>
        </w:tc>
        <w:tc>
          <w:tcPr>
            <w:tcW w:w="728"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遵义</w:t>
            </w:r>
          </w:p>
        </w:tc>
        <w:tc>
          <w:tcPr>
            <w:tcW w:w="807"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安顺</w:t>
            </w:r>
          </w:p>
        </w:tc>
        <w:tc>
          <w:tcPr>
            <w:tcW w:w="807"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黔南</w:t>
            </w:r>
          </w:p>
        </w:tc>
        <w:tc>
          <w:tcPr>
            <w:tcW w:w="889"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黔东南</w:t>
            </w:r>
          </w:p>
        </w:tc>
        <w:tc>
          <w:tcPr>
            <w:tcW w:w="867"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铜仁</w:t>
            </w:r>
          </w:p>
        </w:tc>
        <w:tc>
          <w:tcPr>
            <w:tcW w:w="868"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毕节</w:t>
            </w:r>
          </w:p>
        </w:tc>
        <w:tc>
          <w:tcPr>
            <w:tcW w:w="884"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六盘水</w:t>
            </w:r>
          </w:p>
        </w:tc>
        <w:tc>
          <w:tcPr>
            <w:tcW w:w="912"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黔西南</w:t>
            </w:r>
          </w:p>
        </w:tc>
        <w:tc>
          <w:tcPr>
            <w:tcW w:w="738"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合计</w:t>
            </w:r>
          </w:p>
        </w:tc>
      </w:tr>
      <w:tr>
        <w:tblPrEx>
          <w:tblW w:w="10265" w:type="dxa"/>
          <w:jc w:val="center"/>
          <w:tblLayout w:type="fixed"/>
          <w:tblCellMar>
            <w:top w:w="0" w:type="dxa"/>
            <w:left w:w="108" w:type="dxa"/>
            <w:bottom w:w="0" w:type="dxa"/>
            <w:right w:w="108" w:type="dxa"/>
          </w:tblCellMar>
        </w:tblPrEx>
        <w:trPr>
          <w:trHeight w:val="305"/>
          <w:jc w:val="center"/>
        </w:trPr>
        <w:tc>
          <w:tcPr>
            <w:tcW w:w="1904" w:type="dxa"/>
            <w:gridSpan w:val="2"/>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监测样本(份)</w:t>
            </w:r>
          </w:p>
        </w:tc>
        <w:tc>
          <w:tcPr>
            <w:tcW w:w="861"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57</w:t>
            </w:r>
          </w:p>
        </w:tc>
        <w:tc>
          <w:tcPr>
            <w:tcW w:w="728"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65</w:t>
            </w:r>
          </w:p>
        </w:tc>
        <w:tc>
          <w:tcPr>
            <w:tcW w:w="807"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50</w:t>
            </w:r>
          </w:p>
        </w:tc>
        <w:tc>
          <w:tcPr>
            <w:tcW w:w="807"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52</w:t>
            </w:r>
          </w:p>
        </w:tc>
        <w:tc>
          <w:tcPr>
            <w:tcW w:w="889"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65</w:t>
            </w:r>
          </w:p>
        </w:tc>
        <w:tc>
          <w:tcPr>
            <w:tcW w:w="867"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62</w:t>
            </w:r>
          </w:p>
        </w:tc>
        <w:tc>
          <w:tcPr>
            <w:tcW w:w="868"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55</w:t>
            </w:r>
          </w:p>
        </w:tc>
        <w:tc>
          <w:tcPr>
            <w:tcW w:w="884"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52</w:t>
            </w:r>
          </w:p>
        </w:tc>
        <w:tc>
          <w:tcPr>
            <w:tcW w:w="912"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52</w:t>
            </w:r>
          </w:p>
        </w:tc>
        <w:tc>
          <w:tcPr>
            <w:tcW w:w="738" w:type="dxa"/>
            <w:tcBorders>
              <w:top w:val="single" w:sz="6" w:space="0" w:color="auto"/>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510</w:t>
            </w:r>
          </w:p>
        </w:tc>
      </w:tr>
      <w:tr>
        <w:tblPrEx>
          <w:tblW w:w="10265" w:type="dxa"/>
          <w:jc w:val="center"/>
          <w:tblLayout w:type="fixed"/>
          <w:tblCellMar>
            <w:top w:w="0" w:type="dxa"/>
            <w:left w:w="108" w:type="dxa"/>
            <w:bottom w:w="0" w:type="dxa"/>
            <w:right w:w="108" w:type="dxa"/>
          </w:tblCellMar>
        </w:tblPrEx>
        <w:trPr>
          <w:trHeight w:val="305"/>
          <w:jc w:val="center"/>
        </w:trPr>
        <w:tc>
          <w:tcPr>
            <w:tcW w:w="952" w:type="dxa"/>
            <w:vMerge w:val="restart"/>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铅(mg/kg)</w:t>
            </w:r>
          </w:p>
        </w:tc>
        <w:tc>
          <w:tcPr>
            <w:tcW w:w="952"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平均值</w:t>
            </w:r>
          </w:p>
        </w:tc>
        <w:tc>
          <w:tcPr>
            <w:tcW w:w="861"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0.294</w:t>
            </w:r>
          </w:p>
        </w:tc>
        <w:tc>
          <w:tcPr>
            <w:tcW w:w="728"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0.261</w:t>
            </w:r>
          </w:p>
        </w:tc>
        <w:tc>
          <w:tcPr>
            <w:tcW w:w="807"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0.253</w:t>
            </w:r>
          </w:p>
        </w:tc>
        <w:tc>
          <w:tcPr>
            <w:tcW w:w="807"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0.194</w:t>
            </w:r>
          </w:p>
        </w:tc>
        <w:tc>
          <w:tcPr>
            <w:tcW w:w="889"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0.313</w:t>
            </w:r>
          </w:p>
        </w:tc>
        <w:tc>
          <w:tcPr>
            <w:tcW w:w="867"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0.412</w:t>
            </w:r>
          </w:p>
        </w:tc>
        <w:tc>
          <w:tcPr>
            <w:tcW w:w="868"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0.224</w:t>
            </w:r>
          </w:p>
        </w:tc>
        <w:tc>
          <w:tcPr>
            <w:tcW w:w="884" w:type="dxa"/>
            <w:tcBorders>
              <w:top w:val="single" w:sz="6"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0.267 </w:t>
            </w:r>
          </w:p>
        </w:tc>
        <w:tc>
          <w:tcPr>
            <w:tcW w:w="912" w:type="dxa"/>
            <w:tcBorders>
              <w:top w:val="single" w:sz="6"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0.150 </w:t>
            </w:r>
          </w:p>
        </w:tc>
        <w:tc>
          <w:tcPr>
            <w:tcW w:w="738"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0.268</w:t>
            </w:r>
          </w:p>
        </w:tc>
      </w:tr>
      <w:tr>
        <w:tblPrEx>
          <w:tblW w:w="10265" w:type="dxa"/>
          <w:jc w:val="center"/>
          <w:tblLayout w:type="fixed"/>
          <w:tblCellMar>
            <w:top w:w="0" w:type="dxa"/>
            <w:left w:w="108" w:type="dxa"/>
            <w:bottom w:w="0" w:type="dxa"/>
            <w:right w:w="108" w:type="dxa"/>
          </w:tblCellMar>
        </w:tblPrEx>
        <w:trPr>
          <w:trHeight w:val="291"/>
          <w:jc w:val="center"/>
        </w:trPr>
        <w:tc>
          <w:tcPr>
            <w:tcW w:w="952" w:type="dxa"/>
            <w:vMerge/>
            <w:noWrap w:val="0"/>
            <w:vAlign w:val="center"/>
          </w:tcPr>
          <w:p>
            <w:pPr>
              <w:jc w:val="center"/>
              <w:rPr>
                <w:rFonts w:ascii="Times New Roman" w:eastAsia="仿宋" w:hAnsi="Times New Roman" w:hint="default"/>
                <w:color w:val="000000"/>
                <w:szCs w:val="21"/>
              </w:rPr>
            </w:pPr>
          </w:p>
        </w:tc>
        <w:tc>
          <w:tcPr>
            <w:tcW w:w="952"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P50</w:t>
            </w:r>
          </w:p>
        </w:tc>
        <w:tc>
          <w:tcPr>
            <w:tcW w:w="861"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0.249</w:t>
            </w:r>
          </w:p>
        </w:tc>
        <w:tc>
          <w:tcPr>
            <w:tcW w:w="72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0.170</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0.200</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0.159</w:t>
            </w:r>
          </w:p>
        </w:tc>
        <w:tc>
          <w:tcPr>
            <w:tcW w:w="889"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0.231</w:t>
            </w:r>
          </w:p>
        </w:tc>
        <w:tc>
          <w:tcPr>
            <w:tcW w:w="86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0.265</w:t>
            </w:r>
          </w:p>
        </w:tc>
        <w:tc>
          <w:tcPr>
            <w:tcW w:w="86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0.118</w:t>
            </w:r>
          </w:p>
        </w:tc>
        <w:tc>
          <w:tcPr>
            <w:tcW w:w="884"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0.164 </w:t>
            </w:r>
          </w:p>
        </w:tc>
        <w:tc>
          <w:tcPr>
            <w:tcW w:w="912"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0.0940 </w:t>
            </w:r>
          </w:p>
        </w:tc>
        <w:tc>
          <w:tcPr>
            <w:tcW w:w="73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0.183</w:t>
            </w:r>
          </w:p>
        </w:tc>
      </w:tr>
      <w:tr>
        <w:tblPrEx>
          <w:tblW w:w="10265" w:type="dxa"/>
          <w:jc w:val="center"/>
          <w:tblLayout w:type="fixed"/>
          <w:tblCellMar>
            <w:top w:w="0" w:type="dxa"/>
            <w:left w:w="108" w:type="dxa"/>
            <w:bottom w:w="0" w:type="dxa"/>
            <w:right w:w="108" w:type="dxa"/>
          </w:tblCellMar>
        </w:tblPrEx>
        <w:trPr>
          <w:trHeight w:val="291"/>
          <w:jc w:val="center"/>
        </w:trPr>
        <w:tc>
          <w:tcPr>
            <w:tcW w:w="952" w:type="dxa"/>
            <w:vMerge/>
            <w:noWrap w:val="0"/>
            <w:vAlign w:val="center"/>
          </w:tcPr>
          <w:p>
            <w:pPr>
              <w:jc w:val="center"/>
              <w:rPr>
                <w:rFonts w:ascii="Times New Roman" w:eastAsia="仿宋" w:hAnsi="Times New Roman" w:hint="default"/>
                <w:color w:val="000000"/>
                <w:szCs w:val="21"/>
              </w:rPr>
            </w:pPr>
          </w:p>
        </w:tc>
        <w:tc>
          <w:tcPr>
            <w:tcW w:w="952"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P90</w:t>
            </w:r>
          </w:p>
        </w:tc>
        <w:tc>
          <w:tcPr>
            <w:tcW w:w="861"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0.625</w:t>
            </w:r>
          </w:p>
        </w:tc>
        <w:tc>
          <w:tcPr>
            <w:tcW w:w="72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0.654</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0.591</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0.505</w:t>
            </w:r>
          </w:p>
        </w:tc>
        <w:tc>
          <w:tcPr>
            <w:tcW w:w="889"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0.824</w:t>
            </w:r>
          </w:p>
        </w:tc>
        <w:tc>
          <w:tcPr>
            <w:tcW w:w="86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0.927</w:t>
            </w:r>
          </w:p>
        </w:tc>
        <w:tc>
          <w:tcPr>
            <w:tcW w:w="86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0.729</w:t>
            </w:r>
          </w:p>
        </w:tc>
        <w:tc>
          <w:tcPr>
            <w:tcW w:w="884"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0.801 </w:t>
            </w:r>
          </w:p>
        </w:tc>
        <w:tc>
          <w:tcPr>
            <w:tcW w:w="912"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0.435 </w:t>
            </w:r>
          </w:p>
        </w:tc>
        <w:tc>
          <w:tcPr>
            <w:tcW w:w="73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0.661</w:t>
            </w:r>
          </w:p>
        </w:tc>
      </w:tr>
      <w:tr>
        <w:tblPrEx>
          <w:tblW w:w="10265" w:type="dxa"/>
          <w:jc w:val="center"/>
          <w:tblLayout w:type="fixed"/>
          <w:tblCellMar>
            <w:top w:w="0" w:type="dxa"/>
            <w:left w:w="108" w:type="dxa"/>
            <w:bottom w:w="0" w:type="dxa"/>
            <w:right w:w="108" w:type="dxa"/>
          </w:tblCellMar>
        </w:tblPrEx>
        <w:trPr>
          <w:trHeight w:val="291"/>
          <w:jc w:val="center"/>
        </w:trPr>
        <w:tc>
          <w:tcPr>
            <w:tcW w:w="952" w:type="dxa"/>
            <w:vMerge/>
            <w:noWrap w:val="0"/>
            <w:vAlign w:val="center"/>
          </w:tcPr>
          <w:p>
            <w:pPr>
              <w:jc w:val="center"/>
              <w:rPr>
                <w:rFonts w:ascii="Times New Roman" w:eastAsia="仿宋" w:hAnsi="Times New Roman" w:hint="default"/>
                <w:color w:val="000000"/>
                <w:szCs w:val="21"/>
              </w:rPr>
            </w:pPr>
          </w:p>
        </w:tc>
        <w:tc>
          <w:tcPr>
            <w:tcW w:w="952"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P95</w:t>
            </w:r>
          </w:p>
        </w:tc>
        <w:tc>
          <w:tcPr>
            <w:tcW w:w="861"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0.710</w:t>
            </w:r>
          </w:p>
        </w:tc>
        <w:tc>
          <w:tcPr>
            <w:tcW w:w="72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0.877</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0.735</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0.703</w:t>
            </w:r>
          </w:p>
        </w:tc>
        <w:tc>
          <w:tcPr>
            <w:tcW w:w="889"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0.955</w:t>
            </w:r>
          </w:p>
        </w:tc>
        <w:tc>
          <w:tcPr>
            <w:tcW w:w="86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1.264</w:t>
            </w:r>
          </w:p>
        </w:tc>
        <w:tc>
          <w:tcPr>
            <w:tcW w:w="86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1.714</w:t>
            </w:r>
          </w:p>
        </w:tc>
        <w:tc>
          <w:tcPr>
            <w:tcW w:w="884"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0.975 </w:t>
            </w:r>
          </w:p>
        </w:tc>
        <w:tc>
          <w:tcPr>
            <w:tcW w:w="912"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0.720 </w:t>
            </w:r>
          </w:p>
        </w:tc>
        <w:tc>
          <w:tcPr>
            <w:tcW w:w="73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2.04</w:t>
            </w:r>
          </w:p>
        </w:tc>
      </w:tr>
      <w:tr>
        <w:tblPrEx>
          <w:tblW w:w="10265" w:type="dxa"/>
          <w:jc w:val="center"/>
          <w:tblLayout w:type="fixed"/>
          <w:tblCellMar>
            <w:top w:w="0" w:type="dxa"/>
            <w:left w:w="108" w:type="dxa"/>
            <w:bottom w:w="0" w:type="dxa"/>
            <w:right w:w="108" w:type="dxa"/>
          </w:tblCellMar>
        </w:tblPrEx>
        <w:trPr>
          <w:trHeight w:val="291"/>
          <w:jc w:val="center"/>
        </w:trPr>
        <w:tc>
          <w:tcPr>
            <w:tcW w:w="952" w:type="dxa"/>
            <w:vMerge/>
            <w:tcBorders>
              <w:bottom w:val="single" w:sz="6" w:space="0" w:color="auto"/>
            </w:tcBorders>
            <w:noWrap w:val="0"/>
            <w:vAlign w:val="center"/>
          </w:tcPr>
          <w:p>
            <w:pPr>
              <w:jc w:val="center"/>
              <w:rPr>
                <w:rFonts w:ascii="Times New Roman" w:eastAsia="仿宋" w:hAnsi="Times New Roman" w:hint="default"/>
                <w:color w:val="000000"/>
                <w:szCs w:val="21"/>
              </w:rPr>
            </w:pPr>
          </w:p>
        </w:tc>
        <w:tc>
          <w:tcPr>
            <w:tcW w:w="952"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最大值</w:t>
            </w:r>
          </w:p>
        </w:tc>
        <w:tc>
          <w:tcPr>
            <w:tcW w:w="861"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0.925</w:t>
            </w:r>
          </w:p>
        </w:tc>
        <w:tc>
          <w:tcPr>
            <w:tcW w:w="728"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1.36</w:t>
            </w:r>
          </w:p>
        </w:tc>
        <w:tc>
          <w:tcPr>
            <w:tcW w:w="807"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0.769</w:t>
            </w:r>
          </w:p>
        </w:tc>
        <w:tc>
          <w:tcPr>
            <w:tcW w:w="807"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0.807</w:t>
            </w:r>
          </w:p>
        </w:tc>
        <w:tc>
          <w:tcPr>
            <w:tcW w:w="889"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1.03</w:t>
            </w:r>
          </w:p>
        </w:tc>
        <w:tc>
          <w:tcPr>
            <w:tcW w:w="867"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1.565</w:t>
            </w:r>
          </w:p>
        </w:tc>
        <w:tc>
          <w:tcPr>
            <w:tcW w:w="868"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2.514</w:t>
            </w:r>
          </w:p>
        </w:tc>
        <w:tc>
          <w:tcPr>
            <w:tcW w:w="884" w:type="dxa"/>
            <w:tcBorders>
              <w:bottom w:val="single" w:sz="6"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0.993 </w:t>
            </w:r>
          </w:p>
        </w:tc>
        <w:tc>
          <w:tcPr>
            <w:tcW w:w="912" w:type="dxa"/>
            <w:tcBorders>
              <w:bottom w:val="single" w:sz="6"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0.930 </w:t>
            </w:r>
          </w:p>
        </w:tc>
        <w:tc>
          <w:tcPr>
            <w:tcW w:w="738" w:type="dxa"/>
            <w:tcBorders>
              <w:bottom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2.51</w:t>
            </w:r>
          </w:p>
        </w:tc>
      </w:tr>
      <w:tr>
        <w:tblPrEx>
          <w:tblW w:w="10265" w:type="dxa"/>
          <w:jc w:val="center"/>
          <w:tblLayout w:type="fixed"/>
          <w:tblCellMar>
            <w:top w:w="0" w:type="dxa"/>
            <w:left w:w="108" w:type="dxa"/>
            <w:bottom w:w="0" w:type="dxa"/>
            <w:right w:w="108" w:type="dxa"/>
          </w:tblCellMar>
        </w:tblPrEx>
        <w:trPr>
          <w:trHeight w:val="305"/>
          <w:jc w:val="center"/>
        </w:trPr>
        <w:tc>
          <w:tcPr>
            <w:tcW w:w="952" w:type="dxa"/>
            <w:vMerge w:val="restart"/>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镉(mg/kg)</w:t>
            </w:r>
          </w:p>
        </w:tc>
        <w:tc>
          <w:tcPr>
            <w:tcW w:w="952"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平均值</w:t>
            </w:r>
          </w:p>
        </w:tc>
        <w:tc>
          <w:tcPr>
            <w:tcW w:w="861"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0.115</w:t>
            </w:r>
          </w:p>
        </w:tc>
        <w:tc>
          <w:tcPr>
            <w:tcW w:w="728"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0.120</w:t>
            </w:r>
          </w:p>
        </w:tc>
        <w:tc>
          <w:tcPr>
            <w:tcW w:w="807"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0.103</w:t>
            </w:r>
          </w:p>
        </w:tc>
        <w:tc>
          <w:tcPr>
            <w:tcW w:w="807"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0.107</w:t>
            </w:r>
          </w:p>
        </w:tc>
        <w:tc>
          <w:tcPr>
            <w:tcW w:w="889"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0.163</w:t>
            </w:r>
          </w:p>
        </w:tc>
        <w:tc>
          <w:tcPr>
            <w:tcW w:w="867"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0.177</w:t>
            </w:r>
          </w:p>
        </w:tc>
        <w:tc>
          <w:tcPr>
            <w:tcW w:w="868"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0.175</w:t>
            </w:r>
          </w:p>
        </w:tc>
        <w:tc>
          <w:tcPr>
            <w:tcW w:w="884" w:type="dxa"/>
            <w:tcBorders>
              <w:top w:val="single" w:sz="6"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0.149 </w:t>
            </w:r>
          </w:p>
        </w:tc>
        <w:tc>
          <w:tcPr>
            <w:tcW w:w="912" w:type="dxa"/>
            <w:tcBorders>
              <w:top w:val="single" w:sz="6"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0.101 </w:t>
            </w:r>
          </w:p>
        </w:tc>
        <w:tc>
          <w:tcPr>
            <w:tcW w:w="738" w:type="dxa"/>
            <w:tcBorders>
              <w:top w:val="single" w:sz="6"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0.136</w:t>
            </w:r>
          </w:p>
        </w:tc>
      </w:tr>
      <w:tr>
        <w:tblPrEx>
          <w:tblW w:w="10265" w:type="dxa"/>
          <w:jc w:val="center"/>
          <w:tblLayout w:type="fixed"/>
          <w:tblCellMar>
            <w:top w:w="0" w:type="dxa"/>
            <w:left w:w="108" w:type="dxa"/>
            <w:bottom w:w="0" w:type="dxa"/>
            <w:right w:w="108" w:type="dxa"/>
          </w:tblCellMar>
        </w:tblPrEx>
        <w:trPr>
          <w:trHeight w:val="291"/>
          <w:jc w:val="center"/>
        </w:trPr>
        <w:tc>
          <w:tcPr>
            <w:tcW w:w="952" w:type="dxa"/>
            <w:vMerge/>
            <w:noWrap w:val="0"/>
            <w:vAlign w:val="center"/>
          </w:tcPr>
          <w:p>
            <w:pPr>
              <w:jc w:val="center"/>
              <w:rPr>
                <w:rFonts w:ascii="Times New Roman" w:eastAsia="仿宋" w:hAnsi="Times New Roman" w:hint="default"/>
                <w:color w:val="000000"/>
                <w:szCs w:val="21"/>
              </w:rPr>
            </w:pPr>
          </w:p>
        </w:tc>
        <w:tc>
          <w:tcPr>
            <w:tcW w:w="952"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P50</w:t>
            </w:r>
          </w:p>
        </w:tc>
        <w:tc>
          <w:tcPr>
            <w:tcW w:w="861"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0.0981</w:t>
            </w:r>
          </w:p>
        </w:tc>
        <w:tc>
          <w:tcPr>
            <w:tcW w:w="72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0.114</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0.0688</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0.0916</w:t>
            </w:r>
          </w:p>
        </w:tc>
        <w:tc>
          <w:tcPr>
            <w:tcW w:w="889"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0.158</w:t>
            </w:r>
          </w:p>
        </w:tc>
        <w:tc>
          <w:tcPr>
            <w:tcW w:w="86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0.146</w:t>
            </w:r>
          </w:p>
        </w:tc>
        <w:tc>
          <w:tcPr>
            <w:tcW w:w="86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0.112</w:t>
            </w:r>
          </w:p>
        </w:tc>
        <w:tc>
          <w:tcPr>
            <w:tcW w:w="884"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0.0800 </w:t>
            </w:r>
          </w:p>
        </w:tc>
        <w:tc>
          <w:tcPr>
            <w:tcW w:w="912"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0.0762 </w:t>
            </w:r>
          </w:p>
        </w:tc>
        <w:tc>
          <w:tcPr>
            <w:tcW w:w="73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0.104</w:t>
            </w:r>
          </w:p>
        </w:tc>
      </w:tr>
      <w:tr>
        <w:tblPrEx>
          <w:tblW w:w="10265" w:type="dxa"/>
          <w:jc w:val="center"/>
          <w:tblLayout w:type="fixed"/>
          <w:tblCellMar>
            <w:top w:w="0" w:type="dxa"/>
            <w:left w:w="108" w:type="dxa"/>
            <w:bottom w:w="0" w:type="dxa"/>
            <w:right w:w="108" w:type="dxa"/>
          </w:tblCellMar>
        </w:tblPrEx>
        <w:trPr>
          <w:trHeight w:val="291"/>
          <w:jc w:val="center"/>
        </w:trPr>
        <w:tc>
          <w:tcPr>
            <w:tcW w:w="952" w:type="dxa"/>
            <w:vMerge/>
            <w:noWrap w:val="0"/>
            <w:vAlign w:val="center"/>
          </w:tcPr>
          <w:p>
            <w:pPr>
              <w:jc w:val="center"/>
              <w:rPr>
                <w:rFonts w:ascii="Times New Roman" w:eastAsia="仿宋" w:hAnsi="Times New Roman" w:hint="default"/>
                <w:color w:val="000000"/>
                <w:szCs w:val="21"/>
              </w:rPr>
            </w:pPr>
          </w:p>
        </w:tc>
        <w:tc>
          <w:tcPr>
            <w:tcW w:w="952"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P90</w:t>
            </w:r>
          </w:p>
        </w:tc>
        <w:tc>
          <w:tcPr>
            <w:tcW w:w="861"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0.214</w:t>
            </w:r>
          </w:p>
        </w:tc>
        <w:tc>
          <w:tcPr>
            <w:tcW w:w="72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0.246</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0.252</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0.232</w:t>
            </w:r>
          </w:p>
        </w:tc>
        <w:tc>
          <w:tcPr>
            <w:tcW w:w="889"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0.310</w:t>
            </w:r>
          </w:p>
        </w:tc>
        <w:tc>
          <w:tcPr>
            <w:tcW w:w="86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0.404</w:t>
            </w:r>
          </w:p>
        </w:tc>
        <w:tc>
          <w:tcPr>
            <w:tcW w:w="86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0.491</w:t>
            </w:r>
          </w:p>
        </w:tc>
        <w:tc>
          <w:tcPr>
            <w:tcW w:w="884"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0.397 </w:t>
            </w:r>
          </w:p>
        </w:tc>
        <w:tc>
          <w:tcPr>
            <w:tcW w:w="912"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0.243 </w:t>
            </w:r>
          </w:p>
        </w:tc>
        <w:tc>
          <w:tcPr>
            <w:tcW w:w="73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0.268</w:t>
            </w:r>
          </w:p>
        </w:tc>
      </w:tr>
      <w:tr>
        <w:tblPrEx>
          <w:tblW w:w="10265" w:type="dxa"/>
          <w:jc w:val="center"/>
          <w:tblLayout w:type="fixed"/>
          <w:tblCellMar>
            <w:top w:w="0" w:type="dxa"/>
            <w:left w:w="108" w:type="dxa"/>
            <w:bottom w:w="0" w:type="dxa"/>
            <w:right w:w="108" w:type="dxa"/>
          </w:tblCellMar>
        </w:tblPrEx>
        <w:trPr>
          <w:trHeight w:val="291"/>
          <w:jc w:val="center"/>
        </w:trPr>
        <w:tc>
          <w:tcPr>
            <w:tcW w:w="952" w:type="dxa"/>
            <w:vMerge/>
            <w:noWrap w:val="0"/>
            <w:vAlign w:val="center"/>
          </w:tcPr>
          <w:p>
            <w:pPr>
              <w:jc w:val="center"/>
              <w:rPr>
                <w:rFonts w:ascii="Times New Roman" w:eastAsia="仿宋" w:hAnsi="Times New Roman" w:hint="default"/>
                <w:color w:val="000000"/>
                <w:szCs w:val="21"/>
              </w:rPr>
            </w:pPr>
          </w:p>
        </w:tc>
        <w:tc>
          <w:tcPr>
            <w:tcW w:w="952"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P95</w:t>
            </w:r>
          </w:p>
        </w:tc>
        <w:tc>
          <w:tcPr>
            <w:tcW w:w="861"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0.249</w:t>
            </w:r>
          </w:p>
        </w:tc>
        <w:tc>
          <w:tcPr>
            <w:tcW w:w="72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0.283</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0.347</w:t>
            </w:r>
          </w:p>
        </w:tc>
        <w:tc>
          <w:tcPr>
            <w:tcW w:w="80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0.302</w:t>
            </w:r>
          </w:p>
        </w:tc>
        <w:tc>
          <w:tcPr>
            <w:tcW w:w="889"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0.390</w:t>
            </w:r>
          </w:p>
        </w:tc>
        <w:tc>
          <w:tcPr>
            <w:tcW w:w="867"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0.444</w:t>
            </w:r>
          </w:p>
        </w:tc>
        <w:tc>
          <w:tcPr>
            <w:tcW w:w="86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0.634</w:t>
            </w:r>
          </w:p>
        </w:tc>
        <w:tc>
          <w:tcPr>
            <w:tcW w:w="884"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0.616 </w:t>
            </w:r>
          </w:p>
        </w:tc>
        <w:tc>
          <w:tcPr>
            <w:tcW w:w="912" w:type="dxa"/>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0.353 </w:t>
            </w:r>
          </w:p>
        </w:tc>
        <w:tc>
          <w:tcPr>
            <w:tcW w:w="738" w:type="dxa"/>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0.733</w:t>
            </w:r>
          </w:p>
        </w:tc>
      </w:tr>
      <w:tr>
        <w:tblPrEx>
          <w:tblW w:w="10265" w:type="dxa"/>
          <w:jc w:val="center"/>
          <w:tblLayout w:type="fixed"/>
          <w:tblCellMar>
            <w:top w:w="0" w:type="dxa"/>
            <w:left w:w="108" w:type="dxa"/>
            <w:bottom w:w="0" w:type="dxa"/>
            <w:right w:w="108" w:type="dxa"/>
          </w:tblCellMar>
        </w:tblPrEx>
        <w:trPr>
          <w:trHeight w:val="319"/>
          <w:jc w:val="center"/>
        </w:trPr>
        <w:tc>
          <w:tcPr>
            <w:tcW w:w="952" w:type="dxa"/>
            <w:vMerge/>
            <w:tcBorders>
              <w:bottom w:val="single" w:sz="12" w:space="0" w:color="auto"/>
            </w:tcBorders>
            <w:noWrap w:val="0"/>
            <w:vAlign w:val="center"/>
          </w:tcPr>
          <w:p>
            <w:pPr>
              <w:jc w:val="center"/>
              <w:rPr>
                <w:rFonts w:ascii="Times New Roman" w:eastAsia="仿宋" w:hAnsi="Times New Roman" w:hint="default"/>
                <w:color w:val="000000"/>
                <w:szCs w:val="21"/>
              </w:rPr>
            </w:pPr>
          </w:p>
        </w:tc>
        <w:tc>
          <w:tcPr>
            <w:tcW w:w="952"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最大值</w:t>
            </w:r>
          </w:p>
        </w:tc>
        <w:tc>
          <w:tcPr>
            <w:tcW w:w="861"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0.268</w:t>
            </w:r>
          </w:p>
        </w:tc>
        <w:tc>
          <w:tcPr>
            <w:tcW w:w="728"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0.326</w:t>
            </w:r>
          </w:p>
        </w:tc>
        <w:tc>
          <w:tcPr>
            <w:tcW w:w="807"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0.352</w:t>
            </w:r>
          </w:p>
        </w:tc>
        <w:tc>
          <w:tcPr>
            <w:tcW w:w="807"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0.312</w:t>
            </w:r>
          </w:p>
        </w:tc>
        <w:tc>
          <w:tcPr>
            <w:tcW w:w="889"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0.723</w:t>
            </w:r>
          </w:p>
        </w:tc>
        <w:tc>
          <w:tcPr>
            <w:tcW w:w="867"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0.486</w:t>
            </w:r>
          </w:p>
        </w:tc>
        <w:tc>
          <w:tcPr>
            <w:tcW w:w="868"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0.663</w:t>
            </w:r>
          </w:p>
        </w:tc>
        <w:tc>
          <w:tcPr>
            <w:tcW w:w="884" w:type="dxa"/>
            <w:tcBorders>
              <w:bottom w:val="single" w:sz="12"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0.744 </w:t>
            </w:r>
          </w:p>
        </w:tc>
        <w:tc>
          <w:tcPr>
            <w:tcW w:w="912" w:type="dxa"/>
            <w:tcBorders>
              <w:bottom w:val="single" w:sz="12" w:space="0" w:color="auto"/>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 xml:space="preserve">0.386 </w:t>
            </w:r>
          </w:p>
        </w:tc>
        <w:tc>
          <w:tcPr>
            <w:tcW w:w="738" w:type="dxa"/>
            <w:tcBorders>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0.744</w:t>
            </w:r>
          </w:p>
        </w:tc>
      </w:tr>
    </w:tbl>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bookmarkStart w:id="35" w:name="_Toc28855"/>
      <w:r>
        <w:rPr>
          <w:rFonts w:ascii="Times New Roman" w:eastAsia="仿宋" w:hAnsi="Times New Roman" w:cs="Times New Roman" w:hint="default"/>
          <w:b/>
          <w:bCs/>
          <w:sz w:val="28"/>
          <w:szCs w:val="28"/>
          <w:lang w:val="en-US" w:eastAsia="zh-CN"/>
        </w:rPr>
        <w:t>7、折耳根重金属检测相关文献报道结果</w:t>
      </w:r>
      <w:bookmarkEnd w:id="35"/>
    </w:p>
    <w:p>
      <w:pPr>
        <w:spacing w:line="360" w:lineRule="auto"/>
        <w:ind w:firstLine="480" w:firstLineChars="200"/>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rPr>
        <w:t>文献主要报道了干品折耳根中金属含量，与药典中限值进行比较判断合格现况，对</w:t>
      </w:r>
      <w:r>
        <w:rPr>
          <w:rFonts w:ascii="Times New Roman" w:eastAsia="仿宋" w:hAnsi="Times New Roman" w:cs="Times New Roman" w:hint="default"/>
          <w:color w:val="000000"/>
          <w:sz w:val="24"/>
          <w:szCs w:val="24"/>
          <w:lang w:val="en-US" w:eastAsia="zh-CN"/>
        </w:rPr>
        <w:t>折耳根</w:t>
      </w:r>
      <w:r>
        <w:rPr>
          <w:rFonts w:ascii="Times New Roman" w:eastAsia="仿宋" w:hAnsi="Times New Roman" w:cs="Times New Roman" w:hint="default"/>
          <w:color w:val="000000"/>
          <w:sz w:val="24"/>
          <w:szCs w:val="24"/>
        </w:rPr>
        <w:t>鲜品中金属元素检测报道较少，为了便于比较，将文献中干品折耳根与折耳根鲜品按照干鲜比1:4进行折算。2016年，鲁连芳</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vertAlign w:val="superscript"/>
          <w:lang w:val="en-US" w:eastAsia="zh-CN"/>
        </w:rPr>
        <w:t>8</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rPr>
        <w:t>等开展了万山、江口、松桃和铜仁市区的菜市场购买的</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，烘干后对干品中铅、镉、铜等10种元素进行检测。2018年，李雅萌</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vertAlign w:val="superscript"/>
          <w:lang w:val="en-US" w:eastAsia="zh-CN"/>
        </w:rPr>
        <w:t>9</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rPr>
        <w:t>等采用ICP-MS 测定</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中14种重金属元素含量进行检测。2019年，左甜甜</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vertAlign w:val="superscript"/>
          <w:lang w:val="en-US" w:eastAsia="zh-CN"/>
        </w:rPr>
        <w:t>10</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rPr>
        <w:t>等收集了北京、上海、重庆、贵州等不同省份40批次</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干品中元素开展了铅、镉五种元素的检测。2020年，卿艳</w:t>
      </w:r>
      <w:r>
        <w:rPr>
          <w:rFonts w:ascii="Times New Roman" w:eastAsia="仿宋" w:hAnsi="Times New Roman" w:cs="Times New Roman" w:hint="default"/>
          <w:color w:val="000000"/>
          <w:sz w:val="24"/>
          <w:szCs w:val="24"/>
          <w:vertAlign w:val="superscript"/>
          <w:lang w:val="en-US" w:eastAsia="zh-CN"/>
        </w:rPr>
        <w:t>[11]</w:t>
      </w:r>
      <w:r>
        <w:rPr>
          <w:rFonts w:ascii="Times New Roman" w:eastAsia="仿宋" w:hAnsi="Times New Roman" w:cs="Times New Roman" w:hint="default"/>
          <w:color w:val="000000"/>
          <w:sz w:val="24"/>
          <w:szCs w:val="24"/>
        </w:rPr>
        <w:t>等作者对主要来自贵州、云南等地区34批次</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中金属元素开展了评估，现将</w:t>
      </w:r>
      <w:r>
        <w:rPr>
          <w:rFonts w:ascii="Times New Roman" w:eastAsia="仿宋" w:hAnsi="Times New Roman" w:cs="Times New Roman" w:hint="default"/>
          <w:color w:val="000000"/>
          <w:sz w:val="24"/>
          <w:szCs w:val="24"/>
          <w:lang w:val="en-US" w:eastAsia="zh-CN"/>
        </w:rPr>
        <w:t>本次评估</w:t>
      </w:r>
      <w:r>
        <w:rPr>
          <w:rFonts w:ascii="Times New Roman" w:eastAsia="仿宋" w:hAnsi="Times New Roman" w:cs="Times New Roman" w:hint="default"/>
          <w:color w:val="000000"/>
          <w:sz w:val="24"/>
          <w:szCs w:val="24"/>
        </w:rPr>
        <w:t>关注的</w:t>
      </w:r>
      <w:r>
        <w:rPr>
          <w:rFonts w:ascii="Times New Roman" w:eastAsia="仿宋" w:hAnsi="Times New Roman" w:cs="Times New Roman" w:hint="default"/>
          <w:color w:val="000000"/>
          <w:sz w:val="24"/>
          <w:szCs w:val="24"/>
          <w:lang w:val="en-US" w:eastAsia="zh-CN"/>
        </w:rPr>
        <w:t>折耳根中</w:t>
      </w:r>
      <w:r>
        <w:rPr>
          <w:rFonts w:ascii="Times New Roman" w:eastAsia="仿宋" w:hAnsi="Times New Roman" w:cs="Times New Roman" w:hint="default"/>
          <w:color w:val="000000"/>
          <w:sz w:val="24"/>
          <w:szCs w:val="24"/>
        </w:rPr>
        <w:t>元素检测</w:t>
      </w:r>
      <w:r>
        <w:rPr>
          <w:rFonts w:ascii="Times New Roman" w:eastAsia="仿宋" w:hAnsi="Times New Roman" w:cs="Times New Roman" w:hint="default"/>
          <w:color w:val="000000"/>
          <w:sz w:val="24"/>
          <w:szCs w:val="24"/>
          <w:lang w:val="en-US" w:eastAsia="zh-CN"/>
        </w:rPr>
        <w:t>结果文献报道结果</w:t>
      </w:r>
      <w:r>
        <w:rPr>
          <w:rFonts w:ascii="Times New Roman" w:eastAsia="仿宋" w:hAnsi="Times New Roman" w:cs="Times New Roman" w:hint="default"/>
          <w:color w:val="000000"/>
          <w:sz w:val="24"/>
          <w:szCs w:val="24"/>
        </w:rPr>
        <w:t>汇总详见表</w:t>
      </w:r>
      <w:r>
        <w:rPr>
          <w:rFonts w:ascii="Times New Roman" w:eastAsia="仿宋" w:hAnsi="Times New Roman" w:cs="Times New Roman" w:hint="default"/>
          <w:color w:val="000000"/>
          <w:sz w:val="24"/>
          <w:szCs w:val="24"/>
          <w:lang w:val="en-US" w:eastAsia="zh-CN"/>
        </w:rPr>
        <w:t>6</w:t>
      </w:r>
      <w:r>
        <w:rPr>
          <w:rFonts w:ascii="Times New Roman" w:eastAsia="仿宋" w:hAnsi="Times New Roman" w:cs="Times New Roman" w:hint="default"/>
          <w:color w:val="000000"/>
          <w:sz w:val="24"/>
          <w:szCs w:val="24"/>
        </w:rPr>
        <w:t>，结果表明不同地区折耳根中（按鲜品折算）铅含量在0.27mg/kg-1.69mg/kg之间，镉含量在0.02mg/kg-0.28mg/kg之间，砷含量在0.13mg/kg-1.04mg/kg之间、铜含量在0.95-3.83mg/kg之间</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与贵州省疾控中心专项监测数据统计结果铅均值0.268</w:t>
      </w:r>
      <w:r>
        <w:rPr>
          <w:rFonts w:ascii="Times New Roman" w:eastAsia="仿宋" w:hAnsi="Times New Roman" w:cs="Times New Roman" w:hint="default"/>
          <w:color w:val="000000"/>
          <w:sz w:val="24"/>
          <w:szCs w:val="24"/>
        </w:rPr>
        <w:t>mg/kg</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镉均值0.136</w:t>
      </w:r>
      <w:r>
        <w:rPr>
          <w:rFonts w:ascii="Times New Roman" w:eastAsia="仿宋" w:hAnsi="Times New Roman" w:cs="Times New Roman" w:hint="default"/>
          <w:color w:val="000000"/>
          <w:sz w:val="24"/>
          <w:szCs w:val="24"/>
        </w:rPr>
        <w:t>mg/kg</w:t>
      </w:r>
      <w:r>
        <w:rPr>
          <w:rFonts w:ascii="Times New Roman" w:eastAsia="仿宋" w:hAnsi="Times New Roman" w:cs="Times New Roman" w:hint="default"/>
          <w:color w:val="000000"/>
          <w:sz w:val="24"/>
          <w:szCs w:val="24"/>
          <w:lang w:val="en-US" w:eastAsia="zh-CN"/>
        </w:rPr>
        <w:t>基本一致，仍需重点关注的元素是铅和镉。</w:t>
      </w:r>
    </w:p>
    <w:p>
      <w:pPr>
        <w:pStyle w:val="Footer"/>
        <w:jc w:val="center"/>
        <w:rPr>
          <w:rFonts w:ascii="Times New Roman" w:eastAsia="仿宋" w:hAnsi="Times New Roman" w:cs="Times New Roman" w:hint="default"/>
          <w:color w:val="000000"/>
          <w:sz w:val="21"/>
          <w:szCs w:val="21"/>
          <w:lang w:eastAsia="zh-CN"/>
        </w:rPr>
      </w:pPr>
      <w:r>
        <w:rPr>
          <w:rFonts w:ascii="Times New Roman" w:eastAsia="仿宋" w:hAnsi="Times New Roman" w:cs="Times New Roman" w:hint="default"/>
          <w:color w:val="000000"/>
          <w:sz w:val="21"/>
          <w:szCs w:val="21"/>
        </w:rPr>
        <w:t xml:space="preserve">表 </w:t>
      </w:r>
      <w:r>
        <w:rPr>
          <w:rFonts w:ascii="Times New Roman" w:eastAsia="仿宋" w:hAnsi="Times New Roman" w:cs="Times New Roman" w:hint="default"/>
          <w:color w:val="000000"/>
          <w:sz w:val="21"/>
          <w:szCs w:val="21"/>
          <w:lang w:val="en-US" w:eastAsia="zh-CN"/>
        </w:rPr>
        <w:t>6</w:t>
      </w:r>
      <w:r>
        <w:rPr>
          <w:rFonts w:ascii="Times New Roman" w:eastAsia="仿宋" w:hAnsi="Times New Roman" w:cs="Times New Roman" w:hint="default"/>
          <w:color w:val="000000"/>
          <w:sz w:val="21"/>
          <w:szCs w:val="21"/>
        </w:rPr>
        <w:t xml:space="preserve">  </w:t>
      </w:r>
      <w:r>
        <w:rPr>
          <w:rFonts w:ascii="Times New Roman" w:eastAsia="仿宋" w:hAnsi="Times New Roman" w:cs="Times New Roman" w:hint="default"/>
          <w:color w:val="000000"/>
          <w:sz w:val="21"/>
          <w:szCs w:val="21"/>
          <w:lang w:eastAsia="zh-CN"/>
        </w:rPr>
        <w:t>折耳根</w:t>
      </w:r>
      <w:r>
        <w:rPr>
          <w:rFonts w:ascii="Times New Roman" w:eastAsia="仿宋" w:hAnsi="Times New Roman" w:cs="Times New Roman" w:hint="default"/>
          <w:color w:val="000000"/>
          <w:sz w:val="21"/>
          <w:szCs w:val="21"/>
        </w:rPr>
        <w:t>中中金素元素含量</w:t>
      </w:r>
      <w:r>
        <w:rPr>
          <w:rFonts w:ascii="Times New Roman" w:eastAsia="仿宋" w:hAnsi="Times New Roman" w:cs="Times New Roman" w:hint="default"/>
          <w:color w:val="000000"/>
          <w:sz w:val="21"/>
          <w:szCs w:val="21"/>
          <w:lang w:eastAsia="zh-CN"/>
        </w:rPr>
        <w:t>（</w:t>
      </w:r>
      <w:r>
        <w:rPr>
          <w:rFonts w:ascii="Times New Roman" w:eastAsia="仿宋" w:hAnsi="Times New Roman" w:cs="Times New Roman" w:hint="default"/>
          <w:color w:val="000000"/>
          <w:sz w:val="21"/>
          <w:szCs w:val="21"/>
          <w:lang w:val="en-US" w:eastAsia="zh-CN"/>
        </w:rPr>
        <w:t>mg/kg</w:t>
      </w:r>
      <w:r>
        <w:rPr>
          <w:rFonts w:ascii="Times New Roman" w:eastAsia="仿宋" w:hAnsi="Times New Roman" w:cs="Times New Roman" w:hint="default"/>
          <w:color w:val="000000"/>
          <w:sz w:val="21"/>
          <w:szCs w:val="21"/>
          <w:lang w:eastAsia="zh-CN"/>
        </w:rPr>
        <w:t>）</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0"/>
        <w:gridCol w:w="734"/>
        <w:gridCol w:w="554"/>
        <w:gridCol w:w="693"/>
        <w:gridCol w:w="554"/>
        <w:gridCol w:w="554"/>
        <w:gridCol w:w="561"/>
        <w:gridCol w:w="849"/>
        <w:gridCol w:w="604"/>
        <w:gridCol w:w="610"/>
        <w:gridCol w:w="974"/>
        <w:gridCol w:w="88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7"/>
          <w:jc w:val="center"/>
        </w:trPr>
        <w:tc>
          <w:tcPr>
            <w:tcW w:w="910" w:type="dxa"/>
            <w:vMerge w:val="restart"/>
            <w:tcBorders>
              <w:top w:val="single" w:sz="12" w:space="0" w:color="auto"/>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文献</w:t>
            </w:r>
          </w:p>
        </w:tc>
        <w:tc>
          <w:tcPr>
            <w:tcW w:w="734" w:type="dxa"/>
            <w:vMerge w:val="restart"/>
            <w:tcBorders>
              <w:top w:val="single" w:sz="12" w:space="0" w:color="auto"/>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地区</w:t>
            </w:r>
          </w:p>
        </w:tc>
        <w:tc>
          <w:tcPr>
            <w:tcW w:w="1247" w:type="dxa"/>
            <w:gridSpan w:val="2"/>
            <w:tcBorders>
              <w:top w:val="single" w:sz="12" w:space="0" w:color="auto"/>
              <w:left w:val="nil"/>
              <w:bottom w:val="single" w:sz="4"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铅含量</w:t>
            </w:r>
          </w:p>
        </w:tc>
        <w:tc>
          <w:tcPr>
            <w:tcW w:w="1108" w:type="dxa"/>
            <w:gridSpan w:val="2"/>
            <w:tcBorders>
              <w:top w:val="single" w:sz="12" w:space="0" w:color="auto"/>
              <w:left w:val="nil"/>
              <w:bottom w:val="single" w:sz="4"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镉含量</w:t>
            </w:r>
          </w:p>
        </w:tc>
        <w:tc>
          <w:tcPr>
            <w:tcW w:w="1410" w:type="dxa"/>
            <w:gridSpan w:val="2"/>
            <w:tcBorders>
              <w:top w:val="single" w:sz="12" w:space="0" w:color="auto"/>
              <w:left w:val="nil"/>
              <w:bottom w:val="single" w:sz="4"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砷含量</w:t>
            </w:r>
          </w:p>
        </w:tc>
        <w:tc>
          <w:tcPr>
            <w:tcW w:w="1214" w:type="dxa"/>
            <w:gridSpan w:val="2"/>
            <w:tcBorders>
              <w:top w:val="single" w:sz="12" w:space="0" w:color="auto"/>
              <w:left w:val="nil"/>
              <w:bottom w:val="single" w:sz="4"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汞含量</w:t>
            </w:r>
          </w:p>
        </w:tc>
        <w:tc>
          <w:tcPr>
            <w:tcW w:w="1860" w:type="dxa"/>
            <w:gridSpan w:val="2"/>
            <w:tcBorders>
              <w:top w:val="single" w:sz="12" w:space="0" w:color="auto"/>
              <w:left w:val="nil"/>
              <w:bottom w:val="single" w:sz="4"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铜含量</w:t>
            </w:r>
          </w:p>
        </w:tc>
      </w:tr>
      <w:tr>
        <w:tblPrEx>
          <w:tblW w:w="0" w:type="auto"/>
          <w:jc w:val="center"/>
          <w:tblLayout w:type="fixed"/>
          <w:tblCellMar>
            <w:top w:w="0" w:type="dxa"/>
            <w:left w:w="108" w:type="dxa"/>
            <w:bottom w:w="0" w:type="dxa"/>
            <w:right w:w="108" w:type="dxa"/>
          </w:tblCellMar>
        </w:tblPrEx>
        <w:trPr>
          <w:trHeight w:val="138"/>
          <w:jc w:val="center"/>
        </w:trPr>
        <w:tc>
          <w:tcPr>
            <w:tcW w:w="910" w:type="dxa"/>
            <w:vMerge/>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p>
        </w:tc>
        <w:tc>
          <w:tcPr>
            <w:tcW w:w="734" w:type="dxa"/>
            <w:vMerge/>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p>
        </w:tc>
        <w:tc>
          <w:tcPr>
            <w:tcW w:w="554"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干品</w:t>
            </w:r>
          </w:p>
        </w:tc>
        <w:tc>
          <w:tcPr>
            <w:tcW w:w="693"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鲜品</w:t>
            </w:r>
          </w:p>
        </w:tc>
        <w:tc>
          <w:tcPr>
            <w:tcW w:w="554"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干品</w:t>
            </w:r>
          </w:p>
        </w:tc>
        <w:tc>
          <w:tcPr>
            <w:tcW w:w="554"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鲜品</w:t>
            </w:r>
          </w:p>
        </w:tc>
        <w:tc>
          <w:tcPr>
            <w:tcW w:w="561"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干品</w:t>
            </w:r>
          </w:p>
        </w:tc>
        <w:tc>
          <w:tcPr>
            <w:tcW w:w="849"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鲜品</w:t>
            </w:r>
          </w:p>
        </w:tc>
        <w:tc>
          <w:tcPr>
            <w:tcW w:w="604"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干品</w:t>
            </w:r>
          </w:p>
        </w:tc>
        <w:tc>
          <w:tcPr>
            <w:tcW w:w="610"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鲜品</w:t>
            </w:r>
          </w:p>
        </w:tc>
        <w:tc>
          <w:tcPr>
            <w:tcW w:w="974"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干品</w:t>
            </w:r>
          </w:p>
        </w:tc>
        <w:tc>
          <w:tcPr>
            <w:tcW w:w="886" w:type="dxa"/>
            <w:tcBorders>
              <w:top w:val="single" w:sz="4" w:space="0" w:color="auto"/>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鲜品</w:t>
            </w:r>
          </w:p>
        </w:tc>
      </w:tr>
      <w:tr>
        <w:tblPrEx>
          <w:tblW w:w="0" w:type="auto"/>
          <w:jc w:val="center"/>
          <w:tblLayout w:type="fixed"/>
          <w:tblCellMar>
            <w:top w:w="0" w:type="dxa"/>
            <w:left w:w="108" w:type="dxa"/>
            <w:bottom w:w="0" w:type="dxa"/>
            <w:right w:w="108" w:type="dxa"/>
          </w:tblCellMar>
        </w:tblPrEx>
        <w:trPr>
          <w:trHeight w:val="138"/>
          <w:jc w:val="center"/>
        </w:trPr>
        <w:tc>
          <w:tcPr>
            <w:tcW w:w="910" w:type="dxa"/>
            <w:vMerge w:val="restart"/>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鲁连芳（2016年）</w:t>
            </w:r>
          </w:p>
        </w:tc>
        <w:tc>
          <w:tcPr>
            <w:tcW w:w="734"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万山</w:t>
            </w:r>
          </w:p>
        </w:tc>
        <w:tc>
          <w:tcPr>
            <w:tcW w:w="554"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2.25</w:t>
            </w:r>
          </w:p>
        </w:tc>
        <w:tc>
          <w:tcPr>
            <w:tcW w:w="693"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0.56</w:t>
            </w:r>
          </w:p>
        </w:tc>
        <w:tc>
          <w:tcPr>
            <w:tcW w:w="554"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0.12</w:t>
            </w:r>
          </w:p>
        </w:tc>
        <w:tc>
          <w:tcPr>
            <w:tcW w:w="554"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0.03</w:t>
            </w:r>
          </w:p>
        </w:tc>
        <w:tc>
          <w:tcPr>
            <w:tcW w:w="561"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849"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04"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10"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974"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8.5</w:t>
            </w:r>
          </w:p>
        </w:tc>
        <w:tc>
          <w:tcPr>
            <w:tcW w:w="886" w:type="dxa"/>
            <w:tcBorders>
              <w:top w:val="single" w:sz="12" w:space="0" w:color="auto"/>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r>
      <w:tr>
        <w:tblPrEx>
          <w:tblW w:w="0" w:type="auto"/>
          <w:jc w:val="center"/>
          <w:tblLayout w:type="fixed"/>
          <w:tblCellMar>
            <w:top w:w="0" w:type="dxa"/>
            <w:left w:w="108" w:type="dxa"/>
            <w:bottom w:w="0" w:type="dxa"/>
            <w:right w:w="108" w:type="dxa"/>
          </w:tblCellMar>
        </w:tblPrEx>
        <w:trPr>
          <w:trHeight w:val="138"/>
          <w:jc w:val="center"/>
        </w:trPr>
        <w:tc>
          <w:tcPr>
            <w:tcW w:w="910" w:type="dxa"/>
            <w:vMerge/>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p>
        </w:tc>
        <w:tc>
          <w:tcPr>
            <w:tcW w:w="734"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江口</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1.83</w:t>
            </w:r>
          </w:p>
        </w:tc>
        <w:tc>
          <w:tcPr>
            <w:tcW w:w="693"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0.46</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0.09</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0.02</w:t>
            </w:r>
          </w:p>
        </w:tc>
        <w:tc>
          <w:tcPr>
            <w:tcW w:w="561"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849"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0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10"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97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11.05</w:t>
            </w:r>
          </w:p>
        </w:tc>
        <w:tc>
          <w:tcPr>
            <w:tcW w:w="886"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r>
      <w:tr>
        <w:tblPrEx>
          <w:tblW w:w="0" w:type="auto"/>
          <w:jc w:val="center"/>
          <w:tblLayout w:type="fixed"/>
          <w:tblCellMar>
            <w:top w:w="0" w:type="dxa"/>
            <w:left w:w="108" w:type="dxa"/>
            <w:bottom w:w="0" w:type="dxa"/>
            <w:right w:w="108" w:type="dxa"/>
          </w:tblCellMar>
        </w:tblPrEx>
        <w:trPr>
          <w:trHeight w:val="138"/>
          <w:jc w:val="center"/>
        </w:trPr>
        <w:tc>
          <w:tcPr>
            <w:tcW w:w="910" w:type="dxa"/>
            <w:vMerge/>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p>
        </w:tc>
        <w:tc>
          <w:tcPr>
            <w:tcW w:w="734"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松桃</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2.18</w:t>
            </w:r>
          </w:p>
        </w:tc>
        <w:tc>
          <w:tcPr>
            <w:tcW w:w="693"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0.55</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0.03</w:t>
            </w:r>
          </w:p>
        </w:tc>
        <w:tc>
          <w:tcPr>
            <w:tcW w:w="561"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849"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0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10"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97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9.06</w:t>
            </w:r>
          </w:p>
        </w:tc>
        <w:tc>
          <w:tcPr>
            <w:tcW w:w="886"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r>
      <w:tr>
        <w:tblPrEx>
          <w:tblW w:w="0" w:type="auto"/>
          <w:jc w:val="center"/>
          <w:tblLayout w:type="fixed"/>
          <w:tblCellMar>
            <w:top w:w="0" w:type="dxa"/>
            <w:left w:w="108" w:type="dxa"/>
            <w:bottom w:w="0" w:type="dxa"/>
            <w:right w:w="108" w:type="dxa"/>
          </w:tblCellMar>
        </w:tblPrEx>
        <w:trPr>
          <w:trHeight w:val="299"/>
          <w:jc w:val="center"/>
        </w:trPr>
        <w:tc>
          <w:tcPr>
            <w:tcW w:w="910" w:type="dxa"/>
            <w:vMerge/>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p>
        </w:tc>
        <w:tc>
          <w:tcPr>
            <w:tcW w:w="734"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铜仁市区</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1.87</w:t>
            </w:r>
          </w:p>
        </w:tc>
        <w:tc>
          <w:tcPr>
            <w:tcW w:w="693"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0.47</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0.11</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0.03</w:t>
            </w:r>
          </w:p>
        </w:tc>
        <w:tc>
          <w:tcPr>
            <w:tcW w:w="561"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849"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0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610"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c>
          <w:tcPr>
            <w:tcW w:w="97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12</w:t>
            </w:r>
          </w:p>
        </w:tc>
        <w:tc>
          <w:tcPr>
            <w:tcW w:w="886"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w:t>
            </w:r>
          </w:p>
        </w:tc>
      </w:tr>
    </w:tbl>
    <w:p>
      <w:pPr>
        <w:sectPr>
          <w:footerReference w:type="default" r:id="rId2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7"/>
          <w:cols w:num="1" w:space="720"/>
          <w:titlePg w:val="0"/>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0"/>
        <w:gridCol w:w="734"/>
        <w:gridCol w:w="554"/>
        <w:gridCol w:w="693"/>
        <w:gridCol w:w="554"/>
        <w:gridCol w:w="554"/>
        <w:gridCol w:w="561"/>
        <w:gridCol w:w="849"/>
        <w:gridCol w:w="604"/>
        <w:gridCol w:w="610"/>
        <w:gridCol w:w="974"/>
        <w:gridCol w:w="88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86"/>
          <w:jc w:val="center"/>
        </w:trPr>
        <w:tc>
          <w:tcPr>
            <w:tcW w:w="910"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李雅萌（2018年）</w:t>
            </w:r>
          </w:p>
        </w:tc>
        <w:tc>
          <w:tcPr>
            <w:tcW w:w="734"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遵义市</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4.72</w:t>
            </w:r>
          </w:p>
        </w:tc>
        <w:tc>
          <w:tcPr>
            <w:tcW w:w="693"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1.18</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0.27</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0.07</w:t>
            </w:r>
          </w:p>
        </w:tc>
        <w:tc>
          <w:tcPr>
            <w:tcW w:w="561"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0.89</w:t>
            </w:r>
          </w:p>
        </w:tc>
        <w:tc>
          <w:tcPr>
            <w:tcW w:w="849"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0.22</w:t>
            </w:r>
          </w:p>
        </w:tc>
        <w:tc>
          <w:tcPr>
            <w:tcW w:w="60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0.15</w:t>
            </w:r>
          </w:p>
        </w:tc>
        <w:tc>
          <w:tcPr>
            <w:tcW w:w="610"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0.04</w:t>
            </w:r>
          </w:p>
        </w:tc>
        <w:tc>
          <w:tcPr>
            <w:tcW w:w="97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15.33</w:t>
            </w:r>
          </w:p>
        </w:tc>
        <w:tc>
          <w:tcPr>
            <w:tcW w:w="886"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3.83</w:t>
            </w:r>
          </w:p>
        </w:tc>
      </w:tr>
      <w:tr>
        <w:tblPrEx>
          <w:tblW w:w="0" w:type="auto"/>
          <w:jc w:val="center"/>
          <w:tblLayout w:type="fixed"/>
          <w:tblCellMar>
            <w:top w:w="0" w:type="dxa"/>
            <w:left w:w="108" w:type="dxa"/>
            <w:bottom w:w="0" w:type="dxa"/>
            <w:right w:w="108" w:type="dxa"/>
          </w:tblCellMar>
        </w:tblPrEx>
        <w:trPr>
          <w:trHeight w:val="598"/>
          <w:jc w:val="center"/>
        </w:trPr>
        <w:tc>
          <w:tcPr>
            <w:tcW w:w="910"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左甜甜（2019年）</w:t>
            </w:r>
          </w:p>
        </w:tc>
        <w:tc>
          <w:tcPr>
            <w:tcW w:w="734" w:type="dxa"/>
            <w:tcBorders>
              <w:top w:val="nil"/>
              <w:left w:val="nil"/>
              <w:bottom w:val="nil"/>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贵州等40批次</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2.641</w:t>
            </w:r>
          </w:p>
        </w:tc>
        <w:tc>
          <w:tcPr>
            <w:tcW w:w="693"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0.660</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0.656</w:t>
            </w:r>
          </w:p>
        </w:tc>
        <w:tc>
          <w:tcPr>
            <w:tcW w:w="55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0.164</w:t>
            </w:r>
          </w:p>
        </w:tc>
        <w:tc>
          <w:tcPr>
            <w:tcW w:w="561"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0.502</w:t>
            </w:r>
          </w:p>
        </w:tc>
        <w:tc>
          <w:tcPr>
            <w:tcW w:w="849"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0.126</w:t>
            </w:r>
          </w:p>
        </w:tc>
        <w:tc>
          <w:tcPr>
            <w:tcW w:w="60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0.119</w:t>
            </w:r>
          </w:p>
        </w:tc>
        <w:tc>
          <w:tcPr>
            <w:tcW w:w="610"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0.030</w:t>
            </w:r>
          </w:p>
        </w:tc>
        <w:tc>
          <w:tcPr>
            <w:tcW w:w="974"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7.433</w:t>
            </w:r>
          </w:p>
        </w:tc>
        <w:tc>
          <w:tcPr>
            <w:tcW w:w="886" w:type="dxa"/>
            <w:tcBorders>
              <w:top w:val="nil"/>
              <w:left w:val="nil"/>
              <w:bottom w:val="nil"/>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1.858</w:t>
            </w:r>
          </w:p>
        </w:tc>
      </w:tr>
      <w:tr>
        <w:tblPrEx>
          <w:tblW w:w="0" w:type="auto"/>
          <w:jc w:val="center"/>
          <w:tblLayout w:type="fixed"/>
          <w:tblCellMar>
            <w:top w:w="0" w:type="dxa"/>
            <w:left w:w="108" w:type="dxa"/>
            <w:bottom w:w="0" w:type="dxa"/>
            <w:right w:w="108" w:type="dxa"/>
          </w:tblCellMar>
        </w:tblPrEx>
        <w:trPr>
          <w:trHeight w:val="598"/>
          <w:jc w:val="center"/>
        </w:trPr>
        <w:tc>
          <w:tcPr>
            <w:tcW w:w="910" w:type="dxa"/>
            <w:tcBorders>
              <w:top w:val="nil"/>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卿艳（2020年）</w:t>
            </w:r>
          </w:p>
        </w:tc>
        <w:tc>
          <w:tcPr>
            <w:tcW w:w="734" w:type="dxa"/>
            <w:tcBorders>
              <w:top w:val="nil"/>
              <w:left w:val="nil"/>
              <w:bottom w:val="single" w:sz="12" w:space="0" w:color="auto"/>
              <w:right w:val="nil"/>
            </w:tcBorders>
            <w:noWrap w:val="0"/>
            <w:vAlign w:val="center"/>
          </w:tcPr>
          <w:p>
            <w:pPr>
              <w:pStyle w:val="Footer"/>
              <w:jc w:val="center"/>
              <w:rPr>
                <w:rFonts w:ascii="Times New Roman" w:eastAsia="仿宋" w:hAnsi="Times New Roman" w:cs="Times New Roman" w:hint="default"/>
                <w:color w:val="000000"/>
                <w:sz w:val="15"/>
                <w:szCs w:val="15"/>
              </w:rPr>
            </w:pPr>
            <w:r>
              <w:rPr>
                <w:rFonts w:ascii="Times New Roman" w:eastAsia="仿宋" w:hAnsi="Times New Roman" w:cs="Times New Roman" w:hint="default"/>
                <w:color w:val="000000"/>
                <w:sz w:val="15"/>
                <w:szCs w:val="15"/>
              </w:rPr>
              <w:t>贵州、云南等地34批次</w:t>
            </w:r>
          </w:p>
        </w:tc>
        <w:tc>
          <w:tcPr>
            <w:tcW w:w="554"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1.08-</w:t>
            </w:r>
          </w:p>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6.75</w:t>
            </w:r>
          </w:p>
        </w:tc>
        <w:tc>
          <w:tcPr>
            <w:tcW w:w="693"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0.27-</w:t>
            </w:r>
          </w:p>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1.69</w:t>
            </w:r>
          </w:p>
        </w:tc>
        <w:tc>
          <w:tcPr>
            <w:tcW w:w="554"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0.12-</w:t>
            </w:r>
          </w:p>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1.11</w:t>
            </w:r>
          </w:p>
        </w:tc>
        <w:tc>
          <w:tcPr>
            <w:tcW w:w="554"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0.03-</w:t>
            </w:r>
          </w:p>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0.28</w:t>
            </w:r>
          </w:p>
        </w:tc>
        <w:tc>
          <w:tcPr>
            <w:tcW w:w="561"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0.81-</w:t>
            </w:r>
          </w:p>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4.16</w:t>
            </w:r>
          </w:p>
        </w:tc>
        <w:tc>
          <w:tcPr>
            <w:tcW w:w="849"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0.20-1.04</w:t>
            </w:r>
          </w:p>
        </w:tc>
        <w:tc>
          <w:tcPr>
            <w:tcW w:w="604"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lang w:val="en-US" w:eastAsia="zh-CN"/>
              </w:rPr>
              <w:t>未检出</w:t>
            </w:r>
          </w:p>
        </w:tc>
        <w:tc>
          <w:tcPr>
            <w:tcW w:w="610"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lang w:val="en-US" w:eastAsia="zh-CN"/>
              </w:rPr>
              <w:t>未检出</w:t>
            </w:r>
          </w:p>
        </w:tc>
        <w:tc>
          <w:tcPr>
            <w:tcW w:w="974"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4.95-12.51</w:t>
            </w:r>
          </w:p>
        </w:tc>
        <w:tc>
          <w:tcPr>
            <w:tcW w:w="886" w:type="dxa"/>
            <w:tcBorders>
              <w:top w:val="nil"/>
              <w:left w:val="nil"/>
              <w:bottom w:val="single" w:sz="12" w:space="0" w:color="auto"/>
              <w:right w:val="nil"/>
            </w:tcBorders>
            <w:noWrap w:val="0"/>
            <w:vAlign w:val="center"/>
          </w:tcPr>
          <w:p>
            <w:pPr>
              <w:jc w:val="center"/>
              <w:rPr>
                <w:rFonts w:ascii="Times New Roman" w:eastAsia="仿宋" w:hAnsi="Times New Roman" w:hint="default"/>
                <w:color w:val="000000"/>
                <w:sz w:val="15"/>
                <w:szCs w:val="15"/>
              </w:rPr>
            </w:pPr>
            <w:r>
              <w:rPr>
                <w:rFonts w:ascii="Times New Roman" w:eastAsia="仿宋" w:hAnsi="Times New Roman" w:cs="Times New Roman" w:hint="default"/>
                <w:color w:val="000000"/>
                <w:sz w:val="15"/>
                <w:szCs w:val="15"/>
              </w:rPr>
              <w:t>0.95-3.12</w:t>
            </w:r>
          </w:p>
        </w:tc>
      </w:tr>
    </w:tbl>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8、铅、镉限量的制定</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（1）</w:t>
      </w:r>
      <w:bookmarkStart w:id="36" w:name="_Toc1681"/>
      <w:bookmarkStart w:id="37" w:name="_Toc26243"/>
      <w:r>
        <w:rPr>
          <w:rFonts w:ascii="Times New Roman" w:eastAsia="仿宋" w:hAnsi="Times New Roman" w:cs="Times New Roman" w:hint="default"/>
          <w:b/>
          <w:bCs/>
          <w:sz w:val="28"/>
          <w:szCs w:val="28"/>
          <w:lang w:val="en-US" w:eastAsia="zh-CN"/>
        </w:rPr>
        <w:t>折耳根消费量数据调查及结果分析</w:t>
      </w:r>
      <w:bookmarkEnd w:id="36"/>
    </w:p>
    <w:p>
      <w:pPr>
        <w:pStyle w:val="Footer"/>
        <w:spacing w:line="360" w:lineRule="auto"/>
        <w:ind w:firstLine="480" w:firstLineChars="200"/>
        <w:jc w:val="both"/>
        <w:rPr>
          <w:rFonts w:ascii="Times New Roman" w:eastAsia="仿宋" w:hAnsi="Times New Roman" w:cs="Times New Roman" w:hint="default"/>
          <w:color w:val="000000"/>
          <w:sz w:val="24"/>
          <w:szCs w:val="24"/>
        </w:rPr>
      </w:pPr>
      <w:r>
        <w:rPr>
          <w:rFonts w:ascii="Times New Roman" w:eastAsia="仿宋" w:hAnsi="Times New Roman" w:cs="Times New Roman" w:hint="default"/>
          <w:color w:val="000000"/>
          <w:sz w:val="24"/>
          <w:szCs w:val="24"/>
        </w:rPr>
        <w:t>2023年8月</w:t>
      </w:r>
      <w:r>
        <w:rPr>
          <w:rFonts w:ascii="Times New Roman" w:eastAsia="仿宋" w:hAnsi="Times New Roman" w:cs="Times New Roman" w:hint="default"/>
          <w:color w:val="000000"/>
          <w:sz w:val="24"/>
          <w:szCs w:val="24"/>
          <w:lang w:val="en-US" w:eastAsia="zh-CN"/>
        </w:rPr>
        <w:t>省疾控中心</w:t>
      </w:r>
      <w:r>
        <w:rPr>
          <w:rFonts w:ascii="Times New Roman" w:eastAsia="仿宋" w:hAnsi="Times New Roman" w:cs="Times New Roman" w:hint="default"/>
          <w:color w:val="000000"/>
          <w:sz w:val="24"/>
          <w:szCs w:val="24"/>
        </w:rPr>
        <w:t>通过问卷星</w:t>
      </w:r>
      <w:r>
        <w:rPr>
          <w:rFonts w:ascii="Times New Roman" w:eastAsia="仿宋" w:hAnsi="Times New Roman" w:cs="Times New Roman" w:hint="default"/>
          <w:color w:val="000000"/>
          <w:sz w:val="24"/>
          <w:szCs w:val="24"/>
          <w:lang w:val="en-US" w:eastAsia="zh-CN"/>
        </w:rPr>
        <w:t>制定</w:t>
      </w:r>
      <w:r>
        <w:rPr>
          <w:rFonts w:ascii="Times New Roman" w:eastAsia="仿宋" w:hAnsi="Times New Roman" w:cs="Times New Roman" w:hint="default"/>
          <w:color w:val="000000"/>
          <w:sz w:val="24"/>
          <w:szCs w:val="24"/>
        </w:rPr>
        <w:t>发布</w:t>
      </w:r>
      <w:r>
        <w:rPr>
          <w:rFonts w:ascii="Times New Roman" w:eastAsia="仿宋" w:hAnsi="Times New Roman" w:cs="Times New Roman" w:hint="default"/>
          <w:color w:val="000000"/>
          <w:sz w:val="24"/>
          <w:szCs w:val="24"/>
          <w:lang w:val="en-US" w:eastAsia="zh-CN"/>
        </w:rPr>
        <w:t>折耳根膳食摄入和食用习惯</w:t>
      </w:r>
      <w:r>
        <w:rPr>
          <w:rFonts w:ascii="Times New Roman" w:eastAsia="仿宋" w:hAnsi="Times New Roman" w:cs="Times New Roman" w:hint="default"/>
          <w:color w:val="000000"/>
          <w:sz w:val="24"/>
          <w:szCs w:val="24"/>
        </w:rPr>
        <w:t>调查问卷，调查食用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的方式、消费频次和消费量等相关内容。共收集到1052份有效问卷，调查对象是长期居住于贵州省各市(州)的当地居民，占比99.05%，其中女性占比64.07% (674/1052)，男性占比35.93% (378/1052)。参与调查的人群年龄主要集中在26-40岁、41-60岁2个年龄段，占比分别为56.65%、32.32%，年龄段15-25岁的占比为10.65%，年龄段60岁以上、小于15岁的占比均为0.19%。在被调查的人群中，有食用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习惯的人群比例高达98.29%，仅有1.71%的人群(18人)从不食用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w:t>
      </w:r>
    </w:p>
    <w:p>
      <w:pPr>
        <w:pStyle w:val="Footer"/>
        <w:spacing w:line="360" w:lineRule="auto"/>
        <w:ind w:firstLine="480" w:firstLineChars="200"/>
        <w:jc w:val="both"/>
        <w:rPr>
          <w:rFonts w:ascii="Times New Roman" w:eastAsia="仿宋" w:hAnsi="Times New Roman" w:cs="Times New Roman" w:hint="default"/>
          <w:color w:val="000000"/>
          <w:sz w:val="21"/>
          <w:szCs w:val="21"/>
        </w:rPr>
      </w:pPr>
      <w:r>
        <w:rPr>
          <w:rFonts w:ascii="Times New Roman" w:eastAsia="仿宋" w:hAnsi="Times New Roman" w:cs="Times New Roman" w:hint="default"/>
          <w:color w:val="000000"/>
          <w:sz w:val="24"/>
          <w:szCs w:val="24"/>
        </w:rPr>
        <w:t>调查结果显示，</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的食用方式较为多样。其中凉拌、炒菜和用于制作蘸水等调味品的食用方式占比较高，分别为97.49%、79.69%和81.24%。</w:t>
      </w:r>
    </w:p>
    <w:p>
      <w:pPr>
        <w:spacing w:line="360" w:lineRule="auto"/>
        <w:jc w:val="left"/>
        <w:rPr>
          <w:rFonts w:ascii="Times New Roman" w:eastAsia="仿宋" w:hAnsi="Times New Roman" w:hint="default"/>
          <w:color w:val="000000"/>
          <w:kern w:val="0"/>
          <w:szCs w:val="21"/>
          <w:lang w:bidi="ar"/>
        </w:rPr>
      </w:pPr>
      <w:r>
        <w:rPr>
          <w:rFonts w:ascii="Times New Roman" w:eastAsia="仿宋" w:hAnsi="Times New Roman" w:cs="Times New Roman" w:hint="default"/>
          <w:color w:val="000000"/>
          <w:sz w:val="24"/>
          <w:szCs w:val="24"/>
          <w:lang w:val="en-US" w:eastAsia="zh-CN" w:bidi="ar"/>
        </w:rPr>
        <w:t xml:space="preserve">   </w:t>
      </w:r>
      <w:r>
        <w:rPr>
          <w:rFonts w:ascii="Times New Roman" w:eastAsia="仿宋" w:hAnsi="Times New Roman" w:cs="Times New Roman" w:hint="default"/>
          <w:color w:val="000000"/>
          <w:sz w:val="24"/>
          <w:szCs w:val="24"/>
          <w:lang w:eastAsia="zh-CN" w:bidi="ar"/>
        </w:rPr>
        <w:t>折耳根</w:t>
      </w:r>
      <w:r>
        <w:rPr>
          <w:rFonts w:ascii="Times New Roman" w:eastAsia="仿宋" w:hAnsi="Times New Roman" w:cs="Times New Roman" w:hint="default"/>
          <w:color w:val="000000"/>
          <w:sz w:val="24"/>
          <w:szCs w:val="24"/>
          <w:lang w:bidi="ar"/>
        </w:rPr>
        <w:t>的</w:t>
      </w:r>
      <w:r>
        <w:rPr>
          <w:rFonts w:ascii="Times New Roman" w:eastAsia="仿宋" w:hAnsi="Times New Roman" w:cs="Times New Roman" w:hint="default"/>
          <w:color w:val="000000"/>
          <w:sz w:val="24"/>
          <w:szCs w:val="24"/>
          <w:lang w:eastAsia="zh-Hans" w:bidi="ar"/>
        </w:rPr>
        <w:t>食用频率</w:t>
      </w:r>
      <w:r>
        <w:rPr>
          <w:rFonts w:ascii="Times New Roman" w:eastAsia="仿宋" w:hAnsi="Times New Roman" w:cs="Times New Roman" w:hint="default"/>
          <w:color w:val="000000"/>
          <w:sz w:val="24"/>
          <w:szCs w:val="24"/>
          <w:lang w:bidi="ar"/>
        </w:rPr>
        <w:t>主要</w:t>
      </w:r>
      <w:r>
        <w:rPr>
          <w:rFonts w:ascii="Times New Roman" w:eastAsia="仿宋" w:hAnsi="Times New Roman" w:cs="Times New Roman" w:hint="default"/>
          <w:color w:val="000000"/>
          <w:sz w:val="24"/>
          <w:szCs w:val="24"/>
          <w:lang w:eastAsia="zh-Hans" w:bidi="ar"/>
        </w:rPr>
        <w:t>为经常</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平均每四天食用</w:t>
      </w:r>
      <w:r>
        <w:rPr>
          <w:rFonts w:ascii="Times New Roman" w:eastAsia="仿宋" w:hAnsi="Times New Roman" w:cs="Times New Roman" w:hint="default"/>
          <w:color w:val="000000"/>
          <w:sz w:val="24"/>
          <w:szCs w:val="24"/>
          <w:lang w:bidi="ar"/>
        </w:rPr>
        <w:t>1</w:t>
      </w:r>
      <w:r>
        <w:rPr>
          <w:rFonts w:ascii="Times New Roman" w:eastAsia="仿宋" w:hAnsi="Times New Roman" w:cs="Times New Roman" w:hint="default"/>
          <w:color w:val="000000"/>
          <w:sz w:val="24"/>
          <w:szCs w:val="24"/>
          <w:lang w:eastAsia="zh-Hans" w:bidi="ar"/>
        </w:rPr>
        <w:t>次</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、不经常</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平均每周食用</w:t>
      </w:r>
      <w:r>
        <w:rPr>
          <w:rFonts w:ascii="Times New Roman" w:eastAsia="仿宋" w:hAnsi="Times New Roman" w:cs="Times New Roman" w:hint="default"/>
          <w:color w:val="000000"/>
          <w:sz w:val="24"/>
          <w:szCs w:val="24"/>
          <w:lang w:bidi="ar"/>
        </w:rPr>
        <w:t>1</w:t>
      </w:r>
      <w:r>
        <w:rPr>
          <w:rFonts w:ascii="Times New Roman" w:eastAsia="仿宋" w:hAnsi="Times New Roman" w:cs="Times New Roman" w:hint="default"/>
          <w:color w:val="000000"/>
          <w:sz w:val="24"/>
          <w:szCs w:val="24"/>
          <w:lang w:eastAsia="zh-Hans" w:bidi="ar"/>
        </w:rPr>
        <w:t>次</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、偶尔</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平均每月食用</w:t>
      </w:r>
      <w:r>
        <w:rPr>
          <w:rFonts w:ascii="Times New Roman" w:eastAsia="仿宋" w:hAnsi="Times New Roman" w:cs="Times New Roman" w:hint="default"/>
          <w:color w:val="000000"/>
          <w:sz w:val="24"/>
          <w:szCs w:val="24"/>
          <w:lang w:bidi="ar"/>
        </w:rPr>
        <w:t>1</w:t>
      </w:r>
      <w:r>
        <w:rPr>
          <w:rFonts w:ascii="Times New Roman" w:eastAsia="仿宋" w:hAnsi="Times New Roman" w:cs="Times New Roman" w:hint="default"/>
          <w:color w:val="000000"/>
          <w:sz w:val="24"/>
          <w:szCs w:val="24"/>
          <w:lang w:eastAsia="zh-Hans" w:bidi="ar"/>
        </w:rPr>
        <w:t>次</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，占比分别为26.5%、30.56%</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29.4%。</w:t>
      </w:r>
      <w:r>
        <w:rPr>
          <w:rFonts w:ascii="Times New Roman" w:eastAsia="仿宋" w:hAnsi="Times New Roman" w:cs="Times New Roman" w:hint="default"/>
          <w:color w:val="000000"/>
          <w:sz w:val="24"/>
          <w:szCs w:val="24"/>
          <w:lang w:bidi="ar"/>
        </w:rPr>
        <w:t>食用频率为</w:t>
      </w:r>
      <w:r>
        <w:rPr>
          <w:rFonts w:ascii="Times New Roman" w:eastAsia="仿宋" w:hAnsi="Times New Roman" w:cs="Times New Roman" w:hint="default"/>
          <w:color w:val="000000"/>
          <w:sz w:val="24"/>
          <w:szCs w:val="24"/>
          <w:lang w:eastAsia="zh-Hans" w:bidi="ar"/>
        </w:rPr>
        <w:t>较频繁</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平均</w:t>
      </w:r>
      <w:r>
        <w:rPr>
          <w:rFonts w:ascii="Times New Roman" w:eastAsia="仿宋" w:hAnsi="Times New Roman" w:cs="Times New Roman" w:hint="default"/>
          <w:color w:val="000000"/>
          <w:sz w:val="24"/>
          <w:szCs w:val="24"/>
          <w:lang w:bidi="ar"/>
        </w:rPr>
        <w:t>每</w:t>
      </w:r>
      <w:r>
        <w:rPr>
          <w:rFonts w:ascii="Times New Roman" w:eastAsia="仿宋" w:hAnsi="Times New Roman" w:cs="Times New Roman" w:hint="default"/>
          <w:color w:val="000000"/>
          <w:sz w:val="24"/>
          <w:szCs w:val="24"/>
          <w:lang w:eastAsia="zh-Hans" w:bidi="ar"/>
        </w:rPr>
        <w:t>两天食用</w:t>
      </w:r>
      <w:r>
        <w:rPr>
          <w:rFonts w:ascii="Times New Roman" w:eastAsia="仿宋" w:hAnsi="Times New Roman" w:cs="Times New Roman" w:hint="default"/>
          <w:color w:val="000000"/>
          <w:sz w:val="24"/>
          <w:szCs w:val="24"/>
          <w:lang w:bidi="ar"/>
        </w:rPr>
        <w:t>1</w:t>
      </w:r>
      <w:r>
        <w:rPr>
          <w:rFonts w:ascii="Times New Roman" w:eastAsia="仿宋" w:hAnsi="Times New Roman" w:cs="Times New Roman" w:hint="default"/>
          <w:color w:val="000000"/>
          <w:sz w:val="24"/>
          <w:szCs w:val="24"/>
          <w:lang w:eastAsia="zh-Hans" w:bidi="ar"/>
        </w:rPr>
        <w:t>次</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的占比为10.44%，频繁</w:t>
      </w:r>
      <w:r>
        <w:rPr>
          <w:rFonts w:ascii="Times New Roman" w:eastAsia="仿宋" w:hAnsi="Times New Roman" w:cs="Times New Roman" w:hint="default"/>
          <w:color w:val="000000"/>
          <w:sz w:val="24"/>
          <w:szCs w:val="24"/>
          <w:lang w:bidi="ar"/>
        </w:rPr>
        <w:t>(</w:t>
      </w:r>
      <w:r>
        <w:rPr>
          <w:rFonts w:ascii="Times New Roman" w:eastAsia="仿宋" w:hAnsi="Times New Roman" w:cs="Times New Roman" w:hint="default"/>
          <w:color w:val="000000"/>
          <w:sz w:val="24"/>
          <w:szCs w:val="24"/>
          <w:lang w:eastAsia="zh-Hans" w:bidi="ar"/>
        </w:rPr>
        <w:t>每天都吃</w:t>
      </w:r>
      <w:r>
        <w:rPr>
          <w:rFonts w:ascii="Times New Roman" w:eastAsia="仿宋" w:hAnsi="Times New Roman" w:cs="Times New Roman" w:hint="default"/>
          <w:color w:val="000000"/>
          <w:sz w:val="24"/>
          <w:szCs w:val="24"/>
          <w:lang w:bidi="ar"/>
        </w:rPr>
        <w:t>)的</w:t>
      </w:r>
      <w:r>
        <w:rPr>
          <w:rFonts w:ascii="Times New Roman" w:eastAsia="仿宋" w:hAnsi="Times New Roman" w:cs="Times New Roman" w:hint="default"/>
          <w:color w:val="000000"/>
          <w:sz w:val="24"/>
          <w:szCs w:val="24"/>
          <w:lang w:eastAsia="zh-Hans" w:bidi="ar"/>
        </w:rPr>
        <w:t>占比为3.09%。</w:t>
      </w:r>
    </w:p>
    <w:p>
      <w:pPr>
        <w:spacing w:line="360" w:lineRule="auto"/>
        <w:ind w:firstLine="480" w:firstLineChars="200"/>
        <w:rPr>
          <w:rFonts w:ascii="Times New Roman" w:eastAsia="仿宋" w:hAnsi="Times New Roman" w:hint="default"/>
          <w:color w:val="000000"/>
          <w:sz w:val="24"/>
          <w:szCs w:val="24"/>
          <w:lang w:eastAsia="zh-Hans" w:bidi="ar"/>
        </w:rPr>
      </w:pPr>
      <w:r>
        <w:rPr>
          <w:rFonts w:ascii="Times New Roman" w:eastAsia="仿宋" w:hAnsi="Times New Roman" w:cs="Times New Roman" w:hint="default"/>
          <w:color w:val="000000"/>
          <w:sz w:val="24"/>
          <w:szCs w:val="24"/>
          <w:lang w:eastAsia="zh-Hans" w:bidi="ar"/>
        </w:rPr>
        <w:t>随着</w:t>
      </w:r>
      <w:r>
        <w:rPr>
          <w:rFonts w:ascii="Times New Roman" w:eastAsia="仿宋" w:hAnsi="Times New Roman" w:cs="Times New Roman" w:hint="default"/>
          <w:color w:val="000000"/>
          <w:sz w:val="24"/>
          <w:szCs w:val="24"/>
          <w:lang w:eastAsia="zh-CN" w:bidi="ar"/>
        </w:rPr>
        <w:t>折耳根</w:t>
      </w:r>
      <w:r>
        <w:rPr>
          <w:rFonts w:ascii="Times New Roman" w:eastAsia="仿宋" w:hAnsi="Times New Roman" w:cs="Times New Roman" w:hint="default"/>
          <w:color w:val="000000"/>
          <w:sz w:val="24"/>
          <w:szCs w:val="24"/>
          <w:lang w:eastAsia="zh-Hans" w:bidi="ar"/>
        </w:rPr>
        <w:t>每</w:t>
      </w:r>
      <w:r>
        <w:rPr>
          <w:rFonts w:ascii="Times New Roman" w:eastAsia="仿宋" w:hAnsi="Times New Roman" w:cs="Times New Roman" w:hint="default"/>
          <w:color w:val="000000"/>
          <w:sz w:val="24"/>
          <w:szCs w:val="24"/>
          <w:lang w:bidi="ar"/>
        </w:rPr>
        <w:t>日消费</w:t>
      </w:r>
      <w:r>
        <w:rPr>
          <w:rFonts w:ascii="Times New Roman" w:eastAsia="仿宋" w:hAnsi="Times New Roman" w:cs="Times New Roman" w:hint="default"/>
          <w:color w:val="000000"/>
          <w:sz w:val="24"/>
          <w:szCs w:val="24"/>
          <w:lang w:eastAsia="zh-Hans" w:bidi="ar"/>
        </w:rPr>
        <w:t>量的增加</w:t>
      </w:r>
      <w:r>
        <w:rPr>
          <w:rFonts w:ascii="Times New Roman" w:eastAsia="仿宋" w:hAnsi="Times New Roman" w:cs="Times New Roman" w:hint="default"/>
          <w:color w:val="000000"/>
          <w:sz w:val="24"/>
          <w:szCs w:val="24"/>
          <w:lang w:bidi="ar"/>
        </w:rPr>
        <w:t>，消费</w:t>
      </w:r>
      <w:r>
        <w:rPr>
          <w:rFonts w:ascii="Times New Roman" w:eastAsia="仿宋" w:hAnsi="Times New Roman" w:cs="Times New Roman" w:hint="default"/>
          <w:color w:val="000000"/>
          <w:sz w:val="24"/>
          <w:szCs w:val="24"/>
          <w:lang w:eastAsia="zh-Hans" w:bidi="ar"/>
        </w:rPr>
        <w:t>人</w:t>
      </w:r>
      <w:r>
        <w:rPr>
          <w:rFonts w:ascii="Times New Roman" w:eastAsia="仿宋" w:hAnsi="Times New Roman" w:cs="Times New Roman" w:hint="default"/>
          <w:color w:val="000000"/>
          <w:sz w:val="24"/>
          <w:szCs w:val="24"/>
          <w:lang w:bidi="ar"/>
        </w:rPr>
        <w:t>群的数量占比</w:t>
      </w:r>
      <w:r>
        <w:rPr>
          <w:rFonts w:ascii="Times New Roman" w:eastAsia="仿宋" w:hAnsi="Times New Roman" w:cs="Times New Roman" w:hint="default"/>
          <w:color w:val="000000"/>
          <w:sz w:val="24"/>
          <w:szCs w:val="24"/>
          <w:lang w:eastAsia="zh-Hans" w:bidi="ar"/>
        </w:rPr>
        <w:t>逐渐</w:t>
      </w:r>
      <w:r>
        <w:rPr>
          <w:rFonts w:ascii="Times New Roman" w:eastAsia="仿宋" w:hAnsi="Times New Roman" w:cs="Times New Roman" w:hint="default"/>
          <w:color w:val="000000"/>
          <w:sz w:val="24"/>
          <w:szCs w:val="24"/>
          <w:lang w:bidi="ar"/>
        </w:rPr>
        <w:t>减小</w:t>
      </w:r>
      <w:r>
        <w:rPr>
          <w:rFonts w:ascii="Times New Roman" w:eastAsia="仿宋" w:hAnsi="Times New Roman" w:cs="Times New Roman" w:hint="default"/>
          <w:color w:val="000000"/>
          <w:sz w:val="24"/>
          <w:szCs w:val="24"/>
          <w:lang w:eastAsia="zh-Hans" w:bidi="ar"/>
        </w:rPr>
        <w:t>。每</w:t>
      </w:r>
      <w:r>
        <w:rPr>
          <w:rFonts w:ascii="Times New Roman" w:eastAsia="仿宋" w:hAnsi="Times New Roman" w:cs="Times New Roman" w:hint="default"/>
          <w:color w:val="000000"/>
          <w:sz w:val="24"/>
          <w:szCs w:val="24"/>
          <w:lang w:bidi="ar"/>
        </w:rPr>
        <w:t>次</w:t>
      </w:r>
      <w:r>
        <w:rPr>
          <w:rFonts w:ascii="Times New Roman" w:eastAsia="仿宋" w:hAnsi="Times New Roman" w:cs="Times New Roman" w:hint="default"/>
          <w:color w:val="000000"/>
          <w:sz w:val="24"/>
          <w:szCs w:val="24"/>
          <w:lang w:eastAsia="zh-Hans" w:bidi="ar"/>
        </w:rPr>
        <w:t>食用1-25</w:t>
      </w:r>
      <w:r>
        <w:rPr>
          <w:rFonts w:ascii="Times New Roman" w:eastAsia="仿宋" w:hAnsi="Times New Roman" w:cs="Times New Roman" w:hint="default"/>
          <w:color w:val="000000"/>
          <w:sz w:val="24"/>
          <w:szCs w:val="24"/>
          <w:lang w:bidi="ar"/>
        </w:rPr>
        <w:t xml:space="preserve"> </w:t>
      </w:r>
      <w:r>
        <w:rPr>
          <w:rFonts w:ascii="Times New Roman" w:eastAsia="仿宋" w:hAnsi="Times New Roman" w:cs="Times New Roman" w:hint="default"/>
          <w:color w:val="000000"/>
          <w:sz w:val="24"/>
          <w:szCs w:val="24"/>
          <w:lang w:eastAsia="zh-Hans" w:bidi="ar"/>
        </w:rPr>
        <w:t>g的人</w:t>
      </w:r>
      <w:r>
        <w:rPr>
          <w:rFonts w:ascii="Times New Roman" w:eastAsia="仿宋" w:hAnsi="Times New Roman" w:cs="Times New Roman" w:hint="default"/>
          <w:color w:val="000000"/>
          <w:sz w:val="24"/>
          <w:szCs w:val="24"/>
          <w:lang w:bidi="ar"/>
        </w:rPr>
        <w:t>群</w:t>
      </w:r>
      <w:r>
        <w:rPr>
          <w:rFonts w:ascii="Times New Roman" w:eastAsia="仿宋" w:hAnsi="Times New Roman" w:cs="Times New Roman" w:hint="default"/>
          <w:color w:val="000000"/>
          <w:sz w:val="24"/>
          <w:szCs w:val="24"/>
          <w:lang w:eastAsia="zh-Hans" w:bidi="ar"/>
        </w:rPr>
        <w:t>占比44.49%，每</w:t>
      </w:r>
      <w:r>
        <w:rPr>
          <w:rFonts w:ascii="Times New Roman" w:eastAsia="仿宋" w:hAnsi="Times New Roman" w:cs="Times New Roman" w:hint="default"/>
          <w:color w:val="000000"/>
          <w:sz w:val="24"/>
          <w:szCs w:val="24"/>
          <w:lang w:bidi="ar"/>
        </w:rPr>
        <w:t>次</w:t>
      </w:r>
      <w:r>
        <w:rPr>
          <w:rFonts w:ascii="Times New Roman" w:eastAsia="仿宋" w:hAnsi="Times New Roman" w:cs="Times New Roman" w:hint="default"/>
          <w:color w:val="000000"/>
          <w:sz w:val="24"/>
          <w:szCs w:val="24"/>
          <w:lang w:eastAsia="zh-Hans" w:bidi="ar"/>
        </w:rPr>
        <w:t>食用25-50</w:t>
      </w:r>
      <w:r>
        <w:rPr>
          <w:rFonts w:ascii="Times New Roman" w:eastAsia="仿宋" w:hAnsi="Times New Roman" w:cs="Times New Roman" w:hint="default"/>
          <w:color w:val="000000"/>
          <w:sz w:val="24"/>
          <w:szCs w:val="24"/>
          <w:lang w:bidi="ar"/>
        </w:rPr>
        <w:t xml:space="preserve"> </w:t>
      </w:r>
      <w:r>
        <w:rPr>
          <w:rFonts w:ascii="Times New Roman" w:eastAsia="仿宋" w:hAnsi="Times New Roman" w:cs="Times New Roman" w:hint="default"/>
          <w:color w:val="000000"/>
          <w:sz w:val="24"/>
          <w:szCs w:val="24"/>
          <w:lang w:eastAsia="zh-Hans" w:bidi="ar"/>
        </w:rPr>
        <w:t>g的人</w:t>
      </w:r>
      <w:r>
        <w:rPr>
          <w:rFonts w:ascii="Times New Roman" w:eastAsia="仿宋" w:hAnsi="Times New Roman" w:cs="Times New Roman" w:hint="default"/>
          <w:color w:val="000000"/>
          <w:sz w:val="24"/>
          <w:szCs w:val="24"/>
          <w:lang w:bidi="ar"/>
        </w:rPr>
        <w:t>群</w:t>
      </w:r>
      <w:r>
        <w:rPr>
          <w:rFonts w:ascii="Times New Roman" w:eastAsia="仿宋" w:hAnsi="Times New Roman" w:cs="Times New Roman" w:hint="default"/>
          <w:color w:val="000000"/>
          <w:sz w:val="24"/>
          <w:szCs w:val="24"/>
          <w:lang w:eastAsia="zh-Hans" w:bidi="ar"/>
        </w:rPr>
        <w:t>占比34.24%，每</w:t>
      </w:r>
      <w:r>
        <w:rPr>
          <w:rFonts w:ascii="Times New Roman" w:eastAsia="仿宋" w:hAnsi="Times New Roman" w:cs="Times New Roman" w:hint="default"/>
          <w:color w:val="000000"/>
          <w:sz w:val="24"/>
          <w:szCs w:val="24"/>
          <w:lang w:bidi="ar"/>
        </w:rPr>
        <w:t>次</w:t>
      </w:r>
      <w:r>
        <w:rPr>
          <w:rFonts w:ascii="Times New Roman" w:eastAsia="仿宋" w:hAnsi="Times New Roman" w:cs="Times New Roman" w:hint="default"/>
          <w:color w:val="000000"/>
          <w:sz w:val="24"/>
          <w:szCs w:val="24"/>
          <w:lang w:eastAsia="zh-Hans" w:bidi="ar"/>
        </w:rPr>
        <w:t>食用50-100</w:t>
      </w:r>
      <w:r>
        <w:rPr>
          <w:rFonts w:ascii="Times New Roman" w:eastAsia="仿宋" w:hAnsi="Times New Roman" w:cs="Times New Roman" w:hint="default"/>
          <w:color w:val="000000"/>
          <w:sz w:val="24"/>
          <w:szCs w:val="24"/>
          <w:lang w:bidi="ar"/>
        </w:rPr>
        <w:t xml:space="preserve"> </w:t>
      </w:r>
      <w:r>
        <w:rPr>
          <w:rFonts w:ascii="Times New Roman" w:eastAsia="仿宋" w:hAnsi="Times New Roman" w:cs="Times New Roman" w:hint="default"/>
          <w:color w:val="000000"/>
          <w:sz w:val="24"/>
          <w:szCs w:val="24"/>
          <w:lang w:eastAsia="zh-Hans" w:bidi="ar"/>
        </w:rPr>
        <w:t>g的人</w:t>
      </w:r>
      <w:r>
        <w:rPr>
          <w:rFonts w:ascii="Times New Roman" w:eastAsia="仿宋" w:hAnsi="Times New Roman" w:cs="Times New Roman" w:hint="default"/>
          <w:color w:val="000000"/>
          <w:sz w:val="24"/>
          <w:szCs w:val="24"/>
          <w:lang w:bidi="ar"/>
        </w:rPr>
        <w:t>群</w:t>
      </w:r>
      <w:r>
        <w:rPr>
          <w:rFonts w:ascii="Times New Roman" w:eastAsia="仿宋" w:hAnsi="Times New Roman" w:cs="Times New Roman" w:hint="default"/>
          <w:color w:val="000000"/>
          <w:sz w:val="24"/>
          <w:szCs w:val="24"/>
          <w:lang w:eastAsia="zh-Hans" w:bidi="ar"/>
        </w:rPr>
        <w:t>占比15.86%，每</w:t>
      </w:r>
      <w:r>
        <w:rPr>
          <w:rFonts w:ascii="Times New Roman" w:eastAsia="仿宋" w:hAnsi="Times New Roman" w:cs="Times New Roman" w:hint="default"/>
          <w:color w:val="000000"/>
          <w:sz w:val="24"/>
          <w:szCs w:val="24"/>
          <w:lang w:bidi="ar"/>
        </w:rPr>
        <w:t>次</w:t>
      </w:r>
      <w:r>
        <w:rPr>
          <w:rFonts w:ascii="Times New Roman" w:eastAsia="仿宋" w:hAnsi="Times New Roman" w:cs="Times New Roman" w:hint="default"/>
          <w:color w:val="000000"/>
          <w:sz w:val="24"/>
          <w:szCs w:val="24"/>
          <w:lang w:eastAsia="zh-Hans" w:bidi="ar"/>
        </w:rPr>
        <w:t>食用100-200</w:t>
      </w:r>
      <w:r>
        <w:rPr>
          <w:rFonts w:ascii="Times New Roman" w:eastAsia="仿宋" w:hAnsi="Times New Roman" w:cs="Times New Roman" w:hint="default"/>
          <w:color w:val="000000"/>
          <w:sz w:val="24"/>
          <w:szCs w:val="24"/>
          <w:lang w:bidi="ar"/>
        </w:rPr>
        <w:t xml:space="preserve"> </w:t>
      </w:r>
      <w:r>
        <w:rPr>
          <w:rFonts w:ascii="Times New Roman" w:eastAsia="仿宋" w:hAnsi="Times New Roman" w:cs="Times New Roman" w:hint="default"/>
          <w:color w:val="000000"/>
          <w:sz w:val="24"/>
          <w:szCs w:val="24"/>
          <w:lang w:eastAsia="zh-Hans" w:bidi="ar"/>
        </w:rPr>
        <w:t>g的人</w:t>
      </w:r>
      <w:r>
        <w:rPr>
          <w:rFonts w:ascii="Times New Roman" w:eastAsia="仿宋" w:hAnsi="Times New Roman" w:cs="Times New Roman" w:hint="default"/>
          <w:color w:val="000000"/>
          <w:sz w:val="24"/>
          <w:szCs w:val="24"/>
          <w:lang w:bidi="ar"/>
        </w:rPr>
        <w:t>群</w:t>
      </w:r>
      <w:r>
        <w:rPr>
          <w:rFonts w:ascii="Times New Roman" w:eastAsia="仿宋" w:hAnsi="Times New Roman" w:cs="Times New Roman" w:hint="default"/>
          <w:color w:val="000000"/>
          <w:sz w:val="24"/>
          <w:szCs w:val="24"/>
          <w:lang w:eastAsia="zh-Hans" w:bidi="ar"/>
        </w:rPr>
        <w:t>占比4.26%，每</w:t>
      </w:r>
      <w:r>
        <w:rPr>
          <w:rFonts w:ascii="Times New Roman" w:eastAsia="仿宋" w:hAnsi="Times New Roman" w:cs="Times New Roman" w:hint="default"/>
          <w:color w:val="000000"/>
          <w:sz w:val="24"/>
          <w:szCs w:val="24"/>
          <w:lang w:bidi="ar"/>
        </w:rPr>
        <w:t>次</w:t>
      </w:r>
      <w:r>
        <w:rPr>
          <w:rFonts w:ascii="Times New Roman" w:eastAsia="仿宋" w:hAnsi="Times New Roman" w:cs="Times New Roman" w:hint="default"/>
          <w:color w:val="000000"/>
          <w:sz w:val="24"/>
          <w:szCs w:val="24"/>
          <w:lang w:eastAsia="zh-Hans" w:bidi="ar"/>
        </w:rPr>
        <w:t>食用200-500</w:t>
      </w:r>
      <w:r>
        <w:rPr>
          <w:rFonts w:ascii="Times New Roman" w:eastAsia="仿宋" w:hAnsi="Times New Roman" w:cs="Times New Roman" w:hint="default"/>
          <w:color w:val="000000"/>
          <w:sz w:val="24"/>
          <w:szCs w:val="24"/>
          <w:lang w:bidi="ar"/>
        </w:rPr>
        <w:t xml:space="preserve"> </w:t>
      </w:r>
      <w:r>
        <w:rPr>
          <w:rFonts w:ascii="Times New Roman" w:eastAsia="仿宋" w:hAnsi="Times New Roman" w:cs="Times New Roman" w:hint="default"/>
          <w:color w:val="000000"/>
          <w:sz w:val="24"/>
          <w:szCs w:val="24"/>
          <w:lang w:eastAsia="zh-Hans" w:bidi="ar"/>
        </w:rPr>
        <w:t>g的人</w:t>
      </w:r>
      <w:r>
        <w:rPr>
          <w:rFonts w:ascii="Times New Roman" w:eastAsia="仿宋" w:hAnsi="Times New Roman" w:cs="Times New Roman" w:hint="default"/>
          <w:color w:val="000000"/>
          <w:sz w:val="24"/>
          <w:szCs w:val="24"/>
          <w:lang w:bidi="ar"/>
        </w:rPr>
        <w:t>群</w:t>
      </w:r>
      <w:r>
        <w:rPr>
          <w:rFonts w:ascii="Times New Roman" w:eastAsia="仿宋" w:hAnsi="Times New Roman" w:cs="Times New Roman" w:hint="default"/>
          <w:color w:val="000000"/>
          <w:sz w:val="24"/>
          <w:szCs w:val="24"/>
          <w:lang w:eastAsia="zh-Hans" w:bidi="ar"/>
        </w:rPr>
        <w:t>占比1.16%。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eastAsia="仿宋" w:hAnsi="Times New Roman" w:hint="default"/>
          <w:color w:val="000000"/>
          <w:sz w:val="24"/>
          <w:szCs w:val="24"/>
        </w:rPr>
        <w:sectPr>
          <w:footerReference w:type="default" r:id="rId2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8"/>
          <w:cols w:num="1" w:space="720"/>
          <w:titlePg w:val="0"/>
          <w:docGrid w:type="lines" w:linePitch="312" w:charSpace="0"/>
        </w:sectPr>
      </w:pPr>
      <w:r>
        <w:rPr>
          <w:rFonts w:ascii="Times New Roman" w:eastAsia="仿宋" w:hAnsi="Times New Roman" w:cs="Times New Roman" w:hint="default"/>
          <w:color w:val="000000"/>
          <w:sz w:val="24"/>
          <w:szCs w:val="24"/>
        </w:rPr>
        <w:t>针对食用频率及食用量做了交叉比对分析，发现有2人的食用频率为每天食用，每次食用量为50-100 g，这部分人群即为最高消费量人群，为100 g/d，该部分人群在有食用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习惯的总人群中占比为0.19%；有168人的食用频率为一个月1次，每次食用量为1-25</w:t>
      </w:r>
      <w:r>
        <w:rPr>
          <w:rFonts w:ascii="Times New Roman" w:eastAsia="仿宋" w:hAnsi="Times New Roman" w:cs="Times New Roman" w:hint="default"/>
          <w:color w:val="000000"/>
          <w:sz w:val="24"/>
          <w:szCs w:val="24"/>
        </w:rPr>
        <w:t xml:space="preserve"> g，这部分人群即为最低消费量人群，为0.83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rPr>
        <w:t xml:space="preserve"> g/d，该部分人群在有食用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习惯的总人群中占比为16.2%。所有参与调查的人群的平均消费量为12.35 g/d。人群食用</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的每日平均消费量数据见表</w:t>
      </w:r>
      <w:r>
        <w:rPr>
          <w:rFonts w:ascii="Times New Roman" w:eastAsia="仿宋" w:hAnsi="Times New Roman" w:cs="Times New Roman" w:hint="default"/>
          <w:color w:val="000000"/>
          <w:sz w:val="24"/>
          <w:szCs w:val="24"/>
          <w:lang w:val="en-US" w:eastAsia="zh-CN"/>
        </w:rPr>
        <w:t>7</w:t>
      </w:r>
      <w:r>
        <w:rPr>
          <w:rFonts w:ascii="Times New Roman" w:eastAsia="仿宋" w:hAnsi="Times New Roman" w:cs="Times New Roman" w:hint="default"/>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lang w:val="en-US" w:eastAsia="zh-CN"/>
        </w:rPr>
        <w:t>综上所述，通过对贵州居民开展的折耳根膳食调查发现，95%人群膳食水平≤25克/天/人，平均值为</w:t>
      </w:r>
      <w:r>
        <w:rPr>
          <w:rFonts w:ascii="Times New Roman" w:eastAsia="仿宋" w:hAnsi="Times New Roman" w:cs="Times New Roman" w:hint="default"/>
          <w:color w:val="000000"/>
          <w:sz w:val="24"/>
          <w:szCs w:val="24"/>
        </w:rPr>
        <w:t>12.35</w:t>
      </w:r>
      <w:r>
        <w:rPr>
          <w:rFonts w:ascii="Times New Roman" w:eastAsia="仿宋" w:hAnsi="Times New Roman" w:cs="Times New Roman" w:hint="default"/>
          <w:color w:val="000000"/>
          <w:sz w:val="24"/>
          <w:szCs w:val="24"/>
          <w:lang w:val="en-US" w:eastAsia="zh-CN"/>
        </w:rPr>
        <w:t>克/天/人</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与</w:t>
      </w:r>
      <w:r>
        <w:rPr>
          <w:rFonts w:ascii="Times New Roman" w:eastAsia="仿宋" w:hAnsi="Times New Roman" w:cs="Times New Roman" w:hint="default"/>
          <w:color w:val="000000"/>
          <w:sz w:val="24"/>
          <w:szCs w:val="24"/>
        </w:rPr>
        <w:t>《中国居民膳食指南2022》中推荐每天新鲜蔬菜摄入不少于300g的建议</w:t>
      </w:r>
      <w:r>
        <w:rPr>
          <w:rFonts w:ascii="Times New Roman" w:eastAsia="仿宋" w:hAnsi="Times New Roman" w:cs="Times New Roman" w:hint="default"/>
          <w:color w:val="000000"/>
          <w:sz w:val="24"/>
          <w:szCs w:val="24"/>
          <w:lang w:val="en-US" w:eastAsia="zh-CN"/>
        </w:rPr>
        <w:t>相比，贵州居民折耳根膳食摄入水平远远低于</w:t>
      </w:r>
      <w:r>
        <w:rPr>
          <w:rFonts w:ascii="Times New Roman" w:eastAsia="仿宋" w:hAnsi="Times New Roman" w:cs="Times New Roman" w:hint="default"/>
          <w:color w:val="000000"/>
          <w:sz w:val="24"/>
          <w:szCs w:val="24"/>
        </w:rPr>
        <w:t>《中国居民膳食指南2022》</w:t>
      </w:r>
      <w:r>
        <w:rPr>
          <w:rFonts w:ascii="Times New Roman" w:eastAsia="仿宋" w:hAnsi="Times New Roman" w:cs="Times New Roman" w:hint="default"/>
          <w:color w:val="000000"/>
          <w:sz w:val="24"/>
          <w:szCs w:val="24"/>
          <w:lang w:val="en-US" w:eastAsia="zh-CN"/>
        </w:rPr>
        <w:t>新鲜蔬菜推荐食用量。</w:t>
      </w:r>
    </w:p>
    <w:p>
      <w:pPr>
        <w:ind w:firstLine="420" w:firstLineChars="200"/>
        <w:jc w:val="center"/>
        <w:rPr>
          <w:rFonts w:ascii="Times New Roman" w:eastAsia="仿宋" w:hAnsi="Times New Roman" w:hint="default"/>
          <w:color w:val="000000"/>
          <w:kern w:val="0"/>
          <w:szCs w:val="21"/>
          <w:lang w:eastAsia="zh-Hans" w:bidi="ar"/>
        </w:rPr>
      </w:pPr>
      <w:r>
        <w:rPr>
          <w:rFonts w:ascii="Times New Roman" w:eastAsia="仿宋" w:hAnsi="Times New Roman" w:cs="Times New Roman" w:hint="default"/>
          <w:color w:val="000000"/>
          <w:kern w:val="0"/>
          <w:szCs w:val="21"/>
          <w:lang w:eastAsia="zh-Hans" w:bidi="ar"/>
        </w:rPr>
        <w:t>表</w:t>
      </w:r>
      <w:r>
        <w:rPr>
          <w:rFonts w:ascii="Times New Roman" w:eastAsia="仿宋" w:hAnsi="Times New Roman" w:cs="Times New Roman" w:hint="default"/>
          <w:color w:val="000000"/>
          <w:kern w:val="0"/>
          <w:szCs w:val="21"/>
          <w:lang w:val="en-US" w:eastAsia="zh-CN" w:bidi="ar"/>
        </w:rPr>
        <w:t>7</w:t>
      </w:r>
      <w:r>
        <w:rPr>
          <w:rFonts w:ascii="Times New Roman" w:eastAsia="仿宋" w:hAnsi="Times New Roman" w:cs="Times New Roman" w:hint="default"/>
          <w:color w:val="000000"/>
          <w:kern w:val="0"/>
          <w:szCs w:val="21"/>
          <w:lang w:eastAsia="zh-Hans" w:bidi="ar"/>
        </w:rPr>
        <w:t xml:space="preserve"> </w:t>
      </w:r>
      <w:r>
        <w:rPr>
          <w:rFonts w:ascii="Times New Roman" w:eastAsia="仿宋" w:hAnsi="Times New Roman" w:cs="Times New Roman" w:hint="default"/>
          <w:color w:val="000000"/>
          <w:kern w:val="0"/>
          <w:szCs w:val="21"/>
          <w:lang w:bidi="ar"/>
        </w:rPr>
        <w:t>人群食用</w:t>
      </w: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的每日平均消费量</w:t>
      </w:r>
    </w:p>
    <w:tbl>
      <w:tblPr>
        <w:tblStyle w:val="TableNormal"/>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820"/>
        <w:gridCol w:w="3145"/>
        <w:gridCol w:w="2320"/>
      </w:tblGrid>
      <w:tr>
        <w:tblPrEx>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83"/>
          <w:jc w:val="center"/>
        </w:trPr>
        <w:tc>
          <w:tcPr>
            <w:tcW w:w="4965" w:type="dxa"/>
            <w:gridSpan w:val="2"/>
            <w:tcBorders>
              <w:top w:val="single" w:sz="12" w:space="0" w:color="auto"/>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人群样本数</w:t>
            </w:r>
            <w:r>
              <w:rPr>
                <w:rFonts w:ascii="Times New Roman" w:eastAsia="仿宋" w:hAnsi="Times New Roman" w:cs="Times New Roman" w:hint="default"/>
                <w:color w:val="000000"/>
                <w:szCs w:val="21"/>
                <w:lang w:eastAsia="zh-CN"/>
              </w:rPr>
              <w:t>（</w:t>
            </w:r>
            <w:r>
              <w:rPr>
                <w:rFonts w:ascii="Times New Roman" w:eastAsia="仿宋" w:hAnsi="Times New Roman" w:cs="Times New Roman" w:hint="default"/>
                <w:color w:val="000000"/>
                <w:szCs w:val="21"/>
                <w:lang w:val="en-US" w:eastAsia="zh-CN"/>
              </w:rPr>
              <w:t>人</w:t>
            </w:r>
            <w:r>
              <w:rPr>
                <w:rFonts w:ascii="Times New Roman" w:eastAsia="仿宋" w:hAnsi="Times New Roman" w:cs="Times New Roman" w:hint="default"/>
                <w:color w:val="000000"/>
                <w:szCs w:val="21"/>
                <w:lang w:eastAsia="zh-CN"/>
              </w:rPr>
              <w:t>）</w:t>
            </w:r>
          </w:p>
        </w:tc>
        <w:tc>
          <w:tcPr>
            <w:tcW w:w="2320" w:type="dxa"/>
            <w:tcBorders>
              <w:top w:val="single" w:sz="12" w:space="0" w:color="auto"/>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1052</w:t>
            </w:r>
          </w:p>
        </w:tc>
      </w:tr>
      <w:tr>
        <w:tblPrEx>
          <w:tblW w:w="0" w:type="auto"/>
          <w:jc w:val="center"/>
          <w:tblLayout w:type="fixed"/>
          <w:tblCellMar>
            <w:top w:w="0" w:type="dxa"/>
            <w:left w:w="108" w:type="dxa"/>
            <w:bottom w:w="0" w:type="dxa"/>
            <w:right w:w="108" w:type="dxa"/>
          </w:tblCellMar>
        </w:tblPrEx>
        <w:trPr>
          <w:trHeight w:val="275"/>
          <w:jc w:val="center"/>
        </w:trPr>
        <w:tc>
          <w:tcPr>
            <w:tcW w:w="1820" w:type="dxa"/>
            <w:vMerge w:val="restart"/>
            <w:tcBorders>
              <w:top w:val="single" w:sz="12" w:space="0" w:color="auto"/>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lang w:eastAsia="zh-CN"/>
              </w:rPr>
              <w:t>折耳根</w:t>
            </w:r>
            <w:r>
              <w:rPr>
                <w:rFonts w:ascii="Times New Roman" w:eastAsia="仿宋" w:hAnsi="Times New Roman" w:cs="Times New Roman" w:hint="default"/>
                <w:color w:val="000000"/>
                <w:szCs w:val="21"/>
              </w:rPr>
              <w:t>的每日平均消费量(g/d)</w:t>
            </w:r>
          </w:p>
        </w:tc>
        <w:tc>
          <w:tcPr>
            <w:tcW w:w="3144" w:type="dxa"/>
            <w:tcBorders>
              <w:top w:val="single" w:sz="12" w:space="0" w:color="auto"/>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最小值</w:t>
            </w:r>
          </w:p>
        </w:tc>
        <w:tc>
          <w:tcPr>
            <w:tcW w:w="2320" w:type="dxa"/>
            <w:tcBorders>
              <w:top w:val="single" w:sz="12" w:space="0" w:color="auto"/>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0.83</w:t>
            </w:r>
          </w:p>
        </w:tc>
      </w:tr>
      <w:tr>
        <w:tblPrEx>
          <w:tblW w:w="0" w:type="auto"/>
          <w:jc w:val="center"/>
          <w:tblLayout w:type="fixed"/>
          <w:tblCellMar>
            <w:top w:w="0" w:type="dxa"/>
            <w:left w:w="108" w:type="dxa"/>
            <w:bottom w:w="0" w:type="dxa"/>
            <w:right w:w="108" w:type="dxa"/>
          </w:tblCellMar>
        </w:tblPrEx>
        <w:trPr>
          <w:trHeight w:val="275"/>
          <w:jc w:val="center"/>
        </w:trPr>
        <w:tc>
          <w:tcPr>
            <w:tcW w:w="1820" w:type="dxa"/>
            <w:vMerge/>
            <w:noWrap w:val="0"/>
            <w:vAlign w:val="center"/>
          </w:tcPr>
          <w:p>
            <w:pPr>
              <w:jc w:val="center"/>
              <w:rPr>
                <w:rFonts w:ascii="Times New Roman" w:eastAsia="仿宋" w:hAnsi="Times New Roman" w:hint="default"/>
                <w:color w:val="000000"/>
                <w:szCs w:val="21"/>
              </w:rPr>
            </w:pPr>
          </w:p>
        </w:tc>
        <w:tc>
          <w:tcPr>
            <w:tcW w:w="3144"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平均值</w:t>
            </w:r>
          </w:p>
        </w:tc>
        <w:tc>
          <w:tcPr>
            <w:tcW w:w="2320"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12.35</w:t>
            </w:r>
          </w:p>
        </w:tc>
      </w:tr>
      <w:tr>
        <w:tblPrEx>
          <w:tblW w:w="0" w:type="auto"/>
          <w:jc w:val="center"/>
          <w:tblLayout w:type="fixed"/>
          <w:tblCellMar>
            <w:top w:w="0" w:type="dxa"/>
            <w:left w:w="108" w:type="dxa"/>
            <w:bottom w:w="0" w:type="dxa"/>
            <w:right w:w="108" w:type="dxa"/>
          </w:tblCellMar>
        </w:tblPrEx>
        <w:trPr>
          <w:trHeight w:val="262"/>
          <w:jc w:val="center"/>
        </w:trPr>
        <w:tc>
          <w:tcPr>
            <w:tcW w:w="1820" w:type="dxa"/>
            <w:vMerge/>
            <w:tcBorders>
              <w:top w:val="nil"/>
              <w:bottom w:val="nil"/>
            </w:tcBorders>
            <w:noWrap w:val="0"/>
            <w:vAlign w:val="center"/>
          </w:tcPr>
          <w:p>
            <w:pPr>
              <w:jc w:val="center"/>
              <w:rPr>
                <w:rFonts w:ascii="Times New Roman" w:eastAsia="仿宋" w:hAnsi="Times New Roman" w:hint="default"/>
                <w:color w:val="000000"/>
                <w:szCs w:val="21"/>
              </w:rPr>
            </w:pPr>
          </w:p>
        </w:tc>
        <w:tc>
          <w:tcPr>
            <w:tcW w:w="3144"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w:t>
            </w:r>
            <w:r>
              <w:rPr>
                <w:rFonts w:ascii="Times New Roman" w:eastAsia="仿宋" w:hAnsi="Times New Roman" w:cs="Times New Roman" w:hint="default"/>
                <w:color w:val="000000"/>
                <w:szCs w:val="21"/>
                <w:vertAlign w:val="subscript"/>
              </w:rPr>
              <w:t>50</w:t>
            </w:r>
          </w:p>
        </w:tc>
        <w:tc>
          <w:tcPr>
            <w:tcW w:w="2320"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15.86</w:t>
            </w:r>
          </w:p>
        </w:tc>
      </w:tr>
      <w:tr>
        <w:tblPrEx>
          <w:tblW w:w="0" w:type="auto"/>
          <w:jc w:val="center"/>
          <w:tblLayout w:type="fixed"/>
          <w:tblCellMar>
            <w:top w:w="0" w:type="dxa"/>
            <w:left w:w="108" w:type="dxa"/>
            <w:bottom w:w="0" w:type="dxa"/>
            <w:right w:w="108" w:type="dxa"/>
          </w:tblCellMar>
        </w:tblPrEx>
        <w:trPr>
          <w:trHeight w:val="262"/>
          <w:jc w:val="center"/>
        </w:trPr>
        <w:tc>
          <w:tcPr>
            <w:tcW w:w="1820" w:type="dxa"/>
            <w:vMerge/>
            <w:tcBorders>
              <w:top w:val="nil"/>
              <w:bottom w:val="nil"/>
            </w:tcBorders>
            <w:noWrap w:val="0"/>
            <w:vAlign w:val="center"/>
          </w:tcPr>
          <w:p>
            <w:pPr>
              <w:jc w:val="center"/>
              <w:rPr>
                <w:rFonts w:ascii="Times New Roman" w:eastAsia="仿宋" w:hAnsi="Times New Roman" w:hint="default"/>
                <w:color w:val="000000"/>
                <w:szCs w:val="21"/>
              </w:rPr>
            </w:pPr>
          </w:p>
        </w:tc>
        <w:tc>
          <w:tcPr>
            <w:tcW w:w="3144"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w:t>
            </w:r>
            <w:r>
              <w:rPr>
                <w:rFonts w:ascii="Times New Roman" w:eastAsia="仿宋" w:hAnsi="Times New Roman" w:cs="Times New Roman" w:hint="default"/>
                <w:color w:val="000000"/>
                <w:szCs w:val="21"/>
                <w:vertAlign w:val="subscript"/>
              </w:rPr>
              <w:t>90</w:t>
            </w:r>
          </w:p>
        </w:tc>
        <w:tc>
          <w:tcPr>
            <w:tcW w:w="2320"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20.15</w:t>
            </w:r>
          </w:p>
        </w:tc>
      </w:tr>
      <w:tr>
        <w:tblPrEx>
          <w:tblW w:w="0" w:type="auto"/>
          <w:jc w:val="center"/>
          <w:tblLayout w:type="fixed"/>
          <w:tblCellMar>
            <w:top w:w="0" w:type="dxa"/>
            <w:left w:w="108" w:type="dxa"/>
            <w:bottom w:w="0" w:type="dxa"/>
            <w:right w:w="108" w:type="dxa"/>
          </w:tblCellMar>
        </w:tblPrEx>
        <w:trPr>
          <w:trHeight w:val="262"/>
          <w:jc w:val="center"/>
        </w:trPr>
        <w:tc>
          <w:tcPr>
            <w:tcW w:w="1820" w:type="dxa"/>
            <w:vMerge/>
            <w:tcBorders>
              <w:top w:val="nil"/>
              <w:bottom w:val="nil"/>
            </w:tcBorders>
            <w:noWrap w:val="0"/>
            <w:vAlign w:val="center"/>
          </w:tcPr>
          <w:p>
            <w:pPr>
              <w:jc w:val="center"/>
              <w:rPr>
                <w:rFonts w:ascii="Times New Roman" w:eastAsia="仿宋" w:hAnsi="Times New Roman" w:hint="default"/>
                <w:color w:val="000000"/>
                <w:szCs w:val="21"/>
              </w:rPr>
            </w:pPr>
          </w:p>
        </w:tc>
        <w:tc>
          <w:tcPr>
            <w:tcW w:w="3144"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P</w:t>
            </w:r>
            <w:r>
              <w:rPr>
                <w:rFonts w:ascii="Times New Roman" w:eastAsia="仿宋" w:hAnsi="Times New Roman" w:cs="Times New Roman" w:hint="default"/>
                <w:color w:val="000000"/>
                <w:szCs w:val="21"/>
                <w:vertAlign w:val="subscript"/>
              </w:rPr>
              <w:t>95</w:t>
            </w:r>
          </w:p>
        </w:tc>
        <w:tc>
          <w:tcPr>
            <w:tcW w:w="2320" w:type="dxa"/>
            <w:tcBorders>
              <w:top w:val="nil"/>
              <w:bottom w:val="nil"/>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25.00</w:t>
            </w:r>
          </w:p>
        </w:tc>
      </w:tr>
      <w:tr>
        <w:tblPrEx>
          <w:tblW w:w="0" w:type="auto"/>
          <w:jc w:val="center"/>
          <w:tblLayout w:type="fixed"/>
          <w:tblCellMar>
            <w:top w:w="0" w:type="dxa"/>
            <w:left w:w="108" w:type="dxa"/>
            <w:bottom w:w="0" w:type="dxa"/>
            <w:right w:w="108" w:type="dxa"/>
          </w:tblCellMar>
        </w:tblPrEx>
        <w:trPr>
          <w:trHeight w:val="287"/>
          <w:jc w:val="center"/>
        </w:trPr>
        <w:tc>
          <w:tcPr>
            <w:tcW w:w="1820" w:type="dxa"/>
            <w:vMerge/>
            <w:tcBorders>
              <w:top w:val="nil"/>
              <w:bottom w:val="single" w:sz="12" w:space="0" w:color="auto"/>
            </w:tcBorders>
            <w:noWrap w:val="0"/>
            <w:vAlign w:val="center"/>
          </w:tcPr>
          <w:p>
            <w:pPr>
              <w:jc w:val="center"/>
              <w:rPr>
                <w:rFonts w:ascii="Times New Roman" w:eastAsia="仿宋" w:hAnsi="Times New Roman" w:hint="default"/>
                <w:color w:val="000000"/>
                <w:szCs w:val="21"/>
              </w:rPr>
            </w:pPr>
          </w:p>
        </w:tc>
        <w:tc>
          <w:tcPr>
            <w:tcW w:w="3144" w:type="dxa"/>
            <w:tcBorders>
              <w:top w:val="nil"/>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最大值</w:t>
            </w:r>
          </w:p>
        </w:tc>
        <w:tc>
          <w:tcPr>
            <w:tcW w:w="2320" w:type="dxa"/>
            <w:tcBorders>
              <w:top w:val="nil"/>
              <w:bottom w:val="single" w:sz="12" w:space="0" w:color="auto"/>
            </w:tcBorders>
            <w:noWrap w:val="0"/>
            <w:vAlign w:val="center"/>
          </w:tcPr>
          <w:p>
            <w:pPr>
              <w:jc w:val="center"/>
              <w:rPr>
                <w:rFonts w:ascii="Times New Roman" w:eastAsia="仿宋" w:hAnsi="Times New Roman" w:hint="default"/>
                <w:color w:val="000000"/>
                <w:szCs w:val="21"/>
              </w:rPr>
            </w:pPr>
            <w:r>
              <w:rPr>
                <w:rFonts w:ascii="Times New Roman" w:eastAsia="仿宋" w:hAnsi="Times New Roman" w:cs="Times New Roman" w:hint="default"/>
                <w:color w:val="000000"/>
                <w:szCs w:val="21"/>
              </w:rPr>
              <w:t>100</w:t>
            </w:r>
          </w:p>
        </w:tc>
      </w:tr>
    </w:tbl>
    <w:p>
      <w:pPr>
        <w:pStyle w:val="Footer"/>
        <w:jc w:val="center"/>
        <w:rPr>
          <w:rFonts w:ascii="Times New Roman" w:eastAsia="仿宋" w:hAnsi="Times New Roman" w:cs="Times New Roman" w:hint="default"/>
          <w:color w:val="000000"/>
        </w:rPr>
      </w:pP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bookmarkStart w:id="38" w:name="_Toc4282"/>
      <w:r>
        <w:rPr>
          <w:rFonts w:ascii="Times New Roman" w:eastAsia="仿宋" w:hAnsi="Times New Roman" w:cs="Times New Roman" w:hint="default"/>
          <w:b/>
          <w:bCs/>
          <w:sz w:val="28"/>
          <w:szCs w:val="28"/>
          <w:lang w:val="en-US" w:eastAsia="zh-CN"/>
        </w:rPr>
        <w:t>（2）相关国际组织对铅镉健康参考值结果</w:t>
      </w:r>
    </w:p>
    <w:p>
      <w:pPr>
        <w:widowControl/>
        <w:spacing w:line="360" w:lineRule="auto"/>
        <w:ind w:firstLine="480" w:firstLineChars="200"/>
        <w:jc w:val="left"/>
        <w:rPr>
          <w:rFonts w:ascii="Times New Roman" w:eastAsia="仿宋" w:hAnsi="Times New Roman" w:hint="default"/>
          <w:color w:val="000000"/>
        </w:rPr>
      </w:pPr>
      <w:r>
        <w:rPr>
          <w:rFonts w:ascii="Times New Roman" w:eastAsia="仿宋" w:hAnsi="Times New Roman" w:cs="Times New Roman" w:hint="default"/>
          <w:color w:val="000000"/>
          <w:sz w:val="24"/>
          <w:szCs w:val="24"/>
        </w:rPr>
        <w:t>联合国粮食及农业组织/世界卫生组织食品添加剂联合专家委员会(JECFA)规定镉的PTMI为每月25 μg/kg·bw</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vertAlign w:val="superscript"/>
          <w:lang w:val="en-US" w:eastAsia="zh-CN"/>
        </w:rPr>
        <w:t>12-13</w:t>
      </w:r>
      <w:r>
        <w:rPr>
          <w:rFonts w:ascii="Times New Roman" w:eastAsia="仿宋" w:hAnsi="Times New Roman" w:cs="Times New Roman" w:hint="default"/>
          <w:color w:val="000000"/>
          <w:sz w:val="24"/>
          <w:szCs w:val="24"/>
          <w:vertAlign w:val="superscript"/>
        </w:rPr>
        <w:t>]</w:t>
      </w:r>
      <w:r>
        <w:rPr>
          <w:rFonts w:ascii="Times New Roman" w:eastAsia="仿宋" w:hAnsi="Times New Roman" w:cs="Times New Roman" w:hint="default"/>
          <w:color w:val="000000"/>
          <w:sz w:val="24"/>
          <w:szCs w:val="24"/>
        </w:rPr>
        <w:t>。将镉的PTMI每月25 μg/kg·bw作为镉的健康指导值。</w:t>
      </w:r>
    </w:p>
    <w:p>
      <w:pPr>
        <w:widowControl/>
        <w:spacing w:line="360" w:lineRule="auto"/>
        <w:ind w:firstLine="480" w:firstLineChars="200"/>
        <w:jc w:val="left"/>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rPr>
        <w:t>2010年JECFA取消了铅的PTWI值（</w:t>
      </w:r>
      <w:r>
        <w:rPr>
          <w:rFonts w:ascii="Times New Roman" w:eastAsia="仿宋" w:hAnsi="Times New Roman" w:cs="Times New Roman" w:hint="default"/>
          <w:color w:val="000000"/>
          <w:szCs w:val="21"/>
        </w:rPr>
        <w:t>25 µg/kg</w:t>
      </w:r>
      <w:r>
        <w:rPr>
          <w:rFonts w:ascii="Times New Roman" w:eastAsia="仿宋" w:hAnsi="Times New Roman" w:cs="Times New Roman" w:hint="default"/>
          <w:color w:val="000000"/>
          <w:szCs w:val="21"/>
          <w:lang w:val="en-US" w:eastAsia="zh-CN"/>
        </w:rPr>
        <w:t>.</w:t>
      </w:r>
      <w:r>
        <w:rPr>
          <w:rFonts w:ascii="Times New Roman" w:eastAsia="仿宋" w:hAnsi="Times New Roman" w:cs="Times New Roman" w:hint="default"/>
          <w:color w:val="000000"/>
          <w:szCs w:val="21"/>
        </w:rPr>
        <w:t>BW）</w:t>
      </w:r>
      <w:r>
        <w:rPr>
          <w:rFonts w:ascii="Times New Roman" w:eastAsia="仿宋" w:hAnsi="Times New Roman" w:cs="Times New Roman" w:hint="default"/>
          <w:color w:val="000000"/>
          <w:sz w:val="24"/>
          <w:szCs w:val="24"/>
        </w:rPr>
        <w:t>，但JECFA经过评估后，决定采用WHO提出的成人心血管收缩压上升1mm Hg作为毒性效应终点的基准剂量下限值(BMDL</w:t>
      </w:r>
      <w:r>
        <w:rPr>
          <w:rFonts w:ascii="Times New Roman" w:eastAsia="仿宋" w:hAnsi="Times New Roman" w:cs="Times New Roman" w:hint="default"/>
          <w:color w:val="000000"/>
          <w:sz w:val="24"/>
          <w:szCs w:val="24"/>
          <w:vertAlign w:val="subscript"/>
        </w:rPr>
        <w:t>0.1</w:t>
      </w:r>
      <w:r>
        <w:rPr>
          <w:rFonts w:ascii="Times New Roman" w:eastAsia="仿宋" w:hAnsi="Times New Roman" w:cs="Times New Roman" w:hint="default"/>
          <w:color w:val="000000"/>
          <w:sz w:val="24"/>
          <w:szCs w:val="24"/>
        </w:rPr>
        <w:t>)每日1.2μg/kg·bw</w:t>
      </w:r>
      <w:r>
        <w:rPr>
          <w:rFonts w:ascii="Times New Roman" w:eastAsia="仿宋" w:hAnsi="Times New Roman" w:cs="Times New Roman" w:hint="default"/>
          <w:color w:val="000000"/>
          <w:sz w:val="24"/>
          <w:szCs w:val="24"/>
          <w:vertAlign w:val="superscript"/>
          <w:lang w:val="en-US" w:eastAsia="zh-CN"/>
        </w:rPr>
        <w:t>[14]</w:t>
      </w:r>
      <w:r>
        <w:rPr>
          <w:rFonts w:ascii="Times New Roman" w:eastAsia="仿宋" w:hAnsi="Times New Roman" w:cs="Times New Roman" w:hint="default"/>
          <w:color w:val="000000"/>
          <w:sz w:val="24"/>
          <w:szCs w:val="24"/>
        </w:rPr>
        <w:t>。</w:t>
      </w:r>
    </w:p>
    <w:bookmarkEnd w:id="38"/>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（3）铅和镉的限量值的计算</w:t>
      </w:r>
    </w:p>
    <w:bookmarkEnd w:id="37"/>
    <w:p>
      <w:pPr>
        <w:widowControl/>
        <w:spacing w:line="360" w:lineRule="auto"/>
        <w:ind w:firstLine="480" w:firstLineChars="200"/>
        <w:jc w:val="left"/>
        <w:rPr>
          <w:rFonts w:ascii="Times New Roman" w:eastAsia="仿宋" w:hAnsi="Times New Roman" w:hint="default"/>
          <w:color w:val="000000"/>
          <w:sz w:val="24"/>
          <w:szCs w:val="24"/>
        </w:rPr>
      </w:pPr>
      <w:r>
        <w:rPr>
          <w:rFonts w:ascii="Times New Roman" w:eastAsia="仿宋" w:hAnsi="Times New Roman" w:cs="Times New Roman" w:hint="default"/>
          <w:color w:val="000000"/>
          <w:sz w:val="24"/>
          <w:szCs w:val="24"/>
        </w:rPr>
        <w:t>参照食品中有毒有害物质限量标准的制定程序</w:t>
      </w:r>
      <w:r>
        <w:rPr>
          <w:rFonts w:ascii="Times New Roman" w:eastAsia="仿宋" w:hAnsi="Times New Roman" w:cs="Times New Roman" w:hint="default"/>
          <w:color w:val="000000"/>
          <w:sz w:val="24"/>
          <w:szCs w:val="24"/>
          <w:lang w:eastAsia="zh-CN"/>
        </w:rPr>
        <w:t>，</w:t>
      </w:r>
      <w:r>
        <w:rPr>
          <w:rFonts w:ascii="Times New Roman" w:eastAsia="仿宋" w:hAnsi="Times New Roman" w:cs="Times New Roman" w:hint="default"/>
          <w:color w:val="000000"/>
          <w:sz w:val="24"/>
          <w:szCs w:val="24"/>
          <w:lang w:val="en-US" w:eastAsia="zh-CN"/>
        </w:rPr>
        <w:t>根据铅、镉健康参考值和折耳根膳食量，参照下列计算公式计算折耳根中铅、镉</w:t>
      </w:r>
      <w:r>
        <w:rPr>
          <w:rFonts w:ascii="Times New Roman" w:eastAsia="仿宋" w:hAnsi="Times New Roman" w:cs="Times New Roman" w:hint="default"/>
          <w:color w:val="000000"/>
          <w:sz w:val="24"/>
          <w:szCs w:val="24"/>
        </w:rPr>
        <w:t>最大限量理论值(L)</w:t>
      </w:r>
      <w:r>
        <w:rPr>
          <w:rFonts w:ascii="Times New Roman" w:eastAsia="仿宋" w:hAnsi="Times New Roman" w:cs="Times New Roman" w:hint="default"/>
          <w:color w:val="000000"/>
          <w:sz w:val="24"/>
          <w:szCs w:val="24"/>
          <w:lang w:eastAsia="zh-CN"/>
        </w:rPr>
        <w:t>：</w:t>
      </w:r>
    </w:p>
    <w:p>
      <w:pPr>
        <w:widowControl/>
        <w:spacing w:line="360" w:lineRule="auto"/>
        <w:ind w:firstLine="480" w:firstLineChars="200"/>
        <w:jc w:val="center"/>
        <w:rPr>
          <w:rFonts w:ascii="Times New Roman" w:eastAsia="仿宋" w:hAnsi="Times New Roman" w:hint="default"/>
          <w:sz w:val="24"/>
          <w:szCs w:val="24"/>
        </w:rPr>
      </w:pPr>
      <w:r>
        <w:rPr>
          <w:rFonts w:ascii="Times New Roman" w:eastAsia="仿宋" w:hAnsi="Times New Roman" w:cs="Times New Roman" w:hint="default"/>
          <w:position w:val="-24"/>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9pt;height:31pt" o:ole="" coordsize="21600,21600" o:preferrelative="t" filled="f" stroked="f">
            <v:imagedata r:id="rId27" o:title=""/>
            <o:lock v:ext="edit" aspectratio="t"/>
            <w10:anchorlock/>
          </v:shape>
          <o:OLEObject Type="Embed" ProgID="Equation.KSEE3" ShapeID="_x0000_i1025" DrawAspect="Content" ObjectID="_1468075725" r:id="rId28"/>
        </w:object>
      </w:r>
    </w:p>
    <w:p>
      <w:pPr>
        <w:widowControl/>
        <w:spacing w:line="360" w:lineRule="auto"/>
        <w:jc w:val="center"/>
        <w:rPr>
          <w:rFonts w:ascii="Times New Roman" w:eastAsia="仿宋" w:hAnsi="Times New Roman" w:hint="default"/>
          <w:sz w:val="24"/>
          <w:szCs w:val="24"/>
        </w:rPr>
      </w:pPr>
      <w:r>
        <w:rPr>
          <w:rFonts w:ascii="Times New Roman" w:eastAsia="仿宋" w:hAnsi="Times New Roman" w:cs="Times New Roman" w:hint="default"/>
          <w:position w:val="-24"/>
          <w:sz w:val="24"/>
          <w:szCs w:val="24"/>
          <w:lang w:val="en-US" w:eastAsia="zh-CN"/>
        </w:rPr>
        <w:t xml:space="preserve">   </w:t>
      </w:r>
      <w:r>
        <w:rPr>
          <w:rFonts w:ascii="Times New Roman" w:eastAsia="仿宋" w:hAnsi="Times New Roman" w:cs="Times New Roman" w:hint="default"/>
          <w:position w:val="-24"/>
          <w:sz w:val="24"/>
          <w:szCs w:val="24"/>
        </w:rPr>
        <w:object>
          <v:shape id="_x0000_i1026" type="#_x0000_t75" style="width:111.9pt;height:31pt" o:ole="" coordsize="21600,21600" o:preferrelative="t" filled="f" stroked="f">
            <v:imagedata r:id="rId29" o:title=""/>
            <o:lock v:ext="edit" aspectratio="t"/>
            <w10:anchorlock/>
          </v:shape>
          <o:OLEObject Type="Embed" ProgID="Equation.KSEE3" ShapeID="_x0000_i1026" DrawAspect="Content" ObjectID="_1468075726" r:id="rId30"/>
        </w:object>
      </w:r>
    </w:p>
    <w:p>
      <w:pPr>
        <w:widowControl/>
        <w:spacing w:line="360" w:lineRule="auto"/>
        <w:jc w:val="left"/>
        <w:rPr>
          <w:rFonts w:ascii="Times New Roman" w:eastAsia="仿宋" w:hAnsi="Times New Roman" w:hint="default"/>
          <w:sz w:val="24"/>
          <w:szCs w:val="24"/>
        </w:rPr>
        <w:sectPr>
          <w:footerReference w:type="default" r:id="rId3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9"/>
          <w:cols w:num="1" w:space="720"/>
          <w:titlePg w:val="0"/>
          <w:docGrid w:type="lines" w:linePitch="312" w:charSpace="0"/>
        </w:sectPr>
      </w:pPr>
      <w:r>
        <w:rPr>
          <w:rFonts w:ascii="Times New Roman" w:eastAsia="仿宋" w:hAnsi="Times New Roman" w:cs="Times New Roman" w:hint="default"/>
          <w:sz w:val="24"/>
          <w:szCs w:val="24"/>
        </w:rPr>
        <w:t>式中，</w:t>
      </w:r>
      <w:r>
        <w:rPr>
          <w:rFonts w:ascii="Times New Roman" w:eastAsia="仿宋" w:hAnsi="Times New Roman" w:cs="Times New Roman" w:hint="default"/>
          <w:i/>
          <w:iCs/>
          <w:sz w:val="24"/>
          <w:szCs w:val="24"/>
        </w:rPr>
        <w:t>L</w:t>
      </w:r>
      <w:r>
        <w:rPr>
          <w:rFonts w:ascii="Times New Roman" w:eastAsia="仿宋" w:hAnsi="Times New Roman" w:cs="Times New Roman" w:hint="default"/>
          <w:sz w:val="24"/>
          <w:szCs w:val="24"/>
        </w:rPr>
        <w:t>为</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中铅、镉的最大限量理论值，mg/kg；PT</w:t>
      </w:r>
      <w:r>
        <w:rPr>
          <w:rFonts w:ascii="Times New Roman" w:eastAsia="仿宋" w:hAnsi="Times New Roman" w:cs="Times New Roman" w:hint="default"/>
          <w:sz w:val="24"/>
          <w:szCs w:val="24"/>
          <w:lang w:val="en-US" w:eastAsia="zh-CN"/>
        </w:rPr>
        <w:t>M</w:t>
      </w:r>
      <w:r>
        <w:rPr>
          <w:rFonts w:ascii="Times New Roman" w:eastAsia="仿宋" w:hAnsi="Times New Roman" w:cs="Times New Roman" w:hint="default"/>
          <w:sz w:val="24"/>
          <w:szCs w:val="24"/>
        </w:rPr>
        <w:t>I为</w:t>
      </w:r>
      <w:r>
        <w:rPr>
          <w:rFonts w:ascii="Times New Roman" w:eastAsia="仿宋" w:hAnsi="Times New Roman" w:cs="Times New Roman" w:hint="default"/>
          <w:sz w:val="24"/>
          <w:szCs w:val="24"/>
          <w:lang w:val="en-US" w:eastAsia="zh-CN"/>
        </w:rPr>
        <w:t xml:space="preserve">镉的每月可耐受摄入量( PTMI) 25 μg / kg BW </w:t>
      </w:r>
      <w:r>
        <w:rPr>
          <w:rFonts w:ascii="Times New Roman" w:eastAsia="仿宋" w:hAnsi="Times New Roman" w:cs="Times New Roman" w:hint="default"/>
          <w:sz w:val="24"/>
          <w:szCs w:val="24"/>
        </w:rPr>
        <w:t>，BMDL</w:t>
      </w:r>
      <w:r>
        <w:rPr>
          <w:rFonts w:ascii="Times New Roman" w:eastAsia="仿宋" w:hAnsi="Times New Roman" w:cs="Times New Roman" w:hint="default"/>
          <w:sz w:val="24"/>
          <w:szCs w:val="24"/>
          <w:lang w:val="en-US" w:eastAsia="zh-CN"/>
        </w:rPr>
        <w:t>为铅的</w:t>
      </w:r>
      <w:r>
        <w:rPr>
          <w:rFonts w:ascii="Times New Roman" w:eastAsia="仿宋" w:hAnsi="Times New Roman" w:cs="Times New Roman" w:hint="default"/>
          <w:sz w:val="24"/>
          <w:szCs w:val="24"/>
        </w:rPr>
        <w:t>毒性效应终点的基准剂量</w:t>
      </w:r>
      <w:r>
        <w:rPr>
          <w:rFonts w:ascii="Times New Roman" w:eastAsia="仿宋" w:hAnsi="Times New Roman" w:cs="Times New Roman" w:hint="default"/>
          <w:color w:val="000000"/>
          <w:sz w:val="24"/>
          <w:szCs w:val="24"/>
        </w:rPr>
        <w:t>下限值</w:t>
      </w:r>
    </w:p>
    <w:p>
      <w:pPr>
        <w:widowControl/>
        <w:spacing w:line="360" w:lineRule="auto"/>
        <w:jc w:val="left"/>
        <w:rPr>
          <w:rFonts w:ascii="Times New Roman" w:eastAsia="仿宋" w:hAnsi="Times New Roman" w:hint="default"/>
          <w:sz w:val="24"/>
          <w:szCs w:val="24"/>
        </w:rPr>
      </w:pPr>
      <w:r>
        <w:rPr>
          <w:rFonts w:ascii="Times New Roman" w:eastAsia="仿宋" w:hAnsi="Times New Roman" w:cs="Times New Roman" w:hint="default"/>
          <w:color w:val="000000"/>
          <w:sz w:val="24"/>
          <w:szCs w:val="24"/>
          <w:lang w:val="en-US" w:eastAsia="zh-CN"/>
        </w:rPr>
        <w:t>1.2</w:t>
      </w:r>
      <w:r>
        <w:rPr>
          <w:rFonts w:ascii="Times New Roman" w:eastAsia="仿宋" w:hAnsi="Times New Roman" w:cs="Times New Roman" w:hint="default"/>
          <w:sz w:val="24"/>
          <w:szCs w:val="24"/>
        </w:rPr>
        <w:t>μg/kg·bw；</w:t>
      </w:r>
      <w:r>
        <w:rPr>
          <w:rFonts w:ascii="Times New Roman" w:eastAsia="仿宋" w:hAnsi="Times New Roman" w:cs="Times New Roman" w:hint="default"/>
          <w:i/>
          <w:iCs/>
          <w:sz w:val="24"/>
          <w:szCs w:val="24"/>
        </w:rPr>
        <w:t>W</w:t>
      </w:r>
      <w:r>
        <w:rPr>
          <w:rFonts w:ascii="Times New Roman" w:eastAsia="仿宋" w:hAnsi="Times New Roman" w:cs="Times New Roman" w:hint="default"/>
          <w:sz w:val="24"/>
          <w:szCs w:val="24"/>
        </w:rPr>
        <w:t>为人体平均体重，kg，以55 kg计；</w:t>
      </w:r>
      <w:r>
        <w:rPr>
          <w:rFonts w:ascii="Times New Roman" w:eastAsia="仿宋" w:hAnsi="Times New Roman" w:cs="Times New Roman" w:hint="default"/>
          <w:i/>
          <w:iCs/>
          <w:sz w:val="24"/>
          <w:szCs w:val="24"/>
        </w:rPr>
        <w:t>M</w:t>
      </w:r>
      <w:r>
        <w:rPr>
          <w:rFonts w:ascii="Times New Roman" w:eastAsia="仿宋" w:hAnsi="Times New Roman" w:cs="Times New Roman" w:hint="default"/>
          <w:sz w:val="24"/>
          <w:szCs w:val="24"/>
        </w:rPr>
        <w:t>为</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的每日平均摄入量，g，以12.35g计；10</w:t>
      </w:r>
      <w:r>
        <w:rPr>
          <w:rFonts w:ascii="Times New Roman" w:eastAsia="仿宋" w:hAnsi="Times New Roman" w:cs="Times New Roman" w:hint="default"/>
          <w:sz w:val="24"/>
          <w:szCs w:val="24"/>
          <w:lang w:val="en-US" w:eastAsia="zh-CN"/>
        </w:rPr>
        <w:t>%</w:t>
      </w:r>
      <w:r>
        <w:rPr>
          <w:rFonts w:ascii="Times New Roman" w:eastAsia="仿宋" w:hAnsi="Times New Roman" w:cs="Times New Roman" w:hint="default"/>
          <w:sz w:val="24"/>
          <w:szCs w:val="24"/>
        </w:rPr>
        <w:t>为安全因子，表示</w:t>
      </w:r>
      <w:r>
        <w:rPr>
          <w:rFonts w:ascii="Times New Roman" w:eastAsia="仿宋" w:hAnsi="Times New Roman" w:cs="Times New Roman" w:hint="default"/>
          <w:sz w:val="24"/>
          <w:szCs w:val="24"/>
          <w:lang w:val="en-US" w:eastAsia="zh-CN"/>
        </w:rPr>
        <w:t>膳食折耳根暴露重金属铅镉的量不超过总量的</w:t>
      </w:r>
      <w:r>
        <w:rPr>
          <w:rFonts w:ascii="Times New Roman" w:eastAsia="仿宋" w:hAnsi="Times New Roman" w:cs="Times New Roman" w:hint="default"/>
          <w:sz w:val="24"/>
          <w:szCs w:val="24"/>
        </w:rPr>
        <w:t>10%。</w:t>
      </w:r>
    </w:p>
    <w:p>
      <w:pPr>
        <w:pStyle w:val="Footer"/>
        <w:widowControl w:val="0"/>
        <w:numPr>
          <w:ilvl w:val="0"/>
          <w:numId w:val="0"/>
        </w:numPr>
        <w:snapToGrid w:val="0"/>
        <w:spacing w:line="360" w:lineRule="auto"/>
        <w:ind w:firstLine="480" w:firstLineChars="200"/>
        <w:jc w:val="left"/>
        <w:rPr>
          <w:rFonts w:ascii="Times New Roman" w:eastAsia="仿宋" w:hAnsi="Times New Roman" w:cs="Times New Roman" w:hint="default"/>
          <w:sz w:val="24"/>
          <w:szCs w:val="24"/>
        </w:rPr>
      </w:pPr>
      <w:r>
        <w:rPr>
          <w:rFonts w:ascii="Times New Roman" w:eastAsia="仿宋" w:hAnsi="Times New Roman" w:cs="Times New Roman" w:hint="default"/>
          <w:sz w:val="24"/>
          <w:szCs w:val="24"/>
        </w:rPr>
        <w:t>由公式计算得到铅、镉最大限量理论值分别为0.5</w:t>
      </w:r>
      <w:r>
        <w:rPr>
          <w:rFonts w:ascii="Times New Roman" w:eastAsia="仿宋" w:hAnsi="Times New Roman" w:cs="Times New Roman" w:hint="default"/>
          <w:sz w:val="24"/>
          <w:szCs w:val="24"/>
          <w:lang w:val="en-US" w:eastAsia="zh-CN"/>
        </w:rPr>
        <w:t>34</w:t>
      </w:r>
      <w:r>
        <w:rPr>
          <w:rFonts w:ascii="Times New Roman" w:eastAsia="仿宋" w:hAnsi="Times New Roman" w:cs="Times New Roman" w:hint="default"/>
          <w:sz w:val="24"/>
          <w:szCs w:val="24"/>
        </w:rPr>
        <w:t>mg/kg、0.3</w:t>
      </w:r>
      <w:r>
        <w:rPr>
          <w:rFonts w:ascii="Times New Roman" w:eastAsia="仿宋" w:hAnsi="Times New Roman" w:cs="Times New Roman" w:hint="default"/>
          <w:sz w:val="24"/>
          <w:szCs w:val="24"/>
          <w:lang w:val="en-US" w:eastAsia="zh-CN"/>
        </w:rPr>
        <w:t>71</w:t>
      </w:r>
      <w:r>
        <w:rPr>
          <w:rFonts w:ascii="Times New Roman" w:eastAsia="仿宋" w:hAnsi="Times New Roman" w:cs="Times New Roman" w:hint="default"/>
          <w:sz w:val="24"/>
          <w:szCs w:val="24"/>
        </w:rPr>
        <w:t>mg/kg，适当取整后调整为0.5mg/kg、0.3mg/kg。</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jc w:val="left"/>
        <w:textAlignment w:val="auto"/>
        <w:rPr>
          <w:rFonts w:ascii="Times New Roman" w:eastAsia="仿宋" w:hAnsi="Times New Roman" w:hint="default"/>
          <w:b/>
          <w:bCs/>
          <w:sz w:val="28"/>
          <w:szCs w:val="28"/>
        </w:rPr>
      </w:pPr>
      <w:r>
        <w:rPr>
          <w:rFonts w:ascii="Times New Roman" w:eastAsia="仿宋" w:hAnsi="Times New Roman" w:cs="Times New Roman" w:hint="default"/>
          <w:b/>
          <w:bCs/>
          <w:sz w:val="28"/>
          <w:szCs w:val="28"/>
          <w:lang w:val="en-US" w:eastAsia="zh-CN"/>
        </w:rPr>
        <w:t>（4）铅镉限值设置的合理性</w:t>
      </w:r>
    </w:p>
    <w:p>
      <w:pPr>
        <w:spacing w:line="360" w:lineRule="auto"/>
        <w:ind w:firstLine="480"/>
        <w:jc w:val="left"/>
        <w:rPr>
          <w:rFonts w:ascii="Times New Roman" w:eastAsia="仿宋" w:hAnsi="Times New Roman" w:hint="default"/>
          <w:color w:val="000000"/>
          <w:sz w:val="24"/>
          <w:szCs w:val="24"/>
        </w:rPr>
      </w:pPr>
      <w:r>
        <w:rPr>
          <w:rFonts w:ascii="Times New Roman" w:eastAsia="仿宋" w:hAnsi="Times New Roman" w:cs="Times New Roman" w:hint="default"/>
          <w:sz w:val="24"/>
          <w:szCs w:val="24"/>
          <w:lang w:val="en-US" w:eastAsia="zh-CN"/>
        </w:rPr>
        <w:t>通过折耳根膳食消费量和我省折耳根中铅镉的含量水平推算出的铅限值0.5mg/kg、镉限值0.3mg/kg与现行有效的国标《食品安全国家标准 食品中污染物限量》（GB 2762）中叶类蔬菜铅限值0.3mg/kg、镉限值0.2mg/kg考量，比较我省折耳根中铅和镉的超标比例（详见表8），结果表明，若折耳根中铅限值0.3mg/kg、镉限值0.2mg/kg，铅的超标率高）达30.20%、镉的超标率为20.93%，超标率过高，易引起民众恐慌。若按铅限值0.5mg/kg、镉限值0.3mg/kg，我省市售折耳根中铅的超标率为16.83%，镉的超标率为8.24%，这与我省典型的喀斯特地貌特征，土壤中重金属高背景特点及折耳根易于富集铅镉重金属元素导致折耳根中铅镉高含量相符。同时，</w:t>
      </w:r>
      <w:r>
        <w:rPr>
          <w:rFonts w:ascii="Times New Roman" w:eastAsia="仿宋" w:hAnsi="Times New Roman" w:cs="Times New Roman" w:hint="default"/>
          <w:color w:val="000000"/>
          <w:sz w:val="24"/>
          <w:szCs w:val="24"/>
        </w:rPr>
        <w:t>《中国居民膳食指南2022》中推荐每天新鲜蔬菜摄入不少于300g的建议，以我国《食品安全国家标准 食品中污染物限量》(GB 2762-2022)中规定新鲜蔬菜中铅、镉的最大允许残留限量分别为0.1mg/kg、0.05 mg/kg，</w:t>
      </w:r>
      <w:r>
        <w:rPr>
          <w:rFonts w:ascii="Times New Roman" w:eastAsia="仿宋" w:hAnsi="Times New Roman" w:cs="Times New Roman" w:hint="default"/>
          <w:color w:val="000000"/>
          <w:sz w:val="24"/>
          <w:szCs w:val="24"/>
          <w:lang w:val="en-US" w:eastAsia="zh-CN"/>
        </w:rPr>
        <w:t>叶类蔬菜中</w:t>
      </w:r>
      <w:r>
        <w:rPr>
          <w:rFonts w:ascii="Times New Roman" w:eastAsia="仿宋" w:hAnsi="Times New Roman" w:cs="Times New Roman" w:hint="default"/>
          <w:color w:val="000000"/>
          <w:sz w:val="24"/>
          <w:szCs w:val="24"/>
        </w:rPr>
        <w:t>铅、镉的最大允许残留限量分别为0.</w:t>
      </w:r>
      <w:r>
        <w:rPr>
          <w:rFonts w:ascii="Times New Roman" w:eastAsia="仿宋" w:hAnsi="Times New Roman" w:cs="Times New Roman" w:hint="default"/>
          <w:color w:val="000000"/>
          <w:sz w:val="24"/>
          <w:szCs w:val="24"/>
          <w:lang w:val="en-US" w:eastAsia="zh-CN"/>
        </w:rPr>
        <w:t>3</w:t>
      </w:r>
      <w:r>
        <w:rPr>
          <w:rFonts w:ascii="Times New Roman" w:eastAsia="仿宋" w:hAnsi="Times New Roman" w:cs="Times New Roman" w:hint="default"/>
          <w:color w:val="000000"/>
          <w:sz w:val="24"/>
          <w:szCs w:val="24"/>
        </w:rPr>
        <w:t>mg/kg、0.</w:t>
      </w:r>
      <w:r>
        <w:rPr>
          <w:rFonts w:ascii="Times New Roman" w:eastAsia="仿宋" w:hAnsi="Times New Roman" w:cs="Times New Roman" w:hint="default"/>
          <w:color w:val="000000"/>
          <w:sz w:val="24"/>
          <w:szCs w:val="24"/>
          <w:lang w:val="en-US" w:eastAsia="zh-CN"/>
        </w:rPr>
        <w:t>2</w:t>
      </w:r>
      <w:r>
        <w:rPr>
          <w:rFonts w:ascii="Times New Roman" w:eastAsia="仿宋" w:hAnsi="Times New Roman" w:cs="Times New Roman" w:hint="default"/>
          <w:color w:val="000000"/>
          <w:sz w:val="24"/>
          <w:szCs w:val="24"/>
        </w:rPr>
        <w:t>mg/kg</w:t>
      </w:r>
      <w:r>
        <w:rPr>
          <w:rFonts w:ascii="Times New Roman" w:eastAsia="仿宋" w:hAnsi="Times New Roman" w:cs="Times New Roman" w:hint="default"/>
          <w:color w:val="000000"/>
          <w:sz w:val="24"/>
          <w:szCs w:val="24"/>
          <w:lang w:val="en-US" w:eastAsia="zh-CN"/>
        </w:rPr>
        <w:t>计算比较，</w:t>
      </w:r>
      <w:r>
        <w:rPr>
          <w:rFonts w:ascii="Times New Roman" w:eastAsia="仿宋" w:hAnsi="Times New Roman" w:cs="Times New Roman" w:hint="default"/>
          <w:color w:val="000000"/>
          <w:sz w:val="24"/>
          <w:szCs w:val="24"/>
        </w:rPr>
        <w:t>新鲜蔬菜中铅、镉的每日膳食最大允许量分别为30μg、15μg，</w:t>
      </w:r>
      <w:r>
        <w:rPr>
          <w:rFonts w:ascii="Times New Roman" w:eastAsia="仿宋" w:hAnsi="Times New Roman" w:cs="Times New Roman" w:hint="default"/>
          <w:color w:val="000000"/>
          <w:sz w:val="24"/>
          <w:szCs w:val="24"/>
          <w:lang w:val="en-US" w:eastAsia="zh-CN"/>
        </w:rPr>
        <w:t>叶类蔬菜中</w:t>
      </w:r>
      <w:r>
        <w:rPr>
          <w:rFonts w:ascii="Times New Roman" w:eastAsia="仿宋" w:hAnsi="Times New Roman" w:cs="Times New Roman" w:hint="default"/>
          <w:color w:val="000000"/>
          <w:sz w:val="24"/>
          <w:szCs w:val="24"/>
        </w:rPr>
        <w:t>铅、镉的每日膳食最大允许量分别为</w:t>
      </w:r>
      <w:r>
        <w:rPr>
          <w:rFonts w:ascii="Times New Roman" w:eastAsia="仿宋" w:hAnsi="Times New Roman" w:cs="Times New Roman" w:hint="default"/>
          <w:color w:val="000000"/>
          <w:sz w:val="24"/>
          <w:szCs w:val="24"/>
          <w:lang w:val="en-US" w:eastAsia="zh-CN"/>
        </w:rPr>
        <w:t>90</w:t>
      </w:r>
      <w:r>
        <w:rPr>
          <w:rFonts w:ascii="Times New Roman" w:eastAsia="仿宋" w:hAnsi="Times New Roman" w:cs="Times New Roman" w:hint="default"/>
          <w:color w:val="000000"/>
          <w:sz w:val="24"/>
          <w:szCs w:val="24"/>
        </w:rPr>
        <w:t>μg</w:t>
      </w:r>
      <w:r>
        <w:rPr>
          <w:rFonts w:ascii="Times New Roman" w:eastAsia="仿宋" w:hAnsi="Times New Roman" w:cs="Times New Roman" w:hint="default"/>
          <w:color w:val="000000"/>
          <w:sz w:val="24"/>
          <w:szCs w:val="24"/>
          <w:lang w:val="en-US" w:eastAsia="zh-CN"/>
        </w:rPr>
        <w:t>和60</w:t>
      </w:r>
      <w:r>
        <w:rPr>
          <w:rFonts w:ascii="Times New Roman" w:eastAsia="仿宋" w:hAnsi="Times New Roman" w:cs="Times New Roman" w:hint="default"/>
          <w:color w:val="000000"/>
          <w:sz w:val="24"/>
          <w:szCs w:val="24"/>
        </w:rPr>
        <w:t>μg</w:t>
      </w:r>
      <w:r>
        <w:rPr>
          <w:rFonts w:ascii="Times New Roman" w:eastAsia="仿宋" w:hAnsi="Times New Roman" w:cs="Times New Roman" w:hint="default"/>
          <w:color w:val="000000"/>
          <w:sz w:val="24"/>
          <w:szCs w:val="24"/>
          <w:lang w:val="en-US" w:eastAsia="zh-CN"/>
        </w:rPr>
        <w:t>，</w:t>
      </w:r>
      <w:r>
        <w:rPr>
          <w:rFonts w:ascii="Times New Roman" w:eastAsia="仿宋" w:hAnsi="Times New Roman" w:cs="Times New Roman" w:hint="default"/>
          <w:color w:val="000000"/>
          <w:sz w:val="24"/>
          <w:szCs w:val="24"/>
        </w:rPr>
        <w:t>各市(州)</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高消费人群膳食</w:t>
      </w: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的铅、镉日均暴露量(分别为26.8μg、13.6μg)相比，</w:t>
      </w:r>
      <w:r>
        <w:rPr>
          <w:rFonts w:ascii="Times New Roman" w:eastAsia="仿宋" w:hAnsi="Times New Roman" w:cs="Times New Roman" w:hint="default"/>
          <w:color w:val="000000"/>
          <w:sz w:val="24"/>
          <w:szCs w:val="24"/>
          <w:lang w:val="en-US" w:eastAsia="zh-CN"/>
        </w:rPr>
        <w:t>膳食折耳根暴露铅、镉的量</w:t>
      </w:r>
      <w:r>
        <w:rPr>
          <w:rFonts w:ascii="Times New Roman" w:eastAsia="仿宋" w:hAnsi="Times New Roman" w:cs="Times New Roman" w:hint="default"/>
          <w:color w:val="000000"/>
          <w:sz w:val="24"/>
          <w:szCs w:val="24"/>
        </w:rPr>
        <w:t>仍低于</w:t>
      </w:r>
      <w:r>
        <w:rPr>
          <w:rFonts w:ascii="Times New Roman" w:eastAsia="仿宋" w:hAnsi="Times New Roman" w:cs="Times New Roman" w:hint="default"/>
          <w:color w:val="000000"/>
          <w:sz w:val="24"/>
          <w:szCs w:val="24"/>
          <w:lang w:val="en-US" w:eastAsia="zh-CN"/>
        </w:rPr>
        <w:t>膳食新鲜蔬菜中</w:t>
      </w:r>
      <w:r>
        <w:rPr>
          <w:rFonts w:ascii="Times New Roman" w:eastAsia="仿宋" w:hAnsi="Times New Roman" w:cs="Times New Roman" w:hint="default"/>
          <w:color w:val="000000"/>
          <w:sz w:val="24"/>
          <w:szCs w:val="24"/>
        </w:rPr>
        <w:t>铅、镉的日均</w:t>
      </w:r>
      <w:r>
        <w:rPr>
          <w:rFonts w:ascii="Times New Roman" w:eastAsia="仿宋" w:hAnsi="Times New Roman" w:cs="Times New Roman" w:hint="default"/>
          <w:color w:val="000000"/>
          <w:sz w:val="24"/>
          <w:szCs w:val="24"/>
          <w:lang w:val="en-US" w:eastAsia="zh-CN"/>
        </w:rPr>
        <w:t>膳食暴露</w:t>
      </w:r>
      <w:r>
        <w:rPr>
          <w:rFonts w:ascii="Times New Roman" w:eastAsia="仿宋" w:hAnsi="Times New Roman" w:cs="Times New Roman" w:hint="default"/>
          <w:color w:val="000000"/>
          <w:sz w:val="24"/>
          <w:szCs w:val="24"/>
        </w:rPr>
        <w:t>最大允许量，</w:t>
      </w:r>
      <w:r>
        <w:rPr>
          <w:rFonts w:ascii="Times New Roman" w:eastAsia="仿宋" w:hAnsi="Times New Roman" w:cs="Times New Roman" w:hint="default"/>
          <w:color w:val="000000"/>
          <w:sz w:val="24"/>
          <w:szCs w:val="24"/>
          <w:lang w:val="en-US" w:eastAsia="zh-CN"/>
        </w:rPr>
        <w:t>远低于叶类蔬菜膳食暴露量，</w:t>
      </w:r>
      <w:r>
        <w:rPr>
          <w:rFonts w:ascii="Times New Roman" w:eastAsia="仿宋" w:hAnsi="Times New Roman" w:cs="Times New Roman" w:hint="default"/>
          <w:color w:val="000000"/>
          <w:sz w:val="24"/>
          <w:szCs w:val="24"/>
        </w:rPr>
        <w:t>即整体暴露风险可控</w:t>
      </w:r>
      <w:r>
        <w:rPr>
          <w:rFonts w:ascii="Times New Roman" w:eastAsia="仿宋" w:hAnsi="Times New Roman" w:cs="Times New Roman" w:hint="default"/>
          <w:color w:val="000000"/>
          <w:sz w:val="24"/>
          <w:szCs w:val="24"/>
          <w:lang w:eastAsia="zh-CN"/>
        </w:rPr>
        <w:t>。</w:t>
      </w:r>
    </w:p>
    <w:p>
      <w:pPr>
        <w:ind w:firstLine="420" w:firstLineChars="200"/>
        <w:jc w:val="center"/>
        <w:rPr>
          <w:rFonts w:ascii="Times New Roman" w:eastAsia="仿宋" w:hAnsi="Times New Roman" w:hint="default"/>
          <w:color w:val="000000"/>
          <w:kern w:val="0"/>
          <w:szCs w:val="21"/>
          <w:lang w:bidi="ar"/>
        </w:rPr>
      </w:pPr>
    </w:p>
    <w:p>
      <w:pPr>
        <w:ind w:firstLine="420" w:firstLineChars="200"/>
        <w:jc w:val="center"/>
        <w:rPr>
          <w:rFonts w:ascii="Times New Roman" w:eastAsia="仿宋" w:hAnsi="Times New Roman" w:hint="default"/>
          <w:color w:val="000000"/>
          <w:kern w:val="0"/>
          <w:szCs w:val="21"/>
          <w:lang w:bidi="ar"/>
        </w:rPr>
      </w:pPr>
      <w:r>
        <w:rPr>
          <w:rFonts w:ascii="Times New Roman" w:eastAsia="仿宋" w:hAnsi="Times New Roman" w:cs="Times New Roman" w:hint="default"/>
          <w:color w:val="000000"/>
          <w:kern w:val="0"/>
          <w:szCs w:val="21"/>
          <w:lang w:val="en-US" w:eastAsia="zh-CN" w:bidi="ar"/>
        </w:rPr>
        <w:t>表8 不同铅镉含量限值折耳根样品超标率</w:t>
      </w:r>
    </w:p>
    <w:tbl>
      <w:tblPr>
        <w:tblStyle w:val="TableGrid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87"/>
        <w:gridCol w:w="1151"/>
        <w:gridCol w:w="988"/>
        <w:gridCol w:w="1042"/>
        <w:gridCol w:w="2024"/>
        <w:gridCol w:w="213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38"/>
          <w:jc w:val="center"/>
        </w:trPr>
        <w:tc>
          <w:tcPr>
            <w:tcW w:w="1273" w:type="dxa"/>
            <w:tcBorders>
              <w:top w:val="single" w:sz="12" w:space="0" w:color="auto"/>
              <w:left w:val="nil"/>
              <w:bottom w:val="single" w:sz="6"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污染物名称</w:t>
            </w:r>
          </w:p>
        </w:tc>
        <w:tc>
          <w:tcPr>
            <w:tcW w:w="3308" w:type="dxa"/>
            <w:gridSpan w:val="3"/>
            <w:tcBorders>
              <w:top w:val="single" w:sz="12" w:space="0" w:color="auto"/>
              <w:left w:val="nil"/>
              <w:bottom w:val="single" w:sz="6"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折耳根中铅含量</w:t>
            </w:r>
          </w:p>
        </w:tc>
        <w:tc>
          <w:tcPr>
            <w:tcW w:w="4337" w:type="dxa"/>
            <w:gridSpan w:val="2"/>
            <w:tcBorders>
              <w:top w:val="single" w:sz="12" w:space="0" w:color="auto"/>
              <w:left w:val="nil"/>
              <w:bottom w:val="single" w:sz="6"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限值（mg/kg）</w:t>
            </w:r>
          </w:p>
        </w:tc>
      </w:tr>
      <w:tr>
        <w:tblPrEx>
          <w:tblW w:w="0" w:type="auto"/>
          <w:jc w:val="center"/>
          <w:tblCellMar>
            <w:top w:w="0" w:type="dxa"/>
            <w:left w:w="108" w:type="dxa"/>
            <w:bottom w:w="0" w:type="dxa"/>
            <w:right w:w="108" w:type="dxa"/>
          </w:tblCellMar>
        </w:tblPrEx>
        <w:trPr>
          <w:trHeight w:val="698"/>
          <w:jc w:val="center"/>
        </w:trPr>
        <w:tc>
          <w:tcPr>
            <w:tcW w:w="1273" w:type="dxa"/>
            <w:tcBorders>
              <w:top w:val="single" w:sz="6" w:space="0" w:color="auto"/>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p>
        </w:tc>
        <w:tc>
          <w:tcPr>
            <w:tcW w:w="1204" w:type="dxa"/>
            <w:tcBorders>
              <w:top w:val="single" w:sz="6" w:space="0" w:color="auto"/>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平均值</w:t>
            </w:r>
          </w:p>
        </w:tc>
        <w:tc>
          <w:tcPr>
            <w:tcW w:w="1022" w:type="dxa"/>
            <w:tcBorders>
              <w:top w:val="single" w:sz="6" w:space="0" w:color="auto"/>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中位值</w:t>
            </w:r>
          </w:p>
        </w:tc>
        <w:tc>
          <w:tcPr>
            <w:tcW w:w="1082" w:type="dxa"/>
            <w:tcBorders>
              <w:top w:val="single" w:sz="6" w:space="0" w:color="auto"/>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P</w:t>
            </w:r>
            <w:r>
              <w:rPr>
                <w:rFonts w:ascii="Times New Roman" w:eastAsia="仿宋" w:hAnsi="Times New Roman" w:cs="Times New Roman" w:hint="default"/>
                <w:color w:val="000000"/>
                <w:sz w:val="21"/>
                <w:szCs w:val="21"/>
                <w:vertAlign w:val="subscript"/>
                <w:lang w:val="en-US" w:eastAsia="zh-CN"/>
              </w:rPr>
              <w:t>95</w:t>
            </w:r>
          </w:p>
        </w:tc>
        <w:tc>
          <w:tcPr>
            <w:tcW w:w="2115" w:type="dxa"/>
            <w:tcBorders>
              <w:top w:val="single" w:sz="6" w:space="0" w:color="auto"/>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若铅的限值0.5，镉的限量0.3</w:t>
            </w:r>
          </w:p>
        </w:tc>
        <w:tc>
          <w:tcPr>
            <w:tcW w:w="2222" w:type="dxa"/>
            <w:tcBorders>
              <w:top w:val="single" w:sz="6" w:space="0" w:color="auto"/>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若铅的限值0.3，镉的限值0.2</w:t>
            </w:r>
          </w:p>
        </w:tc>
      </w:tr>
      <w:tr>
        <w:tblPrEx>
          <w:tblW w:w="0" w:type="auto"/>
          <w:jc w:val="center"/>
          <w:tblCellMar>
            <w:top w:w="0" w:type="dxa"/>
            <w:left w:w="108" w:type="dxa"/>
            <w:bottom w:w="0" w:type="dxa"/>
            <w:right w:w="108" w:type="dxa"/>
          </w:tblCellMar>
        </w:tblPrEx>
        <w:trPr>
          <w:trHeight w:val="531"/>
          <w:jc w:val="center"/>
        </w:trPr>
        <w:tc>
          <w:tcPr>
            <w:tcW w:w="1273" w:type="dxa"/>
            <w:tcBorders>
              <w:top w:val="single" w:sz="12" w:space="0" w:color="auto"/>
              <w:left w:val="nil"/>
              <w:bottom w:val="nil"/>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铅</w:t>
            </w:r>
          </w:p>
        </w:tc>
        <w:tc>
          <w:tcPr>
            <w:tcW w:w="1204" w:type="dxa"/>
            <w:tcBorders>
              <w:top w:val="single" w:sz="12" w:space="0" w:color="auto"/>
              <w:left w:val="nil"/>
              <w:bottom w:val="nil"/>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0.268</w:t>
            </w:r>
          </w:p>
        </w:tc>
        <w:tc>
          <w:tcPr>
            <w:tcW w:w="1022" w:type="dxa"/>
            <w:tcBorders>
              <w:top w:val="single" w:sz="12" w:space="0" w:color="auto"/>
              <w:left w:val="nil"/>
              <w:bottom w:val="nil"/>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0.183</w:t>
            </w:r>
          </w:p>
        </w:tc>
        <w:tc>
          <w:tcPr>
            <w:tcW w:w="1082" w:type="dxa"/>
            <w:tcBorders>
              <w:top w:val="single" w:sz="12" w:space="0" w:color="auto"/>
              <w:left w:val="nil"/>
              <w:bottom w:val="nil"/>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0.812</w:t>
            </w:r>
          </w:p>
        </w:tc>
        <w:tc>
          <w:tcPr>
            <w:tcW w:w="2115" w:type="dxa"/>
            <w:tcBorders>
              <w:top w:val="single" w:sz="12" w:space="0" w:color="auto"/>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i w:val="0"/>
                <w:iCs w:val="0"/>
                <w:color w:val="000000"/>
                <w:szCs w:val="21"/>
                <w:u w:val="none"/>
              </w:rPr>
            </w:pPr>
            <w:r>
              <w:rPr>
                <w:rFonts w:ascii="Times New Roman" w:eastAsia="仿宋" w:hAnsi="Times New Roman" w:cs="Times New Roman" w:hint="default"/>
                <w:i w:val="0"/>
                <w:iCs w:val="0"/>
                <w:color w:val="000000"/>
                <w:kern w:val="0"/>
                <w:sz w:val="21"/>
                <w:szCs w:val="21"/>
                <w:u w:val="none"/>
                <w:lang w:val="en-US" w:eastAsia="zh-CN" w:bidi="ar"/>
              </w:rPr>
              <w:t>16.86%（86/510）</w:t>
            </w:r>
          </w:p>
        </w:tc>
        <w:tc>
          <w:tcPr>
            <w:tcW w:w="2222" w:type="dxa"/>
            <w:tcBorders>
              <w:top w:val="single" w:sz="12" w:space="0" w:color="auto"/>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i w:val="0"/>
                <w:iCs w:val="0"/>
                <w:color w:val="000000"/>
                <w:szCs w:val="21"/>
                <w:u w:val="none"/>
              </w:rPr>
            </w:pPr>
            <w:r>
              <w:rPr>
                <w:rFonts w:ascii="Times New Roman" w:eastAsia="仿宋" w:hAnsi="Times New Roman" w:cs="Times New Roman" w:hint="default"/>
                <w:i w:val="0"/>
                <w:iCs w:val="0"/>
                <w:color w:val="000000"/>
                <w:kern w:val="0"/>
                <w:sz w:val="21"/>
                <w:szCs w:val="21"/>
                <w:u w:val="none"/>
                <w:lang w:val="en-US" w:eastAsia="zh-CN" w:bidi="ar"/>
              </w:rPr>
              <w:t>30.20%（154/510）</w:t>
            </w:r>
          </w:p>
        </w:tc>
      </w:tr>
    </w:tbl>
    <w:p>
      <w:pPr>
        <w:sectPr>
          <w:footerReference w:type="default" r:id="rId3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0"/>
          <w:cols w:num="1" w:space="720"/>
          <w:titlePg w:val="0"/>
          <w:docGrid w:type="lines" w:linePitch="312" w:charSpace="0"/>
        </w:sectPr>
      </w:pPr>
    </w:p>
    <w:tbl>
      <w:tblPr>
        <w:tblStyle w:val="TableGrid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87"/>
        <w:gridCol w:w="1151"/>
        <w:gridCol w:w="988"/>
        <w:gridCol w:w="1042"/>
        <w:gridCol w:w="2024"/>
        <w:gridCol w:w="213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57"/>
          <w:jc w:val="center"/>
        </w:trPr>
        <w:tc>
          <w:tcPr>
            <w:tcW w:w="1273" w:type="dxa"/>
            <w:tcBorders>
              <w:top w:val="nil"/>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镉</w:t>
            </w:r>
          </w:p>
        </w:tc>
        <w:tc>
          <w:tcPr>
            <w:tcW w:w="1204" w:type="dxa"/>
            <w:tcBorders>
              <w:top w:val="nil"/>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0.136</w:t>
            </w:r>
          </w:p>
        </w:tc>
        <w:tc>
          <w:tcPr>
            <w:tcW w:w="1022" w:type="dxa"/>
            <w:tcBorders>
              <w:top w:val="nil"/>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0.104</w:t>
            </w:r>
          </w:p>
        </w:tc>
        <w:tc>
          <w:tcPr>
            <w:tcW w:w="1082" w:type="dxa"/>
            <w:tcBorders>
              <w:top w:val="nil"/>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color w:val="000000"/>
                <w:sz w:val="21"/>
                <w:szCs w:val="21"/>
                <w:vertAlign w:val="baseline"/>
                <w:lang w:val="en-US" w:eastAsia="zh-CN"/>
              </w:rPr>
              <w:t>0.342</w:t>
            </w:r>
          </w:p>
        </w:tc>
        <w:tc>
          <w:tcPr>
            <w:tcW w:w="2115" w:type="dxa"/>
            <w:tcBorders>
              <w:top w:val="nil"/>
              <w:left w:val="nil"/>
              <w:bottom w:val="single" w:sz="12" w:space="0" w:color="auto"/>
              <w:right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i w:val="0"/>
                <w:iCs w:val="0"/>
                <w:color w:val="000000"/>
                <w:szCs w:val="21"/>
                <w:u w:val="none"/>
              </w:rPr>
            </w:pPr>
            <w:r>
              <w:rPr>
                <w:rFonts w:ascii="Times New Roman" w:eastAsia="仿宋" w:hAnsi="Times New Roman" w:cs="Times New Roman" w:hint="default"/>
                <w:i w:val="0"/>
                <w:iCs w:val="0"/>
                <w:color w:val="000000"/>
                <w:kern w:val="0"/>
                <w:sz w:val="21"/>
                <w:szCs w:val="21"/>
                <w:u w:val="none"/>
                <w:lang w:val="en-US" w:eastAsia="zh-CN" w:bidi="ar"/>
              </w:rPr>
              <w:t>8.24%（42/510）</w:t>
            </w:r>
          </w:p>
        </w:tc>
        <w:tc>
          <w:tcPr>
            <w:tcW w:w="2222" w:type="dxa"/>
            <w:tcBorders>
              <w:top w:val="nil"/>
              <w:left w:val="nil"/>
              <w:bottom w:val="single" w:sz="12" w:space="0" w:color="auto"/>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eastAsia="仿宋" w:hAnsi="Times New Roman" w:hint="default"/>
                <w:color w:val="000000"/>
                <w:szCs w:val="21"/>
                <w:vertAlign w:val="baseline"/>
              </w:rPr>
            </w:pPr>
            <w:r>
              <w:rPr>
                <w:rFonts w:ascii="Times New Roman" w:eastAsia="仿宋" w:hAnsi="Times New Roman" w:cs="Times New Roman" w:hint="default"/>
                <w:i w:val="0"/>
                <w:iCs w:val="0"/>
                <w:color w:val="000000"/>
                <w:kern w:val="0"/>
                <w:sz w:val="21"/>
                <w:szCs w:val="21"/>
                <w:u w:val="none"/>
                <w:lang w:val="en-US" w:eastAsia="zh-CN" w:bidi="ar"/>
              </w:rPr>
              <w:t>20.93%（104/510）</w:t>
            </w:r>
          </w:p>
        </w:tc>
      </w:tr>
    </w:tbl>
    <w:p>
      <w:pPr>
        <w:pStyle w:val="ListParagraph"/>
        <w:spacing w:line="360" w:lineRule="auto"/>
        <w:ind w:firstLineChars="0"/>
        <w:rPr>
          <w:rFonts w:ascii="Times New Roman" w:eastAsia="仿宋" w:hAnsi="Times New Roman" w:cs="Times New Roman" w:hint="default"/>
          <w:spacing w:val="-8"/>
          <w:kern w:val="2"/>
          <w:sz w:val="24"/>
          <w:szCs w:val="24"/>
          <w:lang w:val="en-US" w:eastAsia="zh-CN"/>
        </w:rPr>
      </w:pPr>
      <w:r>
        <w:rPr>
          <w:rFonts w:ascii="Times New Roman" w:eastAsia="仿宋" w:hAnsi="Times New Roman" w:cs="Times New Roman" w:hint="default"/>
          <w:color w:val="000000"/>
          <w:kern w:val="2"/>
          <w:sz w:val="24"/>
          <w:szCs w:val="24"/>
          <w:lang w:val="en-US" w:eastAsia="zh-CN" w:bidi="ar-SA"/>
        </w:rPr>
        <w:t>综上所述，标准起草组结合折耳根实际膳食摄入情况及折耳根中重金属铅镉水平开展风险暴露评估结果，结合实际折耳根中铅镉超标率情况统筹考虑我省折耳根产品质量和安全风险的基础上，制定涉及食品安全的污染物限定指标并确定了限量值，用于更好地指导我省种植的折耳根产品产业的发展，最终标准文本对“污染物限量”部分要求表述为：污染物限量应符合表9的规定。</w:t>
      </w:r>
    </w:p>
    <w:p>
      <w:pPr>
        <w:pStyle w:val="a6"/>
        <w:numPr>
          <w:ilvl w:val="0"/>
          <w:numId w:val="0"/>
        </w:numPr>
        <w:spacing w:before="156" w:after="156"/>
        <w:ind w:leftChars="0"/>
        <w:rPr>
          <w:rFonts w:ascii="Times New Roman" w:eastAsia="仿宋" w:hint="default"/>
          <w:szCs w:val="21"/>
        </w:rPr>
      </w:pPr>
      <w:r>
        <w:rPr>
          <w:rFonts w:ascii="Times New Roman" w:eastAsia="仿宋" w:hAnsi="Times New Roman" w:cs="Times New Roman" w:hint="default"/>
          <w:sz w:val="21"/>
          <w:szCs w:val="21"/>
          <w:lang w:val="en-US" w:eastAsia="zh-CN"/>
        </w:rPr>
        <w:t xml:space="preserve">表 9  </w:t>
      </w:r>
      <w:r>
        <w:rPr>
          <w:rFonts w:ascii="Times New Roman" w:eastAsia="仿宋" w:hAnsi="Times New Roman" w:cs="Times New Roman" w:hint="default"/>
          <w:sz w:val="21"/>
          <w:szCs w:val="21"/>
        </w:rPr>
        <w:t>污染物限量</w:t>
      </w:r>
    </w:p>
    <w:tbl>
      <w:tblPr>
        <w:tblStyle w:val="TableGrid3"/>
        <w:tblW w:w="93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3324"/>
        <w:gridCol w:w="3045"/>
        <w:gridCol w:w="3005"/>
      </w:tblGrid>
      <w:tr>
        <w:tblPrEx>
          <w:tblW w:w="937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blHeader/>
          <w:jc w:val="center"/>
        </w:trPr>
        <w:tc>
          <w:tcPr>
            <w:tcW w:w="3324" w:type="dxa"/>
            <w:tcBorders>
              <w:top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项 目</w:t>
            </w:r>
          </w:p>
        </w:tc>
        <w:tc>
          <w:tcPr>
            <w:tcW w:w="3045" w:type="dxa"/>
            <w:tcBorders>
              <w:top w:val="single" w:sz="8" w:space="0" w:color="auto"/>
              <w:bottom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指 标</w:t>
            </w:r>
          </w:p>
        </w:tc>
        <w:tc>
          <w:tcPr>
            <w:tcW w:w="3005" w:type="dxa"/>
            <w:tcBorders>
              <w:top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检验方法</w:t>
            </w:r>
          </w:p>
        </w:tc>
      </w:tr>
      <w:tr>
        <w:tblPrEx>
          <w:tblW w:w="9374" w:type="dxa"/>
          <w:jc w:val="center"/>
          <w:tblCellMar>
            <w:top w:w="0" w:type="dxa"/>
            <w:left w:w="0" w:type="dxa"/>
            <w:bottom w:w="0" w:type="dxa"/>
            <w:right w:w="0" w:type="dxa"/>
          </w:tblCellMar>
        </w:tblPrEx>
        <w:trPr>
          <w:jc w:val="center"/>
        </w:trPr>
        <w:tc>
          <w:tcPr>
            <w:tcW w:w="3324" w:type="dxa"/>
            <w:vMerge w:val="restart"/>
            <w:tcBorders>
              <w:top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铅（以Pb计）/(mg/kg)     ≤</w:t>
            </w:r>
          </w:p>
        </w:tc>
        <w:tc>
          <w:tcPr>
            <w:tcW w:w="3045" w:type="dxa"/>
            <w:vMerge w:val="restart"/>
            <w:tcBorders>
              <w:top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0.5</w:t>
            </w:r>
          </w:p>
        </w:tc>
        <w:tc>
          <w:tcPr>
            <w:tcW w:w="3005" w:type="dxa"/>
            <w:tcBorders>
              <w:top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GB 5009.12</w:t>
            </w:r>
          </w:p>
        </w:tc>
      </w:tr>
      <w:tr>
        <w:tblPrEx>
          <w:tblW w:w="9374" w:type="dxa"/>
          <w:jc w:val="center"/>
          <w:tblCellMar>
            <w:top w:w="0" w:type="dxa"/>
            <w:left w:w="0" w:type="dxa"/>
            <w:bottom w:w="0" w:type="dxa"/>
            <w:right w:w="0" w:type="dxa"/>
          </w:tblCellMar>
        </w:tblPrEx>
        <w:trPr>
          <w:jc w:val="center"/>
        </w:trPr>
        <w:tc>
          <w:tcPr>
            <w:tcW w:w="3324" w:type="dxa"/>
            <w:vMerge/>
            <w:shd w:val="clear" w:color="auto" w:fill="auto"/>
            <w:vAlign w:val="center"/>
          </w:tcPr>
          <w:p>
            <w:pPr>
              <w:pStyle w:val="a7"/>
              <w:rPr>
                <w:rFonts w:ascii="Times New Roman" w:eastAsia="仿宋" w:hAnsi="Times New Roman" w:cs="Times New Roman" w:hint="default"/>
                <w:sz w:val="21"/>
                <w:szCs w:val="21"/>
              </w:rPr>
            </w:pPr>
          </w:p>
        </w:tc>
        <w:tc>
          <w:tcPr>
            <w:tcW w:w="3045" w:type="dxa"/>
            <w:vMerge/>
            <w:shd w:val="clear" w:color="auto" w:fill="auto"/>
            <w:vAlign w:val="center"/>
          </w:tcPr>
          <w:p>
            <w:pPr>
              <w:pStyle w:val="a7"/>
              <w:rPr>
                <w:rFonts w:ascii="Times New Roman" w:eastAsia="仿宋" w:hAnsi="Times New Roman" w:cs="Times New Roman" w:hint="default"/>
                <w:sz w:val="21"/>
                <w:szCs w:val="21"/>
              </w:rPr>
            </w:pPr>
          </w:p>
        </w:tc>
        <w:tc>
          <w:tcPr>
            <w:tcW w:w="3005" w:type="dxa"/>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GB 5009.268</w:t>
            </w:r>
          </w:p>
        </w:tc>
      </w:tr>
      <w:tr>
        <w:tblPrEx>
          <w:tblW w:w="9374" w:type="dxa"/>
          <w:jc w:val="center"/>
          <w:tblCellMar>
            <w:top w:w="0" w:type="dxa"/>
            <w:left w:w="0" w:type="dxa"/>
            <w:bottom w:w="0" w:type="dxa"/>
            <w:right w:w="0" w:type="dxa"/>
          </w:tblCellMar>
        </w:tblPrEx>
        <w:trPr>
          <w:jc w:val="center"/>
        </w:trPr>
        <w:tc>
          <w:tcPr>
            <w:tcW w:w="3324" w:type="dxa"/>
            <w:vMerge w:val="restart"/>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镉（以Cd计）/(mg/kg)     ≤</w:t>
            </w:r>
          </w:p>
        </w:tc>
        <w:tc>
          <w:tcPr>
            <w:tcW w:w="3045" w:type="dxa"/>
            <w:vMerge w:val="restart"/>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0.3</w:t>
            </w:r>
          </w:p>
        </w:tc>
        <w:tc>
          <w:tcPr>
            <w:tcW w:w="3005" w:type="dxa"/>
            <w:tcBorders>
              <w:bottom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GB 5009.15</w:t>
            </w:r>
          </w:p>
        </w:tc>
      </w:tr>
      <w:tr>
        <w:tblPrEx>
          <w:tblW w:w="9374" w:type="dxa"/>
          <w:jc w:val="center"/>
          <w:tblCellMar>
            <w:top w:w="0" w:type="dxa"/>
            <w:left w:w="0" w:type="dxa"/>
            <w:bottom w:w="0" w:type="dxa"/>
            <w:right w:w="0" w:type="dxa"/>
          </w:tblCellMar>
        </w:tblPrEx>
        <w:trPr>
          <w:jc w:val="center"/>
        </w:trPr>
        <w:tc>
          <w:tcPr>
            <w:tcW w:w="3324" w:type="dxa"/>
            <w:vMerge/>
            <w:shd w:val="clear" w:color="auto" w:fill="auto"/>
            <w:vAlign w:val="center"/>
          </w:tcPr>
          <w:p>
            <w:pPr>
              <w:pStyle w:val="a7"/>
              <w:rPr>
                <w:rFonts w:ascii="Times New Roman" w:eastAsia="仿宋" w:hAnsi="Times New Roman" w:cs="Times New Roman" w:hint="default"/>
                <w:sz w:val="21"/>
                <w:szCs w:val="21"/>
              </w:rPr>
            </w:pPr>
          </w:p>
        </w:tc>
        <w:tc>
          <w:tcPr>
            <w:tcW w:w="3045" w:type="dxa"/>
            <w:vMerge/>
            <w:shd w:val="clear" w:color="auto" w:fill="auto"/>
            <w:vAlign w:val="center"/>
          </w:tcPr>
          <w:p>
            <w:pPr>
              <w:pStyle w:val="a7"/>
              <w:rPr>
                <w:rFonts w:ascii="Times New Roman" w:eastAsia="仿宋" w:hAnsi="Times New Roman" w:cs="Times New Roman" w:hint="default"/>
                <w:sz w:val="21"/>
                <w:szCs w:val="21"/>
              </w:rPr>
            </w:pPr>
          </w:p>
        </w:tc>
        <w:tc>
          <w:tcPr>
            <w:tcW w:w="3005" w:type="dxa"/>
            <w:tcBorders>
              <w:bottom w:val="single" w:sz="8" w:space="0" w:color="auto"/>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GB 5009.268</w:t>
            </w:r>
          </w:p>
        </w:tc>
      </w:tr>
    </w:tbl>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280" w:firstLineChars="100"/>
        <w:textAlignment w:val="auto"/>
        <w:rPr>
          <w:rFonts w:ascii="Times New Roman" w:eastAsia="仿宋" w:hAnsi="Times New Roman" w:cs="Times New Roman" w:hint="default"/>
          <w:sz w:val="28"/>
          <w:szCs w:val="28"/>
          <w:lang w:eastAsia="zh-CN"/>
        </w:rPr>
      </w:pPr>
      <w:bookmarkStart w:id="39" w:name="_Toc7772"/>
      <w:r>
        <w:rPr>
          <w:rFonts w:ascii="Times New Roman" w:eastAsia="仿宋" w:hAnsi="Times New Roman" w:cs="Times New Roman" w:hint="default"/>
          <w:sz w:val="28"/>
          <w:szCs w:val="28"/>
          <w:lang w:eastAsia="zh-CN"/>
        </w:rPr>
        <w:t>（</w:t>
      </w:r>
      <w:r>
        <w:rPr>
          <w:rFonts w:ascii="Times New Roman" w:eastAsia="仿宋" w:hAnsi="Times New Roman" w:cs="Times New Roman" w:hint="default"/>
          <w:sz w:val="28"/>
          <w:szCs w:val="28"/>
          <w:lang w:val="en-US" w:eastAsia="zh-CN"/>
        </w:rPr>
        <w:t>七</w:t>
      </w:r>
      <w:r>
        <w:rPr>
          <w:rFonts w:ascii="Times New Roman" w:eastAsia="仿宋" w:hAnsi="Times New Roman" w:cs="Times New Roman" w:hint="default"/>
          <w:sz w:val="28"/>
          <w:szCs w:val="28"/>
          <w:lang w:eastAsia="zh-CN"/>
        </w:rPr>
        <w:t>）</w:t>
      </w:r>
      <w:r>
        <w:rPr>
          <w:rFonts w:ascii="Times New Roman" w:eastAsia="仿宋" w:hAnsi="Times New Roman" w:cs="Times New Roman" w:hint="default"/>
          <w:sz w:val="28"/>
          <w:szCs w:val="28"/>
          <w:lang w:val="en-US" w:eastAsia="zh-CN"/>
        </w:rPr>
        <w:t>农药残留</w:t>
      </w:r>
      <w:r>
        <w:rPr>
          <w:rFonts w:ascii="Times New Roman" w:eastAsia="仿宋" w:hAnsi="Times New Roman" w:cs="Times New Roman" w:hint="default"/>
          <w:sz w:val="28"/>
          <w:szCs w:val="28"/>
          <w:lang w:eastAsia="zh-CN"/>
        </w:rPr>
        <w:t>指标及其限量</w:t>
      </w:r>
      <w:r>
        <w:rPr>
          <w:rFonts w:ascii="Times New Roman" w:eastAsia="仿宋" w:hAnsi="Times New Roman" w:cs="Times New Roman" w:hint="default"/>
          <w:sz w:val="28"/>
          <w:szCs w:val="28"/>
          <w:lang w:val="en-US" w:eastAsia="zh-CN"/>
        </w:rPr>
        <w:t>制定</w:t>
      </w:r>
      <w:bookmarkEnd w:id="39"/>
    </w:p>
    <w:p>
      <w:pPr>
        <w:adjustRightInd w:val="0"/>
        <w:snapToGrid w:val="0"/>
        <w:spacing w:before="156" w:beforeLines="50" w:line="360" w:lineRule="auto"/>
        <w:ind w:firstLine="480" w:firstLineChars="200"/>
        <w:rPr>
          <w:rFonts w:ascii="Times New Roman" w:eastAsia="仿宋" w:hAnsi="Times New Roman" w:hint="default"/>
          <w:color w:val="000000"/>
          <w:sz w:val="24"/>
          <w:szCs w:val="24"/>
        </w:rPr>
      </w:pPr>
      <w:r>
        <w:rPr>
          <w:rFonts w:ascii="Times New Roman" w:eastAsia="仿宋" w:hAnsi="Times New Roman" w:cs="Times New Roman" w:hint="default"/>
          <w:color w:val="000000"/>
          <w:kern w:val="2"/>
          <w:sz w:val="24"/>
          <w:szCs w:val="24"/>
          <w:lang w:val="en-US" w:eastAsia="zh-CN" w:bidi="ar-SA"/>
        </w:rPr>
        <w:t>折耳根种植过程中，不可避免受到白绢病（主要危害折耳根的茎基、地下茎）、紫斑病（主要危害折耳根的叶）、斜纹夜蛾（主要危害叶及幼茎嫩杆）和红蜘蛛（主要危害折耳根叶）等病虫害的侵染，常需要使用杀虫剂、刹菌剂农药进行防治或消除病害</w:t>
      </w:r>
      <w:r>
        <w:rPr>
          <w:rFonts w:ascii="Times New Roman" w:eastAsia="仿宋" w:hAnsi="Times New Roman" w:cs="Times New Roman" w:hint="default"/>
          <w:color w:val="000000"/>
          <w:kern w:val="2"/>
          <w:sz w:val="24"/>
          <w:szCs w:val="24"/>
          <w:vertAlign w:val="superscript"/>
          <w:lang w:val="en-US" w:eastAsia="zh-CN" w:bidi="ar-SA"/>
        </w:rPr>
        <w:t>[15]</w:t>
      </w:r>
      <w:r>
        <w:rPr>
          <w:rFonts w:ascii="Times New Roman" w:eastAsia="仿宋" w:hAnsi="Times New Roman" w:cs="Times New Roman" w:hint="default"/>
          <w:color w:val="000000"/>
          <w:kern w:val="2"/>
          <w:sz w:val="24"/>
          <w:szCs w:val="24"/>
          <w:lang w:val="en-US" w:eastAsia="zh-CN" w:bidi="ar-SA"/>
        </w:rPr>
        <w:t>，因此，农药残留也是影响折耳根质量与安全的重要影响因素。根据了解的贵州折耳根种植基地使用农药的现况，实验室采用气相色谱质谱联用法（</w:t>
      </w:r>
      <w:r>
        <w:rPr>
          <w:rFonts w:ascii="Times New Roman" w:eastAsia="仿宋" w:hAnsi="Times New Roman" w:cs="Times New Roman" w:hint="default"/>
          <w:spacing w:val="-8"/>
          <w:sz w:val="24"/>
          <w:szCs w:val="24"/>
        </w:rPr>
        <w:t>GB 23200.113</w:t>
      </w:r>
      <w:r>
        <w:rPr>
          <w:rFonts w:ascii="Times New Roman" w:eastAsia="仿宋" w:hAnsi="Times New Roman" w:cs="Times New Roman" w:hint="default"/>
          <w:color w:val="000000"/>
          <w:kern w:val="2"/>
          <w:sz w:val="24"/>
          <w:szCs w:val="24"/>
          <w:lang w:val="en-US" w:eastAsia="zh-CN" w:bidi="ar-SA"/>
        </w:rPr>
        <w:t>）和对液相色谱质谱联用法（参照中国药典禁用农药方法）40份折耳根中60余种常用的农药（详见表10）残留情况做多组分筛查。</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rFonts w:ascii="Times New Roman" w:eastAsia="仿宋" w:hAnsi="Times New Roman" w:hint="default"/>
          <w:sz w:val="24"/>
        </w:rPr>
      </w:pPr>
      <w:r>
        <w:rPr>
          <w:rFonts w:ascii="Times New Roman" w:eastAsia="仿宋" w:hAnsi="Times New Roman" w:cs="Times New Roman" w:hint="default"/>
          <w:sz w:val="24"/>
          <w:lang w:val="en-US" w:eastAsia="zh-CN"/>
        </w:rPr>
        <w:t>表10  折耳根中农药筛查指标</w:t>
      </w:r>
    </w:p>
    <w:tbl>
      <w:tblPr>
        <w:tblStyle w:val="TableNormal"/>
        <w:tblW w:w="7431" w:type="dxa"/>
        <w:jc w:val="center"/>
        <w:tblCellMar>
          <w:top w:w="0" w:type="dxa"/>
          <w:left w:w="108" w:type="dxa"/>
          <w:bottom w:w="0" w:type="dxa"/>
          <w:right w:w="108" w:type="dxa"/>
        </w:tblCellMar>
      </w:tblPr>
      <w:tblGrid>
        <w:gridCol w:w="846"/>
        <w:gridCol w:w="1605"/>
        <w:gridCol w:w="960"/>
        <w:gridCol w:w="1540"/>
        <w:gridCol w:w="960"/>
        <w:gridCol w:w="1520"/>
      </w:tblGrid>
      <w:tr>
        <w:tblPrEx>
          <w:tblW w:w="7431" w:type="dxa"/>
          <w:jc w:val="center"/>
          <w:tblCellMar>
            <w:top w:w="0" w:type="dxa"/>
            <w:left w:w="108" w:type="dxa"/>
            <w:bottom w:w="0" w:type="dxa"/>
            <w:right w:w="108" w:type="dxa"/>
          </w:tblCellMar>
        </w:tblPrEx>
        <w:trPr>
          <w:trHeight w:val="288"/>
          <w:jc w:val="center"/>
        </w:trPr>
        <w:tc>
          <w:tcPr>
            <w:tcW w:w="846" w:type="dxa"/>
            <w:tcBorders>
              <w:top w:val="single" w:sz="12" w:space="0" w:color="auto"/>
              <w:left w:val="nil"/>
              <w:bottom w:val="single" w:sz="12" w:space="0" w:color="auto"/>
              <w:right w:val="nil"/>
            </w:tcBorders>
            <w:shd w:val="clear" w:color="auto" w:fill="auto"/>
            <w:noWrap/>
            <w:vAlign w:val="center"/>
          </w:tcPr>
          <w:p>
            <w:pPr>
              <w:widowControl/>
              <w:jc w:val="center"/>
              <w:rPr>
                <w:rFonts w:ascii="Times New Roman" w:eastAsia="仿宋" w:hAnsi="Times New Roman" w:hint="default"/>
                <w:b/>
                <w:bCs/>
                <w:color w:val="auto"/>
                <w:kern w:val="0"/>
                <w:szCs w:val="21"/>
              </w:rPr>
            </w:pPr>
            <w:r>
              <w:rPr>
                <w:rFonts w:ascii="Times New Roman" w:eastAsia="仿宋" w:hAnsi="Times New Roman" w:cs="Times New Roman" w:hint="default"/>
                <w:b/>
                <w:bCs/>
                <w:color w:val="auto"/>
                <w:kern w:val="0"/>
                <w:sz w:val="21"/>
                <w:szCs w:val="21"/>
              </w:rPr>
              <w:t>序号</w:t>
            </w:r>
          </w:p>
        </w:tc>
        <w:tc>
          <w:tcPr>
            <w:tcW w:w="1605" w:type="dxa"/>
            <w:tcBorders>
              <w:top w:val="single" w:sz="12" w:space="0" w:color="auto"/>
              <w:left w:val="nil"/>
              <w:bottom w:val="single" w:sz="12" w:space="0" w:color="auto"/>
              <w:right w:val="nil"/>
            </w:tcBorders>
            <w:shd w:val="clear" w:color="auto" w:fill="auto"/>
            <w:noWrap/>
            <w:vAlign w:val="center"/>
          </w:tcPr>
          <w:p>
            <w:pPr>
              <w:widowControl/>
              <w:jc w:val="center"/>
              <w:rPr>
                <w:rFonts w:ascii="Times New Roman" w:eastAsia="仿宋" w:hAnsi="Times New Roman" w:hint="default"/>
                <w:b/>
                <w:bCs/>
                <w:color w:val="auto"/>
                <w:kern w:val="0"/>
                <w:szCs w:val="21"/>
              </w:rPr>
            </w:pPr>
            <w:r>
              <w:rPr>
                <w:rFonts w:ascii="Times New Roman" w:eastAsia="仿宋" w:hAnsi="Times New Roman" w:cs="Times New Roman" w:hint="default"/>
                <w:b/>
                <w:bCs/>
                <w:color w:val="auto"/>
                <w:kern w:val="0"/>
                <w:sz w:val="21"/>
                <w:szCs w:val="21"/>
              </w:rPr>
              <w:t>监测指标</w:t>
            </w:r>
          </w:p>
        </w:tc>
        <w:tc>
          <w:tcPr>
            <w:tcW w:w="960" w:type="dxa"/>
            <w:tcBorders>
              <w:top w:val="single" w:sz="12" w:space="0" w:color="auto"/>
              <w:left w:val="nil"/>
              <w:bottom w:val="single" w:sz="12" w:space="0" w:color="auto"/>
              <w:right w:val="nil"/>
            </w:tcBorders>
            <w:shd w:val="clear" w:color="auto" w:fill="auto"/>
            <w:noWrap/>
            <w:vAlign w:val="center"/>
          </w:tcPr>
          <w:p>
            <w:pPr>
              <w:widowControl/>
              <w:jc w:val="center"/>
              <w:rPr>
                <w:rFonts w:ascii="Times New Roman" w:eastAsia="仿宋" w:hAnsi="Times New Roman" w:hint="default"/>
                <w:b/>
                <w:bCs/>
                <w:color w:val="auto"/>
                <w:kern w:val="0"/>
                <w:szCs w:val="21"/>
              </w:rPr>
            </w:pPr>
            <w:r>
              <w:rPr>
                <w:rFonts w:ascii="Times New Roman" w:eastAsia="仿宋" w:hAnsi="Times New Roman" w:cs="Times New Roman" w:hint="default"/>
                <w:b/>
                <w:bCs/>
                <w:color w:val="auto"/>
                <w:kern w:val="0"/>
                <w:sz w:val="21"/>
                <w:szCs w:val="21"/>
              </w:rPr>
              <w:t>序号</w:t>
            </w:r>
          </w:p>
        </w:tc>
        <w:tc>
          <w:tcPr>
            <w:tcW w:w="1540" w:type="dxa"/>
            <w:tcBorders>
              <w:top w:val="single" w:sz="12" w:space="0" w:color="auto"/>
              <w:left w:val="nil"/>
              <w:bottom w:val="single" w:sz="12" w:space="0" w:color="auto"/>
              <w:right w:val="nil"/>
            </w:tcBorders>
            <w:shd w:val="clear" w:color="auto" w:fill="auto"/>
            <w:noWrap/>
            <w:vAlign w:val="center"/>
          </w:tcPr>
          <w:p>
            <w:pPr>
              <w:widowControl/>
              <w:jc w:val="center"/>
              <w:rPr>
                <w:rFonts w:ascii="Times New Roman" w:eastAsia="仿宋" w:hAnsi="Times New Roman" w:hint="default"/>
                <w:b/>
                <w:bCs/>
                <w:color w:val="auto"/>
                <w:kern w:val="0"/>
                <w:szCs w:val="21"/>
              </w:rPr>
            </w:pPr>
            <w:r>
              <w:rPr>
                <w:rFonts w:ascii="Times New Roman" w:eastAsia="仿宋" w:hAnsi="Times New Roman" w:cs="Times New Roman" w:hint="default"/>
                <w:b/>
                <w:bCs/>
                <w:color w:val="auto"/>
                <w:kern w:val="0"/>
                <w:sz w:val="21"/>
                <w:szCs w:val="21"/>
              </w:rPr>
              <w:t>监测指标</w:t>
            </w:r>
          </w:p>
        </w:tc>
        <w:tc>
          <w:tcPr>
            <w:tcW w:w="960" w:type="dxa"/>
            <w:tcBorders>
              <w:top w:val="single" w:sz="12" w:space="0" w:color="auto"/>
              <w:left w:val="nil"/>
              <w:bottom w:val="single" w:sz="12" w:space="0" w:color="auto"/>
              <w:right w:val="nil"/>
            </w:tcBorders>
            <w:shd w:val="clear" w:color="auto" w:fill="auto"/>
            <w:noWrap/>
            <w:vAlign w:val="center"/>
          </w:tcPr>
          <w:p>
            <w:pPr>
              <w:widowControl/>
              <w:jc w:val="center"/>
              <w:rPr>
                <w:rFonts w:ascii="Times New Roman" w:eastAsia="仿宋" w:hAnsi="Times New Roman" w:hint="default"/>
                <w:b/>
                <w:bCs/>
                <w:color w:val="auto"/>
                <w:kern w:val="0"/>
                <w:szCs w:val="21"/>
              </w:rPr>
            </w:pPr>
            <w:r>
              <w:rPr>
                <w:rFonts w:ascii="Times New Roman" w:eastAsia="仿宋" w:hAnsi="Times New Roman" w:cs="Times New Roman" w:hint="default"/>
                <w:b/>
                <w:bCs/>
                <w:color w:val="auto"/>
                <w:kern w:val="0"/>
                <w:sz w:val="21"/>
                <w:szCs w:val="21"/>
              </w:rPr>
              <w:t>序号</w:t>
            </w:r>
          </w:p>
        </w:tc>
        <w:tc>
          <w:tcPr>
            <w:tcW w:w="1520" w:type="dxa"/>
            <w:tcBorders>
              <w:top w:val="single" w:sz="12" w:space="0" w:color="auto"/>
              <w:left w:val="nil"/>
              <w:bottom w:val="single" w:sz="12" w:space="0" w:color="auto"/>
              <w:right w:val="nil"/>
            </w:tcBorders>
            <w:shd w:val="clear" w:color="auto" w:fill="auto"/>
            <w:noWrap/>
            <w:vAlign w:val="center"/>
          </w:tcPr>
          <w:p>
            <w:pPr>
              <w:widowControl/>
              <w:jc w:val="center"/>
              <w:rPr>
                <w:rFonts w:ascii="Times New Roman" w:eastAsia="仿宋" w:hAnsi="Times New Roman" w:hint="default"/>
                <w:b/>
                <w:bCs/>
                <w:color w:val="auto"/>
                <w:kern w:val="0"/>
                <w:szCs w:val="21"/>
              </w:rPr>
            </w:pPr>
            <w:r>
              <w:rPr>
                <w:rFonts w:ascii="Times New Roman" w:eastAsia="仿宋" w:hAnsi="Times New Roman" w:cs="Times New Roman" w:hint="default"/>
                <w:b/>
                <w:bCs/>
                <w:color w:val="auto"/>
                <w:kern w:val="0"/>
                <w:sz w:val="21"/>
                <w:szCs w:val="21"/>
              </w:rPr>
              <w:t>监测指标</w:t>
            </w:r>
          </w:p>
        </w:tc>
      </w:tr>
      <w:tr>
        <w:tblPrEx>
          <w:tblW w:w="7431" w:type="dxa"/>
          <w:jc w:val="center"/>
          <w:tblCellMar>
            <w:top w:w="0" w:type="dxa"/>
            <w:left w:w="108" w:type="dxa"/>
            <w:bottom w:w="0" w:type="dxa"/>
            <w:right w:w="108" w:type="dxa"/>
          </w:tblCellMar>
        </w:tblPrEx>
        <w:trPr>
          <w:trHeight w:val="312"/>
          <w:jc w:val="center"/>
        </w:trPr>
        <w:tc>
          <w:tcPr>
            <w:tcW w:w="846" w:type="dxa"/>
            <w:tcBorders>
              <w:top w:val="single" w:sz="12" w:space="0" w:color="auto"/>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w:t>
            </w:r>
          </w:p>
        </w:tc>
        <w:tc>
          <w:tcPr>
            <w:tcW w:w="1605" w:type="dxa"/>
            <w:tcBorders>
              <w:top w:val="single" w:sz="12" w:space="0" w:color="auto"/>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敌敌畏</w:t>
            </w:r>
          </w:p>
        </w:tc>
        <w:tc>
          <w:tcPr>
            <w:tcW w:w="960" w:type="dxa"/>
            <w:tcBorders>
              <w:top w:val="single" w:sz="12" w:space="0" w:color="auto"/>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22</w:t>
            </w:r>
          </w:p>
        </w:tc>
        <w:tc>
          <w:tcPr>
            <w:tcW w:w="1540" w:type="dxa"/>
            <w:tcBorders>
              <w:top w:val="single" w:sz="12" w:space="0" w:color="auto"/>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氯氟氰菊酯</w:t>
            </w:r>
          </w:p>
        </w:tc>
        <w:tc>
          <w:tcPr>
            <w:tcW w:w="960" w:type="dxa"/>
            <w:tcBorders>
              <w:top w:val="single" w:sz="12" w:space="0" w:color="auto"/>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43</w:t>
            </w:r>
          </w:p>
        </w:tc>
        <w:tc>
          <w:tcPr>
            <w:tcW w:w="1520" w:type="dxa"/>
            <w:tcBorders>
              <w:top w:val="single" w:sz="12" w:space="0" w:color="auto"/>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克百威</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对硫磷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23</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杀扑磷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44</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乐果</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甲基对硫磷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24</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三唑磷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45</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氧化乐果</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w:t>
            </w:r>
          </w:p>
        </w:tc>
        <w:tc>
          <w:tcPr>
            <w:tcW w:w="1605"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β-六六六</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25</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异丙威</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46</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内吸磷</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lang w:eastAsia="zh-CN"/>
              </w:rPr>
              <w:t xml:space="preserve"> </w:t>
            </w:r>
            <w:r>
              <w:rPr>
                <w:rFonts w:ascii="Times New Roman" w:eastAsia="仿宋" w:hAnsi="Times New Roman" w:cs="Times New Roman" w:hint="default"/>
                <w:color w:val="auto"/>
                <w:kern w:val="0"/>
                <w:sz w:val="21"/>
                <w:szCs w:val="21"/>
                <w:lang w:val="en-US" w:eastAsia="zh-CN"/>
              </w:rPr>
              <w:t xml:space="preserve">     </w:t>
            </w:r>
            <w:r>
              <w:rPr>
                <w:rFonts w:ascii="Times New Roman" w:eastAsia="仿宋" w:hAnsi="Times New Roman" w:cs="Times New Roman" w:hint="default"/>
                <w:color w:val="auto"/>
                <w:kern w:val="0"/>
                <w:sz w:val="21"/>
                <w:szCs w:val="21"/>
              </w:rPr>
              <w:t>5</w:t>
            </w:r>
          </w:p>
        </w:tc>
        <w:tc>
          <w:tcPr>
            <w:tcW w:w="1605"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d-六六六</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26</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仲丁威</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47</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甲基异柳磷</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6</w:t>
            </w:r>
          </w:p>
        </w:tc>
        <w:tc>
          <w:tcPr>
            <w:tcW w:w="1605"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r-六六六</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27</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氰戊菊酯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48</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抗蚜威</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7</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倍硫磷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28</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a-六六六</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49</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乙硫磷</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8</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氯唑磷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29</w:t>
            </w:r>
          </w:p>
        </w:tc>
        <w:tc>
          <w:tcPr>
            <w:tcW w:w="154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氯菊酯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50</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甲拌磷亚砜</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9</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马拉硫磷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30</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a-硫丹</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51</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甲拌磷砜</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10</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甲胺磷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31</w:t>
            </w:r>
          </w:p>
        </w:tc>
        <w:tc>
          <w:tcPr>
            <w:tcW w:w="1540" w:type="dxa"/>
            <w:tcBorders>
              <w:top w:val="nil"/>
              <w:left w:val="nil"/>
              <w:bottom w:val="nil"/>
              <w:right w:val="nil"/>
            </w:tcBorders>
            <w:shd w:val="clear" w:color="auto" w:fill="auto"/>
            <w:noWrap/>
            <w:vAlign w:val="bottom"/>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艾氏剂</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52</w:t>
            </w:r>
          </w:p>
        </w:tc>
        <w:tc>
          <w:tcPr>
            <w:tcW w:w="1520" w:type="dxa"/>
            <w:tcBorders>
              <w:top w:val="nil"/>
              <w:left w:val="nil"/>
              <w:bottom w:val="nil"/>
              <w:right w:val="nil"/>
            </w:tcBorders>
            <w:shd w:val="clear" w:color="auto" w:fill="auto"/>
            <w:noWrap/>
            <w:vAlign w:val="bottom"/>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莠去津</w:t>
            </w:r>
          </w:p>
        </w:tc>
      </w:tr>
      <w:tr>
        <w:tblPrEx>
          <w:tblW w:w="7431" w:type="dxa"/>
          <w:jc w:val="center"/>
          <w:tblCellMar>
            <w:top w:w="0" w:type="dxa"/>
            <w:left w:w="108" w:type="dxa"/>
            <w:bottom w:w="0" w:type="dxa"/>
            <w:right w:w="108" w:type="dxa"/>
          </w:tblCellMar>
        </w:tblPrEx>
        <w:trPr>
          <w:trHeight w:val="288"/>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11</w:t>
            </w:r>
          </w:p>
        </w:tc>
        <w:tc>
          <w:tcPr>
            <w:tcW w:w="1605"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o,p'-DDT</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32</w:t>
            </w:r>
          </w:p>
        </w:tc>
        <w:tc>
          <w:tcPr>
            <w:tcW w:w="154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β-硫丹</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53</w:t>
            </w:r>
          </w:p>
        </w:tc>
        <w:tc>
          <w:tcPr>
            <w:tcW w:w="152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乙草胺</w:t>
            </w:r>
          </w:p>
        </w:tc>
      </w:tr>
    </w:tbl>
    <w:p>
      <w:pPr>
        <w:sectPr>
          <w:footerReference w:type="default" r:id="rId33"/>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1"/>
          <w:cols w:num="1" w:space="720"/>
          <w:titlePg w:val="0"/>
          <w:docGrid w:type="lines" w:linePitch="312" w:charSpace="0"/>
        </w:sectPr>
      </w:pPr>
    </w:p>
    <w:tbl>
      <w:tblPr>
        <w:tblStyle w:val="TableNormal"/>
        <w:tblW w:w="7431" w:type="dxa"/>
        <w:jc w:val="center"/>
        <w:tblCellMar>
          <w:top w:w="0" w:type="dxa"/>
          <w:left w:w="108" w:type="dxa"/>
          <w:bottom w:w="0" w:type="dxa"/>
          <w:right w:w="108" w:type="dxa"/>
        </w:tblCellMar>
      </w:tblPr>
      <w:tblGrid>
        <w:gridCol w:w="846"/>
        <w:gridCol w:w="1605"/>
        <w:gridCol w:w="960"/>
        <w:gridCol w:w="1540"/>
        <w:gridCol w:w="960"/>
        <w:gridCol w:w="1520"/>
      </w:tblGrid>
      <w:tr>
        <w:tblPrEx>
          <w:tblW w:w="7431" w:type="dxa"/>
          <w:jc w:val="center"/>
          <w:tblCellMar>
            <w:top w:w="0" w:type="dxa"/>
            <w:left w:w="108" w:type="dxa"/>
            <w:bottom w:w="0" w:type="dxa"/>
            <w:right w:w="108" w:type="dxa"/>
          </w:tblCellMar>
        </w:tblPrEx>
        <w:trPr>
          <w:trHeight w:val="288"/>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12</w:t>
            </w:r>
          </w:p>
        </w:tc>
        <w:tc>
          <w:tcPr>
            <w:tcW w:w="1605"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p,p'-DDD</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33</w:t>
            </w:r>
          </w:p>
        </w:tc>
        <w:tc>
          <w:tcPr>
            <w:tcW w:w="154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联苯菊酯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54</w:t>
            </w:r>
          </w:p>
        </w:tc>
        <w:tc>
          <w:tcPr>
            <w:tcW w:w="1520" w:type="dxa"/>
            <w:tcBorders>
              <w:top w:val="nil"/>
              <w:left w:val="nil"/>
              <w:bottom w:val="nil"/>
              <w:right w:val="nil"/>
            </w:tcBorders>
            <w:shd w:val="clear" w:color="auto" w:fill="auto"/>
            <w:noWrap/>
            <w:vAlign w:val="bottom"/>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七氯</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13</w:t>
            </w:r>
          </w:p>
        </w:tc>
        <w:tc>
          <w:tcPr>
            <w:tcW w:w="1605"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p,p'-DDE</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34</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氟氯氢菊酯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55</w:t>
            </w:r>
          </w:p>
        </w:tc>
        <w:tc>
          <w:tcPr>
            <w:tcW w:w="152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丁硫克百威</w:t>
            </w:r>
          </w:p>
        </w:tc>
      </w:tr>
      <w:tr>
        <w:tblPrEx>
          <w:tblW w:w="7431" w:type="dxa"/>
          <w:jc w:val="center"/>
          <w:tblCellMar>
            <w:top w:w="0" w:type="dxa"/>
            <w:left w:w="108" w:type="dxa"/>
            <w:bottom w:w="0" w:type="dxa"/>
            <w:right w:w="108" w:type="dxa"/>
          </w:tblCellMar>
        </w:tblPrEx>
        <w:trPr>
          <w:trHeight w:val="288"/>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14</w:t>
            </w:r>
          </w:p>
        </w:tc>
        <w:tc>
          <w:tcPr>
            <w:tcW w:w="1605"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p,p'-DDT</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35</w:t>
            </w:r>
          </w:p>
        </w:tc>
        <w:tc>
          <w:tcPr>
            <w:tcW w:w="154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溴氰菊酯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56</w:t>
            </w:r>
          </w:p>
        </w:tc>
        <w:tc>
          <w:tcPr>
            <w:tcW w:w="152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久效磷</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15</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毒死蜱</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36</w:t>
            </w:r>
          </w:p>
        </w:tc>
        <w:tc>
          <w:tcPr>
            <w:tcW w:w="1540" w:type="dxa"/>
            <w:tcBorders>
              <w:top w:val="nil"/>
              <w:left w:val="nil"/>
              <w:bottom w:val="nil"/>
              <w:right w:val="nil"/>
            </w:tcBorders>
            <w:shd w:val="clear" w:color="000000" w:fill="FFFFFF"/>
            <w:noWrap/>
            <w:vAlign w:val="bottom"/>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狄氏剂</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57</w:t>
            </w:r>
          </w:p>
        </w:tc>
        <w:tc>
          <w:tcPr>
            <w:tcW w:w="152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丙溴磷</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16</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甲基毒死蜱</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37</w:t>
            </w:r>
          </w:p>
        </w:tc>
        <w:tc>
          <w:tcPr>
            <w:tcW w:w="154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硫丹硫酸酯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58</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伏杀硫磷</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17</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氯氰菊酯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38</w:t>
            </w:r>
          </w:p>
        </w:tc>
        <w:tc>
          <w:tcPr>
            <w:tcW w:w="1540" w:type="dxa"/>
            <w:tcBorders>
              <w:top w:val="nil"/>
              <w:left w:val="nil"/>
              <w:bottom w:val="nil"/>
              <w:right w:val="nil"/>
            </w:tcBorders>
            <w:shd w:val="clear" w:color="000000" w:fill="FFFFFF"/>
            <w:noWrap/>
            <w:vAlign w:val="bottom"/>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甲氰菊酯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59</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亚胺硫磷</w:t>
            </w:r>
          </w:p>
        </w:tc>
      </w:tr>
      <w:tr>
        <w:tblPrEx>
          <w:tblW w:w="7431" w:type="dxa"/>
          <w:jc w:val="center"/>
          <w:tblCellMar>
            <w:top w:w="0" w:type="dxa"/>
            <w:left w:w="108" w:type="dxa"/>
            <w:bottom w:w="0" w:type="dxa"/>
            <w:right w:w="108" w:type="dxa"/>
          </w:tblCellMar>
        </w:tblPrEx>
        <w:trPr>
          <w:trHeight w:val="324"/>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18</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三氯杀螨醇</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39</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五氯硝基苯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60</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乙酰甲胺磷</w:t>
            </w:r>
          </w:p>
        </w:tc>
      </w:tr>
      <w:tr>
        <w:tblPrEx>
          <w:tblW w:w="7431" w:type="dxa"/>
          <w:jc w:val="center"/>
          <w:tblCellMar>
            <w:top w:w="0" w:type="dxa"/>
            <w:left w:w="108" w:type="dxa"/>
            <w:bottom w:w="0" w:type="dxa"/>
            <w:right w:w="108" w:type="dxa"/>
          </w:tblCellMar>
        </w:tblPrEx>
        <w:trPr>
          <w:trHeight w:val="312"/>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19</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灭线磷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40</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腐霉利</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lang w:val="en-US" w:eastAsia="zh-CN"/>
              </w:rPr>
              <w:t>61</w:t>
            </w:r>
          </w:p>
        </w:tc>
        <w:tc>
          <w:tcPr>
            <w:tcW w:w="152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lang w:val="en-US" w:eastAsia="zh-CN"/>
              </w:rPr>
              <w:t>氯磺隆</w:t>
            </w:r>
          </w:p>
        </w:tc>
      </w:tr>
      <w:tr>
        <w:tblPrEx>
          <w:tblW w:w="7431" w:type="dxa"/>
          <w:jc w:val="center"/>
          <w:tblCellMar>
            <w:top w:w="0" w:type="dxa"/>
            <w:left w:w="108" w:type="dxa"/>
            <w:bottom w:w="0" w:type="dxa"/>
            <w:right w:w="108" w:type="dxa"/>
          </w:tblCellMar>
        </w:tblPrEx>
        <w:trPr>
          <w:trHeight w:val="324"/>
          <w:jc w:val="center"/>
        </w:trPr>
        <w:tc>
          <w:tcPr>
            <w:tcW w:w="846"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20</w:t>
            </w:r>
          </w:p>
        </w:tc>
        <w:tc>
          <w:tcPr>
            <w:tcW w:w="1605"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杀螟硫磷</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41</w:t>
            </w:r>
          </w:p>
        </w:tc>
        <w:tc>
          <w:tcPr>
            <w:tcW w:w="1540" w:type="dxa"/>
            <w:tcBorders>
              <w:top w:val="nil"/>
              <w:left w:val="nil"/>
              <w:bottom w:val="nil"/>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联苯</w:t>
            </w:r>
          </w:p>
        </w:tc>
        <w:tc>
          <w:tcPr>
            <w:tcW w:w="96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lang w:val="en-US" w:eastAsia="zh-CN"/>
              </w:rPr>
              <w:t>62</w:t>
            </w:r>
          </w:p>
        </w:tc>
        <w:tc>
          <w:tcPr>
            <w:tcW w:w="1520" w:type="dxa"/>
            <w:tcBorders>
              <w:top w:val="nil"/>
              <w:left w:val="nil"/>
              <w:bottom w:val="nil"/>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lang w:val="en-US" w:eastAsia="zh-CN"/>
              </w:rPr>
              <w:t>甲磺隆</w:t>
            </w:r>
          </w:p>
        </w:tc>
      </w:tr>
      <w:tr>
        <w:tblPrEx>
          <w:tblW w:w="7431" w:type="dxa"/>
          <w:jc w:val="center"/>
          <w:tblCellMar>
            <w:top w:w="0" w:type="dxa"/>
            <w:left w:w="108" w:type="dxa"/>
            <w:bottom w:w="0" w:type="dxa"/>
            <w:right w:w="108" w:type="dxa"/>
          </w:tblCellMar>
        </w:tblPrEx>
        <w:trPr>
          <w:trHeight w:val="324"/>
          <w:jc w:val="center"/>
        </w:trPr>
        <w:tc>
          <w:tcPr>
            <w:tcW w:w="846" w:type="dxa"/>
            <w:tcBorders>
              <w:top w:val="nil"/>
              <w:left w:val="nil"/>
              <w:bottom w:val="single" w:sz="12" w:space="0" w:color="auto"/>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21</w:t>
            </w:r>
          </w:p>
        </w:tc>
        <w:tc>
          <w:tcPr>
            <w:tcW w:w="1605" w:type="dxa"/>
            <w:tcBorders>
              <w:top w:val="nil"/>
              <w:left w:val="nil"/>
              <w:bottom w:val="single" w:sz="12" w:space="0" w:color="auto"/>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水胺硫磷</w:t>
            </w:r>
          </w:p>
        </w:tc>
        <w:tc>
          <w:tcPr>
            <w:tcW w:w="960" w:type="dxa"/>
            <w:tcBorders>
              <w:top w:val="nil"/>
              <w:left w:val="nil"/>
              <w:bottom w:val="single" w:sz="12" w:space="0" w:color="auto"/>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42</w:t>
            </w:r>
          </w:p>
        </w:tc>
        <w:tc>
          <w:tcPr>
            <w:tcW w:w="1540" w:type="dxa"/>
            <w:tcBorders>
              <w:top w:val="nil"/>
              <w:left w:val="nil"/>
              <w:bottom w:val="single" w:sz="12" w:space="0" w:color="auto"/>
              <w:right w:val="nil"/>
            </w:tcBorders>
            <w:shd w:val="clear" w:color="000000" w:fill="FFFFFF"/>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rPr>
              <w:t>甲拌磷</w:t>
            </w:r>
          </w:p>
        </w:tc>
        <w:tc>
          <w:tcPr>
            <w:tcW w:w="960" w:type="dxa"/>
            <w:tcBorders>
              <w:top w:val="nil"/>
              <w:left w:val="nil"/>
              <w:bottom w:val="single" w:sz="12" w:space="0" w:color="auto"/>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lang w:val="en-US" w:eastAsia="zh-CN"/>
              </w:rPr>
              <w:t>63</w:t>
            </w:r>
          </w:p>
        </w:tc>
        <w:tc>
          <w:tcPr>
            <w:tcW w:w="1520" w:type="dxa"/>
            <w:tcBorders>
              <w:top w:val="nil"/>
              <w:left w:val="nil"/>
              <w:bottom w:val="single" w:sz="12" w:space="0" w:color="auto"/>
              <w:right w:val="nil"/>
            </w:tcBorders>
            <w:shd w:val="clear" w:color="auto" w:fill="auto"/>
            <w:noWrap/>
            <w:vAlign w:val="center"/>
          </w:tcPr>
          <w:p>
            <w:pPr>
              <w:widowControl/>
              <w:jc w:val="center"/>
              <w:rPr>
                <w:rFonts w:ascii="Times New Roman" w:eastAsia="仿宋" w:hAnsi="Times New Roman" w:hint="default"/>
                <w:color w:val="auto"/>
                <w:kern w:val="0"/>
                <w:szCs w:val="21"/>
              </w:rPr>
            </w:pPr>
            <w:r>
              <w:rPr>
                <w:rFonts w:ascii="Times New Roman" w:eastAsia="仿宋" w:hAnsi="Times New Roman" w:cs="Times New Roman" w:hint="default"/>
                <w:color w:val="auto"/>
                <w:kern w:val="0"/>
                <w:sz w:val="21"/>
                <w:szCs w:val="21"/>
                <w:lang w:val="en-US" w:eastAsia="zh-CN"/>
              </w:rPr>
              <w:t>苯线磷</w:t>
            </w:r>
          </w:p>
        </w:tc>
      </w:tr>
    </w:tbl>
    <w:p>
      <w:pPr>
        <w:pStyle w:val="ListParagraph"/>
        <w:spacing w:line="360" w:lineRule="auto"/>
        <w:ind w:firstLineChars="0"/>
        <w:rPr>
          <w:rFonts w:ascii="Times New Roman" w:eastAsia="仿宋" w:hAnsi="Times New Roman" w:cs="Times New Roman" w:hint="default"/>
          <w:sz w:val="24"/>
          <w:lang w:val="en-US" w:eastAsia="zh-CN"/>
        </w:rPr>
      </w:pPr>
      <w:r>
        <w:rPr>
          <w:rFonts w:ascii="Times New Roman" w:eastAsia="仿宋" w:hAnsi="Times New Roman" w:cs="Times New Roman" w:hint="default"/>
          <w:sz w:val="24"/>
          <w:lang w:val="en-US" w:eastAsia="zh-CN"/>
        </w:rPr>
        <w:t>筛查结果表明，40份折耳根中60</w:t>
      </w:r>
      <w:r>
        <w:rPr>
          <w:rFonts w:ascii="Times New Roman" w:eastAsia="仿宋" w:hAnsi="Times New Roman" w:cs="Times New Roman" w:hint="eastAsia"/>
          <w:sz w:val="24"/>
          <w:lang w:val="en-US" w:eastAsia="zh-CN"/>
        </w:rPr>
        <w:t>余</w:t>
      </w:r>
      <w:r>
        <w:rPr>
          <w:rFonts w:ascii="Times New Roman" w:eastAsia="仿宋" w:hAnsi="Times New Roman" w:cs="Times New Roman" w:hint="default"/>
          <w:sz w:val="24"/>
          <w:lang w:val="en-US" w:eastAsia="zh-CN"/>
        </w:rPr>
        <w:t>种农药均未检出，这可能与施用农药后，农药残留主要在折耳根的叶的表面，且贵州居民主要膳食折耳根的根，因此，膳食折耳根暴露农药引起的食品安全风险隐患较低，但考虑到六六六和滴滴涕使用历史，对人体健康影响较大的特点及贵州土壤中六六六、滴滴涕残留背景，指导折耳根种植户合理选择种植环境，将六六六、滴滴涕纳入折耳根农药残留限量指标，并参照《食品安全国家标准  食品中最大农药残留限量》（GB 2763)中蔬菜中六六六和滴滴涕限量0.05mg/kg执行。关注的六六六、滴滴涕农药指标在《中国药典》中规定的33中禁用农药清单，药典要求不得检出，即不得超过方法定量限0.1mg/kg，折耳根作为地方特色蔬菜主要食用的是新鲜的根，与药典有所区别，因此，六六六和滴滴涕指标参照《食品安全国家标准 食品中最大农药残留量》（GB 2763）中蔬菜中农药残留限量进行设定，严于药典要求，有利于种植户关注土壤中六六六和滴滴涕残留情况，合理选择种植环境，与药典不冲突。</w:t>
      </w:r>
    </w:p>
    <w:p>
      <w:pPr>
        <w:pStyle w:val="ListParagraph"/>
        <w:spacing w:line="360" w:lineRule="auto"/>
        <w:ind w:firstLineChars="0"/>
        <w:rPr>
          <w:rFonts w:ascii="Times New Roman" w:eastAsia="仿宋" w:hAnsi="Times New Roman" w:cs="Times New Roman" w:hint="default"/>
          <w:color w:val="000000"/>
          <w:kern w:val="2"/>
          <w:sz w:val="24"/>
          <w:szCs w:val="24"/>
          <w:lang w:val="en-US" w:eastAsia="zh-CN" w:bidi="ar-SA"/>
        </w:rPr>
        <w:sectPr>
          <w:footerReference w:type="default" r:id="rId3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2"/>
          <w:cols w:num="1" w:space="720"/>
          <w:titlePg w:val="0"/>
          <w:docGrid w:type="lines" w:linePitch="312" w:charSpace="0"/>
        </w:sectPr>
      </w:pPr>
      <w:r>
        <w:rPr>
          <w:rFonts w:ascii="Times New Roman" w:eastAsia="仿宋" w:hAnsi="Times New Roman" w:cs="Times New Roman" w:hint="default"/>
          <w:sz w:val="24"/>
          <w:lang w:val="en-US" w:eastAsia="zh-CN"/>
        </w:rPr>
        <w:t>折耳根为药食两用物质，贵州居民作为地方特色蔬菜食用，重点关注食品属性的安全性，为进一步规范折耳根种植户对其他农药使用，降低食品安全风险隐患。在其他农药指标的设置上主要参照食品安全国家标准。在《食品安全国家标准</w:t>
      </w:r>
      <w:r>
        <w:rPr>
          <w:rFonts w:ascii="Times New Roman" w:eastAsia="仿宋" w:hAnsi="Times New Roman" w:cs="Times New Roman" w:hint="default"/>
          <w:sz w:val="24"/>
          <w:lang w:val="en-US" w:eastAsia="zh-CN"/>
        </w:rPr>
        <w:t xml:space="preserve"> 食品中最大农药残留量》中规定了药用植物农药非临时性限值和临时性限值共计42种（非临时性限值19项，临时性限值21项），非临时农药限值19种中有7种农药（胺苯磺隆、甲拌磷、甲磺隆、克百威、硫丹、氯磺隆、三氯杀螨醇）在药典禁用农药清单中，两者共同涵盖的7种农药在2763中限量值均与药典限量相当甚至严于药典限量要求，其余的农药在药典中未作出相应的限量要求，其他农药指标的设定仅参照食品安全国家标准中非临时限值指标执行与药典不存在冲突，并与食品安全国家基础标准有效衔接性，同时，减少监测监管成本，避免种植户违规使用农药，因此，其他农药指标限量应符合合GB</w:t>
      </w:r>
      <w:r>
        <w:rPr>
          <w:rFonts w:ascii="Times New Roman" w:eastAsia="仿宋" w:hAnsi="Times New Roman" w:cs="Times New Roman" w:hint="default"/>
          <w:sz w:val="24"/>
          <w:lang w:val="en-US" w:eastAsia="zh-CN"/>
        </w:rPr>
        <w:t xml:space="preserve"> 2763</w:t>
      </w:r>
    </w:p>
    <w:p>
      <w:pPr>
        <w:pStyle w:val="ListParagraph"/>
        <w:spacing w:line="360" w:lineRule="auto"/>
        <w:ind w:firstLineChars="0"/>
        <w:rPr>
          <w:rFonts w:ascii="Times New Roman" w:eastAsia="仿宋" w:hAnsi="Times New Roman" w:cs="Times New Roman" w:hint="default"/>
          <w:color w:val="000000"/>
          <w:kern w:val="2"/>
          <w:sz w:val="24"/>
          <w:szCs w:val="24"/>
          <w:lang w:val="en-US" w:eastAsia="zh-CN" w:bidi="ar-SA"/>
        </w:rPr>
      </w:pPr>
      <w:r>
        <w:rPr>
          <w:rFonts w:ascii="Times New Roman" w:eastAsia="仿宋" w:hAnsi="Times New Roman" w:cs="Times New Roman" w:hint="default"/>
          <w:sz w:val="24"/>
          <w:lang w:val="en-US" w:eastAsia="zh-CN"/>
        </w:rPr>
        <w:t xml:space="preserve"> 药用植物非临时限量限值要求，</w:t>
      </w:r>
      <w:r>
        <w:rPr>
          <w:rFonts w:ascii="Times New Roman" w:eastAsia="仿宋" w:hAnsi="Times New Roman" w:cs="Times New Roman" w:hint="default"/>
          <w:color w:val="000000"/>
          <w:kern w:val="2"/>
          <w:sz w:val="24"/>
          <w:szCs w:val="24"/>
          <w:lang w:val="en-US" w:eastAsia="zh-CN" w:bidi="ar-SA"/>
        </w:rPr>
        <w:t>最终标准文本对</w:t>
      </w:r>
      <w:r>
        <w:rPr>
          <w:rFonts w:ascii="Times New Roman" w:eastAsia="仿宋" w:hAnsi="Times New Roman" w:cs="Times New Roman" w:hint="default"/>
          <w:sz w:val="24"/>
          <w:lang w:val="en-US" w:eastAsia="zh-CN"/>
        </w:rPr>
        <w:t>“农药残留限量”部分要求表述</w:t>
      </w:r>
      <w:r>
        <w:rPr>
          <w:rFonts w:ascii="Times New Roman" w:eastAsia="仿宋" w:hAnsi="Times New Roman" w:cs="Times New Roman" w:hint="default"/>
          <w:color w:val="000000"/>
          <w:kern w:val="2"/>
          <w:sz w:val="24"/>
          <w:szCs w:val="24"/>
          <w:lang w:val="en-US" w:eastAsia="zh-CN" w:bidi="ar-SA"/>
        </w:rPr>
        <w:t>为农药残留应符合表10的规定。</w:t>
      </w:r>
    </w:p>
    <w:p>
      <w:pPr>
        <w:bidi w:val="0"/>
        <w:jc w:val="center"/>
        <w:rPr>
          <w:rFonts w:ascii="Times New Roman" w:eastAsia="仿宋" w:hAnsi="Times New Roman" w:hint="default"/>
          <w:b w:val="0"/>
          <w:bCs w:val="0"/>
          <w:szCs w:val="21"/>
        </w:rPr>
      </w:pPr>
      <w:r>
        <w:rPr>
          <w:rFonts w:ascii="Times New Roman" w:eastAsia="仿宋" w:hAnsi="Times New Roman" w:cs="Times New Roman" w:hint="default"/>
          <w:b w:val="0"/>
          <w:bCs w:val="0"/>
          <w:sz w:val="21"/>
          <w:szCs w:val="21"/>
          <w:lang w:val="en-US" w:eastAsia="zh-CN"/>
        </w:rPr>
        <w:t xml:space="preserve">表10  </w:t>
      </w:r>
      <w:r>
        <w:rPr>
          <w:rFonts w:ascii="Times New Roman" w:eastAsia="仿宋" w:hAnsi="Times New Roman" w:cs="Times New Roman" w:hint="default"/>
          <w:b w:val="0"/>
          <w:bCs w:val="0"/>
          <w:sz w:val="21"/>
          <w:szCs w:val="21"/>
        </w:rPr>
        <w:t>农药残留限量</w:t>
      </w:r>
    </w:p>
    <w:tbl>
      <w:tblPr>
        <w:tblStyle w:val="TableGrid4"/>
        <w:tblW w:w="91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3233"/>
        <w:gridCol w:w="2962"/>
        <w:gridCol w:w="2923"/>
      </w:tblGrid>
      <w:tr>
        <w:tblPrEx>
          <w:tblW w:w="91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367"/>
          <w:tblHeader/>
          <w:jc w:val="center"/>
        </w:trPr>
        <w:tc>
          <w:tcPr>
            <w:tcW w:w="3233" w:type="dxa"/>
            <w:tcBorders>
              <w:top w:val="single" w:sz="12" w:space="0" w:color="auto"/>
              <w:left w:val="nil"/>
              <w:bottom w:val="single" w:sz="12" w:space="0" w:color="auto"/>
              <w:right w:val="nil"/>
            </w:tcBorders>
            <w:shd w:val="clear" w:color="auto" w:fill="auto"/>
            <w:vAlign w:val="center"/>
          </w:tcPr>
          <w:p>
            <w:pPr>
              <w:pStyle w:val="a7"/>
              <w:rPr>
                <w:rFonts w:ascii="Times New Roman" w:eastAsia="仿宋" w:hAnsi="Times New Roman" w:cs="Times New Roman" w:hint="default"/>
                <w:b/>
                <w:bCs/>
                <w:sz w:val="21"/>
                <w:szCs w:val="21"/>
              </w:rPr>
            </w:pPr>
            <w:r>
              <w:rPr>
                <w:rFonts w:ascii="Times New Roman" w:eastAsia="仿宋" w:hAnsi="Times New Roman" w:cs="Times New Roman" w:hint="default"/>
                <w:b/>
                <w:bCs/>
                <w:sz w:val="21"/>
                <w:szCs w:val="21"/>
              </w:rPr>
              <w:t>项</w:t>
            </w:r>
            <w:r>
              <w:rPr>
                <w:rFonts w:ascii="Times New Roman" w:eastAsia="仿宋" w:hAnsi="Times New Roman" w:cs="Times New Roman" w:hint="default"/>
                <w:b/>
                <w:bCs/>
                <w:sz w:val="21"/>
                <w:szCs w:val="21"/>
                <w:lang w:val="en-US" w:eastAsia="zh-CN"/>
              </w:rPr>
              <w:t xml:space="preserve"> </w:t>
            </w:r>
            <w:r>
              <w:rPr>
                <w:rFonts w:ascii="Times New Roman" w:eastAsia="仿宋" w:hAnsi="Times New Roman" w:cs="Times New Roman" w:hint="default"/>
                <w:b/>
                <w:bCs/>
                <w:sz w:val="21"/>
                <w:szCs w:val="21"/>
              </w:rPr>
              <w:t>目</w:t>
            </w:r>
          </w:p>
        </w:tc>
        <w:tc>
          <w:tcPr>
            <w:tcW w:w="2962" w:type="dxa"/>
            <w:tcBorders>
              <w:top w:val="single" w:sz="12" w:space="0" w:color="auto"/>
              <w:left w:val="nil"/>
              <w:bottom w:val="single" w:sz="12" w:space="0" w:color="auto"/>
              <w:right w:val="nil"/>
            </w:tcBorders>
            <w:shd w:val="clear" w:color="auto" w:fill="auto"/>
            <w:vAlign w:val="center"/>
          </w:tcPr>
          <w:p>
            <w:pPr>
              <w:pStyle w:val="a7"/>
              <w:rPr>
                <w:rFonts w:ascii="Times New Roman" w:eastAsia="仿宋" w:hAnsi="Times New Roman" w:cs="Times New Roman" w:hint="default"/>
                <w:b/>
                <w:bCs/>
                <w:sz w:val="21"/>
                <w:szCs w:val="21"/>
              </w:rPr>
            </w:pPr>
            <w:r>
              <w:rPr>
                <w:rFonts w:ascii="Times New Roman" w:eastAsia="仿宋" w:hAnsi="Times New Roman" w:cs="Times New Roman" w:hint="default"/>
                <w:b/>
                <w:bCs/>
                <w:sz w:val="21"/>
                <w:szCs w:val="21"/>
              </w:rPr>
              <w:t>指</w:t>
            </w:r>
            <w:r>
              <w:rPr>
                <w:rFonts w:ascii="Times New Roman" w:eastAsia="仿宋" w:hAnsi="Times New Roman" w:cs="Times New Roman" w:hint="default"/>
                <w:b/>
                <w:bCs/>
                <w:sz w:val="21"/>
                <w:szCs w:val="21"/>
                <w:lang w:val="en-US" w:eastAsia="zh-CN"/>
              </w:rPr>
              <w:t xml:space="preserve"> </w:t>
            </w:r>
            <w:r>
              <w:rPr>
                <w:rFonts w:ascii="Times New Roman" w:eastAsia="仿宋" w:hAnsi="Times New Roman" w:cs="Times New Roman" w:hint="default"/>
                <w:b/>
                <w:bCs/>
                <w:sz w:val="21"/>
                <w:szCs w:val="21"/>
              </w:rPr>
              <w:t>标</w:t>
            </w:r>
          </w:p>
        </w:tc>
        <w:tc>
          <w:tcPr>
            <w:tcW w:w="2923" w:type="dxa"/>
            <w:tcBorders>
              <w:top w:val="single" w:sz="12" w:space="0" w:color="auto"/>
              <w:left w:val="nil"/>
              <w:bottom w:val="single" w:sz="12" w:space="0" w:color="auto"/>
              <w:right w:val="nil"/>
            </w:tcBorders>
            <w:shd w:val="clear" w:color="auto" w:fill="auto"/>
            <w:vAlign w:val="center"/>
          </w:tcPr>
          <w:p>
            <w:pPr>
              <w:pStyle w:val="a7"/>
              <w:rPr>
                <w:rFonts w:ascii="Times New Roman" w:eastAsia="仿宋" w:hAnsi="Times New Roman" w:cs="Times New Roman" w:hint="default"/>
                <w:b/>
                <w:bCs/>
                <w:sz w:val="21"/>
                <w:szCs w:val="21"/>
              </w:rPr>
            </w:pPr>
            <w:r>
              <w:rPr>
                <w:rFonts w:ascii="Times New Roman" w:eastAsia="仿宋" w:hAnsi="Times New Roman" w:cs="Times New Roman" w:hint="default"/>
                <w:b/>
                <w:bCs/>
                <w:sz w:val="21"/>
                <w:szCs w:val="21"/>
              </w:rPr>
              <w:t>检验方法</w:t>
            </w:r>
          </w:p>
        </w:tc>
      </w:tr>
      <w:tr>
        <w:tblPrEx>
          <w:tblW w:w="9118" w:type="dxa"/>
          <w:jc w:val="center"/>
          <w:tblCellMar>
            <w:top w:w="0" w:type="dxa"/>
            <w:left w:w="0" w:type="dxa"/>
            <w:bottom w:w="0" w:type="dxa"/>
            <w:right w:w="0" w:type="dxa"/>
          </w:tblCellMar>
        </w:tblPrEx>
        <w:trPr>
          <w:trHeight w:val="367"/>
          <w:jc w:val="center"/>
        </w:trPr>
        <w:tc>
          <w:tcPr>
            <w:tcW w:w="3233" w:type="dxa"/>
            <w:tcBorders>
              <w:top w:val="single" w:sz="12" w:space="0" w:color="auto"/>
              <w:left w:val="nil"/>
              <w:bottom w:val="nil"/>
              <w:right w:val="nil"/>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lang w:val="en-US" w:eastAsia="zh-CN"/>
              </w:rPr>
              <w:t>六六六</w:t>
            </w:r>
            <w:r>
              <w:rPr>
                <w:rFonts w:ascii="Times New Roman" w:eastAsia="仿宋" w:hAnsi="Times New Roman" w:cs="Times New Roman" w:hint="default"/>
                <w:sz w:val="21"/>
                <w:szCs w:val="21"/>
              </w:rPr>
              <w:t>/(mg/kg)</w:t>
            </w:r>
            <w:r>
              <w:rPr>
                <w:rFonts w:ascii="Times New Roman" w:eastAsia="仿宋" w:hAnsi="Times New Roman" w:cs="Times New Roman" w:hint="default"/>
                <w:sz w:val="21"/>
                <w:szCs w:val="21"/>
                <w:lang w:val="en-US" w:eastAsia="zh-CN"/>
              </w:rPr>
              <w:t xml:space="preserve">    </w:t>
            </w:r>
            <w:r>
              <w:rPr>
                <w:rFonts w:ascii="Times New Roman" w:eastAsia="仿宋" w:hAnsi="Times New Roman" w:cs="Times New Roman" w:hint="default"/>
                <w:sz w:val="21"/>
                <w:szCs w:val="21"/>
              </w:rPr>
              <w:t xml:space="preserve"> ≤</w:t>
            </w:r>
          </w:p>
        </w:tc>
        <w:tc>
          <w:tcPr>
            <w:tcW w:w="2962" w:type="dxa"/>
            <w:tcBorders>
              <w:top w:val="single" w:sz="12" w:space="0" w:color="auto"/>
              <w:left w:val="nil"/>
              <w:bottom w:val="nil"/>
              <w:right w:val="nil"/>
            </w:tcBorders>
            <w:shd w:val="clear" w:color="auto" w:fill="auto"/>
            <w:vAlign w:val="center"/>
          </w:tcPr>
          <w:p>
            <w:pPr>
              <w:pStyle w:val="a7"/>
              <w:rPr>
                <w:rFonts w:ascii="Times New Roman" w:eastAsia="仿宋" w:hAnsi="Times New Roman" w:cs="Times New Roman" w:hint="default"/>
                <w:sz w:val="21"/>
                <w:szCs w:val="21"/>
                <w:lang w:eastAsia="zh-CN"/>
              </w:rPr>
            </w:pPr>
            <w:r>
              <w:rPr>
                <w:rFonts w:ascii="Times New Roman" w:eastAsia="仿宋" w:hAnsi="Times New Roman" w:cs="Times New Roman" w:hint="default"/>
                <w:sz w:val="21"/>
                <w:szCs w:val="21"/>
                <w:lang w:val="en-US" w:eastAsia="zh-CN"/>
              </w:rPr>
              <w:t>0</w:t>
            </w:r>
            <w:r>
              <w:rPr>
                <w:rFonts w:ascii="Times New Roman" w:eastAsia="仿宋" w:hAnsi="Times New Roman" w:cs="Times New Roman" w:hint="default"/>
                <w:sz w:val="21"/>
                <w:szCs w:val="21"/>
              </w:rPr>
              <w:t>.</w:t>
            </w:r>
            <w:r>
              <w:rPr>
                <w:rFonts w:ascii="Times New Roman" w:eastAsia="仿宋" w:hAnsi="Times New Roman" w:cs="Times New Roman" w:hint="default"/>
                <w:sz w:val="21"/>
                <w:szCs w:val="21"/>
                <w:lang w:val="en-US" w:eastAsia="zh-CN"/>
              </w:rPr>
              <w:t>05</w:t>
            </w:r>
          </w:p>
        </w:tc>
        <w:tc>
          <w:tcPr>
            <w:tcW w:w="2923" w:type="dxa"/>
            <w:vMerge w:val="restart"/>
            <w:tcBorders>
              <w:top w:val="single" w:sz="12" w:space="0" w:color="auto"/>
              <w:left w:val="nil"/>
            </w:tcBorders>
            <w:shd w:val="clear" w:color="auto" w:fill="auto"/>
            <w:vAlign w:val="center"/>
          </w:tcPr>
          <w:p>
            <w:pPr>
              <w:pStyle w:val="a7"/>
              <w:rPr>
                <w:rFonts w:ascii="Times New Roman" w:eastAsia="仿宋" w:hAnsi="Times New Roman" w:cs="Times New Roman" w:hint="default"/>
                <w:sz w:val="21"/>
                <w:szCs w:val="21"/>
              </w:rPr>
            </w:pPr>
            <w:r>
              <w:rPr>
                <w:rFonts w:ascii="Times New Roman" w:eastAsia="仿宋" w:hAnsi="Times New Roman" w:cs="Times New Roman" w:hint="default"/>
                <w:sz w:val="21"/>
                <w:szCs w:val="21"/>
              </w:rPr>
              <w:t xml:space="preserve">GB </w:t>
            </w:r>
            <w:r>
              <w:rPr>
                <w:rFonts w:ascii="Times New Roman" w:eastAsia="仿宋" w:hAnsi="Times New Roman" w:cs="Times New Roman" w:hint="default"/>
                <w:sz w:val="21"/>
                <w:szCs w:val="21"/>
                <w:lang w:val="en-US" w:eastAsia="zh-CN"/>
              </w:rPr>
              <w:t>23200</w:t>
            </w:r>
            <w:r>
              <w:rPr>
                <w:rFonts w:ascii="Times New Roman" w:eastAsia="仿宋" w:hAnsi="Times New Roman" w:cs="Times New Roman" w:hint="default"/>
                <w:sz w:val="21"/>
                <w:szCs w:val="21"/>
              </w:rPr>
              <w:t>.1</w:t>
            </w:r>
            <w:r>
              <w:rPr>
                <w:rFonts w:ascii="Times New Roman" w:eastAsia="仿宋" w:hAnsi="Times New Roman" w:cs="Times New Roman" w:hint="default"/>
                <w:sz w:val="21"/>
                <w:szCs w:val="21"/>
                <w:lang w:val="en-US" w:eastAsia="zh-CN"/>
              </w:rPr>
              <w:t>13</w:t>
            </w:r>
          </w:p>
          <w:p>
            <w:pPr>
              <w:pStyle w:val="a7"/>
              <w:ind w:firstLine="0" w:firstLineChars="0"/>
              <w:rPr>
                <w:rFonts w:ascii="Times New Roman" w:eastAsia="仿宋" w:hAnsi="Times New Roman" w:cs="Times New Roman" w:hint="default"/>
                <w:sz w:val="21"/>
                <w:szCs w:val="21"/>
                <w:lang w:eastAsia="zh-CN"/>
              </w:rPr>
            </w:pPr>
            <w:r>
              <w:rPr>
                <w:rFonts w:ascii="Times New Roman" w:eastAsia="仿宋" w:hAnsi="Times New Roman" w:cs="Times New Roman" w:hint="default"/>
                <w:sz w:val="21"/>
                <w:szCs w:val="21"/>
              </w:rPr>
              <w:t>GB</w:t>
            </w:r>
            <w:r>
              <w:rPr>
                <w:rFonts w:ascii="Times New Roman" w:eastAsia="仿宋" w:hAnsi="Times New Roman" w:cs="Times New Roman" w:hint="default"/>
                <w:sz w:val="21"/>
                <w:szCs w:val="21"/>
                <w:lang w:val="en-US" w:eastAsia="zh-CN"/>
              </w:rPr>
              <w:t>/T</w:t>
            </w:r>
            <w:r>
              <w:rPr>
                <w:rFonts w:ascii="Times New Roman" w:eastAsia="仿宋" w:hAnsi="Times New Roman" w:cs="Times New Roman" w:hint="default"/>
                <w:sz w:val="21"/>
                <w:szCs w:val="21"/>
              </w:rPr>
              <w:t xml:space="preserve"> 5009.</w:t>
            </w:r>
            <w:r>
              <w:rPr>
                <w:rFonts w:ascii="Times New Roman" w:eastAsia="仿宋" w:hAnsi="Times New Roman" w:cs="Times New Roman" w:hint="default"/>
                <w:sz w:val="21"/>
                <w:szCs w:val="21"/>
                <w:lang w:val="en-US" w:eastAsia="zh-CN"/>
              </w:rPr>
              <w:t>19</w:t>
            </w:r>
          </w:p>
        </w:tc>
      </w:tr>
      <w:tr>
        <w:tblPrEx>
          <w:tblW w:w="9118" w:type="dxa"/>
          <w:jc w:val="center"/>
          <w:tblCellMar>
            <w:top w:w="0" w:type="dxa"/>
            <w:left w:w="0" w:type="dxa"/>
            <w:bottom w:w="0" w:type="dxa"/>
            <w:right w:w="0" w:type="dxa"/>
          </w:tblCellMar>
        </w:tblPrEx>
        <w:trPr>
          <w:trHeight w:val="339"/>
          <w:jc w:val="center"/>
        </w:trPr>
        <w:tc>
          <w:tcPr>
            <w:tcW w:w="3233" w:type="dxa"/>
            <w:tcBorders>
              <w:top w:val="nil"/>
              <w:left w:val="nil"/>
              <w:bottom w:val="nil"/>
              <w:right w:val="nil"/>
            </w:tcBorders>
            <w:shd w:val="clear" w:color="auto" w:fill="auto"/>
            <w:vAlign w:val="center"/>
          </w:tcPr>
          <w:p>
            <w:pPr>
              <w:pStyle w:val="a7"/>
              <w:rPr>
                <w:rFonts w:ascii="Times New Roman" w:eastAsia="仿宋" w:hAnsi="Times New Roman" w:cs="Times New Roman" w:hint="default"/>
                <w:sz w:val="21"/>
                <w:szCs w:val="21"/>
                <w:lang w:val="en-US" w:eastAsia="zh-CN"/>
              </w:rPr>
            </w:pPr>
            <w:r>
              <w:rPr>
                <w:rFonts w:ascii="Times New Roman" w:eastAsia="仿宋" w:hAnsi="Times New Roman" w:cs="Times New Roman" w:hint="default"/>
                <w:sz w:val="21"/>
                <w:szCs w:val="21"/>
                <w:lang w:val="en-US" w:eastAsia="zh-CN"/>
              </w:rPr>
              <w:t>滴滴涕</w:t>
            </w:r>
            <w:r>
              <w:rPr>
                <w:rFonts w:ascii="Times New Roman" w:eastAsia="仿宋" w:hAnsi="Times New Roman" w:cs="Times New Roman" w:hint="default"/>
                <w:sz w:val="21"/>
                <w:szCs w:val="21"/>
              </w:rPr>
              <w:t>/(mg/kg)</w:t>
            </w:r>
            <w:r>
              <w:rPr>
                <w:rFonts w:ascii="Times New Roman" w:eastAsia="仿宋" w:hAnsi="Times New Roman" w:cs="Times New Roman" w:hint="default"/>
                <w:sz w:val="21"/>
                <w:szCs w:val="21"/>
                <w:lang w:val="en-US" w:eastAsia="zh-CN"/>
              </w:rPr>
              <w:t xml:space="preserve">    </w:t>
            </w:r>
            <w:r>
              <w:rPr>
                <w:rFonts w:ascii="Times New Roman" w:eastAsia="仿宋" w:hAnsi="Times New Roman" w:cs="Times New Roman" w:hint="default"/>
                <w:sz w:val="21"/>
                <w:szCs w:val="21"/>
              </w:rPr>
              <w:t xml:space="preserve"> ≤</w:t>
            </w:r>
          </w:p>
        </w:tc>
        <w:tc>
          <w:tcPr>
            <w:tcW w:w="2962" w:type="dxa"/>
            <w:tcBorders>
              <w:top w:val="nil"/>
              <w:left w:val="nil"/>
              <w:bottom w:val="nil"/>
              <w:right w:val="nil"/>
            </w:tcBorders>
            <w:shd w:val="clear" w:color="auto" w:fill="auto"/>
            <w:vAlign w:val="center"/>
          </w:tcPr>
          <w:p>
            <w:pPr>
              <w:pStyle w:val="a7"/>
              <w:rPr>
                <w:rFonts w:ascii="Times New Roman" w:eastAsia="仿宋" w:hAnsi="Times New Roman" w:cs="Times New Roman" w:hint="default"/>
                <w:sz w:val="21"/>
                <w:szCs w:val="21"/>
                <w:lang w:val="en-US" w:eastAsia="zh-CN"/>
              </w:rPr>
            </w:pPr>
            <w:r>
              <w:rPr>
                <w:rFonts w:ascii="Times New Roman" w:eastAsia="仿宋" w:hAnsi="Times New Roman" w:cs="Times New Roman" w:hint="default"/>
                <w:sz w:val="21"/>
                <w:szCs w:val="21"/>
                <w:lang w:val="en-US" w:eastAsia="zh-CN"/>
              </w:rPr>
              <w:t>0.05</w:t>
            </w:r>
          </w:p>
        </w:tc>
        <w:tc>
          <w:tcPr>
            <w:tcW w:w="2923" w:type="dxa"/>
            <w:vMerge/>
            <w:tcBorders>
              <w:left w:val="nil"/>
              <w:bottom w:val="nil"/>
            </w:tcBorders>
            <w:shd w:val="clear" w:color="auto" w:fill="auto"/>
            <w:vAlign w:val="center"/>
          </w:tcPr>
          <w:p>
            <w:pPr>
              <w:pStyle w:val="a7"/>
              <w:ind w:firstLine="0" w:firstLineChars="0"/>
              <w:rPr>
                <w:rFonts w:ascii="Times New Roman" w:eastAsia="仿宋" w:hAnsi="Times New Roman" w:cs="Times New Roman" w:hint="default"/>
                <w:sz w:val="21"/>
                <w:szCs w:val="21"/>
                <w:lang w:eastAsia="zh-CN"/>
              </w:rPr>
            </w:pPr>
          </w:p>
        </w:tc>
      </w:tr>
      <w:tr>
        <w:tblPrEx>
          <w:tblW w:w="9118" w:type="dxa"/>
          <w:jc w:val="center"/>
          <w:tblCellMar>
            <w:top w:w="0" w:type="dxa"/>
            <w:left w:w="0" w:type="dxa"/>
            <w:bottom w:w="0" w:type="dxa"/>
            <w:right w:w="0" w:type="dxa"/>
          </w:tblCellMar>
        </w:tblPrEx>
        <w:trPr>
          <w:trHeight w:val="494"/>
          <w:jc w:val="center"/>
        </w:trPr>
        <w:tc>
          <w:tcPr>
            <w:tcW w:w="9118" w:type="dxa"/>
            <w:gridSpan w:val="3"/>
            <w:tcBorders>
              <w:top w:val="nil"/>
              <w:left w:val="nil"/>
              <w:bottom w:val="single" w:sz="12" w:space="0" w:color="auto"/>
              <w:right w:val="nil"/>
            </w:tcBorders>
            <w:shd w:val="clear" w:color="auto" w:fill="auto"/>
            <w:vAlign w:val="center"/>
          </w:tcPr>
          <w:p>
            <w:pPr>
              <w:pStyle w:val="a7"/>
              <w:jc w:val="left"/>
              <w:rPr>
                <w:rFonts w:ascii="Times New Roman" w:eastAsia="仿宋" w:hAnsi="Times New Roman" w:cs="Times New Roman" w:hint="default"/>
                <w:sz w:val="21"/>
                <w:szCs w:val="21"/>
                <w:lang w:val="en-US" w:eastAsia="zh-CN"/>
              </w:rPr>
            </w:pPr>
            <w:r>
              <w:rPr>
                <w:rFonts w:ascii="Times New Roman" w:eastAsia="仿宋" w:hAnsi="Times New Roman" w:cs="Times New Roman" w:hint="default"/>
                <w:sz w:val="21"/>
                <w:szCs w:val="21"/>
                <w:lang w:val="en-US" w:eastAsia="zh-CN"/>
              </w:rPr>
              <w:t>注：其他农药残留限量应符合GB 2763 药用植物非临时限量限值要求。</w:t>
            </w:r>
          </w:p>
        </w:tc>
      </w:tr>
    </w:tbl>
    <w:p>
      <w:pPr>
        <w:pStyle w:val="Heading2"/>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560" w:firstLineChars="200"/>
        <w:textAlignment w:val="auto"/>
        <w:rPr>
          <w:rFonts w:ascii="Times New Roman" w:eastAsia="仿宋" w:hAnsi="Times New Roman" w:cs="Times New Roman" w:hint="default"/>
          <w:sz w:val="28"/>
          <w:szCs w:val="28"/>
          <w:lang w:val="en-US" w:eastAsia="zh-CN"/>
        </w:rPr>
      </w:pPr>
      <w:bookmarkStart w:id="40" w:name="_Toc10393"/>
      <w:r>
        <w:rPr>
          <w:rFonts w:ascii="Times New Roman" w:eastAsia="仿宋" w:hAnsi="Times New Roman" w:cs="Times New Roman" w:hint="default"/>
          <w:sz w:val="28"/>
          <w:szCs w:val="28"/>
          <w:lang w:val="en-US" w:eastAsia="zh-CN"/>
        </w:rPr>
        <w:t>（八）检测方法的选择</w:t>
      </w:r>
      <w:bookmarkEnd w:id="40"/>
    </w:p>
    <w:p>
      <w:pPr>
        <w:pStyle w:val="a0"/>
        <w:keepNext w:val="0"/>
        <w:keepLines w:val="0"/>
        <w:pageBreakBefore w:val="0"/>
        <w:widowControl/>
        <w:kinsoku/>
        <w:wordWrap/>
        <w:overflowPunct/>
        <w:topLinePunct w:val="0"/>
        <w:autoSpaceDE w:val="0"/>
        <w:autoSpaceDN w:val="0"/>
        <w:bidi w:val="0"/>
        <w:adjustRightInd/>
        <w:snapToGrid/>
        <w:spacing w:line="360" w:lineRule="auto"/>
        <w:ind w:firstLine="528"/>
        <w:textAlignment w:val="auto"/>
        <w:rPr>
          <w:rFonts w:ascii="Times New Roman" w:eastAsia="仿宋" w:hint="default"/>
          <w:spacing w:val="-8"/>
          <w:sz w:val="24"/>
          <w:szCs w:val="24"/>
        </w:rPr>
      </w:pPr>
      <w:r>
        <w:rPr>
          <w:rFonts w:ascii="Times New Roman" w:eastAsia="仿宋" w:hAnsi="Times New Roman" w:cs="Times New Roman" w:hint="default"/>
          <w:spacing w:val="-8"/>
          <w:kern w:val="2"/>
          <w:sz w:val="24"/>
          <w:szCs w:val="24"/>
        </w:rPr>
        <w:t>标准文本的起草涉及指标的定量检测，检测方法选择原则是优先选用国家食品安全标准、高通量多指标测定方法</w:t>
      </w:r>
      <w:r>
        <w:rPr>
          <w:rFonts w:ascii="Times New Roman" w:eastAsia="仿宋" w:hAnsi="Times New Roman" w:cs="Times New Roman" w:hint="default"/>
          <w:spacing w:val="-8"/>
          <w:kern w:val="2"/>
          <w:sz w:val="24"/>
          <w:szCs w:val="24"/>
          <w:lang w:eastAsia="zh-CN"/>
        </w:rPr>
        <w:t>。</w:t>
      </w:r>
      <w:r>
        <w:rPr>
          <w:rFonts w:ascii="Times New Roman" w:eastAsia="仿宋" w:hAnsi="Times New Roman" w:cs="Times New Roman" w:hint="default"/>
          <w:spacing w:val="-8"/>
          <w:kern w:val="2"/>
          <w:sz w:val="24"/>
          <w:szCs w:val="24"/>
        </w:rPr>
        <w:t>多元素检测首先选择了</w:t>
      </w:r>
      <w:r>
        <w:rPr>
          <w:rFonts w:ascii="Times New Roman" w:eastAsia="仿宋" w:hAnsi="Times New Roman" w:cs="Times New Roman" w:hint="default"/>
          <w:spacing w:val="-8"/>
          <w:sz w:val="24"/>
          <w:szCs w:val="24"/>
        </w:rPr>
        <w:t>GB 5009.268《食品安全国家标准 食品中多元素的测定》第一法 电感耦合等离子质谱法，对含量水平相对较高的铅和镉指标的复核检测选用的是GB 5009.12《食品安全国家标准 食品中铅的测定》及GB 5009.15《食品安全国家标准 食品中镉的测定》</w:t>
      </w:r>
      <w:r>
        <w:rPr>
          <w:rFonts w:ascii="Times New Roman" w:eastAsia="仿宋" w:hAnsi="Times New Roman" w:cs="Times New Roman" w:hint="default"/>
          <w:spacing w:val="-8"/>
          <w:kern w:val="2"/>
          <w:sz w:val="24"/>
          <w:szCs w:val="24"/>
        </w:rPr>
        <w:t>经典检测方法；</w:t>
      </w:r>
      <w:r>
        <w:rPr>
          <w:rFonts w:ascii="Times New Roman" w:eastAsia="仿宋" w:hAnsi="Times New Roman" w:cs="Times New Roman" w:hint="default"/>
          <w:spacing w:val="-8"/>
          <w:sz w:val="24"/>
          <w:szCs w:val="24"/>
        </w:rPr>
        <w:t>农药的筛查优先选择了GB 23200.113《食品安全国家标准 植物源性食品中208种农药及其代谢物残留量的测定 气相色谱-质谱联用法》，对于</w:t>
      </w:r>
      <w:r>
        <w:rPr>
          <w:rFonts w:ascii="Times New Roman" w:eastAsia="仿宋" w:hAnsi="Times New Roman" w:cs="Times New Roman" w:hint="default"/>
          <w:spacing w:val="-8"/>
          <w:sz w:val="24"/>
          <w:szCs w:val="24"/>
          <w:lang w:val="en-US" w:eastAsia="zh-CN"/>
        </w:rPr>
        <w:t>土壤残留可能导致折耳根残留的</w:t>
      </w:r>
      <w:r>
        <w:rPr>
          <w:rFonts w:ascii="Times New Roman" w:eastAsia="仿宋" w:hAnsi="Times New Roman" w:cs="Times New Roman" w:hint="default"/>
          <w:spacing w:val="-8"/>
          <w:sz w:val="24"/>
          <w:szCs w:val="24"/>
        </w:rPr>
        <w:t>潜在健康风险的有机氯类广谱杀虫剂的复核</w:t>
      </w:r>
      <w:r>
        <w:rPr>
          <w:rFonts w:ascii="Times New Roman" w:eastAsia="仿宋" w:hAnsi="Times New Roman" w:cs="Times New Roman" w:hint="default"/>
          <w:spacing w:val="-8"/>
          <w:sz w:val="24"/>
          <w:szCs w:val="24"/>
          <w:lang w:val="en-US" w:eastAsia="zh-CN"/>
        </w:rPr>
        <w:t>可</w:t>
      </w:r>
      <w:r>
        <w:rPr>
          <w:rFonts w:ascii="Times New Roman" w:eastAsia="仿宋" w:hAnsi="Times New Roman" w:cs="Times New Roman" w:hint="default"/>
          <w:spacing w:val="-8"/>
          <w:sz w:val="24"/>
          <w:szCs w:val="24"/>
        </w:rPr>
        <w:t>采用GB/T 5009.19</w:t>
      </w:r>
      <w:r>
        <w:rPr>
          <w:rFonts w:ascii="Times New Roman" w:eastAsia="仿宋" w:hAnsi="Times New Roman" w:cs="Times New Roman" w:hint="default"/>
          <w:spacing w:val="-8"/>
          <w:kern w:val="2"/>
          <w:sz w:val="24"/>
          <w:szCs w:val="24"/>
        </w:rPr>
        <w:t>《食品中有机氯农药多组分残留量的测定》</w:t>
      </w:r>
      <w:r>
        <w:rPr>
          <w:rFonts w:ascii="Times New Roman" w:eastAsia="仿宋" w:hAnsi="Times New Roman" w:cs="Times New Roman" w:hint="default"/>
          <w:spacing w:val="-8"/>
          <w:sz w:val="24"/>
          <w:szCs w:val="24"/>
        </w:rPr>
        <w:t>方法。为方便标准配套检测方法的自动更新，检测方法均没有标注标准年号</w:t>
      </w:r>
      <w:r>
        <w:rPr>
          <w:rFonts w:ascii="Times New Roman" w:eastAsia="仿宋" w:hAnsi="Times New Roman" w:cs="Times New Roman" w:hint="default"/>
          <w:spacing w:val="-8"/>
          <w:sz w:val="24"/>
          <w:szCs w:val="24"/>
          <w:lang w:eastAsia="zh-CN"/>
        </w:rPr>
        <w:t>，</w:t>
      </w:r>
      <w:r>
        <w:rPr>
          <w:rFonts w:ascii="Times New Roman" w:eastAsia="仿宋" w:hAnsi="Times New Roman" w:cs="Times New Roman" w:hint="default"/>
          <w:spacing w:val="-8"/>
          <w:sz w:val="24"/>
          <w:szCs w:val="24"/>
          <w:lang w:val="en-US" w:eastAsia="zh-CN"/>
        </w:rPr>
        <w:t>检测单位可根据仪器设备配置情况选择使用。</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lang w:val="en-US" w:eastAsia="zh-CN"/>
        </w:rPr>
      </w:pPr>
      <w:bookmarkStart w:id="41" w:name="_Toc20235"/>
      <w:r>
        <w:rPr>
          <w:rFonts w:ascii="Times New Roman" w:eastAsia="仿宋" w:hAnsi="Times New Roman" w:cs="Times New Roman" w:hint="default"/>
          <w:b/>
          <w:bCs/>
          <w:sz w:val="30"/>
          <w:szCs w:val="30"/>
          <w:lang w:val="en-US" w:eastAsia="zh-CN"/>
        </w:rPr>
        <w:t>五、主要试验（验证）的测试报告、相关技术和经济影响论证</w:t>
      </w:r>
      <w:bookmarkEnd w:id="41"/>
    </w:p>
    <w:p>
      <w:pPr>
        <w:pStyle w:val="a0"/>
        <w:keepNext w:val="0"/>
        <w:keepLines w:val="0"/>
        <w:pageBreakBefore w:val="0"/>
        <w:widowControl/>
        <w:kinsoku/>
        <w:wordWrap/>
        <w:overflowPunct/>
        <w:topLinePunct w:val="0"/>
        <w:autoSpaceDE w:val="0"/>
        <w:autoSpaceDN w:val="0"/>
        <w:bidi w:val="0"/>
        <w:adjustRightInd/>
        <w:snapToGrid/>
        <w:spacing w:line="360" w:lineRule="auto"/>
        <w:ind w:firstLine="528"/>
        <w:textAlignment w:val="auto"/>
        <w:rPr>
          <w:rFonts w:ascii="Times New Roman" w:eastAsia="仿宋" w:hint="default"/>
          <w:kern w:val="0"/>
          <w:sz w:val="24"/>
          <w:szCs w:val="24"/>
        </w:rPr>
        <w:sectPr>
          <w:footerReference w:type="default" r:id="rId3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3"/>
          <w:cols w:num="1" w:space="720"/>
          <w:titlePg w:val="0"/>
          <w:docGrid w:type="lines" w:linePitch="312" w:charSpace="0"/>
        </w:sectPr>
      </w:pPr>
      <w:r>
        <w:rPr>
          <w:rFonts w:ascii="Times New Roman" w:eastAsia="仿宋" w:hAnsi="Times New Roman" w:cs="Times New Roman" w:hint="default"/>
          <w:kern w:val="0"/>
          <w:sz w:val="24"/>
          <w:szCs w:val="24"/>
        </w:rPr>
        <w:t>贵州省疾病预防控制中心是2008年通过国家实验室认证认可的权威检测机构，2013年起加挂国家食品安全风险监测（贵州）中心，是贵州省政府认定的全省食品安全风险监测专业机构，是国家市场监督管理局遴选批准的贵州省食品仲裁法定机构，多次承担食品及相关产品安全监测和评价委托工作，具有较丰富的相关工作经历，下属实验中心为本次</w:t>
      </w:r>
      <w:r>
        <w:rPr>
          <w:rFonts w:ascii="Times New Roman" w:eastAsia="仿宋" w:hAnsi="Times New Roman" w:cs="Times New Roman" w:hint="default"/>
          <w:kern w:val="0"/>
          <w:sz w:val="24"/>
          <w:szCs w:val="24"/>
          <w:lang w:val="en-US" w:eastAsia="zh-CN"/>
        </w:rPr>
        <w:t>折耳根</w:t>
      </w:r>
      <w:r>
        <w:rPr>
          <w:rFonts w:ascii="Times New Roman" w:eastAsia="仿宋" w:hAnsi="Times New Roman" w:cs="Times New Roman" w:hint="default"/>
          <w:kern w:val="0"/>
          <w:sz w:val="24"/>
          <w:szCs w:val="24"/>
        </w:rPr>
        <w:t>地方标准制定</w:t>
      </w:r>
      <w:r>
        <w:rPr>
          <w:rFonts w:ascii="Times New Roman" w:eastAsia="仿宋" w:hAnsi="Times New Roman" w:cs="Times New Roman" w:hint="default"/>
          <w:kern w:val="0"/>
          <w:sz w:val="24"/>
          <w:szCs w:val="24"/>
          <w:lang w:val="en-US" w:eastAsia="zh-CN"/>
        </w:rPr>
        <w:t>所组织9个市州疾控中心开展检测、数据复核和质量控制的具体部门，确保检测结果的准确可靠提供支撑。</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lang w:val="en-US" w:eastAsia="zh-CN"/>
        </w:rPr>
      </w:pPr>
      <w:bookmarkStart w:id="42" w:name="_Toc25385"/>
      <w:r>
        <w:rPr>
          <w:rFonts w:ascii="Times New Roman" w:eastAsia="仿宋" w:hAnsi="Times New Roman" w:cs="Times New Roman" w:hint="default"/>
          <w:b/>
          <w:bCs/>
          <w:sz w:val="30"/>
          <w:szCs w:val="30"/>
          <w:lang w:val="en-US" w:eastAsia="zh-CN"/>
        </w:rPr>
        <w:t>六、重大意见分歧的处理结果和依据</w:t>
      </w:r>
      <w:bookmarkEnd w:id="42"/>
    </w:p>
    <w:p>
      <w:pPr>
        <w:pStyle w:val="ListParagraph"/>
        <w:spacing w:line="360" w:lineRule="auto"/>
        <w:ind w:firstLine="560"/>
        <w:rPr>
          <w:rFonts w:ascii="Times New Roman" w:eastAsia="仿宋" w:hAnsi="Times New Roman" w:cs="Times New Roman" w:hint="default"/>
          <w:sz w:val="24"/>
          <w:szCs w:val="24"/>
        </w:rPr>
      </w:pPr>
      <w:r>
        <w:rPr>
          <w:rFonts w:ascii="Times New Roman" w:eastAsia="仿宋" w:hAnsi="Times New Roman" w:cs="Times New Roman" w:hint="default"/>
          <w:sz w:val="24"/>
          <w:szCs w:val="24"/>
        </w:rPr>
        <w:t>本标准在起草过程中由项目负责人策划标准结构框架，具体内容和文本表达方式有项目组成员共同讨论确定，涉及特殊规定或特殊要求内容，首先有标准起草组成员查阅相关标准或资料，有明确来源的依据或充分的研究结论的问题，由标准起草组成员根据查阅资料共同讨论决定</w:t>
      </w:r>
      <w:r>
        <w:rPr>
          <w:rFonts w:ascii="Times New Roman" w:eastAsia="仿宋" w:hAnsi="Times New Roman" w:cs="Times New Roman" w:hint="default"/>
          <w:sz w:val="24"/>
          <w:szCs w:val="24"/>
          <w:lang w:eastAsia="zh-CN"/>
        </w:rPr>
        <w:t>，</w:t>
      </w:r>
      <w:r>
        <w:rPr>
          <w:rFonts w:ascii="Times New Roman" w:eastAsia="仿宋" w:hAnsi="Times New Roman" w:cs="Times New Roman" w:hint="default"/>
          <w:sz w:val="24"/>
          <w:szCs w:val="24"/>
          <w:lang w:val="en-US" w:eastAsia="zh-CN"/>
        </w:rPr>
        <w:t>标准</w:t>
      </w:r>
      <w:r>
        <w:rPr>
          <w:rFonts w:ascii="Times New Roman" w:eastAsia="仿宋" w:hAnsi="Times New Roman" w:cs="Times New Roman" w:hint="default"/>
          <w:sz w:val="24"/>
          <w:szCs w:val="24"/>
        </w:rPr>
        <w:t>在起草过程中征求政府监管部门及相关领域专家意见和建议</w:t>
      </w:r>
      <w:r>
        <w:rPr>
          <w:rFonts w:ascii="Times New Roman" w:eastAsia="仿宋" w:hAnsi="Times New Roman" w:cs="Times New Roman" w:hint="default"/>
          <w:sz w:val="24"/>
          <w:szCs w:val="24"/>
          <w:lang w:eastAsia="zh-CN"/>
        </w:rPr>
        <w:t>，</w:t>
      </w:r>
      <w:r>
        <w:rPr>
          <w:rFonts w:ascii="Times New Roman" w:eastAsia="仿宋" w:hAnsi="Times New Roman" w:cs="Times New Roman" w:hint="default"/>
          <w:sz w:val="24"/>
          <w:szCs w:val="24"/>
          <w:lang w:val="en-US" w:eastAsia="zh-CN"/>
        </w:rPr>
        <w:t>标准制定过程中</w:t>
      </w:r>
      <w:r>
        <w:rPr>
          <w:rFonts w:ascii="Times New Roman" w:eastAsia="仿宋" w:hAnsi="Times New Roman" w:cs="Times New Roman" w:hint="default"/>
          <w:sz w:val="24"/>
          <w:szCs w:val="24"/>
        </w:rPr>
        <w:t>没有重大分歧意见。</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lang w:val="en-US" w:eastAsia="zh-CN"/>
        </w:rPr>
      </w:pPr>
      <w:bookmarkStart w:id="43" w:name="_Toc19360"/>
      <w:r>
        <w:rPr>
          <w:rFonts w:ascii="Times New Roman" w:eastAsia="仿宋" w:hAnsi="Times New Roman" w:cs="Times New Roman" w:hint="default"/>
          <w:b/>
          <w:bCs/>
          <w:sz w:val="30"/>
          <w:szCs w:val="30"/>
          <w:lang w:val="en-US" w:eastAsia="zh-CN"/>
        </w:rPr>
        <w:t>七、预期的社会经济效益及贯彻实施标准的要求、措施等建议</w:t>
      </w:r>
      <w:bookmarkEnd w:id="4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eastAsia="仿宋" w:hAnsi="Times New Roman" w:hint="default"/>
          <w:sz w:val="24"/>
          <w:szCs w:val="24"/>
        </w:rPr>
      </w:pPr>
      <w:r>
        <w:rPr>
          <w:rFonts w:ascii="Times New Roman" w:eastAsia="仿宋" w:hAnsi="Times New Roman" w:cs="Times New Roman" w:hint="default"/>
          <w:sz w:val="24"/>
          <w:szCs w:val="24"/>
        </w:rPr>
        <w:t xml:space="preserve">《食品安全地方标准 </w:t>
      </w:r>
      <w:r>
        <w:rPr>
          <w:rFonts w:ascii="Times New Roman" w:eastAsia="仿宋" w:hAnsi="Times New Roman" w:cs="Times New Roman" w:hint="default"/>
          <w:sz w:val="24"/>
          <w:szCs w:val="24"/>
          <w:lang w:val="en-US" w:eastAsia="zh-CN"/>
        </w:rPr>
        <w:t>折耳根</w:t>
      </w:r>
      <w:r>
        <w:rPr>
          <w:rFonts w:ascii="Times New Roman" w:eastAsia="仿宋" w:hAnsi="Times New Roman" w:cs="Times New Roman" w:hint="default"/>
          <w:sz w:val="24"/>
          <w:szCs w:val="24"/>
        </w:rPr>
        <w:t>》的制定并发布实施，能够充分</w:t>
      </w:r>
      <w:r>
        <w:rPr>
          <w:rFonts w:ascii="Times New Roman" w:eastAsia="仿宋" w:hAnsi="Times New Roman" w:cs="Times New Roman" w:hint="default"/>
          <w:sz w:val="24"/>
          <w:szCs w:val="24"/>
          <w:lang w:val="en-US" w:eastAsia="zh-CN"/>
        </w:rPr>
        <w:t>体现我省在开展食品风险监测中发现问题，及时规范补漏寻找解决办法、回应百姓关切的地方特色食品安全的重要举措，</w:t>
      </w:r>
      <w:r>
        <w:rPr>
          <w:rFonts w:ascii="Times New Roman" w:eastAsia="仿宋" w:hAnsi="Times New Roman" w:cs="Times New Roman" w:hint="default"/>
          <w:color w:val="000000"/>
          <w:sz w:val="24"/>
          <w:szCs w:val="24"/>
          <w:lang w:val="en-US" w:eastAsia="zh-CN"/>
        </w:rPr>
        <w:t>设置合理的污染物限值，保障膳食折耳根膳食安全，为市场监管提供技术支撑，为折耳根种植户选择种植环境提供参考依据，为农民</w:t>
      </w:r>
      <w:r>
        <w:rPr>
          <w:rFonts w:ascii="Times New Roman" w:eastAsia="仿宋" w:hAnsi="Times New Roman" w:cs="Times New Roman" w:hint="default"/>
          <w:color w:val="000000"/>
          <w:sz w:val="24"/>
          <w:szCs w:val="24"/>
        </w:rPr>
        <w:t>增收致富提供了有力支撑</w:t>
      </w:r>
      <w:r>
        <w:rPr>
          <w:rFonts w:ascii="Times New Roman" w:eastAsia="仿宋" w:hAnsi="Times New Roman" w:cs="Times New Roman" w:hint="default"/>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148" w:firstLine="674"/>
        <w:textAlignment w:val="auto"/>
        <w:rPr>
          <w:rFonts w:ascii="Times New Roman" w:eastAsia="仿宋" w:hAnsi="Times New Roman" w:hint="default"/>
          <w:spacing w:val="-8"/>
          <w:sz w:val="24"/>
          <w:szCs w:val="24"/>
        </w:rPr>
      </w:pPr>
      <w:r>
        <w:rPr>
          <w:rFonts w:ascii="Times New Roman" w:eastAsia="仿宋" w:hAnsi="Times New Roman" w:cs="Times New Roman" w:hint="default"/>
          <w:spacing w:val="-8"/>
          <w:sz w:val="24"/>
          <w:szCs w:val="24"/>
        </w:rPr>
        <w:t>本标准颁布实施后，为了确保标准的贯彻执行，应及时向我省监管执法部门、折耳根种植合作社、种植户及相关从业人员进行宣传和培训，包括解释标准的内容、标准的重要性，以及如何遵守标准的具体要求，更好的指导我省特色食品折耳根的食品安全工作，严格按标准要求组织种植、检验、销售、监督管理，降低食用折耳根引起的安全隐患。</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lang w:val="en-US" w:eastAsia="zh-CN"/>
        </w:rPr>
      </w:pPr>
      <w:bookmarkStart w:id="44" w:name="_Toc12856"/>
      <w:r>
        <w:rPr>
          <w:rFonts w:ascii="Times New Roman" w:eastAsia="仿宋" w:hAnsi="Times New Roman" w:cs="Times New Roman" w:hint="default"/>
          <w:b/>
          <w:bCs/>
          <w:sz w:val="30"/>
          <w:szCs w:val="30"/>
          <w:lang w:val="en-US" w:eastAsia="zh-CN"/>
        </w:rPr>
        <w:t>八、地方标准修订项目，还应当列出和原标准主要差异情况</w:t>
      </w:r>
      <w:bookmarkEnd w:id="4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eastAsia="仿宋" w:hAnsi="Times New Roman" w:hint="default"/>
          <w:spacing w:val="-8"/>
          <w:sz w:val="24"/>
          <w:szCs w:val="24"/>
        </w:rPr>
      </w:pPr>
      <w:r>
        <w:rPr>
          <w:rFonts w:ascii="Times New Roman" w:eastAsia="仿宋" w:hAnsi="Times New Roman" w:cs="Times New Roman" w:hint="default"/>
          <w:spacing w:val="-8"/>
          <w:sz w:val="24"/>
          <w:szCs w:val="24"/>
        </w:rPr>
        <w:t>本标准为初次申请制定标准，不涉及修订内容。</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600" w:firstLineChars="200"/>
        <w:textAlignment w:val="auto"/>
        <w:rPr>
          <w:rFonts w:ascii="Times New Roman" w:eastAsia="仿宋" w:hAnsi="Times New Roman" w:cs="Times New Roman" w:hint="default"/>
          <w:sz w:val="30"/>
          <w:szCs w:val="30"/>
          <w:lang w:val="en-US" w:eastAsia="zh-CN"/>
        </w:rPr>
      </w:pPr>
      <w:bookmarkStart w:id="45" w:name="_Toc13096"/>
      <w:r>
        <w:rPr>
          <w:rFonts w:ascii="Times New Roman" w:eastAsia="仿宋" w:hAnsi="Times New Roman" w:cs="Times New Roman" w:hint="default"/>
          <w:b/>
          <w:bCs/>
          <w:sz w:val="30"/>
          <w:szCs w:val="30"/>
          <w:lang w:val="en-US" w:eastAsia="zh-CN"/>
        </w:rPr>
        <w:t>九、其他应予说明的事项</w:t>
      </w:r>
      <w:bookmarkEnd w:id="45"/>
    </w:p>
    <w:p>
      <w:pPr>
        <w:spacing w:line="360" w:lineRule="auto"/>
        <w:ind w:firstLine="1680" w:firstLineChars="700"/>
        <w:jc w:val="left"/>
        <w:rPr>
          <w:rFonts w:ascii="Times New Roman" w:eastAsia="仿宋" w:hAnsi="Times New Roman" w:hint="default"/>
          <w:sz w:val="24"/>
          <w:szCs w:val="24"/>
        </w:rPr>
      </w:pPr>
      <w:r>
        <w:rPr>
          <w:rFonts w:ascii="Times New Roman" w:eastAsia="仿宋" w:hAnsi="Times New Roman" w:cs="Times New Roman" w:hint="default"/>
          <w:sz w:val="24"/>
          <w:szCs w:val="24"/>
        </w:rPr>
        <w:t>无。</w:t>
      </w:r>
    </w:p>
    <w:p>
      <w:pPr>
        <w:spacing w:before="205" w:line="323" w:lineRule="auto"/>
        <w:ind w:left="148" w:firstLine="4250" w:firstLineChars="1518"/>
        <w:rPr>
          <w:rFonts w:ascii="Times New Roman" w:eastAsia="仿宋" w:hAnsi="Times New Roman" w:hint="default"/>
          <w:spacing w:val="-11"/>
          <w:sz w:val="28"/>
          <w:szCs w:val="28"/>
        </w:rPr>
      </w:pPr>
      <w:r>
        <w:rPr>
          <w:rFonts w:ascii="Times New Roman" w:eastAsia="仿宋" w:hAnsi="Times New Roman" w:cs="Times New Roman" w:hint="default"/>
          <w:spacing w:val="-11"/>
          <w:sz w:val="28"/>
          <w:szCs w:val="28"/>
        </w:rPr>
        <w:t xml:space="preserve">《食品安全地方标准 </w:t>
      </w:r>
      <w:r>
        <w:rPr>
          <w:rFonts w:ascii="Times New Roman" w:eastAsia="仿宋" w:hAnsi="Times New Roman" w:cs="Times New Roman" w:hint="default"/>
          <w:spacing w:val="-11"/>
          <w:sz w:val="28"/>
          <w:szCs w:val="28"/>
          <w:lang w:val="en-US" w:eastAsia="zh-CN"/>
        </w:rPr>
        <w:t>折耳根</w:t>
      </w:r>
      <w:r>
        <w:rPr>
          <w:rFonts w:ascii="Times New Roman" w:eastAsia="仿宋" w:hAnsi="Times New Roman" w:cs="Times New Roman" w:hint="default"/>
          <w:spacing w:val="-11"/>
          <w:sz w:val="28"/>
          <w:szCs w:val="28"/>
        </w:rPr>
        <w:t>》编制组</w:t>
      </w:r>
    </w:p>
    <w:p>
      <w:pPr>
        <w:spacing w:before="205" w:line="323" w:lineRule="auto"/>
        <w:ind w:left="148" w:firstLine="674"/>
        <w:rPr>
          <w:rFonts w:ascii="Times New Roman" w:eastAsia="仿宋" w:hAnsi="Times New Roman" w:hint="default"/>
          <w:spacing w:val="-8"/>
          <w:sz w:val="28"/>
          <w:szCs w:val="28"/>
        </w:rPr>
        <w:sectPr>
          <w:footerReference w:type="default" r:id="rId3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4"/>
          <w:cols w:num="1" w:space="720"/>
          <w:titlePg w:val="0"/>
          <w:docGrid w:type="lines" w:linePitch="312" w:charSpace="0"/>
        </w:sectPr>
      </w:pPr>
      <w:r>
        <w:rPr>
          <w:rFonts w:ascii="Times New Roman" w:eastAsia="仿宋" w:hAnsi="Times New Roman" w:cs="Times New Roman" w:hint="default"/>
          <w:spacing w:val="-8"/>
          <w:sz w:val="28"/>
          <w:szCs w:val="28"/>
        </w:rPr>
        <w:t xml:space="preserve">                                   202</w:t>
      </w:r>
      <w:r>
        <w:rPr>
          <w:rFonts w:ascii="Times New Roman" w:eastAsia="仿宋" w:hAnsi="Times New Roman" w:cs="Times New Roman" w:hint="default"/>
          <w:spacing w:val="-8"/>
          <w:sz w:val="28"/>
          <w:szCs w:val="28"/>
          <w:lang w:val="en-US" w:eastAsia="zh-CN"/>
        </w:rPr>
        <w:t>4</w:t>
      </w:r>
      <w:r>
        <w:rPr>
          <w:rFonts w:ascii="Times New Roman" w:eastAsia="仿宋" w:hAnsi="Times New Roman" w:cs="Times New Roman" w:hint="default"/>
          <w:spacing w:val="-8"/>
          <w:sz w:val="28"/>
          <w:szCs w:val="28"/>
        </w:rPr>
        <w:t>年</w:t>
      </w:r>
      <w:r>
        <w:rPr>
          <w:rFonts w:ascii="Times New Roman" w:eastAsia="仿宋" w:hAnsi="Times New Roman" w:cs="Times New Roman" w:hint="default"/>
          <w:spacing w:val="-8"/>
          <w:sz w:val="28"/>
          <w:szCs w:val="28"/>
          <w:lang w:val="en-US" w:eastAsia="zh-CN"/>
        </w:rPr>
        <w:t>2</w:t>
      </w:r>
      <w:r>
        <w:rPr>
          <w:rFonts w:ascii="Times New Roman" w:eastAsia="仿宋" w:hAnsi="Times New Roman" w:cs="Times New Roman" w:hint="default"/>
          <w:spacing w:val="-8"/>
          <w:sz w:val="28"/>
          <w:szCs w:val="28"/>
        </w:rPr>
        <w:t>月</w:t>
      </w:r>
      <w:r>
        <w:rPr>
          <w:rFonts w:ascii="Times New Roman" w:eastAsia="仿宋" w:hAnsi="Times New Roman" w:cs="Times New Roman" w:hint="default"/>
          <w:spacing w:val="-8"/>
          <w:sz w:val="28"/>
          <w:szCs w:val="28"/>
          <w:lang w:val="en-US" w:eastAsia="zh-CN"/>
        </w:rPr>
        <w:t>5</w:t>
      </w:r>
      <w:r>
        <w:rPr>
          <w:rFonts w:ascii="Times New Roman" w:eastAsia="仿宋" w:hAnsi="Times New Roman" w:cs="Times New Roman" w:hint="default"/>
          <w:spacing w:val="-8"/>
          <w:sz w:val="28"/>
          <w:szCs w:val="28"/>
        </w:rPr>
        <w:t>日</w:t>
      </w:r>
    </w:p>
    <w:p>
      <w:pPr>
        <w:keepNext w:val="0"/>
        <w:keepLines w:val="0"/>
        <w:pageBreakBefore w:val="0"/>
        <w:widowControl w:val="0"/>
        <w:kinsoku/>
        <w:wordWrap/>
        <w:overflowPunct/>
        <w:topLinePunct w:val="0"/>
        <w:autoSpaceDE/>
        <w:autoSpaceDN/>
        <w:bidi w:val="0"/>
        <w:adjustRightInd/>
        <w:spacing w:line="360" w:lineRule="auto"/>
        <w:textAlignment w:val="auto"/>
        <w:rPr>
          <w:rFonts w:ascii="Times New Roman" w:eastAsia="仿宋" w:hAnsi="Times New Roman" w:hint="default"/>
          <w:spacing w:val="-8"/>
          <w:szCs w:val="21"/>
        </w:rPr>
      </w:pPr>
      <w:r>
        <w:rPr>
          <w:rFonts w:ascii="Times New Roman" w:eastAsia="仿宋" w:hAnsi="Times New Roman" w:cs="Times New Roman" w:hint="default"/>
          <w:spacing w:val="-8"/>
          <w:sz w:val="21"/>
          <w:szCs w:val="21"/>
          <w:lang w:val="en-US" w:eastAsia="zh-CN"/>
        </w:rPr>
        <w:t>参考文献：</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color w:val="000000"/>
          <w:szCs w:val="21"/>
        </w:rPr>
      </w:pPr>
      <w:r>
        <w:rPr>
          <w:rFonts w:ascii="Times New Roman" w:eastAsia="仿宋" w:hAnsi="Times New Roman" w:cs="Times New Roman" w:hint="default"/>
          <w:i w:val="0"/>
          <w:iCs w:val="0"/>
          <w:caps w:val="0"/>
          <w:color w:val="666666"/>
          <w:spacing w:val="0"/>
          <w:sz w:val="21"/>
          <w:szCs w:val="21"/>
          <w:shd w:val="clear" w:color="auto" w:fill="FFFFFF"/>
        </w:rPr>
        <w:t>张莉,周康.贵州省土壤重金属污染现状与对策[J].贵州农业科学,2005,(05):114-115.</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宋春然, 何锦林, 谭红, 等. 贵州省农业土壤重金属污染的初步评价[J]. 贵州农业科学, 2005, 33(2): 13-16.</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王惠艳, 彭敏, 马宏宏, 等. 贵州典型重金属高背景区耕地土壤重金属生态风险评价[J]. 物探与化探, 2023, 47(4): 1109-1117.</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color w:val="000000"/>
          <w:szCs w:val="21"/>
        </w:rPr>
      </w:pPr>
      <w:r>
        <w:rPr>
          <w:rFonts w:ascii="Times New Roman" w:eastAsia="仿宋" w:hAnsi="Times New Roman" w:cs="Times New Roman" w:hint="default"/>
          <w:color w:val="000000"/>
          <w:sz w:val="21"/>
          <w:szCs w:val="21"/>
          <w:lang w:val="en-US" w:eastAsia="zh-CN"/>
        </w:rPr>
        <w:t>侯伶龙,黄荣,周丽蓉,等.鱼腥草对土壤中镉的富集及根系微生物的促进作用[J]. 生态环境学报，2010，1（4）：817-82.</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szCs w:val="21"/>
        </w:rPr>
      </w:pPr>
      <w:r>
        <w:rPr>
          <w:rFonts w:ascii="Times New Roman" w:eastAsia="仿宋" w:hAnsi="Times New Roman" w:cs="Times New Roman" w:hint="default"/>
          <w:color w:val="000000"/>
          <w:sz w:val="21"/>
          <w:szCs w:val="21"/>
          <w:lang w:val="en-US" w:eastAsia="zh-CN"/>
        </w:rPr>
        <w:t>李宇林.湿生植物泽泻和鱼腥草对U及Cd、As、Pb的富集特性研究[D].绵阳：西南科技大学，2020.</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szCs w:val="21"/>
        </w:rPr>
      </w:pPr>
      <w:r>
        <w:rPr>
          <w:rFonts w:ascii="Times New Roman" w:eastAsia="仿宋" w:hAnsi="Times New Roman" w:cs="Times New Roman" w:hint="default"/>
          <w:color w:val="231F20"/>
          <w:kern w:val="0"/>
          <w:sz w:val="21"/>
          <w:szCs w:val="21"/>
          <w:lang w:val="en-US" w:eastAsia="zh-CN" w:bidi="ar"/>
        </w:rPr>
        <w:t>张青青,江落雁,蒋成爱.4种重金属在鱼腥草中的分布特点及其影响因素[J]. 三峡生态环境监测,2023,8(3):78-87.</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color w:val="000000"/>
          <w:szCs w:val="21"/>
        </w:rPr>
      </w:pPr>
      <w:r>
        <w:rPr>
          <w:rFonts w:ascii="Times New Roman" w:eastAsia="仿宋" w:hAnsi="Times New Roman" w:cs="Times New Roman" w:hint="default"/>
          <w:color w:val="231F20"/>
          <w:kern w:val="0"/>
          <w:sz w:val="21"/>
          <w:szCs w:val="21"/>
          <w:lang w:val="en-US" w:eastAsia="zh-CN" w:bidi="ar"/>
        </w:rPr>
        <w:t>王吉文,马宏亮,黄燕俊,等.鱼腥草不同生长期各部位重金属镉、铅富集变化规律[J]. 现代中药研究与实践,2020,34(2):6-8.</w:t>
      </w:r>
    </w:p>
    <w:p>
      <w:pPr>
        <w:keepNext w:val="0"/>
        <w:keepLines w:val="0"/>
        <w:pageBreakBefore w:val="0"/>
        <w:widowControl w:val="0"/>
        <w:numPr>
          <w:ilvl w:val="0"/>
          <w:numId w:val="5"/>
        </w:numPr>
        <w:kinsoku/>
        <w:wordWrap/>
        <w:overflowPunct/>
        <w:topLinePunct w:val="0"/>
        <w:autoSpaceDE/>
        <w:autoSpaceDN/>
        <w:bidi w:val="0"/>
        <w:adjustRightInd/>
        <w:spacing w:line="360" w:lineRule="auto"/>
        <w:textAlignment w:val="auto"/>
        <w:rPr>
          <w:rFonts w:ascii="Times New Roman" w:eastAsia="仿宋" w:hAnsi="Times New Roman" w:hint="default"/>
          <w:color w:val="000000"/>
          <w:szCs w:val="21"/>
        </w:rPr>
      </w:pPr>
      <w:r>
        <w:rPr>
          <w:rFonts w:ascii="Times New Roman" w:eastAsia="仿宋" w:hAnsi="Times New Roman" w:cs="Times New Roman" w:hint="default"/>
          <w:color w:val="000000"/>
          <w:sz w:val="21"/>
          <w:szCs w:val="21"/>
        </w:rPr>
        <w:t>鲁连芳,刘小敏.</w:t>
      </w:r>
      <w:r>
        <w:rPr>
          <w:rFonts w:ascii="Times New Roman" w:eastAsia="仿宋" w:hAnsi="Times New Roman" w:cs="Times New Roman" w:hint="default"/>
          <w:color w:val="000000"/>
          <w:sz w:val="21"/>
          <w:szCs w:val="21"/>
          <w:lang w:eastAsia="zh-CN"/>
        </w:rPr>
        <w:t>折耳根</w:t>
      </w:r>
      <w:r>
        <w:rPr>
          <w:rFonts w:ascii="Times New Roman" w:eastAsia="仿宋" w:hAnsi="Times New Roman" w:cs="Times New Roman" w:hint="default"/>
          <w:color w:val="000000"/>
          <w:sz w:val="21"/>
          <w:szCs w:val="21"/>
        </w:rPr>
        <w:t>中微量元素和重金属含量的测定[J].现代农业科技,2016,(18):256-257</w:t>
      </w:r>
    </w:p>
    <w:p>
      <w:pPr>
        <w:pStyle w:val="Footer"/>
        <w:keepNext w:val="0"/>
        <w:keepLines w:val="0"/>
        <w:pageBreakBefore w:val="0"/>
        <w:widowControl w:val="0"/>
        <w:kinsoku/>
        <w:wordWrap/>
        <w:overflowPunct/>
        <w:topLinePunct w:val="0"/>
        <w:autoSpaceDE/>
        <w:autoSpaceDN/>
        <w:bidi w:val="0"/>
        <w:adjustRightInd/>
        <w:spacing w:line="360" w:lineRule="auto"/>
        <w:ind w:left="420" w:hanging="420" w:hangingChars="200"/>
        <w:textAlignment w:val="auto"/>
        <w:rPr>
          <w:rFonts w:ascii="Times New Roman" w:eastAsia="仿宋" w:hAnsi="Times New Roman" w:cs="Times New Roman" w:hint="default"/>
          <w:color w:val="000000"/>
          <w:sz w:val="21"/>
          <w:szCs w:val="21"/>
        </w:rPr>
      </w:pPr>
      <w:r>
        <w:rPr>
          <w:rFonts w:ascii="Times New Roman" w:eastAsia="仿宋" w:hAnsi="Times New Roman" w:cs="Times New Roman" w:hint="default"/>
          <w:color w:val="000000"/>
          <w:sz w:val="21"/>
          <w:szCs w:val="21"/>
        </w:rPr>
        <w:t>[</w:t>
      </w:r>
      <w:r>
        <w:rPr>
          <w:rFonts w:ascii="Times New Roman" w:eastAsia="仿宋" w:hAnsi="Times New Roman" w:cs="Times New Roman" w:hint="default"/>
          <w:color w:val="000000"/>
          <w:sz w:val="21"/>
          <w:szCs w:val="21"/>
          <w:lang w:val="en-US" w:eastAsia="zh-CN"/>
        </w:rPr>
        <w:t>9</w:t>
      </w:r>
      <w:r>
        <w:rPr>
          <w:rFonts w:ascii="Times New Roman" w:eastAsia="仿宋" w:hAnsi="Times New Roman" w:cs="Times New Roman" w:hint="default"/>
          <w:color w:val="000000"/>
          <w:sz w:val="21"/>
          <w:szCs w:val="21"/>
        </w:rPr>
        <w:t>]李雅萌,王亚茹,杨娜等.ICP-MS测定</w:t>
      </w:r>
      <w:r>
        <w:rPr>
          <w:rFonts w:ascii="Times New Roman" w:eastAsia="仿宋" w:hAnsi="Times New Roman" w:cs="Times New Roman" w:hint="default"/>
          <w:color w:val="000000"/>
          <w:sz w:val="21"/>
          <w:szCs w:val="21"/>
          <w:lang w:eastAsia="zh-CN"/>
        </w:rPr>
        <w:t>折耳根</w:t>
      </w:r>
      <w:r>
        <w:rPr>
          <w:rFonts w:ascii="Times New Roman" w:eastAsia="仿宋" w:hAnsi="Times New Roman" w:cs="Times New Roman" w:hint="default"/>
          <w:color w:val="000000"/>
          <w:sz w:val="21"/>
          <w:szCs w:val="21"/>
        </w:rPr>
        <w:t>中14种重金属元素[J].特产研究,2018,40(01):32-35</w:t>
      </w:r>
    </w:p>
    <w:p>
      <w:pPr>
        <w:pStyle w:val="Footer"/>
        <w:keepNext w:val="0"/>
        <w:keepLines w:val="0"/>
        <w:pageBreakBefore w:val="0"/>
        <w:widowControl w:val="0"/>
        <w:kinsoku/>
        <w:wordWrap/>
        <w:overflowPunct/>
        <w:topLinePunct w:val="0"/>
        <w:autoSpaceDE/>
        <w:autoSpaceDN/>
        <w:bidi w:val="0"/>
        <w:adjustRightInd/>
        <w:spacing w:line="360" w:lineRule="auto"/>
        <w:ind w:left="420" w:hanging="420" w:hangingChars="200"/>
        <w:textAlignment w:val="auto"/>
        <w:rPr>
          <w:rFonts w:ascii="Times New Roman" w:eastAsia="仿宋" w:hAnsi="Times New Roman" w:cs="Times New Roman" w:hint="default"/>
          <w:color w:val="000000"/>
          <w:sz w:val="21"/>
          <w:szCs w:val="21"/>
        </w:rPr>
      </w:pPr>
      <w:r>
        <w:rPr>
          <w:rFonts w:ascii="Times New Roman" w:eastAsia="仿宋" w:hAnsi="Times New Roman" w:cs="Times New Roman" w:hint="default"/>
          <w:color w:val="000000"/>
          <w:sz w:val="21"/>
          <w:szCs w:val="21"/>
        </w:rPr>
        <w:t>[</w:t>
      </w:r>
      <w:r>
        <w:rPr>
          <w:rFonts w:ascii="Times New Roman" w:eastAsia="仿宋" w:hAnsi="Times New Roman" w:cs="Times New Roman" w:hint="default"/>
          <w:color w:val="000000"/>
          <w:sz w:val="21"/>
          <w:szCs w:val="21"/>
          <w:lang w:val="en-US" w:eastAsia="zh-CN"/>
        </w:rPr>
        <w:t>10</w:t>
      </w:r>
      <w:r>
        <w:rPr>
          <w:rFonts w:ascii="Times New Roman" w:eastAsia="仿宋" w:hAnsi="Times New Roman" w:cs="Times New Roman" w:hint="default"/>
          <w:color w:val="000000"/>
          <w:sz w:val="21"/>
          <w:szCs w:val="21"/>
        </w:rPr>
        <w:t>]左甜甜,金红宇,屈浩然等.药食同源品种中重金属及有害元素的风险评估[J].中国药业,2019,28(09):31-34</w:t>
      </w:r>
    </w:p>
    <w:p>
      <w:pPr>
        <w:pStyle w:val="Footer"/>
        <w:keepNext w:val="0"/>
        <w:keepLines w:val="0"/>
        <w:pageBreakBefore w:val="0"/>
        <w:widowControl w:val="0"/>
        <w:kinsoku/>
        <w:wordWrap/>
        <w:overflowPunct/>
        <w:topLinePunct w:val="0"/>
        <w:autoSpaceDE/>
        <w:autoSpaceDN/>
        <w:bidi w:val="0"/>
        <w:adjustRightInd/>
        <w:spacing w:line="360" w:lineRule="auto"/>
        <w:ind w:left="420" w:hanging="420" w:hangingChars="200"/>
        <w:textAlignment w:val="auto"/>
        <w:rPr>
          <w:rFonts w:ascii="Times New Roman" w:eastAsia="仿宋" w:hAnsi="Times New Roman" w:cs="Times New Roman" w:hint="default"/>
          <w:color w:val="000000"/>
          <w:sz w:val="21"/>
          <w:szCs w:val="21"/>
        </w:rPr>
      </w:pPr>
      <w:r>
        <w:rPr>
          <w:rFonts w:ascii="Times New Roman" w:eastAsia="仿宋" w:hAnsi="Times New Roman" w:cs="Times New Roman" w:hint="default"/>
          <w:color w:val="000000"/>
          <w:sz w:val="21"/>
          <w:szCs w:val="21"/>
        </w:rPr>
        <w:t>[</w:t>
      </w:r>
      <w:r>
        <w:rPr>
          <w:rFonts w:ascii="Times New Roman" w:eastAsia="仿宋" w:hAnsi="Times New Roman" w:cs="Times New Roman" w:hint="default"/>
          <w:color w:val="000000"/>
          <w:sz w:val="21"/>
          <w:szCs w:val="21"/>
          <w:lang w:val="en-US" w:eastAsia="zh-CN"/>
        </w:rPr>
        <w:t>11]</w:t>
      </w:r>
      <w:r>
        <w:rPr>
          <w:rFonts w:ascii="Times New Roman" w:eastAsia="仿宋" w:hAnsi="Times New Roman" w:cs="Times New Roman" w:hint="default"/>
          <w:color w:val="000000"/>
          <w:sz w:val="21"/>
          <w:szCs w:val="21"/>
        </w:rPr>
        <w:t>卿艳,赵春艳,张思荻等.</w:t>
      </w:r>
      <w:r>
        <w:rPr>
          <w:rFonts w:ascii="Times New Roman" w:eastAsia="仿宋" w:hAnsi="Times New Roman" w:cs="Times New Roman" w:hint="default"/>
          <w:color w:val="000000"/>
          <w:sz w:val="21"/>
          <w:szCs w:val="21"/>
          <w:lang w:eastAsia="zh-CN"/>
        </w:rPr>
        <w:t>折耳根</w:t>
      </w:r>
      <w:r>
        <w:rPr>
          <w:rFonts w:ascii="Times New Roman" w:eastAsia="仿宋" w:hAnsi="Times New Roman" w:cs="Times New Roman" w:hint="default"/>
          <w:color w:val="000000"/>
          <w:sz w:val="21"/>
          <w:szCs w:val="21"/>
        </w:rPr>
        <w:t>药材及饮片中重金属及有害元素的污染评价[J].华西药学杂志,2020,35(06):677-682.</w:t>
      </w:r>
    </w:p>
    <w:p>
      <w:pPr>
        <w:pStyle w:val="Footer"/>
        <w:keepNext w:val="0"/>
        <w:keepLines w:val="0"/>
        <w:pageBreakBefore w:val="0"/>
        <w:widowControl w:val="0"/>
        <w:kinsoku/>
        <w:wordWrap/>
        <w:overflowPunct/>
        <w:topLinePunct w:val="0"/>
        <w:autoSpaceDE/>
        <w:autoSpaceDN/>
        <w:bidi w:val="0"/>
        <w:adjustRightInd/>
        <w:spacing w:line="360" w:lineRule="auto"/>
        <w:ind w:left="420" w:hanging="420" w:hangingChars="200"/>
        <w:textAlignment w:val="auto"/>
        <w:rPr>
          <w:rFonts w:ascii="Times New Roman" w:eastAsia="仿宋" w:hAnsi="Times New Roman" w:cs="Times New Roman" w:hint="default"/>
          <w:color w:val="000000"/>
          <w:sz w:val="21"/>
          <w:szCs w:val="21"/>
        </w:rPr>
      </w:pPr>
      <w:r>
        <w:rPr>
          <w:rFonts w:ascii="Times New Roman" w:eastAsia="仿宋" w:hAnsi="Times New Roman" w:cs="Times New Roman" w:hint="default"/>
          <w:color w:val="000000"/>
          <w:sz w:val="21"/>
          <w:szCs w:val="21"/>
        </w:rPr>
        <w:t>[</w:t>
      </w:r>
      <w:r>
        <w:rPr>
          <w:rFonts w:ascii="Times New Roman" w:eastAsia="仿宋" w:hAnsi="Times New Roman" w:cs="Times New Roman" w:hint="default"/>
          <w:color w:val="000000"/>
          <w:sz w:val="21"/>
          <w:szCs w:val="21"/>
          <w:lang w:val="en-US" w:eastAsia="zh-CN"/>
        </w:rPr>
        <w:t>12</w:t>
      </w:r>
      <w:r>
        <w:rPr>
          <w:rFonts w:ascii="Times New Roman" w:eastAsia="仿宋" w:hAnsi="Times New Roman" w:cs="Times New Roman" w:hint="default"/>
          <w:color w:val="000000"/>
          <w:sz w:val="21"/>
          <w:szCs w:val="21"/>
        </w:rPr>
        <w:t>] USEPA. Guidelines for performing aggregate exposure and risk assessments [R]. Washington DC: U.S. Environmental Protection Agency, Office Pesticide Programs, 1999.</w:t>
      </w:r>
    </w:p>
    <w:p>
      <w:pPr>
        <w:pStyle w:val="Footer"/>
        <w:keepNext w:val="0"/>
        <w:keepLines w:val="0"/>
        <w:pageBreakBefore w:val="0"/>
        <w:widowControl w:val="0"/>
        <w:kinsoku/>
        <w:wordWrap/>
        <w:overflowPunct/>
        <w:topLinePunct w:val="0"/>
        <w:autoSpaceDE/>
        <w:autoSpaceDN/>
        <w:bidi w:val="0"/>
        <w:adjustRightInd/>
        <w:spacing w:line="360" w:lineRule="auto"/>
        <w:ind w:left="420" w:hanging="420" w:hangingChars="200"/>
        <w:textAlignment w:val="auto"/>
        <w:rPr>
          <w:rFonts w:ascii="Times New Roman" w:eastAsia="仿宋" w:hAnsi="Times New Roman" w:cs="Times New Roman" w:hint="default"/>
          <w:color w:val="000000"/>
          <w:sz w:val="21"/>
          <w:szCs w:val="21"/>
          <w:lang w:val="en-US" w:eastAsia="zh-CN"/>
        </w:rPr>
      </w:pPr>
      <w:r>
        <w:rPr>
          <w:rFonts w:ascii="Times New Roman" w:eastAsia="仿宋" w:hAnsi="Times New Roman" w:cs="Times New Roman" w:hint="default"/>
          <w:color w:val="000000"/>
          <w:sz w:val="21"/>
          <w:szCs w:val="21"/>
        </w:rPr>
        <w:t>[</w:t>
      </w:r>
      <w:r>
        <w:rPr>
          <w:rFonts w:ascii="Times New Roman" w:eastAsia="仿宋" w:hAnsi="Times New Roman" w:cs="Times New Roman" w:hint="default"/>
          <w:color w:val="000000"/>
          <w:sz w:val="21"/>
          <w:szCs w:val="21"/>
          <w:lang w:val="en-US" w:eastAsia="zh-CN"/>
        </w:rPr>
        <w:t>13</w:t>
      </w:r>
      <w:r>
        <w:rPr>
          <w:rFonts w:ascii="Times New Roman" w:eastAsia="仿宋" w:hAnsi="Times New Roman" w:cs="Times New Roman" w:hint="default"/>
          <w:color w:val="000000"/>
          <w:sz w:val="21"/>
          <w:szCs w:val="21"/>
        </w:rPr>
        <w:t>] 洪华荣, 张向东, 陈剑锋, 等. 厦门市居民膳食中铅、镉暴露水平评估[J]. 卫生研究, 2014, 43(6): 1009-1012+1017</w:t>
      </w:r>
      <w:r>
        <w:rPr>
          <w:rFonts w:ascii="Times New Roman" w:eastAsia="仿宋" w:hAnsi="Times New Roman" w:cs="Times New Roman" w:hint="default"/>
          <w:color w:val="000000"/>
          <w:sz w:val="21"/>
          <w:szCs w:val="21"/>
          <w:lang w:val="en-US" w:eastAsia="zh-CN"/>
        </w:rPr>
        <w:t>.</w:t>
      </w:r>
    </w:p>
    <w:p>
      <w:pPr>
        <w:pStyle w:val="Footer"/>
        <w:keepNext w:val="0"/>
        <w:keepLines w:val="0"/>
        <w:pageBreakBefore w:val="0"/>
        <w:widowControl w:val="0"/>
        <w:kinsoku/>
        <w:wordWrap/>
        <w:overflowPunct/>
        <w:topLinePunct w:val="0"/>
        <w:autoSpaceDE/>
        <w:autoSpaceDN/>
        <w:bidi w:val="0"/>
        <w:adjustRightInd/>
        <w:spacing w:line="360" w:lineRule="auto"/>
        <w:ind w:left="420" w:hanging="420" w:hangingChars="200"/>
        <w:textAlignment w:val="auto"/>
        <w:rPr>
          <w:rFonts w:ascii="Times New Roman" w:eastAsia="仿宋" w:hAnsi="Times New Roman" w:cs="Times New Roman" w:hint="default"/>
          <w:color w:val="000000"/>
          <w:sz w:val="21"/>
          <w:szCs w:val="21"/>
        </w:rPr>
      </w:pPr>
      <w:r>
        <w:rPr>
          <w:rFonts w:ascii="Times New Roman" w:eastAsia="仿宋" w:hAnsi="Times New Roman" w:cs="Times New Roman" w:hint="default"/>
          <w:color w:val="000000"/>
          <w:sz w:val="21"/>
          <w:szCs w:val="21"/>
        </w:rPr>
        <w:t>[</w:t>
      </w:r>
      <w:r>
        <w:rPr>
          <w:rFonts w:ascii="Times New Roman" w:eastAsia="仿宋" w:hAnsi="Times New Roman" w:cs="Times New Roman" w:hint="default"/>
          <w:color w:val="000000"/>
          <w:sz w:val="21"/>
          <w:szCs w:val="21"/>
          <w:lang w:val="en-US" w:eastAsia="zh-CN"/>
        </w:rPr>
        <w:t>14]</w:t>
      </w:r>
      <w:r>
        <w:rPr>
          <w:rFonts w:ascii="Times New Roman" w:eastAsia="仿宋" w:hAnsi="Times New Roman" w:cs="Times New Roman" w:hint="default"/>
          <w:color w:val="000000"/>
          <w:sz w:val="21"/>
          <w:szCs w:val="21"/>
        </w:rPr>
        <w:t>左甜甜, 王莹, 张磊, 等. 中药中外源性有害残留物安全风险评估技术指导原则[J]. 药物分析杂志, 2019, 39(10): 1902.</w:t>
      </w:r>
    </w:p>
    <w:p>
      <w:pPr>
        <w:pStyle w:val="Footer"/>
        <w:keepNext w:val="0"/>
        <w:keepLines w:val="0"/>
        <w:pageBreakBefore w:val="0"/>
        <w:widowControl w:val="0"/>
        <w:kinsoku/>
        <w:wordWrap/>
        <w:overflowPunct/>
        <w:topLinePunct w:val="0"/>
        <w:autoSpaceDE/>
        <w:autoSpaceDN/>
        <w:bidi w:val="0"/>
        <w:adjustRightInd/>
        <w:spacing w:line="360" w:lineRule="auto"/>
        <w:ind w:left="420" w:hanging="420" w:hangingChars="200"/>
        <w:textAlignment w:val="auto"/>
        <w:rPr>
          <w:rFonts w:ascii="Times New Roman" w:eastAsia="仿宋" w:hAnsi="Times New Roman" w:cs="Times New Roman" w:hint="default"/>
          <w:color w:val="000000"/>
          <w:sz w:val="21"/>
          <w:szCs w:val="21"/>
        </w:rPr>
        <w:sectPr>
          <w:footerReference w:type="default" r:id="rId3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5"/>
          <w:cols w:num="1" w:space="720"/>
          <w:titlePg w:val="0"/>
          <w:docGrid w:type="lines" w:linePitch="312" w:charSpace="0"/>
        </w:sectPr>
      </w:pPr>
      <w:r>
        <w:rPr>
          <w:rFonts w:ascii="Times New Roman" w:eastAsia="仿宋" w:hAnsi="Times New Roman" w:cs="Times New Roman" w:hint="default"/>
          <w:i w:val="0"/>
          <w:iCs w:val="0"/>
          <w:caps w:val="0"/>
          <w:color w:val="666666"/>
          <w:spacing w:val="0"/>
          <w:sz w:val="21"/>
          <w:szCs w:val="21"/>
          <w:shd w:val="clear" w:color="auto" w:fill="FFFFFF"/>
        </w:rPr>
        <w:t>[1</w:t>
      </w:r>
      <w:r>
        <w:rPr>
          <w:rFonts w:ascii="Times New Roman" w:eastAsia="仿宋" w:hAnsi="Times New Roman" w:cs="Times New Roman" w:hint="default"/>
          <w:i w:val="0"/>
          <w:iCs w:val="0"/>
          <w:caps w:val="0"/>
          <w:color w:val="666666"/>
          <w:spacing w:val="0"/>
          <w:sz w:val="21"/>
          <w:szCs w:val="21"/>
          <w:shd w:val="clear" w:color="auto" w:fill="FFFFFF"/>
          <w:lang w:val="en-US" w:eastAsia="zh-CN"/>
        </w:rPr>
        <w:t>5</w:t>
      </w:r>
      <w:r>
        <w:rPr>
          <w:rFonts w:ascii="Times New Roman" w:eastAsia="仿宋" w:hAnsi="Times New Roman" w:cs="Times New Roman" w:hint="default"/>
          <w:i w:val="0"/>
          <w:iCs w:val="0"/>
          <w:caps w:val="0"/>
          <w:color w:val="666666"/>
          <w:spacing w:val="0"/>
          <w:sz w:val="21"/>
          <w:szCs w:val="21"/>
          <w:shd w:val="clear" w:color="auto" w:fill="FFFFFF"/>
        </w:rPr>
        <w:t>]李涛,张圣喜,李苏翠等.鱼腥草主要病虫害调查方法与综合防治标准操作规程[J].中国农学通报,2009,25(13):185-189</w:t>
      </w:r>
    </w:p>
    <w:p>
      <w:pPr>
        <w:pStyle w:val="Footer"/>
        <w:spacing w:line="360" w:lineRule="auto"/>
        <w:rPr>
          <w:rFonts w:ascii="Times New Roman" w:eastAsia="仿宋" w:hAnsi="Times New Roman" w:cs="Times New Roman" w:hint="default"/>
          <w:color w:val="000000"/>
          <w:sz w:val="24"/>
          <w:szCs w:val="24"/>
        </w:rPr>
      </w:pPr>
      <w:r>
        <w:rPr>
          <w:rFonts w:ascii="Times New Roman" w:eastAsia="仿宋" w:hAnsi="Times New Roman" w:cs="Times New Roman" w:hint="default"/>
          <w:color w:val="000000"/>
          <w:sz w:val="24"/>
          <w:szCs w:val="24"/>
        </w:rPr>
        <w:t>附表1</w:t>
      </w:r>
    </w:p>
    <w:p>
      <w:pPr>
        <w:pStyle w:val="Footer"/>
        <w:spacing w:line="360" w:lineRule="auto"/>
        <w:jc w:val="center"/>
        <w:rPr>
          <w:rFonts w:ascii="Times New Roman" w:eastAsia="仿宋" w:hAnsi="Times New Roman" w:cs="Times New Roman" w:hint="default"/>
          <w:color w:val="000000"/>
          <w:sz w:val="24"/>
          <w:szCs w:val="24"/>
        </w:rPr>
      </w:pPr>
      <w:r>
        <w:rPr>
          <w:rFonts w:ascii="Times New Roman" w:eastAsia="仿宋" w:hAnsi="Times New Roman" w:cs="Times New Roman" w:hint="default"/>
          <w:color w:val="000000"/>
          <w:sz w:val="24"/>
          <w:szCs w:val="24"/>
          <w:lang w:eastAsia="zh-CN"/>
        </w:rPr>
        <w:t>折耳根</w:t>
      </w:r>
      <w:r>
        <w:rPr>
          <w:rFonts w:ascii="Times New Roman" w:eastAsia="仿宋" w:hAnsi="Times New Roman" w:cs="Times New Roman" w:hint="default"/>
          <w:color w:val="000000"/>
          <w:sz w:val="24"/>
          <w:szCs w:val="24"/>
        </w:rPr>
        <w:t>(根)检测数据一览表</w:t>
      </w:r>
    </w:p>
    <w:tbl>
      <w:tblPr>
        <w:tblStyle w:val="TableNormal"/>
        <w:tblW w:w="0" w:type="auto"/>
        <w:tblInd w:w="0" w:type="dxa"/>
        <w:tblLayout w:type="fixed"/>
        <w:tblCellMar>
          <w:top w:w="0" w:type="dxa"/>
          <w:left w:w="108" w:type="dxa"/>
          <w:bottom w:w="0" w:type="dxa"/>
          <w:right w:w="108" w:type="dxa"/>
        </w:tblCellMar>
      </w:tblPr>
      <w:tblGrid>
        <w:gridCol w:w="885"/>
        <w:gridCol w:w="1080"/>
        <w:gridCol w:w="3524"/>
        <w:gridCol w:w="2193"/>
        <w:gridCol w:w="1941"/>
        <w:gridCol w:w="1550"/>
        <w:gridCol w:w="1577"/>
        <w:gridCol w:w="1418"/>
      </w:tblGrid>
      <w:tr>
        <w:tblPrEx>
          <w:tblW w:w="0" w:type="auto"/>
          <w:tblInd w:w="0" w:type="dxa"/>
          <w:tblLayout w:type="fixed"/>
          <w:tblCellMar>
            <w:top w:w="0" w:type="dxa"/>
            <w:left w:w="108" w:type="dxa"/>
            <w:bottom w:w="0" w:type="dxa"/>
            <w:right w:w="108" w:type="dxa"/>
          </w:tblCellMar>
        </w:tblPrEx>
        <w:trPr>
          <w:trHeight w:val="90"/>
          <w:tblHeader/>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序号</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年份</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实验室编号</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样品名称</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铅(mg/kg)</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镉(mg/kg)</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总汞(mg/kg)</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总砷(mg/kg)</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GZS20230851-Z001-G</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0.261</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0.162</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0.0342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GZS20230851-Z002-G</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0.222</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0.17</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0.0106</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GZS20230851-Z003</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0.221</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0.221</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0.0286</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GZS20230851-ZG011</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0.237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0.25</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0.0412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5</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eastAsia"/>
                <w:color w:val="000000"/>
                <w:szCs w:val="21"/>
              </w:rPr>
            </w:pPr>
            <w:r>
              <w:rPr>
                <w:rFonts w:ascii="Times New Roman" w:eastAsia="仿宋" w:hAnsi="Times New Roman" w:cs="Times New Roman" w:hint="default"/>
                <w:color w:val="000000"/>
                <w:kern w:val="0"/>
                <w:szCs w:val="21"/>
                <w:lang w:bidi="ar"/>
              </w:rPr>
              <w:t>GZS20230851-ZG01</w:t>
            </w:r>
            <w:r>
              <w:rPr>
                <w:rFonts w:ascii="Times New Roman" w:eastAsia="仿宋" w:hAnsi="Times New Roman" w:cs="Times New Roman" w:hint="eastAsia"/>
                <w:color w:val="000000"/>
                <w:kern w:val="0"/>
                <w:szCs w:val="21"/>
                <w:lang w:val="en-US" w:eastAsia="zh-CN" w:bidi="ar"/>
              </w:rPr>
              <w:t>2</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0.155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0.199</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0.241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6</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eastAsia"/>
                <w:color w:val="000000"/>
                <w:szCs w:val="21"/>
              </w:rPr>
            </w:pPr>
            <w:r>
              <w:rPr>
                <w:rFonts w:ascii="Times New Roman" w:eastAsia="仿宋" w:hAnsi="Times New Roman" w:cs="Times New Roman" w:hint="default"/>
                <w:color w:val="000000"/>
                <w:kern w:val="0"/>
                <w:szCs w:val="21"/>
                <w:lang w:bidi="ar"/>
              </w:rPr>
              <w:t>GZS20230851-ZG01</w:t>
            </w:r>
            <w:r>
              <w:rPr>
                <w:rFonts w:ascii="Times New Roman" w:eastAsia="仿宋" w:hAnsi="Times New Roman" w:cs="Times New Roman" w:hint="eastAsia"/>
                <w:color w:val="000000"/>
                <w:kern w:val="0"/>
                <w:szCs w:val="21"/>
                <w:lang w:val="en-US" w:eastAsia="zh-CN" w:bidi="ar"/>
              </w:rPr>
              <w:t>3</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0.461</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0.166</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0.197</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eastAsia"/>
                <w:color w:val="000000"/>
                <w:szCs w:val="21"/>
              </w:rPr>
            </w:pPr>
            <w:r>
              <w:rPr>
                <w:rFonts w:ascii="Times New Roman" w:eastAsia="仿宋" w:hAnsi="Times New Roman" w:cs="Times New Roman" w:hint="default"/>
                <w:color w:val="000000"/>
                <w:kern w:val="0"/>
                <w:szCs w:val="21"/>
                <w:lang w:bidi="ar"/>
              </w:rPr>
              <w:t>GZS20230851-ZG01</w:t>
            </w:r>
            <w:r>
              <w:rPr>
                <w:rFonts w:ascii="Times New Roman" w:eastAsia="仿宋" w:hAnsi="Times New Roman" w:cs="Times New Roman" w:hint="eastAsia"/>
                <w:color w:val="000000"/>
                <w:kern w:val="0"/>
                <w:szCs w:val="21"/>
                <w:lang w:val="en-US" w:eastAsia="zh-CN" w:bidi="ar"/>
              </w:rPr>
              <w:t>4</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0.514</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0.268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0.0867</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w:t>
            </w:r>
            <w:r>
              <w:rPr>
                <w:rFonts w:ascii="Times New Roman" w:eastAsia="仿宋" w:hAnsi="Times New Roman" w:cs="Times New Roman" w:hint="eastAsia"/>
                <w:color w:val="000000"/>
                <w:kern w:val="0"/>
                <w:szCs w:val="21"/>
                <w:lang w:val="en-US" w:eastAsia="zh-CN" w:bidi="ar"/>
              </w:rPr>
              <w:t>G</w:t>
            </w:r>
            <w:r>
              <w:rPr>
                <w:rFonts w:ascii="Times New Roman" w:eastAsia="仿宋" w:hAnsi="Times New Roman" w:cs="Times New Roman" w:hint="default"/>
                <w:color w:val="000000"/>
                <w:kern w:val="0"/>
                <w:szCs w:val="21"/>
                <w:lang w:bidi="ar"/>
              </w:rPr>
              <w:t>016-</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0.925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0.164</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0.023</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9</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w:t>
            </w:r>
            <w:r>
              <w:rPr>
                <w:rFonts w:ascii="Times New Roman" w:eastAsia="仿宋" w:hAnsi="Times New Roman" w:cs="Times New Roman" w:hint="eastAsia"/>
                <w:color w:val="000000"/>
                <w:kern w:val="0"/>
                <w:szCs w:val="21"/>
                <w:lang w:val="en-US" w:eastAsia="zh-CN" w:bidi="ar"/>
              </w:rPr>
              <w:t>G</w:t>
            </w:r>
            <w:r>
              <w:rPr>
                <w:rFonts w:ascii="Times New Roman" w:eastAsia="仿宋" w:hAnsi="Times New Roman" w:cs="Times New Roman" w:hint="default"/>
                <w:color w:val="000000"/>
                <w:kern w:val="0"/>
                <w:szCs w:val="21"/>
                <w:lang w:bidi="ar"/>
              </w:rPr>
              <w:t>017</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0.278</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0.248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0.0906</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10</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w:t>
            </w:r>
            <w:r>
              <w:rPr>
                <w:rFonts w:ascii="Times New Roman" w:eastAsia="仿宋" w:hAnsi="Times New Roman" w:cs="Times New Roman" w:hint="eastAsia"/>
                <w:color w:val="000000"/>
                <w:kern w:val="0"/>
                <w:szCs w:val="21"/>
                <w:lang w:val="en-US" w:eastAsia="zh-CN" w:bidi="ar"/>
              </w:rPr>
              <w:t>G</w:t>
            </w:r>
            <w:r>
              <w:rPr>
                <w:rFonts w:ascii="Times New Roman" w:eastAsia="仿宋" w:hAnsi="Times New Roman" w:cs="Times New Roman" w:hint="default"/>
                <w:color w:val="000000"/>
                <w:kern w:val="0"/>
                <w:szCs w:val="21"/>
                <w:lang w:bidi="ar"/>
              </w:rPr>
              <w:t>018</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0.511</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0.207</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0.0352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11</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w:t>
            </w:r>
            <w:r>
              <w:rPr>
                <w:rFonts w:ascii="Times New Roman" w:eastAsia="仿宋" w:hAnsi="Times New Roman" w:cs="Times New Roman" w:hint="eastAsia"/>
                <w:color w:val="000000"/>
                <w:kern w:val="0"/>
                <w:szCs w:val="21"/>
                <w:lang w:val="en-US" w:eastAsia="zh-CN" w:bidi="ar"/>
              </w:rPr>
              <w:t>G</w:t>
            </w:r>
            <w:r>
              <w:rPr>
                <w:rFonts w:ascii="Times New Roman" w:eastAsia="仿宋" w:hAnsi="Times New Roman" w:cs="Times New Roman" w:hint="default"/>
                <w:color w:val="000000"/>
                <w:kern w:val="0"/>
                <w:szCs w:val="21"/>
                <w:lang w:bidi="ar"/>
              </w:rPr>
              <w:t>019</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0.651</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0.176</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0.0229</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12</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w:t>
            </w:r>
            <w:r>
              <w:rPr>
                <w:rFonts w:ascii="Times New Roman" w:eastAsia="仿宋" w:hAnsi="Times New Roman" w:cs="Times New Roman" w:hint="eastAsia"/>
                <w:color w:val="000000"/>
                <w:kern w:val="0"/>
                <w:szCs w:val="21"/>
                <w:lang w:val="en-US" w:eastAsia="zh-CN" w:bidi="ar"/>
              </w:rPr>
              <w:t>G</w:t>
            </w:r>
            <w:r>
              <w:rPr>
                <w:rFonts w:ascii="Times New Roman" w:eastAsia="仿宋" w:hAnsi="Times New Roman" w:cs="Times New Roman" w:hint="default"/>
                <w:color w:val="000000"/>
                <w:kern w:val="0"/>
                <w:szCs w:val="21"/>
                <w:lang w:bidi="ar"/>
              </w:rPr>
              <w:t>020</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0.105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0.089</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0.0296</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13</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GZS20230851-ZG006</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0.236</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0.143</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0.0774</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14</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GZS20230851-ZG007</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0.304</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0.108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0.0188</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15</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GZS20230851-ZG008</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0.227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0.102</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0.0132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16</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GZS20230852-G0023</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0.137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0.123</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0.0124</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GZS20230852-G0024</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0.103</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0.206</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0.0716</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GZS20230852-G0025</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0.203</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0.04</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0.0161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19</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GZS20230852-G0026</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0.634</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0.169</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0.0184</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GZS20230852-G0027</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0.385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0.263</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0.0541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21</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GZS20230852-G0028</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0.338</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0.254</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0.0073</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22</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GZS20230852-G0029</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0.532</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0.128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0.422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23</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GZS20230852-G0030</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0.164</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0.26</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0.0264</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24</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GZS20230852-G0031</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0.513</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0.132</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0.0396</w:t>
            </w:r>
          </w:p>
        </w:tc>
      </w:tr>
    </w:tbl>
    <w:p>
      <w:pPr>
        <w:sectPr>
          <w:footerReference w:type="default" r:id="rId38"/>
          <w:pgSz w:w="16838" w:h="11906" w:orient="landscape"/>
          <w:pgMar w:top="1417" w:right="1417" w:bottom="1417" w:left="1417" w:header="851" w:footer="992" w:gutter="0"/>
          <w:pgBorders>
            <w:top w:val="none" w:sz="0" w:space="0" w:color="auto"/>
            <w:left w:val="none" w:sz="0" w:space="0" w:color="auto"/>
            <w:bottom w:val="none" w:sz="0" w:space="0" w:color="auto"/>
            <w:right w:val="none" w:sz="0" w:space="0" w:color="auto"/>
          </w:pgBorders>
          <w:pgNumType w:fmt="decimal" w:start="1"/>
          <w:cols w:num="1" w:space="720"/>
          <w:docGrid w:type="lines" w:linePitch="312" w:charSpace="0"/>
        </w:sectPr>
      </w:pPr>
    </w:p>
    <w:tbl>
      <w:tblPr>
        <w:tblStyle w:val="TableNormal"/>
        <w:tblW w:w="0" w:type="auto"/>
        <w:tblInd w:w="0" w:type="dxa"/>
        <w:tblLayout w:type="fixed"/>
        <w:tblCellMar>
          <w:top w:w="0" w:type="dxa"/>
          <w:left w:w="108" w:type="dxa"/>
          <w:bottom w:w="0" w:type="dxa"/>
          <w:right w:w="108" w:type="dxa"/>
        </w:tblCellMar>
      </w:tblPr>
      <w:tblGrid>
        <w:gridCol w:w="885"/>
        <w:gridCol w:w="1080"/>
        <w:gridCol w:w="3524"/>
        <w:gridCol w:w="2193"/>
        <w:gridCol w:w="1941"/>
        <w:gridCol w:w="1550"/>
        <w:gridCol w:w="1577"/>
        <w:gridCol w:w="1418"/>
      </w:tblGrid>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25</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GZS20230852-G0032</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0.688</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0.047</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0.0502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26</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GZS20230852-G0033</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0.303</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0.302</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0.0805</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GZS20230852-G0034</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0.067</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0.0721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GZS20230852-G0035</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0.153</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0.058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0.0385</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29</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GZS20230852-G0036</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0.227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0.076</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0.0971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30</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GZS20230852-G0037</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0.139</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0.079</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0.0151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31</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GZS20230853-0007</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0.185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0.298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0.19</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32</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GZS20230853-0009</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0.254</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0.142</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0.0331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33</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GZS20230853--G0004</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0.587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0.133</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0.0105</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34</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GZS20230853--G0006</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0.287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0.196</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0.0654</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35</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GZS20230853-G0010</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0.456</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0.144</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0.0899</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36</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GZS20230853-G0011</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0.424</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0.342</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0.166</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GZS20230853-G0012</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0.23</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0.0147</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0.0185</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GZS20230853-G0014</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0.195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0.159</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0.0067</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39</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GZS20230853-G0015</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0.145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0.0973</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0.0571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40</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GZS20230853-G0017</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0.232</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0.0805</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0.00513</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41</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GZS20230853-G0018</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0.248</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0.109</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&lt;0.004</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42</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GZS20230853-G0019</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0.217</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0.0791</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0.0209</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43</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GZS20230853-G0021</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0.252</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0.148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0.0221</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44</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GZS20230853-G0023</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0.769</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0.197</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0.269</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45</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GZS20230853-G0180</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0.15</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0.257</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0.0356</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46</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GZS20230854-0007</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0.148</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0.074</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0.024</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GZS20230854-0008</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0.139</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0.085</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0.057</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GZS20230854-0009</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0.296</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0.103</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0.075</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49</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GZS20230854-0010</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0.219</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0.098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0.042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50</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GZS20230854-0018</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0.124</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0.044</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0.032</w:t>
            </w:r>
          </w:p>
        </w:tc>
      </w:tr>
      <w:tr>
        <w:tblPrEx>
          <w:tblW w:w="0" w:type="auto"/>
          <w:tblInd w:w="0" w:type="dxa"/>
          <w:tblLayout w:type="fixed"/>
          <w:tblCellMar>
            <w:top w:w="0" w:type="dxa"/>
            <w:left w:w="108" w:type="dxa"/>
            <w:bottom w:w="0" w:type="dxa"/>
            <w:right w:w="108" w:type="dxa"/>
          </w:tblCellMar>
        </w:tblPrEx>
        <w:trPr>
          <w:trHeight w:val="270"/>
        </w:trPr>
        <w:tc>
          <w:tcPr>
            <w:tcW w:w="885"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51</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2023</w:t>
            </w:r>
          </w:p>
        </w:tc>
        <w:tc>
          <w:tcPr>
            <w:tcW w:w="3524"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GZS20230854-0020</w:t>
            </w:r>
          </w:p>
        </w:tc>
        <w:tc>
          <w:tcPr>
            <w:tcW w:w="219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eastAsia="zh-CN" w:bidi="ar"/>
              </w:rPr>
              <w:t>折耳根</w:t>
            </w:r>
            <w:r>
              <w:rPr>
                <w:rFonts w:ascii="Times New Roman" w:eastAsia="仿宋" w:hAnsi="Times New Roman" w:cs="Times New Roman" w:hint="default"/>
                <w:color w:val="000000"/>
                <w:kern w:val="0"/>
                <w:szCs w:val="21"/>
                <w:lang w:bidi="ar"/>
              </w:rPr>
              <w:t>(根)</w:t>
            </w:r>
          </w:p>
        </w:tc>
        <w:tc>
          <w:tcPr>
            <w:tcW w:w="1941"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0.063</w:t>
            </w:r>
          </w:p>
        </w:tc>
        <w:tc>
          <w:tcPr>
            <w:tcW w:w="1550"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0.048</w:t>
            </w:r>
          </w:p>
        </w:tc>
        <w:tc>
          <w:tcPr>
            <w:tcW w:w="1577"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&lt;0.003</w:t>
            </w:r>
          </w:p>
        </w:tc>
        <w:tc>
          <w:tcPr>
            <w:tcW w:w="1418"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textAlignment w:val="center"/>
              <w:rPr>
                <w:rFonts w:ascii="Times New Roman" w:eastAsia="仿宋" w:hAnsi="Times New Roman" w:hint="default"/>
                <w:color w:val="000000"/>
                <w:szCs w:val="21"/>
              </w:rPr>
            </w:pPr>
            <w:r>
              <w:rPr>
                <w:rFonts w:ascii="Times New Roman" w:eastAsia="仿宋" w:hAnsi="Times New Roman" w:cs="Times New Roman" w:hint="default"/>
                <w:color w:val="000000"/>
                <w:kern w:val="0"/>
                <w:szCs w:val="21"/>
                <w:lang w:bidi="ar"/>
              </w:rPr>
              <w:t>0.034</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https://d.book118.com/898140142127006047</w:t>
        </w:r>
      </w:hyperlink>
    </w:p>
    <w:p/>
    <w:sectPr>
      <w:footerReference w:type="default" r:id="rId40"/>
      <w:type w:val="nextPage"/>
      <w:pgSz w:w="16838" w:h="11906" w:orient="landscape"/>
      <w:pgMar w:top="1417" w:right="1417" w:bottom="1417" w:left="1417"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B3 + CAJSymbolA">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8" w:lineRule="exact"/>
      <w:ind w:firstLine="8820"/>
      <w:rPr>
        <w:rFonts w:ascii="宋体" w:eastAsia="宋体" w:hAnsi="宋体" w:cs="宋体"/>
        <w:sz w:val="28"/>
        <w:szCs w:val="28"/>
      </w:rPr>
    </w:pPr>
    <w:r>
      <w:rPr>
        <w:rFonts w:ascii="宋体" w:eastAsia="宋体" w:hAnsi="宋体" w:cs="宋体"/>
        <w:spacing w:val="31"/>
        <w:position w:val="-4"/>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3579245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900260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90064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96454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24067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0090223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903826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706111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637290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9560261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087932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303029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850515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30465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642334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54867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41076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296714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02125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40889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294822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979680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592880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697634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pPr>
                    <w:r>
                      <w:fldChar w:fldCharType="begin"/>
                    </w:r>
                    <w:r>
                      <w:instrText xml:space="preserve"> PAGE  \* MERGEFORMAT </w:instrText>
                    </w:r>
                    <w:r>
                      <w:fldChar w:fldCharType="separate"/>
                    </w:r>
                    <w:r>
                      <w:t>25</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65216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105005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5579B87"/>
    <w:multiLevelType w:val="singleLevel"/>
    <w:tmpl w:val="85579B87"/>
    <w:lvl w:ilvl="0">
      <w:start w:val="3"/>
      <w:numFmt w:val="decimal"/>
      <w:suff w:val="nothing"/>
      <w:lvlText w:val="%1、"/>
      <w:lvlJc w:val="left"/>
    </w:lvl>
  </w:abstractNum>
  <w:abstractNum w:abstractNumId="1">
    <w:nsid w:val="4F9CA99F"/>
    <w:multiLevelType w:val="singleLevel"/>
    <w:tmpl w:val="7E2CBAE8"/>
    <w:lvl w:ilvl="0">
      <w:start w:val="2"/>
      <w:numFmt w:val="decimal"/>
      <w:suff w:val="nothing"/>
      <w:lvlText w:val="%1、"/>
      <w:lvlJc w:val="left"/>
    </w:lvl>
  </w:abstractNum>
  <w:abstractNum w:abstractNumId="2">
    <w:nsid w:val="646260FA"/>
    <w:multiLevelType w:val="multilevel"/>
    <w:tmpl w:val="646260FA"/>
    <w:lvl w:ilvl="0">
      <w:start w:val="1"/>
      <w:numFmt w:val="decimal"/>
      <w:pStyle w:val="a6"/>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
    <w:nsid w:val="6C7340FD"/>
    <w:multiLevelType w:val="singleLevel"/>
    <w:tmpl w:val="6C7340FD"/>
    <w:lvl w:ilvl="0">
      <w:start w:val="1"/>
      <w:numFmt w:val="decimal"/>
      <w:lvlText w:val="[%1]"/>
      <w:lvlJc w:val="left"/>
      <w:pPr>
        <w:tabs>
          <w:tab w:val="left" w:pos="312"/>
        </w:tabs>
      </w:pPr>
    </w:lvl>
  </w:abstractNum>
  <w:abstractNum w:abstractNumId="4">
    <w:nsid w:val="6CEA2025"/>
    <w:multiLevelType w:val="multilevel"/>
    <w:tmpl w:val="6CEA2025"/>
    <w:lvl w:ilvl="0">
      <w:start w:val="1"/>
      <w:numFmt w:val="none"/>
      <w:suff w:val="nothing"/>
      <w:lvlText w:val="%1"/>
      <w:lvlJc w:val="left"/>
      <w:pPr>
        <w:ind w:left="0" w:firstLine="0"/>
      </w:pPr>
      <w:rPr>
        <w:rFonts w:hint="eastAsia"/>
      </w:rPr>
    </w:lvl>
    <w:lvl w:ilvl="1">
      <w:start w:val="1"/>
      <w:numFmt w:val="decimal"/>
      <w:pStyle w:val="a5"/>
      <w:suff w:val="nothing"/>
      <w:lvlText w:val="%1%2　"/>
      <w:lvlJc w:val="left"/>
      <w:pPr>
        <w:ind w:left="0" w:firstLine="0"/>
      </w:pPr>
      <w:rPr>
        <w:rFonts w:ascii="黑体" w:eastAsia="黑体" w:hint="eastAsia"/>
        <w:b w:val="0"/>
        <w:i w:val="0"/>
        <w:sz w:val="21"/>
      </w:rPr>
    </w:lvl>
    <w:lvl w:ilvl="2">
      <w:start w:val="1"/>
      <w:numFmt w:val="decimal"/>
      <w:pStyle w:val="a4"/>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3"/>
      <w:suff w:val="nothing"/>
      <w:lvlText w:val="%1%2.%3.%4　"/>
      <w:lvlJc w:val="left"/>
      <w:pPr>
        <w:ind w:left="0" w:firstLine="0"/>
      </w:pPr>
      <w:rPr>
        <w:rFonts w:ascii="黑体" w:eastAsia="黑体" w:hint="eastAsia"/>
        <w:b w:val="0"/>
        <w:i w:val="0"/>
        <w:sz w:val="21"/>
      </w:rPr>
    </w:lvl>
    <w:lvl w:ilvl="4">
      <w:start w:val="1"/>
      <w:numFmt w:val="decimal"/>
      <w:pStyle w:val="a2"/>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nsid w:val="7B7E17F2"/>
    <w:multiLevelType w:val="singleLevel"/>
    <w:tmpl w:val="85579B87"/>
    <w:lvl w:ilvl="0">
      <w:start w:val="3"/>
      <w:numFmt w:val="decimal"/>
      <w:suff w:val="nothing"/>
      <w:lvlText w:val="%1、"/>
      <w:lvlJc w:val="left"/>
    </w:lvl>
  </w:abstractNum>
  <w:abstractNum w:abstractNumId="6">
    <w:nsid w:val="7E2CBAE8"/>
    <w:multiLevelType w:val="singleLevel"/>
    <w:tmpl w:val="7E2CBAE8"/>
    <w:lvl w:ilvl="0">
      <w:start w:val="2"/>
      <w:numFmt w:val="decimal"/>
      <w:suff w:val="nothing"/>
      <w:lvlText w:val="%1、"/>
      <w:lvlJc w:val="left"/>
    </w:lvl>
  </w:abstractNum>
  <w:num w:numId="1">
    <w:abstractNumId w:val="4"/>
  </w:num>
  <w:num w:numId="2">
    <w:abstractNumId w:val="2"/>
  </w:num>
  <w:num w:numId="3">
    <w:abstractNumId w:val="6"/>
  </w:num>
  <w:num w:numId="4">
    <w:abstractNumId w:val="0"/>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B32"/>
    <w:rsid w:val="00014F18"/>
    <w:rsid w:val="000326BE"/>
    <w:rsid w:val="00067517"/>
    <w:rsid w:val="00082285"/>
    <w:rsid w:val="000A1B9E"/>
    <w:rsid w:val="000A1F54"/>
    <w:rsid w:val="000A765B"/>
    <w:rsid w:val="000C761B"/>
    <w:rsid w:val="000D18A7"/>
    <w:rsid w:val="000D4102"/>
    <w:rsid w:val="000E61A8"/>
    <w:rsid w:val="000F0DFA"/>
    <w:rsid w:val="000F1BE1"/>
    <w:rsid w:val="00110210"/>
    <w:rsid w:val="001263FB"/>
    <w:rsid w:val="00135BE3"/>
    <w:rsid w:val="00144A9E"/>
    <w:rsid w:val="00153219"/>
    <w:rsid w:val="0015694C"/>
    <w:rsid w:val="0016753F"/>
    <w:rsid w:val="00173C1B"/>
    <w:rsid w:val="001845C8"/>
    <w:rsid w:val="001871E0"/>
    <w:rsid w:val="001B5F64"/>
    <w:rsid w:val="001F2B88"/>
    <w:rsid w:val="002011C4"/>
    <w:rsid w:val="00204612"/>
    <w:rsid w:val="00214B00"/>
    <w:rsid w:val="002428EA"/>
    <w:rsid w:val="00271D25"/>
    <w:rsid w:val="00281D9C"/>
    <w:rsid w:val="002B19A0"/>
    <w:rsid w:val="002C141A"/>
    <w:rsid w:val="003100C1"/>
    <w:rsid w:val="00323C5C"/>
    <w:rsid w:val="0033173F"/>
    <w:rsid w:val="00332E29"/>
    <w:rsid w:val="003342DB"/>
    <w:rsid w:val="0034109B"/>
    <w:rsid w:val="00375C9A"/>
    <w:rsid w:val="003763A8"/>
    <w:rsid w:val="003A63F6"/>
    <w:rsid w:val="003E3B8F"/>
    <w:rsid w:val="003F2F39"/>
    <w:rsid w:val="00422B32"/>
    <w:rsid w:val="00424830"/>
    <w:rsid w:val="00427F5D"/>
    <w:rsid w:val="00432319"/>
    <w:rsid w:val="004360FA"/>
    <w:rsid w:val="00452AE8"/>
    <w:rsid w:val="00467736"/>
    <w:rsid w:val="00492969"/>
    <w:rsid w:val="004A2D9A"/>
    <w:rsid w:val="004C07EE"/>
    <w:rsid w:val="004D673B"/>
    <w:rsid w:val="004E7093"/>
    <w:rsid w:val="004F65EC"/>
    <w:rsid w:val="0050371E"/>
    <w:rsid w:val="00503A20"/>
    <w:rsid w:val="00503A88"/>
    <w:rsid w:val="005078D4"/>
    <w:rsid w:val="00512571"/>
    <w:rsid w:val="00525B0C"/>
    <w:rsid w:val="00527F8C"/>
    <w:rsid w:val="00535E7A"/>
    <w:rsid w:val="00560A55"/>
    <w:rsid w:val="005623A9"/>
    <w:rsid w:val="00590F44"/>
    <w:rsid w:val="0059330A"/>
    <w:rsid w:val="005977A6"/>
    <w:rsid w:val="005A0CA7"/>
    <w:rsid w:val="005A1961"/>
    <w:rsid w:val="005A343C"/>
    <w:rsid w:val="005C0CC9"/>
    <w:rsid w:val="005C0E37"/>
    <w:rsid w:val="005C5AFA"/>
    <w:rsid w:val="005E0528"/>
    <w:rsid w:val="00601542"/>
    <w:rsid w:val="00606492"/>
    <w:rsid w:val="00610597"/>
    <w:rsid w:val="0061329D"/>
    <w:rsid w:val="00617110"/>
    <w:rsid w:val="00627F98"/>
    <w:rsid w:val="0064590E"/>
    <w:rsid w:val="006573E5"/>
    <w:rsid w:val="006643CF"/>
    <w:rsid w:val="006675EC"/>
    <w:rsid w:val="00675443"/>
    <w:rsid w:val="006B47CE"/>
    <w:rsid w:val="006B6B47"/>
    <w:rsid w:val="006C1D8E"/>
    <w:rsid w:val="006F796B"/>
    <w:rsid w:val="00701209"/>
    <w:rsid w:val="007070BF"/>
    <w:rsid w:val="00712DF5"/>
    <w:rsid w:val="00723A8A"/>
    <w:rsid w:val="00747770"/>
    <w:rsid w:val="007526EB"/>
    <w:rsid w:val="007708E1"/>
    <w:rsid w:val="007712C7"/>
    <w:rsid w:val="00790BB5"/>
    <w:rsid w:val="00794F19"/>
    <w:rsid w:val="007C52A7"/>
    <w:rsid w:val="007D13C9"/>
    <w:rsid w:val="007D669F"/>
    <w:rsid w:val="007E5538"/>
    <w:rsid w:val="00806F41"/>
    <w:rsid w:val="00812B24"/>
    <w:rsid w:val="008267C5"/>
    <w:rsid w:val="008349FF"/>
    <w:rsid w:val="00850C0D"/>
    <w:rsid w:val="008516A3"/>
    <w:rsid w:val="0087182B"/>
    <w:rsid w:val="00876167"/>
    <w:rsid w:val="008902DD"/>
    <w:rsid w:val="0089039C"/>
    <w:rsid w:val="0089096C"/>
    <w:rsid w:val="00894B8C"/>
    <w:rsid w:val="008953B1"/>
    <w:rsid w:val="008A5ED2"/>
    <w:rsid w:val="008B2F19"/>
    <w:rsid w:val="008C3774"/>
    <w:rsid w:val="008D5801"/>
    <w:rsid w:val="008E60CE"/>
    <w:rsid w:val="008E6742"/>
    <w:rsid w:val="008F1E95"/>
    <w:rsid w:val="009242A1"/>
    <w:rsid w:val="0093248F"/>
    <w:rsid w:val="00942E72"/>
    <w:rsid w:val="0095456E"/>
    <w:rsid w:val="00960E78"/>
    <w:rsid w:val="00964F5F"/>
    <w:rsid w:val="00973285"/>
    <w:rsid w:val="009855DD"/>
    <w:rsid w:val="009B54AF"/>
    <w:rsid w:val="00A22B5E"/>
    <w:rsid w:val="00A410D8"/>
    <w:rsid w:val="00A42802"/>
    <w:rsid w:val="00A7084B"/>
    <w:rsid w:val="00A718E9"/>
    <w:rsid w:val="00A80C20"/>
    <w:rsid w:val="00A92811"/>
    <w:rsid w:val="00A9587A"/>
    <w:rsid w:val="00AA1F15"/>
    <w:rsid w:val="00AB0CE9"/>
    <w:rsid w:val="00AC55B2"/>
    <w:rsid w:val="00AC7BFE"/>
    <w:rsid w:val="00AD6C16"/>
    <w:rsid w:val="00AE30B0"/>
    <w:rsid w:val="00AE4720"/>
    <w:rsid w:val="00AF3DBA"/>
    <w:rsid w:val="00B01E13"/>
    <w:rsid w:val="00B22B31"/>
    <w:rsid w:val="00B25350"/>
    <w:rsid w:val="00B34FA6"/>
    <w:rsid w:val="00B73021"/>
    <w:rsid w:val="00B76A32"/>
    <w:rsid w:val="00B906D3"/>
    <w:rsid w:val="00B951C5"/>
    <w:rsid w:val="00BA262E"/>
    <w:rsid w:val="00BA4601"/>
    <w:rsid w:val="00BC0D16"/>
    <w:rsid w:val="00BF72D1"/>
    <w:rsid w:val="00C05BA7"/>
    <w:rsid w:val="00C559F2"/>
    <w:rsid w:val="00C603FA"/>
    <w:rsid w:val="00C67C4C"/>
    <w:rsid w:val="00C732BE"/>
    <w:rsid w:val="00C846CF"/>
    <w:rsid w:val="00C9439E"/>
    <w:rsid w:val="00CC2E7B"/>
    <w:rsid w:val="00CD0CC9"/>
    <w:rsid w:val="00CD23E8"/>
    <w:rsid w:val="00CF2124"/>
    <w:rsid w:val="00CF35C1"/>
    <w:rsid w:val="00D026DC"/>
    <w:rsid w:val="00D055B5"/>
    <w:rsid w:val="00D11845"/>
    <w:rsid w:val="00D2437B"/>
    <w:rsid w:val="00D3664C"/>
    <w:rsid w:val="00D566F8"/>
    <w:rsid w:val="00D84AA5"/>
    <w:rsid w:val="00D92BF0"/>
    <w:rsid w:val="00D9661A"/>
    <w:rsid w:val="00DA18D9"/>
    <w:rsid w:val="00DB6138"/>
    <w:rsid w:val="00DB7AC4"/>
    <w:rsid w:val="00DC1E34"/>
    <w:rsid w:val="00DC410B"/>
    <w:rsid w:val="00DF38F7"/>
    <w:rsid w:val="00E21253"/>
    <w:rsid w:val="00E232A7"/>
    <w:rsid w:val="00E52F76"/>
    <w:rsid w:val="00E54902"/>
    <w:rsid w:val="00E92883"/>
    <w:rsid w:val="00EA0C70"/>
    <w:rsid w:val="00EB6CA1"/>
    <w:rsid w:val="00EC7EE5"/>
    <w:rsid w:val="00F11BD5"/>
    <w:rsid w:val="00F20BBF"/>
    <w:rsid w:val="00F24601"/>
    <w:rsid w:val="00F2742A"/>
    <w:rsid w:val="00F364AB"/>
    <w:rsid w:val="00F712DB"/>
    <w:rsid w:val="00F73AE0"/>
    <w:rsid w:val="00F86663"/>
    <w:rsid w:val="00FF34D2"/>
    <w:rsid w:val="010351AA"/>
    <w:rsid w:val="01145DF8"/>
    <w:rsid w:val="012F7734"/>
    <w:rsid w:val="01347A59"/>
    <w:rsid w:val="013A72E3"/>
    <w:rsid w:val="014A4B87"/>
    <w:rsid w:val="015A40C0"/>
    <w:rsid w:val="015A4807"/>
    <w:rsid w:val="016F45ED"/>
    <w:rsid w:val="01840DAE"/>
    <w:rsid w:val="019D281A"/>
    <w:rsid w:val="01B82649"/>
    <w:rsid w:val="01C20BC1"/>
    <w:rsid w:val="01C30FD8"/>
    <w:rsid w:val="01C56903"/>
    <w:rsid w:val="01D31020"/>
    <w:rsid w:val="01DB2706"/>
    <w:rsid w:val="020C008E"/>
    <w:rsid w:val="020C2A3C"/>
    <w:rsid w:val="022E118C"/>
    <w:rsid w:val="02396B19"/>
    <w:rsid w:val="025657AD"/>
    <w:rsid w:val="026A037F"/>
    <w:rsid w:val="02963DFC"/>
    <w:rsid w:val="029C719F"/>
    <w:rsid w:val="02D432A2"/>
    <w:rsid w:val="02DB65A7"/>
    <w:rsid w:val="02E64D83"/>
    <w:rsid w:val="030567D0"/>
    <w:rsid w:val="03123674"/>
    <w:rsid w:val="03193105"/>
    <w:rsid w:val="033E10F9"/>
    <w:rsid w:val="036B6853"/>
    <w:rsid w:val="03886477"/>
    <w:rsid w:val="03912F41"/>
    <w:rsid w:val="03952861"/>
    <w:rsid w:val="03993BA4"/>
    <w:rsid w:val="03A57F3B"/>
    <w:rsid w:val="03AE361C"/>
    <w:rsid w:val="03ED4406"/>
    <w:rsid w:val="03F67248"/>
    <w:rsid w:val="04086F47"/>
    <w:rsid w:val="04134A25"/>
    <w:rsid w:val="044004C3"/>
    <w:rsid w:val="044E0E32"/>
    <w:rsid w:val="044E563E"/>
    <w:rsid w:val="04536448"/>
    <w:rsid w:val="04814D63"/>
    <w:rsid w:val="049727D9"/>
    <w:rsid w:val="04A2573B"/>
    <w:rsid w:val="04A46CA4"/>
    <w:rsid w:val="050D5BFF"/>
    <w:rsid w:val="05376E66"/>
    <w:rsid w:val="053E3478"/>
    <w:rsid w:val="05580AF1"/>
    <w:rsid w:val="05600E1D"/>
    <w:rsid w:val="056E78ED"/>
    <w:rsid w:val="05746676"/>
    <w:rsid w:val="05783352"/>
    <w:rsid w:val="0583792C"/>
    <w:rsid w:val="05892ACA"/>
    <w:rsid w:val="05B22B37"/>
    <w:rsid w:val="05C55124"/>
    <w:rsid w:val="05D84E57"/>
    <w:rsid w:val="05FB0B46"/>
    <w:rsid w:val="060816FA"/>
    <w:rsid w:val="06103112"/>
    <w:rsid w:val="061B0E09"/>
    <w:rsid w:val="062C51A3"/>
    <w:rsid w:val="06563D22"/>
    <w:rsid w:val="069074E0"/>
    <w:rsid w:val="069D39AB"/>
    <w:rsid w:val="06A04C41"/>
    <w:rsid w:val="06BA630B"/>
    <w:rsid w:val="06E402BC"/>
    <w:rsid w:val="06F7130D"/>
    <w:rsid w:val="06FA704F"/>
    <w:rsid w:val="072B0FB7"/>
    <w:rsid w:val="07364A3D"/>
    <w:rsid w:val="073A38EF"/>
    <w:rsid w:val="0763265F"/>
    <w:rsid w:val="076A5F83"/>
    <w:rsid w:val="07884521"/>
    <w:rsid w:val="07A34FF1"/>
    <w:rsid w:val="07B05960"/>
    <w:rsid w:val="07B74F40"/>
    <w:rsid w:val="07FF6596"/>
    <w:rsid w:val="080D4B60"/>
    <w:rsid w:val="081360E3"/>
    <w:rsid w:val="081C4B38"/>
    <w:rsid w:val="085C3EA8"/>
    <w:rsid w:val="086C7AD9"/>
    <w:rsid w:val="08812490"/>
    <w:rsid w:val="08821C3B"/>
    <w:rsid w:val="0891753F"/>
    <w:rsid w:val="089C0163"/>
    <w:rsid w:val="089F162F"/>
    <w:rsid w:val="08BB636A"/>
    <w:rsid w:val="08C11B8D"/>
    <w:rsid w:val="08C2502B"/>
    <w:rsid w:val="08CE288A"/>
    <w:rsid w:val="08D833C0"/>
    <w:rsid w:val="08E26C00"/>
    <w:rsid w:val="08E403FB"/>
    <w:rsid w:val="08E6788B"/>
    <w:rsid w:val="08FA50E4"/>
    <w:rsid w:val="09151F1E"/>
    <w:rsid w:val="09314C42"/>
    <w:rsid w:val="09410F65"/>
    <w:rsid w:val="094C1B50"/>
    <w:rsid w:val="095A2027"/>
    <w:rsid w:val="09867E17"/>
    <w:rsid w:val="098B337A"/>
    <w:rsid w:val="099306AE"/>
    <w:rsid w:val="09A46816"/>
    <w:rsid w:val="09BB0D18"/>
    <w:rsid w:val="09E279BA"/>
    <w:rsid w:val="0A00497C"/>
    <w:rsid w:val="0A053D41"/>
    <w:rsid w:val="0A0963AB"/>
    <w:rsid w:val="0A193C90"/>
    <w:rsid w:val="0A195A3E"/>
    <w:rsid w:val="0A33477C"/>
    <w:rsid w:val="0A37015F"/>
    <w:rsid w:val="0A402FCB"/>
    <w:rsid w:val="0A607E0A"/>
    <w:rsid w:val="0A726EFC"/>
    <w:rsid w:val="0A83110A"/>
    <w:rsid w:val="0A96708F"/>
    <w:rsid w:val="0AA277E2"/>
    <w:rsid w:val="0AB8452B"/>
    <w:rsid w:val="0AE14DD6"/>
    <w:rsid w:val="0AFF4C34"/>
    <w:rsid w:val="0B780F05"/>
    <w:rsid w:val="0BA943C8"/>
    <w:rsid w:val="0BD02715"/>
    <w:rsid w:val="0BE046A2"/>
    <w:rsid w:val="0BFE4EEC"/>
    <w:rsid w:val="0C1069CD"/>
    <w:rsid w:val="0C1C2222"/>
    <w:rsid w:val="0C1D556A"/>
    <w:rsid w:val="0C2803C9"/>
    <w:rsid w:val="0C4F74F5"/>
    <w:rsid w:val="0C684A5B"/>
    <w:rsid w:val="0C7718E6"/>
    <w:rsid w:val="0C7F1B5D"/>
    <w:rsid w:val="0CA56099"/>
    <w:rsid w:val="0CD01472"/>
    <w:rsid w:val="0CD50699"/>
    <w:rsid w:val="0CDA7707"/>
    <w:rsid w:val="0CED50BF"/>
    <w:rsid w:val="0CFB142B"/>
    <w:rsid w:val="0D290FBD"/>
    <w:rsid w:val="0D2941EA"/>
    <w:rsid w:val="0D3A190C"/>
    <w:rsid w:val="0D58687D"/>
    <w:rsid w:val="0D690902"/>
    <w:rsid w:val="0D735F06"/>
    <w:rsid w:val="0D764ED8"/>
    <w:rsid w:val="0D7F6672"/>
    <w:rsid w:val="0D8F38B9"/>
    <w:rsid w:val="0DA820A7"/>
    <w:rsid w:val="0DB6140F"/>
    <w:rsid w:val="0DC12675"/>
    <w:rsid w:val="0DE10621"/>
    <w:rsid w:val="0E3817E0"/>
    <w:rsid w:val="0E5E4367"/>
    <w:rsid w:val="0E6F0323"/>
    <w:rsid w:val="0E750639"/>
    <w:rsid w:val="0E774FA9"/>
    <w:rsid w:val="0E794CFD"/>
    <w:rsid w:val="0E8E5845"/>
    <w:rsid w:val="0EB360A5"/>
    <w:rsid w:val="0EC27235"/>
    <w:rsid w:val="0ECB6550"/>
    <w:rsid w:val="0ECD5247"/>
    <w:rsid w:val="0EDB7766"/>
    <w:rsid w:val="0EEF2C17"/>
    <w:rsid w:val="0EF330C3"/>
    <w:rsid w:val="0F0A42F4"/>
    <w:rsid w:val="0F16710D"/>
    <w:rsid w:val="0F305BFC"/>
    <w:rsid w:val="0F514D91"/>
    <w:rsid w:val="0F621C35"/>
    <w:rsid w:val="0F640675"/>
    <w:rsid w:val="0F6634CB"/>
    <w:rsid w:val="0FA33770"/>
    <w:rsid w:val="0FA4665B"/>
    <w:rsid w:val="0FAE6138"/>
    <w:rsid w:val="0FD620A8"/>
    <w:rsid w:val="0FD91EF8"/>
    <w:rsid w:val="0FE86DAA"/>
    <w:rsid w:val="100E7E3A"/>
    <w:rsid w:val="101E0C6A"/>
    <w:rsid w:val="10233AE6"/>
    <w:rsid w:val="1040267F"/>
    <w:rsid w:val="1057106E"/>
    <w:rsid w:val="106D0858"/>
    <w:rsid w:val="10987DBD"/>
    <w:rsid w:val="10A342B4"/>
    <w:rsid w:val="10B92BB8"/>
    <w:rsid w:val="10C36704"/>
    <w:rsid w:val="10D4659C"/>
    <w:rsid w:val="10E344BC"/>
    <w:rsid w:val="110A4333"/>
    <w:rsid w:val="11131439"/>
    <w:rsid w:val="11164B8C"/>
    <w:rsid w:val="111D7BC2"/>
    <w:rsid w:val="11245456"/>
    <w:rsid w:val="112E7F55"/>
    <w:rsid w:val="116A526D"/>
    <w:rsid w:val="116D759C"/>
    <w:rsid w:val="11A7764C"/>
    <w:rsid w:val="11AE35C0"/>
    <w:rsid w:val="11BE2DE2"/>
    <w:rsid w:val="11D00FF6"/>
    <w:rsid w:val="11D4020D"/>
    <w:rsid w:val="11D861DF"/>
    <w:rsid w:val="11EA6D8C"/>
    <w:rsid w:val="11F65D7E"/>
    <w:rsid w:val="120314AE"/>
    <w:rsid w:val="12166708"/>
    <w:rsid w:val="122849A8"/>
    <w:rsid w:val="12285AF8"/>
    <w:rsid w:val="1232769D"/>
    <w:rsid w:val="125255C0"/>
    <w:rsid w:val="12772379"/>
    <w:rsid w:val="127F59AE"/>
    <w:rsid w:val="12BE2958"/>
    <w:rsid w:val="12E60488"/>
    <w:rsid w:val="12E71167"/>
    <w:rsid w:val="13150845"/>
    <w:rsid w:val="13281702"/>
    <w:rsid w:val="13315BA7"/>
    <w:rsid w:val="13653154"/>
    <w:rsid w:val="136C3083"/>
    <w:rsid w:val="138210BF"/>
    <w:rsid w:val="13835CB5"/>
    <w:rsid w:val="1390721F"/>
    <w:rsid w:val="13AA498B"/>
    <w:rsid w:val="13BB13AD"/>
    <w:rsid w:val="13E75C47"/>
    <w:rsid w:val="13EE3752"/>
    <w:rsid w:val="13F228E1"/>
    <w:rsid w:val="13F54E26"/>
    <w:rsid w:val="13F56BD4"/>
    <w:rsid w:val="13F969C3"/>
    <w:rsid w:val="13FF5CA5"/>
    <w:rsid w:val="140537AD"/>
    <w:rsid w:val="140C2170"/>
    <w:rsid w:val="14142F75"/>
    <w:rsid w:val="14184FB8"/>
    <w:rsid w:val="14261483"/>
    <w:rsid w:val="14353B9C"/>
    <w:rsid w:val="14423DE3"/>
    <w:rsid w:val="144819CF"/>
    <w:rsid w:val="145558C5"/>
    <w:rsid w:val="147321EF"/>
    <w:rsid w:val="14867011"/>
    <w:rsid w:val="14943CF4"/>
    <w:rsid w:val="149C7998"/>
    <w:rsid w:val="14BF0C52"/>
    <w:rsid w:val="14C12636"/>
    <w:rsid w:val="14C373D4"/>
    <w:rsid w:val="14CB1C36"/>
    <w:rsid w:val="14CC69BE"/>
    <w:rsid w:val="14D04019"/>
    <w:rsid w:val="14DC5FE6"/>
    <w:rsid w:val="14E16310"/>
    <w:rsid w:val="14FE7D0A"/>
    <w:rsid w:val="15001CD4"/>
    <w:rsid w:val="151B4D60"/>
    <w:rsid w:val="152359C3"/>
    <w:rsid w:val="155435E9"/>
    <w:rsid w:val="155F4BAC"/>
    <w:rsid w:val="15994B4C"/>
    <w:rsid w:val="15A241D0"/>
    <w:rsid w:val="15A46B04"/>
    <w:rsid w:val="15D62A35"/>
    <w:rsid w:val="15FE2DB3"/>
    <w:rsid w:val="1609105D"/>
    <w:rsid w:val="16421E79"/>
    <w:rsid w:val="16614BA8"/>
    <w:rsid w:val="166167A3"/>
    <w:rsid w:val="166B462C"/>
    <w:rsid w:val="166F62B4"/>
    <w:rsid w:val="168943F1"/>
    <w:rsid w:val="16897AA8"/>
    <w:rsid w:val="16AD459B"/>
    <w:rsid w:val="16B052EA"/>
    <w:rsid w:val="16B97AC7"/>
    <w:rsid w:val="16D50F3F"/>
    <w:rsid w:val="16F21696"/>
    <w:rsid w:val="16F75359"/>
    <w:rsid w:val="171C4612"/>
    <w:rsid w:val="17237EFC"/>
    <w:rsid w:val="17633957"/>
    <w:rsid w:val="17914E66"/>
    <w:rsid w:val="17935082"/>
    <w:rsid w:val="179B6A60"/>
    <w:rsid w:val="17C0399D"/>
    <w:rsid w:val="17C90AA4"/>
    <w:rsid w:val="17CB508F"/>
    <w:rsid w:val="18027B12"/>
    <w:rsid w:val="180715CC"/>
    <w:rsid w:val="180E4708"/>
    <w:rsid w:val="18185587"/>
    <w:rsid w:val="181A12FF"/>
    <w:rsid w:val="183608AF"/>
    <w:rsid w:val="183A72AB"/>
    <w:rsid w:val="187004C1"/>
    <w:rsid w:val="18937F22"/>
    <w:rsid w:val="18A43CBC"/>
    <w:rsid w:val="18E06DB6"/>
    <w:rsid w:val="18E86D07"/>
    <w:rsid w:val="18E92A80"/>
    <w:rsid w:val="18F81BB8"/>
    <w:rsid w:val="191434AA"/>
    <w:rsid w:val="191C22BC"/>
    <w:rsid w:val="19306900"/>
    <w:rsid w:val="193A152D"/>
    <w:rsid w:val="194D1260"/>
    <w:rsid w:val="1956250C"/>
    <w:rsid w:val="19600F94"/>
    <w:rsid w:val="198744A9"/>
    <w:rsid w:val="19912888"/>
    <w:rsid w:val="199E7D0E"/>
    <w:rsid w:val="19A40A22"/>
    <w:rsid w:val="19E62A13"/>
    <w:rsid w:val="19EB2D95"/>
    <w:rsid w:val="19EB3EF7"/>
    <w:rsid w:val="19F66F6A"/>
    <w:rsid w:val="1A246465"/>
    <w:rsid w:val="1A277971"/>
    <w:rsid w:val="1A293A7B"/>
    <w:rsid w:val="1A2C70C8"/>
    <w:rsid w:val="1A3D35ED"/>
    <w:rsid w:val="1A4E34E2"/>
    <w:rsid w:val="1A514D80"/>
    <w:rsid w:val="1A633BB8"/>
    <w:rsid w:val="1A8769F4"/>
    <w:rsid w:val="1A94074C"/>
    <w:rsid w:val="1AAF6E59"/>
    <w:rsid w:val="1AD748F9"/>
    <w:rsid w:val="1AD80FFE"/>
    <w:rsid w:val="1AF04DBD"/>
    <w:rsid w:val="1B097B27"/>
    <w:rsid w:val="1B114C90"/>
    <w:rsid w:val="1B5B3104"/>
    <w:rsid w:val="1B813141"/>
    <w:rsid w:val="1B8A679C"/>
    <w:rsid w:val="1B9118D8"/>
    <w:rsid w:val="1B924BDA"/>
    <w:rsid w:val="1B950DC1"/>
    <w:rsid w:val="1BB2786F"/>
    <w:rsid w:val="1BCC0B62"/>
    <w:rsid w:val="1C300522"/>
    <w:rsid w:val="1C395ACC"/>
    <w:rsid w:val="1C4928FA"/>
    <w:rsid w:val="1CA00E2E"/>
    <w:rsid w:val="1CA26872"/>
    <w:rsid w:val="1CA55860"/>
    <w:rsid w:val="1CAF421E"/>
    <w:rsid w:val="1CCB706C"/>
    <w:rsid w:val="1CD13F56"/>
    <w:rsid w:val="1CE819CC"/>
    <w:rsid w:val="1CF10155"/>
    <w:rsid w:val="1CF55E97"/>
    <w:rsid w:val="1D091942"/>
    <w:rsid w:val="1D44297A"/>
    <w:rsid w:val="1D4D7A81"/>
    <w:rsid w:val="1D5232E9"/>
    <w:rsid w:val="1D526B37"/>
    <w:rsid w:val="1D6D3C7F"/>
    <w:rsid w:val="1D722182"/>
    <w:rsid w:val="1D7E7D56"/>
    <w:rsid w:val="1DAA0C2F"/>
    <w:rsid w:val="1DB94719"/>
    <w:rsid w:val="1DC91EB8"/>
    <w:rsid w:val="1DCB2F03"/>
    <w:rsid w:val="1DCB7990"/>
    <w:rsid w:val="1DD261D8"/>
    <w:rsid w:val="1E095706"/>
    <w:rsid w:val="1E131D49"/>
    <w:rsid w:val="1E193E07"/>
    <w:rsid w:val="1E1B4E4B"/>
    <w:rsid w:val="1E214A6A"/>
    <w:rsid w:val="1E4C1AE7"/>
    <w:rsid w:val="1E540700"/>
    <w:rsid w:val="1E621CD8"/>
    <w:rsid w:val="1E69528A"/>
    <w:rsid w:val="1E8839C4"/>
    <w:rsid w:val="1E984D2C"/>
    <w:rsid w:val="1E9D7FB3"/>
    <w:rsid w:val="1EAC4C7B"/>
    <w:rsid w:val="1EB15DEE"/>
    <w:rsid w:val="1ECB3353"/>
    <w:rsid w:val="1ECB5101"/>
    <w:rsid w:val="1ED1023E"/>
    <w:rsid w:val="1EDB10BC"/>
    <w:rsid w:val="1EEA2AA6"/>
    <w:rsid w:val="1EF275DF"/>
    <w:rsid w:val="1EFC175F"/>
    <w:rsid w:val="1F0B732A"/>
    <w:rsid w:val="1F0E3240"/>
    <w:rsid w:val="1F237868"/>
    <w:rsid w:val="1F251ED0"/>
    <w:rsid w:val="1F35667E"/>
    <w:rsid w:val="1F3E183B"/>
    <w:rsid w:val="1F574230"/>
    <w:rsid w:val="1F5D7D23"/>
    <w:rsid w:val="1F6509EC"/>
    <w:rsid w:val="1F672950"/>
    <w:rsid w:val="1F8564BE"/>
    <w:rsid w:val="1F9736CC"/>
    <w:rsid w:val="1F9C6A9E"/>
    <w:rsid w:val="1F9F20EA"/>
    <w:rsid w:val="1FA6791C"/>
    <w:rsid w:val="1FC733AF"/>
    <w:rsid w:val="1FC81641"/>
    <w:rsid w:val="200603BB"/>
    <w:rsid w:val="200C0DB9"/>
    <w:rsid w:val="202345EC"/>
    <w:rsid w:val="205E1154"/>
    <w:rsid w:val="205E4FB3"/>
    <w:rsid w:val="20914128"/>
    <w:rsid w:val="20965E51"/>
    <w:rsid w:val="20C11443"/>
    <w:rsid w:val="20C938C2"/>
    <w:rsid w:val="20CB30A7"/>
    <w:rsid w:val="20E877DE"/>
    <w:rsid w:val="21140C4E"/>
    <w:rsid w:val="211C7E96"/>
    <w:rsid w:val="215923E2"/>
    <w:rsid w:val="21771570"/>
    <w:rsid w:val="21845A3B"/>
    <w:rsid w:val="2191127E"/>
    <w:rsid w:val="219A6C85"/>
    <w:rsid w:val="219D08AB"/>
    <w:rsid w:val="21D16C00"/>
    <w:rsid w:val="21EB5ABA"/>
    <w:rsid w:val="21ED2AFA"/>
    <w:rsid w:val="21F86561"/>
    <w:rsid w:val="221B313D"/>
    <w:rsid w:val="22284619"/>
    <w:rsid w:val="22484CBB"/>
    <w:rsid w:val="22552F34"/>
    <w:rsid w:val="22576CAC"/>
    <w:rsid w:val="22602004"/>
    <w:rsid w:val="227C4BFC"/>
    <w:rsid w:val="22965A26"/>
    <w:rsid w:val="2297354C"/>
    <w:rsid w:val="22AF368E"/>
    <w:rsid w:val="22DB168B"/>
    <w:rsid w:val="232946DA"/>
    <w:rsid w:val="232E3EB1"/>
    <w:rsid w:val="233206AC"/>
    <w:rsid w:val="23431CCD"/>
    <w:rsid w:val="2346019B"/>
    <w:rsid w:val="2369138D"/>
    <w:rsid w:val="23693AAA"/>
    <w:rsid w:val="239841AB"/>
    <w:rsid w:val="23A24802"/>
    <w:rsid w:val="23A61C99"/>
    <w:rsid w:val="23B51EDC"/>
    <w:rsid w:val="23F23130"/>
    <w:rsid w:val="240115C5"/>
    <w:rsid w:val="241C7102"/>
    <w:rsid w:val="242552B4"/>
    <w:rsid w:val="24303C58"/>
    <w:rsid w:val="244A4D1A"/>
    <w:rsid w:val="24575689"/>
    <w:rsid w:val="24877D1C"/>
    <w:rsid w:val="2499449A"/>
    <w:rsid w:val="24C272BB"/>
    <w:rsid w:val="251F4D3A"/>
    <w:rsid w:val="251F7F55"/>
    <w:rsid w:val="25292B82"/>
    <w:rsid w:val="252A23ED"/>
    <w:rsid w:val="254356C9"/>
    <w:rsid w:val="25462822"/>
    <w:rsid w:val="257A2D8B"/>
    <w:rsid w:val="258610A9"/>
    <w:rsid w:val="25B3069D"/>
    <w:rsid w:val="25EC288D"/>
    <w:rsid w:val="25F327A8"/>
    <w:rsid w:val="2609650F"/>
    <w:rsid w:val="260E7FC9"/>
    <w:rsid w:val="2619677C"/>
    <w:rsid w:val="2629095F"/>
    <w:rsid w:val="263E08AF"/>
    <w:rsid w:val="265E2CFF"/>
    <w:rsid w:val="2691097E"/>
    <w:rsid w:val="26954C83"/>
    <w:rsid w:val="26DA40CD"/>
    <w:rsid w:val="26DD1E76"/>
    <w:rsid w:val="26EF1BA9"/>
    <w:rsid w:val="26FC3739"/>
    <w:rsid w:val="27084A19"/>
    <w:rsid w:val="271B0BF0"/>
    <w:rsid w:val="27233601"/>
    <w:rsid w:val="27400656"/>
    <w:rsid w:val="27466343"/>
    <w:rsid w:val="276D3913"/>
    <w:rsid w:val="278176C0"/>
    <w:rsid w:val="27856069"/>
    <w:rsid w:val="27BD3A55"/>
    <w:rsid w:val="27E15995"/>
    <w:rsid w:val="27E17743"/>
    <w:rsid w:val="28007715"/>
    <w:rsid w:val="280432BA"/>
    <w:rsid w:val="28090A48"/>
    <w:rsid w:val="280D0539"/>
    <w:rsid w:val="28186EDD"/>
    <w:rsid w:val="281B4AE7"/>
    <w:rsid w:val="28341F69"/>
    <w:rsid w:val="28397580"/>
    <w:rsid w:val="28475919"/>
    <w:rsid w:val="28500053"/>
    <w:rsid w:val="28520641"/>
    <w:rsid w:val="285443B9"/>
    <w:rsid w:val="286254A0"/>
    <w:rsid w:val="28834ADA"/>
    <w:rsid w:val="28C23FF9"/>
    <w:rsid w:val="28DF4B4D"/>
    <w:rsid w:val="28F542DA"/>
    <w:rsid w:val="291C5BFE"/>
    <w:rsid w:val="2936465A"/>
    <w:rsid w:val="293D2CB4"/>
    <w:rsid w:val="29611232"/>
    <w:rsid w:val="29671ECA"/>
    <w:rsid w:val="299D58EC"/>
    <w:rsid w:val="29B63ACC"/>
    <w:rsid w:val="29BE3D54"/>
    <w:rsid w:val="29C64A5B"/>
    <w:rsid w:val="29E17ECF"/>
    <w:rsid w:val="2A0E1578"/>
    <w:rsid w:val="2A1D2A87"/>
    <w:rsid w:val="2A286D99"/>
    <w:rsid w:val="2A350700"/>
    <w:rsid w:val="2A461AE0"/>
    <w:rsid w:val="2A48639C"/>
    <w:rsid w:val="2A5561C7"/>
    <w:rsid w:val="2A557F75"/>
    <w:rsid w:val="2A600B65"/>
    <w:rsid w:val="2A7C4F86"/>
    <w:rsid w:val="2AA1765E"/>
    <w:rsid w:val="2AAD1B5F"/>
    <w:rsid w:val="2AB56C65"/>
    <w:rsid w:val="2AB96756"/>
    <w:rsid w:val="2ADC5477"/>
    <w:rsid w:val="2AE82B97"/>
    <w:rsid w:val="2AF91248"/>
    <w:rsid w:val="2B2067D5"/>
    <w:rsid w:val="2B4D4D7A"/>
    <w:rsid w:val="2B546068"/>
    <w:rsid w:val="2B5B0AD2"/>
    <w:rsid w:val="2B775C80"/>
    <w:rsid w:val="2B7D7FD1"/>
    <w:rsid w:val="2BD202AE"/>
    <w:rsid w:val="2BE75544"/>
    <w:rsid w:val="2C245E51"/>
    <w:rsid w:val="2C2A71DF"/>
    <w:rsid w:val="2C4B162F"/>
    <w:rsid w:val="2C601685"/>
    <w:rsid w:val="2C602C01"/>
    <w:rsid w:val="2C680433"/>
    <w:rsid w:val="2C6B7F24"/>
    <w:rsid w:val="2C770676"/>
    <w:rsid w:val="2C7A29CD"/>
    <w:rsid w:val="2CEB2E12"/>
    <w:rsid w:val="2D085772"/>
    <w:rsid w:val="2D13744F"/>
    <w:rsid w:val="2D144117"/>
    <w:rsid w:val="2D281A09"/>
    <w:rsid w:val="2D404F0C"/>
    <w:rsid w:val="2D414A03"/>
    <w:rsid w:val="2D687ACD"/>
    <w:rsid w:val="2DA27975"/>
    <w:rsid w:val="2DB03B84"/>
    <w:rsid w:val="2DC132B3"/>
    <w:rsid w:val="2DCA0C7A"/>
    <w:rsid w:val="2DD45655"/>
    <w:rsid w:val="2DE955A4"/>
    <w:rsid w:val="2DEC744F"/>
    <w:rsid w:val="2DF67CC1"/>
    <w:rsid w:val="2E19458F"/>
    <w:rsid w:val="2E1B588D"/>
    <w:rsid w:val="2E2D08CB"/>
    <w:rsid w:val="2E426B39"/>
    <w:rsid w:val="2E527AD3"/>
    <w:rsid w:val="2E5549E7"/>
    <w:rsid w:val="2E5642BC"/>
    <w:rsid w:val="2E647DF6"/>
    <w:rsid w:val="2E7B0D1B"/>
    <w:rsid w:val="2E8E1CA7"/>
    <w:rsid w:val="2E921798"/>
    <w:rsid w:val="2EDB6453"/>
    <w:rsid w:val="2F04402D"/>
    <w:rsid w:val="2F1133A9"/>
    <w:rsid w:val="2F1228D8"/>
    <w:rsid w:val="2F323314"/>
    <w:rsid w:val="2F3761E9"/>
    <w:rsid w:val="2F757B69"/>
    <w:rsid w:val="2F793CAB"/>
    <w:rsid w:val="2F8A6913"/>
    <w:rsid w:val="2FA23C5C"/>
    <w:rsid w:val="2FAD7A6F"/>
    <w:rsid w:val="2FC105A1"/>
    <w:rsid w:val="2FC12606"/>
    <w:rsid w:val="2FC71915"/>
    <w:rsid w:val="2FCC0796"/>
    <w:rsid w:val="2FCF018B"/>
    <w:rsid w:val="2FEA5603"/>
    <w:rsid w:val="2FFD5337"/>
    <w:rsid w:val="30175D96"/>
    <w:rsid w:val="302D7F4C"/>
    <w:rsid w:val="302F50B9"/>
    <w:rsid w:val="3078741A"/>
    <w:rsid w:val="30804E04"/>
    <w:rsid w:val="30842901"/>
    <w:rsid w:val="309061AB"/>
    <w:rsid w:val="309335A5"/>
    <w:rsid w:val="309F63EE"/>
    <w:rsid w:val="30AB054E"/>
    <w:rsid w:val="30B262C3"/>
    <w:rsid w:val="30C96918"/>
    <w:rsid w:val="3122214A"/>
    <w:rsid w:val="31472173"/>
    <w:rsid w:val="31500621"/>
    <w:rsid w:val="31501496"/>
    <w:rsid w:val="31584682"/>
    <w:rsid w:val="31605B7D"/>
    <w:rsid w:val="316B4522"/>
    <w:rsid w:val="3171747E"/>
    <w:rsid w:val="3179279B"/>
    <w:rsid w:val="31857FCD"/>
    <w:rsid w:val="31991CE5"/>
    <w:rsid w:val="31AB6FF9"/>
    <w:rsid w:val="31AE3D83"/>
    <w:rsid w:val="31B17780"/>
    <w:rsid w:val="31B37C94"/>
    <w:rsid w:val="31BC6B2B"/>
    <w:rsid w:val="31E7004C"/>
    <w:rsid w:val="31F97D80"/>
    <w:rsid w:val="321F726F"/>
    <w:rsid w:val="32261EDD"/>
    <w:rsid w:val="32326DEE"/>
    <w:rsid w:val="32352B2E"/>
    <w:rsid w:val="323E5792"/>
    <w:rsid w:val="32686480"/>
    <w:rsid w:val="326B3AD1"/>
    <w:rsid w:val="326F3B9E"/>
    <w:rsid w:val="32963820"/>
    <w:rsid w:val="32C56272"/>
    <w:rsid w:val="32F54F81"/>
    <w:rsid w:val="33141BF3"/>
    <w:rsid w:val="333C7F24"/>
    <w:rsid w:val="334868C9"/>
    <w:rsid w:val="335334BF"/>
    <w:rsid w:val="335F3C12"/>
    <w:rsid w:val="338D077F"/>
    <w:rsid w:val="33A8380B"/>
    <w:rsid w:val="33B2584E"/>
    <w:rsid w:val="33BA52ED"/>
    <w:rsid w:val="33C26C7E"/>
    <w:rsid w:val="33C51311"/>
    <w:rsid w:val="33E16123"/>
    <w:rsid w:val="340824FC"/>
    <w:rsid w:val="34086058"/>
    <w:rsid w:val="34110E65"/>
    <w:rsid w:val="3411315F"/>
    <w:rsid w:val="342F1837"/>
    <w:rsid w:val="349618B6"/>
    <w:rsid w:val="34977386"/>
    <w:rsid w:val="349D684E"/>
    <w:rsid w:val="34A953C2"/>
    <w:rsid w:val="34BD2A0B"/>
    <w:rsid w:val="34C54FBA"/>
    <w:rsid w:val="34D9259E"/>
    <w:rsid w:val="34F226A3"/>
    <w:rsid w:val="34F37B45"/>
    <w:rsid w:val="35037214"/>
    <w:rsid w:val="351F3659"/>
    <w:rsid w:val="35220F64"/>
    <w:rsid w:val="35394E61"/>
    <w:rsid w:val="354B4EA4"/>
    <w:rsid w:val="35611EC4"/>
    <w:rsid w:val="3575771D"/>
    <w:rsid w:val="358B5193"/>
    <w:rsid w:val="35B53FBD"/>
    <w:rsid w:val="35B63BD4"/>
    <w:rsid w:val="35B744A0"/>
    <w:rsid w:val="35BB5A78"/>
    <w:rsid w:val="35BF6BEA"/>
    <w:rsid w:val="35F70882"/>
    <w:rsid w:val="35F766C4"/>
    <w:rsid w:val="360906F7"/>
    <w:rsid w:val="3613532D"/>
    <w:rsid w:val="363870C8"/>
    <w:rsid w:val="365421B3"/>
    <w:rsid w:val="366629E3"/>
    <w:rsid w:val="367774C5"/>
    <w:rsid w:val="36A302BA"/>
    <w:rsid w:val="36A310A0"/>
    <w:rsid w:val="36A74218"/>
    <w:rsid w:val="36DB0D7A"/>
    <w:rsid w:val="36F232E6"/>
    <w:rsid w:val="36FE6D91"/>
    <w:rsid w:val="37371BDF"/>
    <w:rsid w:val="373F4487"/>
    <w:rsid w:val="375B56A5"/>
    <w:rsid w:val="37623CD1"/>
    <w:rsid w:val="376521E5"/>
    <w:rsid w:val="3769496C"/>
    <w:rsid w:val="37727331"/>
    <w:rsid w:val="379E11AD"/>
    <w:rsid w:val="38163439"/>
    <w:rsid w:val="381E22EE"/>
    <w:rsid w:val="386817BB"/>
    <w:rsid w:val="386E4FF6"/>
    <w:rsid w:val="386F3EE6"/>
    <w:rsid w:val="38743CBC"/>
    <w:rsid w:val="3881462B"/>
    <w:rsid w:val="38991974"/>
    <w:rsid w:val="38C70290"/>
    <w:rsid w:val="38E21414"/>
    <w:rsid w:val="38EC419A"/>
    <w:rsid w:val="395104A1"/>
    <w:rsid w:val="395E57F4"/>
    <w:rsid w:val="39715183"/>
    <w:rsid w:val="39812B34"/>
    <w:rsid w:val="39A671DA"/>
    <w:rsid w:val="39E10DB5"/>
    <w:rsid w:val="39ED021F"/>
    <w:rsid w:val="39F41558"/>
    <w:rsid w:val="39F535CC"/>
    <w:rsid w:val="3A0B0650"/>
    <w:rsid w:val="3A1042A7"/>
    <w:rsid w:val="3A2160C5"/>
    <w:rsid w:val="3A231E3E"/>
    <w:rsid w:val="3A30455A"/>
    <w:rsid w:val="3A4302B9"/>
    <w:rsid w:val="3A471573"/>
    <w:rsid w:val="3A612966"/>
    <w:rsid w:val="3A681180"/>
    <w:rsid w:val="3A856654"/>
    <w:rsid w:val="3A8A5A19"/>
    <w:rsid w:val="3AA765CB"/>
    <w:rsid w:val="3AAB2346"/>
    <w:rsid w:val="3AB111F7"/>
    <w:rsid w:val="3AC0143A"/>
    <w:rsid w:val="3AD35612"/>
    <w:rsid w:val="3AD62A0C"/>
    <w:rsid w:val="3AE65B9E"/>
    <w:rsid w:val="3B037579"/>
    <w:rsid w:val="3B0839F4"/>
    <w:rsid w:val="3B187EB0"/>
    <w:rsid w:val="3B2217D9"/>
    <w:rsid w:val="3B260040"/>
    <w:rsid w:val="3B3B31B7"/>
    <w:rsid w:val="3B551553"/>
    <w:rsid w:val="3B59648C"/>
    <w:rsid w:val="3B742225"/>
    <w:rsid w:val="3B750477"/>
    <w:rsid w:val="3B9052B1"/>
    <w:rsid w:val="3BA7084C"/>
    <w:rsid w:val="3BC62A80"/>
    <w:rsid w:val="3BD17677"/>
    <w:rsid w:val="3BF82E56"/>
    <w:rsid w:val="3C0459F3"/>
    <w:rsid w:val="3C1F1C86"/>
    <w:rsid w:val="3C506168"/>
    <w:rsid w:val="3C522566"/>
    <w:rsid w:val="3C552056"/>
    <w:rsid w:val="3C795D45"/>
    <w:rsid w:val="3C7C75E3"/>
    <w:rsid w:val="3CA1529C"/>
    <w:rsid w:val="3CA803D8"/>
    <w:rsid w:val="3CD1792F"/>
    <w:rsid w:val="3CD4741F"/>
    <w:rsid w:val="3CF05C8C"/>
    <w:rsid w:val="3D003A3D"/>
    <w:rsid w:val="3D047302"/>
    <w:rsid w:val="3D125B88"/>
    <w:rsid w:val="3D260ED8"/>
    <w:rsid w:val="3D3B56F0"/>
    <w:rsid w:val="3D4A148F"/>
    <w:rsid w:val="3D541FEF"/>
    <w:rsid w:val="3D595B76"/>
    <w:rsid w:val="3D5F318D"/>
    <w:rsid w:val="3DB8289D"/>
    <w:rsid w:val="3DED3652"/>
    <w:rsid w:val="3DF1594E"/>
    <w:rsid w:val="3DFA1107"/>
    <w:rsid w:val="3E3030B3"/>
    <w:rsid w:val="3E8D079C"/>
    <w:rsid w:val="3E930D36"/>
    <w:rsid w:val="3E9418D5"/>
    <w:rsid w:val="3E954339"/>
    <w:rsid w:val="3E990920"/>
    <w:rsid w:val="3EB23790"/>
    <w:rsid w:val="3ECD05CA"/>
    <w:rsid w:val="3ED71449"/>
    <w:rsid w:val="3EE95F5F"/>
    <w:rsid w:val="3F0F2990"/>
    <w:rsid w:val="3F2301EA"/>
    <w:rsid w:val="3F2C3542"/>
    <w:rsid w:val="3F2F3033"/>
    <w:rsid w:val="3F4735BD"/>
    <w:rsid w:val="3F5C54AA"/>
    <w:rsid w:val="3F620D12"/>
    <w:rsid w:val="3F6902F3"/>
    <w:rsid w:val="3F8E7D59"/>
    <w:rsid w:val="3F961829"/>
    <w:rsid w:val="3F964E60"/>
    <w:rsid w:val="3FB451AA"/>
    <w:rsid w:val="3FB93A98"/>
    <w:rsid w:val="3FC52C55"/>
    <w:rsid w:val="3FCC71E8"/>
    <w:rsid w:val="3FDB0AC5"/>
    <w:rsid w:val="3FE61943"/>
    <w:rsid w:val="3FF43934"/>
    <w:rsid w:val="3FF81676"/>
    <w:rsid w:val="401D7F73"/>
    <w:rsid w:val="402459A3"/>
    <w:rsid w:val="40330901"/>
    <w:rsid w:val="405257D8"/>
    <w:rsid w:val="40526827"/>
    <w:rsid w:val="405745EF"/>
    <w:rsid w:val="407927B7"/>
    <w:rsid w:val="40887AA3"/>
    <w:rsid w:val="40A435AC"/>
    <w:rsid w:val="40B95721"/>
    <w:rsid w:val="40E57E4D"/>
    <w:rsid w:val="40F90A25"/>
    <w:rsid w:val="41123C58"/>
    <w:rsid w:val="412836D9"/>
    <w:rsid w:val="41326E0A"/>
    <w:rsid w:val="414A695F"/>
    <w:rsid w:val="414C64FF"/>
    <w:rsid w:val="415205EA"/>
    <w:rsid w:val="417411D1"/>
    <w:rsid w:val="418F600A"/>
    <w:rsid w:val="41A22E7C"/>
    <w:rsid w:val="41AE6491"/>
    <w:rsid w:val="41B33AA7"/>
    <w:rsid w:val="41BE1C4B"/>
    <w:rsid w:val="41D43279"/>
    <w:rsid w:val="41FE4B96"/>
    <w:rsid w:val="421101B1"/>
    <w:rsid w:val="4235270E"/>
    <w:rsid w:val="426D00FA"/>
    <w:rsid w:val="427735F3"/>
    <w:rsid w:val="427C7B53"/>
    <w:rsid w:val="427D3271"/>
    <w:rsid w:val="42910F61"/>
    <w:rsid w:val="42925DB2"/>
    <w:rsid w:val="429C09DF"/>
    <w:rsid w:val="42A226DB"/>
    <w:rsid w:val="42C77EAD"/>
    <w:rsid w:val="435555E2"/>
    <w:rsid w:val="43573DB2"/>
    <w:rsid w:val="43622373"/>
    <w:rsid w:val="436F39FE"/>
    <w:rsid w:val="43714AFC"/>
    <w:rsid w:val="437B369A"/>
    <w:rsid w:val="43805C0B"/>
    <w:rsid w:val="43947908"/>
    <w:rsid w:val="43963E95"/>
    <w:rsid w:val="43AC09C0"/>
    <w:rsid w:val="43E968AF"/>
    <w:rsid w:val="43EC14F2"/>
    <w:rsid w:val="43FC59E2"/>
    <w:rsid w:val="44137138"/>
    <w:rsid w:val="443D1D4E"/>
    <w:rsid w:val="444758A9"/>
    <w:rsid w:val="44544143"/>
    <w:rsid w:val="44601B06"/>
    <w:rsid w:val="44641089"/>
    <w:rsid w:val="44670B79"/>
    <w:rsid w:val="44752C3E"/>
    <w:rsid w:val="447D039C"/>
    <w:rsid w:val="447F495B"/>
    <w:rsid w:val="448939E8"/>
    <w:rsid w:val="448D4A83"/>
    <w:rsid w:val="44A17613"/>
    <w:rsid w:val="44B1076D"/>
    <w:rsid w:val="44C47D79"/>
    <w:rsid w:val="44D77AAC"/>
    <w:rsid w:val="44EB17AA"/>
    <w:rsid w:val="44EB3558"/>
    <w:rsid w:val="44FD7421"/>
    <w:rsid w:val="451051BF"/>
    <w:rsid w:val="4574077E"/>
    <w:rsid w:val="45BC6CA2"/>
    <w:rsid w:val="45DD5596"/>
    <w:rsid w:val="45E27F8A"/>
    <w:rsid w:val="45E65605"/>
    <w:rsid w:val="460228DA"/>
    <w:rsid w:val="4629669E"/>
    <w:rsid w:val="46406C9A"/>
    <w:rsid w:val="464253F9"/>
    <w:rsid w:val="4665733A"/>
    <w:rsid w:val="46802820"/>
    <w:rsid w:val="469519CD"/>
    <w:rsid w:val="46AE4FCD"/>
    <w:rsid w:val="46BE3ED9"/>
    <w:rsid w:val="46CF687D"/>
    <w:rsid w:val="470A3070"/>
    <w:rsid w:val="472965B9"/>
    <w:rsid w:val="47510979"/>
    <w:rsid w:val="475A075A"/>
    <w:rsid w:val="475F1FDB"/>
    <w:rsid w:val="476615BC"/>
    <w:rsid w:val="477F5E87"/>
    <w:rsid w:val="4780267D"/>
    <w:rsid w:val="478A5817"/>
    <w:rsid w:val="479E1742"/>
    <w:rsid w:val="47B03712"/>
    <w:rsid w:val="47D230AF"/>
    <w:rsid w:val="47EA3F9B"/>
    <w:rsid w:val="47EB386F"/>
    <w:rsid w:val="47FB7F56"/>
    <w:rsid w:val="480D78AF"/>
    <w:rsid w:val="482A083B"/>
    <w:rsid w:val="484D62D8"/>
    <w:rsid w:val="48584E60"/>
    <w:rsid w:val="485D651B"/>
    <w:rsid w:val="48636456"/>
    <w:rsid w:val="487400C0"/>
    <w:rsid w:val="487B1097"/>
    <w:rsid w:val="48BB6E3E"/>
    <w:rsid w:val="48C42A3E"/>
    <w:rsid w:val="48CC544E"/>
    <w:rsid w:val="48D013E2"/>
    <w:rsid w:val="48F03833"/>
    <w:rsid w:val="48F50E49"/>
    <w:rsid w:val="48FD0488"/>
    <w:rsid w:val="48FF75D2"/>
    <w:rsid w:val="490F11D2"/>
    <w:rsid w:val="492635A8"/>
    <w:rsid w:val="49382B0B"/>
    <w:rsid w:val="493A4AAE"/>
    <w:rsid w:val="496018F8"/>
    <w:rsid w:val="497203D3"/>
    <w:rsid w:val="497A301F"/>
    <w:rsid w:val="4981092F"/>
    <w:rsid w:val="498A0CD2"/>
    <w:rsid w:val="49990B33"/>
    <w:rsid w:val="49AC118D"/>
    <w:rsid w:val="49CD2E16"/>
    <w:rsid w:val="4A1C2405"/>
    <w:rsid w:val="4A541B9F"/>
    <w:rsid w:val="4A7364C9"/>
    <w:rsid w:val="4AAA17BF"/>
    <w:rsid w:val="4AB06269"/>
    <w:rsid w:val="4AD13DEF"/>
    <w:rsid w:val="4AD91BD8"/>
    <w:rsid w:val="4AE15A30"/>
    <w:rsid w:val="4AE87177"/>
    <w:rsid w:val="4AED6CAE"/>
    <w:rsid w:val="4B16293B"/>
    <w:rsid w:val="4B1D4687"/>
    <w:rsid w:val="4B410375"/>
    <w:rsid w:val="4B46273A"/>
    <w:rsid w:val="4B50680B"/>
    <w:rsid w:val="4BAD5577"/>
    <w:rsid w:val="4BB54906"/>
    <w:rsid w:val="4BC52D55"/>
    <w:rsid w:val="4BCE14DD"/>
    <w:rsid w:val="4BDD519F"/>
    <w:rsid w:val="4BE84170"/>
    <w:rsid w:val="4BF67F52"/>
    <w:rsid w:val="4C046768"/>
    <w:rsid w:val="4C154208"/>
    <w:rsid w:val="4C416153"/>
    <w:rsid w:val="4C455C43"/>
    <w:rsid w:val="4C463500"/>
    <w:rsid w:val="4C4D12EB"/>
    <w:rsid w:val="4C7521BC"/>
    <w:rsid w:val="4C7E56AC"/>
    <w:rsid w:val="4CB85941"/>
    <w:rsid w:val="4CCF213B"/>
    <w:rsid w:val="4CDD5E7C"/>
    <w:rsid w:val="4CF24A2D"/>
    <w:rsid w:val="4D0F1DAD"/>
    <w:rsid w:val="4D13189E"/>
    <w:rsid w:val="4D331F40"/>
    <w:rsid w:val="4D5679DC"/>
    <w:rsid w:val="4D6A348C"/>
    <w:rsid w:val="4D720CBA"/>
    <w:rsid w:val="4D907392"/>
    <w:rsid w:val="4DCA28A4"/>
    <w:rsid w:val="4DD51249"/>
    <w:rsid w:val="4DE4148C"/>
    <w:rsid w:val="4DF80A94"/>
    <w:rsid w:val="4E060D94"/>
    <w:rsid w:val="4E324D80"/>
    <w:rsid w:val="4E4071E9"/>
    <w:rsid w:val="4E6323B1"/>
    <w:rsid w:val="4E8D38D2"/>
    <w:rsid w:val="4E973879"/>
    <w:rsid w:val="4EB32BB1"/>
    <w:rsid w:val="4EB33338"/>
    <w:rsid w:val="4EDB6B18"/>
    <w:rsid w:val="4EED091D"/>
    <w:rsid w:val="4F032146"/>
    <w:rsid w:val="4F3501F1"/>
    <w:rsid w:val="4F4749F2"/>
    <w:rsid w:val="4F52193E"/>
    <w:rsid w:val="4F5D2DEA"/>
    <w:rsid w:val="4F740111"/>
    <w:rsid w:val="4F7505EE"/>
    <w:rsid w:val="4F917084"/>
    <w:rsid w:val="4F920D10"/>
    <w:rsid w:val="4FC7207C"/>
    <w:rsid w:val="50180E43"/>
    <w:rsid w:val="501E0C85"/>
    <w:rsid w:val="502B5150"/>
    <w:rsid w:val="502C350A"/>
    <w:rsid w:val="50354221"/>
    <w:rsid w:val="50406E4E"/>
    <w:rsid w:val="505154C5"/>
    <w:rsid w:val="505A526C"/>
    <w:rsid w:val="506A211C"/>
    <w:rsid w:val="50707E62"/>
    <w:rsid w:val="507C3E58"/>
    <w:rsid w:val="507D5B23"/>
    <w:rsid w:val="509176A9"/>
    <w:rsid w:val="50A11AE9"/>
    <w:rsid w:val="50C555A5"/>
    <w:rsid w:val="50CE3FE9"/>
    <w:rsid w:val="50ED71CE"/>
    <w:rsid w:val="50FD2506"/>
    <w:rsid w:val="51261C06"/>
    <w:rsid w:val="51470B9B"/>
    <w:rsid w:val="514C537E"/>
    <w:rsid w:val="515661FD"/>
    <w:rsid w:val="51707CEC"/>
    <w:rsid w:val="51805883"/>
    <w:rsid w:val="51A90A23"/>
    <w:rsid w:val="51AB479B"/>
    <w:rsid w:val="51B00003"/>
    <w:rsid w:val="51B80C66"/>
    <w:rsid w:val="51C4585C"/>
    <w:rsid w:val="51E15477"/>
    <w:rsid w:val="51EE6435"/>
    <w:rsid w:val="51F20A6D"/>
    <w:rsid w:val="51F5426B"/>
    <w:rsid w:val="522E7EFC"/>
    <w:rsid w:val="52326C6A"/>
    <w:rsid w:val="523C1897"/>
    <w:rsid w:val="524476A1"/>
    <w:rsid w:val="524D2485"/>
    <w:rsid w:val="5253273C"/>
    <w:rsid w:val="52756B57"/>
    <w:rsid w:val="527B7CB1"/>
    <w:rsid w:val="528B4717"/>
    <w:rsid w:val="5294522F"/>
    <w:rsid w:val="52AE36CD"/>
    <w:rsid w:val="52B7305D"/>
    <w:rsid w:val="52BF25C5"/>
    <w:rsid w:val="52CD5A82"/>
    <w:rsid w:val="52D679BA"/>
    <w:rsid w:val="52DE69B8"/>
    <w:rsid w:val="52F263F9"/>
    <w:rsid w:val="52FC2DD4"/>
    <w:rsid w:val="531B5950"/>
    <w:rsid w:val="53334A48"/>
    <w:rsid w:val="533B6D64"/>
    <w:rsid w:val="53506FE8"/>
    <w:rsid w:val="53547912"/>
    <w:rsid w:val="535E7B3D"/>
    <w:rsid w:val="53634C01"/>
    <w:rsid w:val="53CC27A6"/>
    <w:rsid w:val="53DF24DA"/>
    <w:rsid w:val="53F7174D"/>
    <w:rsid w:val="54071A30"/>
    <w:rsid w:val="54092554"/>
    <w:rsid w:val="54183C3E"/>
    <w:rsid w:val="54352A41"/>
    <w:rsid w:val="54374168"/>
    <w:rsid w:val="545C05AB"/>
    <w:rsid w:val="54600565"/>
    <w:rsid w:val="546A514F"/>
    <w:rsid w:val="54854E09"/>
    <w:rsid w:val="549F3971"/>
    <w:rsid w:val="550003BB"/>
    <w:rsid w:val="55067F3A"/>
    <w:rsid w:val="55214D74"/>
    <w:rsid w:val="5540344C"/>
    <w:rsid w:val="5577342A"/>
    <w:rsid w:val="5597315A"/>
    <w:rsid w:val="55AA2FBB"/>
    <w:rsid w:val="55AA3786"/>
    <w:rsid w:val="55F14746"/>
    <w:rsid w:val="55FF000F"/>
    <w:rsid w:val="5616081F"/>
    <w:rsid w:val="562C3D8B"/>
    <w:rsid w:val="56306DFD"/>
    <w:rsid w:val="567027B9"/>
    <w:rsid w:val="567F7FA4"/>
    <w:rsid w:val="568A30CF"/>
    <w:rsid w:val="56951575"/>
    <w:rsid w:val="56A060E2"/>
    <w:rsid w:val="56A703F5"/>
    <w:rsid w:val="56AD1458"/>
    <w:rsid w:val="56B75990"/>
    <w:rsid w:val="56F0330A"/>
    <w:rsid w:val="573174F0"/>
    <w:rsid w:val="576D4B15"/>
    <w:rsid w:val="577F292A"/>
    <w:rsid w:val="579932E7"/>
    <w:rsid w:val="57F168B3"/>
    <w:rsid w:val="57F624E8"/>
    <w:rsid w:val="581B21ED"/>
    <w:rsid w:val="58403763"/>
    <w:rsid w:val="58472D43"/>
    <w:rsid w:val="58724BB1"/>
    <w:rsid w:val="58816255"/>
    <w:rsid w:val="588C69A8"/>
    <w:rsid w:val="5898359F"/>
    <w:rsid w:val="589D1F31"/>
    <w:rsid w:val="58A40196"/>
    <w:rsid w:val="58AB5080"/>
    <w:rsid w:val="58D77C23"/>
    <w:rsid w:val="58FA41A0"/>
    <w:rsid w:val="59012EF2"/>
    <w:rsid w:val="591C5F7E"/>
    <w:rsid w:val="592875B7"/>
    <w:rsid w:val="593257A1"/>
    <w:rsid w:val="594F6875"/>
    <w:rsid w:val="595F64B7"/>
    <w:rsid w:val="596C0CB3"/>
    <w:rsid w:val="597E4619"/>
    <w:rsid w:val="59AC7F73"/>
    <w:rsid w:val="59B148AF"/>
    <w:rsid w:val="59B25BE0"/>
    <w:rsid w:val="59C53F20"/>
    <w:rsid w:val="59CF797A"/>
    <w:rsid w:val="59D45757"/>
    <w:rsid w:val="59EF64F9"/>
    <w:rsid w:val="59F37462"/>
    <w:rsid w:val="59F77417"/>
    <w:rsid w:val="5A343D86"/>
    <w:rsid w:val="5A442BAF"/>
    <w:rsid w:val="5A451CAB"/>
    <w:rsid w:val="5A5F1464"/>
    <w:rsid w:val="5A7B189D"/>
    <w:rsid w:val="5AC56C20"/>
    <w:rsid w:val="5AEC4941"/>
    <w:rsid w:val="5AEC7BC3"/>
    <w:rsid w:val="5AEE74A6"/>
    <w:rsid w:val="5AF97550"/>
    <w:rsid w:val="5AF97CCF"/>
    <w:rsid w:val="5AFF3461"/>
    <w:rsid w:val="5B1A3096"/>
    <w:rsid w:val="5B1C4745"/>
    <w:rsid w:val="5B215ACE"/>
    <w:rsid w:val="5B85605C"/>
    <w:rsid w:val="5B904C74"/>
    <w:rsid w:val="5B913692"/>
    <w:rsid w:val="5BA32A2D"/>
    <w:rsid w:val="5BA81708"/>
    <w:rsid w:val="5BAD110F"/>
    <w:rsid w:val="5BBD6200"/>
    <w:rsid w:val="5BE2525D"/>
    <w:rsid w:val="5C1024E9"/>
    <w:rsid w:val="5C433A29"/>
    <w:rsid w:val="5C454955"/>
    <w:rsid w:val="5C4750C0"/>
    <w:rsid w:val="5C5B6DBD"/>
    <w:rsid w:val="5C6E4D42"/>
    <w:rsid w:val="5C734529"/>
    <w:rsid w:val="5C871960"/>
    <w:rsid w:val="5CA069BF"/>
    <w:rsid w:val="5CC108A4"/>
    <w:rsid w:val="5CC2508E"/>
    <w:rsid w:val="5CCE57E1"/>
    <w:rsid w:val="5CDF3DD1"/>
    <w:rsid w:val="5CEE378D"/>
    <w:rsid w:val="5CF455D9"/>
    <w:rsid w:val="5D011713"/>
    <w:rsid w:val="5D0D6309"/>
    <w:rsid w:val="5D114909"/>
    <w:rsid w:val="5D137698"/>
    <w:rsid w:val="5D1A0739"/>
    <w:rsid w:val="5D5E6B65"/>
    <w:rsid w:val="5D702034"/>
    <w:rsid w:val="5D774C0D"/>
    <w:rsid w:val="5D780C0D"/>
    <w:rsid w:val="5D8130C8"/>
    <w:rsid w:val="5D8458C2"/>
    <w:rsid w:val="5D860332"/>
    <w:rsid w:val="5D902A97"/>
    <w:rsid w:val="5D91100B"/>
    <w:rsid w:val="5DB76275"/>
    <w:rsid w:val="5DEC23C3"/>
    <w:rsid w:val="5DFE5C52"/>
    <w:rsid w:val="5E007C1C"/>
    <w:rsid w:val="5E023994"/>
    <w:rsid w:val="5E1D07CE"/>
    <w:rsid w:val="5E306A83"/>
    <w:rsid w:val="5E4A0E97"/>
    <w:rsid w:val="5E4C4C10"/>
    <w:rsid w:val="5E5D506F"/>
    <w:rsid w:val="5E653F23"/>
    <w:rsid w:val="5E6C25F9"/>
    <w:rsid w:val="5E7303EE"/>
    <w:rsid w:val="5EAE58CA"/>
    <w:rsid w:val="5EDD2E98"/>
    <w:rsid w:val="5EF86023"/>
    <w:rsid w:val="5F04373C"/>
    <w:rsid w:val="5F064350"/>
    <w:rsid w:val="5F49114F"/>
    <w:rsid w:val="5F4A46E7"/>
    <w:rsid w:val="5F5C7F1C"/>
    <w:rsid w:val="5F5D2E4C"/>
    <w:rsid w:val="5F6B3399"/>
    <w:rsid w:val="5F8C3596"/>
    <w:rsid w:val="5FC07328"/>
    <w:rsid w:val="5FC57858"/>
    <w:rsid w:val="5FC666B6"/>
    <w:rsid w:val="5FD255E8"/>
    <w:rsid w:val="5FE175D9"/>
    <w:rsid w:val="5FE26E43"/>
    <w:rsid w:val="5FE971FC"/>
    <w:rsid w:val="5FF7504F"/>
    <w:rsid w:val="60037408"/>
    <w:rsid w:val="60326810"/>
    <w:rsid w:val="6042276E"/>
    <w:rsid w:val="6054424F"/>
    <w:rsid w:val="60730B79"/>
    <w:rsid w:val="60735A63"/>
    <w:rsid w:val="608F5EAE"/>
    <w:rsid w:val="60986215"/>
    <w:rsid w:val="60AE1BB1"/>
    <w:rsid w:val="60B60A66"/>
    <w:rsid w:val="60C2565D"/>
    <w:rsid w:val="60CC3BCF"/>
    <w:rsid w:val="60D378F4"/>
    <w:rsid w:val="60E1212F"/>
    <w:rsid w:val="60E67F48"/>
    <w:rsid w:val="61306A6A"/>
    <w:rsid w:val="613100ED"/>
    <w:rsid w:val="613320B7"/>
    <w:rsid w:val="61436FDD"/>
    <w:rsid w:val="61722C6A"/>
    <w:rsid w:val="61900313"/>
    <w:rsid w:val="619D4D50"/>
    <w:rsid w:val="61A90864"/>
    <w:rsid w:val="61BD7BD2"/>
    <w:rsid w:val="61CE01A9"/>
    <w:rsid w:val="61D92C5E"/>
    <w:rsid w:val="61E12AA5"/>
    <w:rsid w:val="61ED04B8"/>
    <w:rsid w:val="6208709F"/>
    <w:rsid w:val="622A170C"/>
    <w:rsid w:val="62402CDD"/>
    <w:rsid w:val="62516C98"/>
    <w:rsid w:val="62531019"/>
    <w:rsid w:val="625422E5"/>
    <w:rsid w:val="626A5FAC"/>
    <w:rsid w:val="627E7362"/>
    <w:rsid w:val="629152E7"/>
    <w:rsid w:val="62A3501A"/>
    <w:rsid w:val="62B7789F"/>
    <w:rsid w:val="6300421A"/>
    <w:rsid w:val="631E0669"/>
    <w:rsid w:val="632443AD"/>
    <w:rsid w:val="63316ACA"/>
    <w:rsid w:val="633609DD"/>
    <w:rsid w:val="6392752D"/>
    <w:rsid w:val="63A92704"/>
    <w:rsid w:val="63AB062A"/>
    <w:rsid w:val="63D429C5"/>
    <w:rsid w:val="640370E7"/>
    <w:rsid w:val="64561700"/>
    <w:rsid w:val="64A9500D"/>
    <w:rsid w:val="64D140C0"/>
    <w:rsid w:val="64DC3A26"/>
    <w:rsid w:val="64DF4A2F"/>
    <w:rsid w:val="64EE4C72"/>
    <w:rsid w:val="65133CF0"/>
    <w:rsid w:val="6528582B"/>
    <w:rsid w:val="65423AF9"/>
    <w:rsid w:val="654F4FE5"/>
    <w:rsid w:val="655F16CC"/>
    <w:rsid w:val="65660CAD"/>
    <w:rsid w:val="657A24C2"/>
    <w:rsid w:val="65801643"/>
    <w:rsid w:val="65907AD8"/>
    <w:rsid w:val="659832B3"/>
    <w:rsid w:val="65A22D82"/>
    <w:rsid w:val="65DD6A95"/>
    <w:rsid w:val="65F12C05"/>
    <w:rsid w:val="660E6C4E"/>
    <w:rsid w:val="66136B15"/>
    <w:rsid w:val="662C66AE"/>
    <w:rsid w:val="6635067F"/>
    <w:rsid w:val="66456B14"/>
    <w:rsid w:val="6659611C"/>
    <w:rsid w:val="666A0329"/>
    <w:rsid w:val="668F2025"/>
    <w:rsid w:val="669F27A2"/>
    <w:rsid w:val="66B21CD0"/>
    <w:rsid w:val="66F531E4"/>
    <w:rsid w:val="66FE3167"/>
    <w:rsid w:val="67136C12"/>
    <w:rsid w:val="673C4818"/>
    <w:rsid w:val="678371C8"/>
    <w:rsid w:val="67A37557"/>
    <w:rsid w:val="67B310E9"/>
    <w:rsid w:val="67C75F60"/>
    <w:rsid w:val="67DF62C5"/>
    <w:rsid w:val="67F33C0A"/>
    <w:rsid w:val="67F72090"/>
    <w:rsid w:val="67FA0C0D"/>
    <w:rsid w:val="6806310C"/>
    <w:rsid w:val="680728F1"/>
    <w:rsid w:val="68242739"/>
    <w:rsid w:val="684150B9"/>
    <w:rsid w:val="684336BF"/>
    <w:rsid w:val="684921C0"/>
    <w:rsid w:val="684F6624"/>
    <w:rsid w:val="68802085"/>
    <w:rsid w:val="68994644"/>
    <w:rsid w:val="689C5636"/>
    <w:rsid w:val="68B63CA8"/>
    <w:rsid w:val="68BE495C"/>
    <w:rsid w:val="68BF2482"/>
    <w:rsid w:val="68C65659"/>
    <w:rsid w:val="68CB1734"/>
    <w:rsid w:val="68CF4C2F"/>
    <w:rsid w:val="68CF6B69"/>
    <w:rsid w:val="69074555"/>
    <w:rsid w:val="690C1B6B"/>
    <w:rsid w:val="692549DB"/>
    <w:rsid w:val="692A0243"/>
    <w:rsid w:val="69392234"/>
    <w:rsid w:val="694F3806"/>
    <w:rsid w:val="69524E67"/>
    <w:rsid w:val="69572197"/>
    <w:rsid w:val="695849A2"/>
    <w:rsid w:val="696574CD"/>
    <w:rsid w:val="698A494F"/>
    <w:rsid w:val="698C2CAC"/>
    <w:rsid w:val="698E7094"/>
    <w:rsid w:val="69A61DA9"/>
    <w:rsid w:val="69B664CA"/>
    <w:rsid w:val="69F15ED0"/>
    <w:rsid w:val="69F50851"/>
    <w:rsid w:val="69F85C4B"/>
    <w:rsid w:val="6A015326"/>
    <w:rsid w:val="6A31115D"/>
    <w:rsid w:val="6A363F9F"/>
    <w:rsid w:val="6A3C4B9D"/>
    <w:rsid w:val="6A6F45B9"/>
    <w:rsid w:val="6A701C86"/>
    <w:rsid w:val="6A9D3524"/>
    <w:rsid w:val="6AAB7162"/>
    <w:rsid w:val="6AAE27AE"/>
    <w:rsid w:val="6ABC3D62"/>
    <w:rsid w:val="6AD810E8"/>
    <w:rsid w:val="6ADA7A69"/>
    <w:rsid w:val="6B4814CB"/>
    <w:rsid w:val="6B513865"/>
    <w:rsid w:val="6B882FFF"/>
    <w:rsid w:val="6BAC3191"/>
    <w:rsid w:val="6BCC55E2"/>
    <w:rsid w:val="6BF0165A"/>
    <w:rsid w:val="6C050AAF"/>
    <w:rsid w:val="6C0D188D"/>
    <w:rsid w:val="6C133210"/>
    <w:rsid w:val="6C187DC2"/>
    <w:rsid w:val="6C3C7072"/>
    <w:rsid w:val="6C44161C"/>
    <w:rsid w:val="6C5848CA"/>
    <w:rsid w:val="6C6D0B73"/>
    <w:rsid w:val="6C81461E"/>
    <w:rsid w:val="6C8205E5"/>
    <w:rsid w:val="6C837987"/>
    <w:rsid w:val="6C84208D"/>
    <w:rsid w:val="6CB85085"/>
    <w:rsid w:val="6CB87914"/>
    <w:rsid w:val="6CC60283"/>
    <w:rsid w:val="6CC8083F"/>
    <w:rsid w:val="6CC91B21"/>
    <w:rsid w:val="6CCC3665"/>
    <w:rsid w:val="6D034D91"/>
    <w:rsid w:val="6D4573FA"/>
    <w:rsid w:val="6D4A3142"/>
    <w:rsid w:val="6D4B191B"/>
    <w:rsid w:val="6D5238C5"/>
    <w:rsid w:val="6D601880"/>
    <w:rsid w:val="6D7B72BF"/>
    <w:rsid w:val="6DBD1686"/>
    <w:rsid w:val="6DC65F58"/>
    <w:rsid w:val="6DCC7B1B"/>
    <w:rsid w:val="6DD4443F"/>
    <w:rsid w:val="6E0E5A3E"/>
    <w:rsid w:val="6E112F12"/>
    <w:rsid w:val="6E1374F8"/>
    <w:rsid w:val="6E294AAE"/>
    <w:rsid w:val="6E2A65EF"/>
    <w:rsid w:val="6E4A5F9F"/>
    <w:rsid w:val="6E5024FA"/>
    <w:rsid w:val="6E510020"/>
    <w:rsid w:val="6E5F44EB"/>
    <w:rsid w:val="6E7004A6"/>
    <w:rsid w:val="6E8F7367"/>
    <w:rsid w:val="6E922B12"/>
    <w:rsid w:val="6EB244BC"/>
    <w:rsid w:val="6EF413C0"/>
    <w:rsid w:val="6F371102"/>
    <w:rsid w:val="6F420F7E"/>
    <w:rsid w:val="6F476CB4"/>
    <w:rsid w:val="6F5232DB"/>
    <w:rsid w:val="6F5E59CD"/>
    <w:rsid w:val="6F6F075E"/>
    <w:rsid w:val="6F7F6FA2"/>
    <w:rsid w:val="6F991C7F"/>
    <w:rsid w:val="6FAF4892"/>
    <w:rsid w:val="6FE27182"/>
    <w:rsid w:val="6FF00E32"/>
    <w:rsid w:val="6FF11ABB"/>
    <w:rsid w:val="6FF3138F"/>
    <w:rsid w:val="70020127"/>
    <w:rsid w:val="700510C2"/>
    <w:rsid w:val="701557A9"/>
    <w:rsid w:val="70180BB4"/>
    <w:rsid w:val="702459EC"/>
    <w:rsid w:val="70384CF8"/>
    <w:rsid w:val="70531E2E"/>
    <w:rsid w:val="70875F7B"/>
    <w:rsid w:val="70B11BB2"/>
    <w:rsid w:val="70B30B1E"/>
    <w:rsid w:val="70BC118D"/>
    <w:rsid w:val="70D867D7"/>
    <w:rsid w:val="71021CF7"/>
    <w:rsid w:val="711E6759"/>
    <w:rsid w:val="712810C8"/>
    <w:rsid w:val="712A0F06"/>
    <w:rsid w:val="713A428B"/>
    <w:rsid w:val="71772444"/>
    <w:rsid w:val="71791D68"/>
    <w:rsid w:val="717C53B4"/>
    <w:rsid w:val="71B12969"/>
    <w:rsid w:val="71B66B18"/>
    <w:rsid w:val="71C524C2"/>
    <w:rsid w:val="71C57564"/>
    <w:rsid w:val="71FB5ABE"/>
    <w:rsid w:val="723914F7"/>
    <w:rsid w:val="72522079"/>
    <w:rsid w:val="726F7D31"/>
    <w:rsid w:val="727662A7"/>
    <w:rsid w:val="727E6F0A"/>
    <w:rsid w:val="72824C4C"/>
    <w:rsid w:val="72850298"/>
    <w:rsid w:val="72860F65"/>
    <w:rsid w:val="72E37031"/>
    <w:rsid w:val="72EB27F1"/>
    <w:rsid w:val="72ED733B"/>
    <w:rsid w:val="73041B05"/>
    <w:rsid w:val="73082C48"/>
    <w:rsid w:val="731A30D6"/>
    <w:rsid w:val="731B7663"/>
    <w:rsid w:val="7330175C"/>
    <w:rsid w:val="73345EAC"/>
    <w:rsid w:val="735749ED"/>
    <w:rsid w:val="7366593F"/>
    <w:rsid w:val="73724E87"/>
    <w:rsid w:val="737C74E5"/>
    <w:rsid w:val="73A75EB7"/>
    <w:rsid w:val="73B057E9"/>
    <w:rsid w:val="73CC2623"/>
    <w:rsid w:val="7423420D"/>
    <w:rsid w:val="742B5701"/>
    <w:rsid w:val="74542618"/>
    <w:rsid w:val="745F158A"/>
    <w:rsid w:val="74704884"/>
    <w:rsid w:val="7472484C"/>
    <w:rsid w:val="74801852"/>
    <w:rsid w:val="74852880"/>
    <w:rsid w:val="749B1FF5"/>
    <w:rsid w:val="74A83279"/>
    <w:rsid w:val="74AF5AA0"/>
    <w:rsid w:val="74B60BDD"/>
    <w:rsid w:val="74B904C4"/>
    <w:rsid w:val="74BC2151"/>
    <w:rsid w:val="74C5589B"/>
    <w:rsid w:val="74C74B98"/>
    <w:rsid w:val="74F369D7"/>
    <w:rsid w:val="752B3379"/>
    <w:rsid w:val="753366D1"/>
    <w:rsid w:val="754458F8"/>
    <w:rsid w:val="754B7577"/>
    <w:rsid w:val="755222E7"/>
    <w:rsid w:val="755C34F3"/>
    <w:rsid w:val="75602B58"/>
    <w:rsid w:val="75765F3C"/>
    <w:rsid w:val="7577627A"/>
    <w:rsid w:val="757A4300"/>
    <w:rsid w:val="757F5473"/>
    <w:rsid w:val="75834F63"/>
    <w:rsid w:val="758D5DE2"/>
    <w:rsid w:val="758F6705"/>
    <w:rsid w:val="7590142E"/>
    <w:rsid w:val="7591618F"/>
    <w:rsid w:val="75A5137D"/>
    <w:rsid w:val="75B275F6"/>
    <w:rsid w:val="75D831EF"/>
    <w:rsid w:val="75D92DD5"/>
    <w:rsid w:val="75F86F37"/>
    <w:rsid w:val="76271F22"/>
    <w:rsid w:val="762B1157"/>
    <w:rsid w:val="764A5A81"/>
    <w:rsid w:val="764D6070"/>
    <w:rsid w:val="765D3A06"/>
    <w:rsid w:val="76724FD8"/>
    <w:rsid w:val="7682346D"/>
    <w:rsid w:val="768F16E6"/>
    <w:rsid w:val="76903064"/>
    <w:rsid w:val="76960CC6"/>
    <w:rsid w:val="76A2766B"/>
    <w:rsid w:val="76DF08BF"/>
    <w:rsid w:val="76EF40BB"/>
    <w:rsid w:val="76F15606"/>
    <w:rsid w:val="77047A37"/>
    <w:rsid w:val="770A5210"/>
    <w:rsid w:val="77260CAD"/>
    <w:rsid w:val="77261019"/>
    <w:rsid w:val="77530965"/>
    <w:rsid w:val="7769462C"/>
    <w:rsid w:val="77701517"/>
    <w:rsid w:val="777767C6"/>
    <w:rsid w:val="779372BC"/>
    <w:rsid w:val="77986793"/>
    <w:rsid w:val="77AB07A1"/>
    <w:rsid w:val="77DA2E34"/>
    <w:rsid w:val="77DE46D3"/>
    <w:rsid w:val="77F305DD"/>
    <w:rsid w:val="781B5927"/>
    <w:rsid w:val="784A7FBA"/>
    <w:rsid w:val="78623556"/>
    <w:rsid w:val="78724169"/>
    <w:rsid w:val="7879089F"/>
    <w:rsid w:val="78886D34"/>
    <w:rsid w:val="78963756"/>
    <w:rsid w:val="789D230A"/>
    <w:rsid w:val="78A91184"/>
    <w:rsid w:val="78C80EDF"/>
    <w:rsid w:val="78F07FCB"/>
    <w:rsid w:val="79020895"/>
    <w:rsid w:val="792321E3"/>
    <w:rsid w:val="79312F28"/>
    <w:rsid w:val="793F3897"/>
    <w:rsid w:val="794112FB"/>
    <w:rsid w:val="7947274B"/>
    <w:rsid w:val="79530D80"/>
    <w:rsid w:val="79770ED8"/>
    <w:rsid w:val="7997722F"/>
    <w:rsid w:val="79A96775"/>
    <w:rsid w:val="79B55907"/>
    <w:rsid w:val="79E30EE8"/>
    <w:rsid w:val="79F90DDC"/>
    <w:rsid w:val="7A0E1186"/>
    <w:rsid w:val="7A116B24"/>
    <w:rsid w:val="7A1176DD"/>
    <w:rsid w:val="7A3A629B"/>
    <w:rsid w:val="7A3C7DD6"/>
    <w:rsid w:val="7A633AFF"/>
    <w:rsid w:val="7A681753"/>
    <w:rsid w:val="7A763BE4"/>
    <w:rsid w:val="7A7E0416"/>
    <w:rsid w:val="7AA03EC1"/>
    <w:rsid w:val="7AB46A2B"/>
    <w:rsid w:val="7ACE7F51"/>
    <w:rsid w:val="7AFE32AF"/>
    <w:rsid w:val="7AFE6E3A"/>
    <w:rsid w:val="7B263617"/>
    <w:rsid w:val="7B30793B"/>
    <w:rsid w:val="7B340AAD"/>
    <w:rsid w:val="7B346CFF"/>
    <w:rsid w:val="7B347F19"/>
    <w:rsid w:val="7B357DED"/>
    <w:rsid w:val="7B3D3E06"/>
    <w:rsid w:val="7B6B0973"/>
    <w:rsid w:val="7B751A9B"/>
    <w:rsid w:val="7B782B94"/>
    <w:rsid w:val="7B8C2698"/>
    <w:rsid w:val="7B8E6410"/>
    <w:rsid w:val="7BAD6D4A"/>
    <w:rsid w:val="7BAE260E"/>
    <w:rsid w:val="7BC934AC"/>
    <w:rsid w:val="7BCA7521"/>
    <w:rsid w:val="7BEB3862"/>
    <w:rsid w:val="7BF9219C"/>
    <w:rsid w:val="7BFB73F9"/>
    <w:rsid w:val="7C0B4055"/>
    <w:rsid w:val="7C3639F5"/>
    <w:rsid w:val="7C3B2B56"/>
    <w:rsid w:val="7C604075"/>
    <w:rsid w:val="7C635AEE"/>
    <w:rsid w:val="7C7508CA"/>
    <w:rsid w:val="7C9E7ACF"/>
    <w:rsid w:val="7CA53D99"/>
    <w:rsid w:val="7CB93960"/>
    <w:rsid w:val="7CCA3477"/>
    <w:rsid w:val="7CCF6CE0"/>
    <w:rsid w:val="7CE34539"/>
    <w:rsid w:val="7D126BCC"/>
    <w:rsid w:val="7D4667CC"/>
    <w:rsid w:val="7D4F7E21"/>
    <w:rsid w:val="7D781125"/>
    <w:rsid w:val="7D935F5F"/>
    <w:rsid w:val="7DC26924"/>
    <w:rsid w:val="7DEE7CF5"/>
    <w:rsid w:val="7E0155BF"/>
    <w:rsid w:val="7E024E93"/>
    <w:rsid w:val="7E244C0C"/>
    <w:rsid w:val="7E25004A"/>
    <w:rsid w:val="7E503E50"/>
    <w:rsid w:val="7E8048BA"/>
    <w:rsid w:val="7EAB1087"/>
    <w:rsid w:val="7EAC4917"/>
    <w:rsid w:val="7EAE136F"/>
    <w:rsid w:val="7EBB5815"/>
    <w:rsid w:val="7EE04732"/>
    <w:rsid w:val="7EE87368"/>
    <w:rsid w:val="7EEB6C45"/>
    <w:rsid w:val="7F0C69B3"/>
    <w:rsid w:val="7F565889"/>
    <w:rsid w:val="7F673200"/>
    <w:rsid w:val="7FB83A5B"/>
    <w:rsid w:val="7FE17456"/>
    <w:rsid w:val="7FFA2B7C"/>
    <w:rsid w:val="7FFF168A"/>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等线" w:eastAsia="等线" w:hAnsi="等线" w:cs="Times New Roman"/>
      <w:kern w:val="2"/>
      <w:sz w:val="21"/>
      <w:szCs w:val="22"/>
      <w:lang w:val="en-US" w:eastAsia="zh-CN" w:bidi="ar-SA"/>
    </w:rPr>
  </w:style>
  <w:style w:type="paragraph" w:styleId="Heading1">
    <w:name w:val="heading 1"/>
    <w:basedOn w:val="Normal"/>
    <w:next w:val="Normal"/>
    <w:autoRedefine/>
    <w:uiPriority w:val="99"/>
    <w:qFormat/>
    <w:pPr>
      <w:keepNext/>
      <w:keepLines/>
      <w:spacing w:before="340" w:after="330" w:line="578" w:lineRule="auto"/>
      <w:outlineLvl w:val="0"/>
    </w:pPr>
    <w:rPr>
      <w:b/>
      <w:bCs/>
      <w:kern w:val="44"/>
      <w:sz w:val="28"/>
      <w:szCs w:val="28"/>
    </w:rPr>
  </w:style>
  <w:style w:type="paragraph" w:styleId="Heading2">
    <w:name w:val="heading 2"/>
    <w:basedOn w:val="Normal"/>
    <w:next w:val="Normal"/>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autoRedefine/>
    <w:uiPriority w:val="9"/>
    <w:qFormat/>
    <w:pPr>
      <w:spacing w:before="100" w:beforeAutospacing="1" w:after="100" w:afterAutospacing="1"/>
      <w:jc w:val="left"/>
      <w:outlineLvl w:val="2"/>
    </w:pPr>
    <w:rPr>
      <w:rFonts w:ascii="宋体" w:eastAsia="宋体" w:hAnsi="宋体" w:cs="宋体" w:hint="eastAsia"/>
      <w:b/>
      <w:kern w:val="0"/>
      <w:sz w:val="27"/>
      <w:szCs w:val="27"/>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autoRedefine/>
    <w:uiPriority w:val="99"/>
    <w:unhideWhenUsed/>
    <w:qFormat/>
    <w:pPr>
      <w:jc w:val="left"/>
    </w:pPr>
  </w:style>
  <w:style w:type="paragraph" w:styleId="BodyText">
    <w:name w:val="Body Text"/>
    <w:basedOn w:val="Normal"/>
    <w:link w:val="Char1"/>
    <w:autoRedefine/>
    <w:uiPriority w:val="1"/>
    <w:qFormat/>
    <w:rPr>
      <w:rFonts w:ascii="宋体" w:eastAsia="宋体" w:hAnsi="宋体" w:cs="宋体"/>
      <w:szCs w:val="21"/>
      <w:lang w:val="zh-CN" w:bidi="zh-CN"/>
    </w:rPr>
  </w:style>
  <w:style w:type="paragraph" w:styleId="TOC3">
    <w:name w:val="toc 3"/>
    <w:basedOn w:val="Normal"/>
    <w:next w:val="Normal"/>
    <w:autoRedefine/>
    <w:uiPriority w:val="39"/>
    <w:semiHidden/>
    <w:unhideWhenUsed/>
    <w:qFormat/>
    <w:pPr>
      <w:ind w:left="840" w:leftChars="400"/>
    </w:pPr>
  </w:style>
  <w:style w:type="paragraph" w:styleId="BalloonText">
    <w:name w:val="Balloon Text"/>
    <w:basedOn w:val="Normal"/>
    <w:link w:val="Char2"/>
    <w:autoRedefine/>
    <w:uiPriority w:val="99"/>
    <w:semiHidden/>
    <w:unhideWhenUsed/>
    <w:qFormat/>
    <w:rPr>
      <w:sz w:val="18"/>
      <w:szCs w:val="18"/>
    </w:rPr>
  </w:style>
  <w:style w:type="paragraph" w:styleId="Footer">
    <w:name w:val="footer"/>
    <w:basedOn w:val="Normal"/>
    <w:link w:val="Char"/>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semiHidden/>
    <w:unhideWhenUsed/>
    <w:qFormat/>
  </w:style>
  <w:style w:type="paragraph" w:styleId="TOC2">
    <w:name w:val="toc 2"/>
    <w:basedOn w:val="Normal"/>
    <w:next w:val="Normal"/>
    <w:autoRedefine/>
    <w:uiPriority w:val="39"/>
    <w:semiHidden/>
    <w:unhideWhenUsed/>
    <w:qFormat/>
    <w:pPr>
      <w:ind w:left="420" w:leftChars="200"/>
    </w:pPr>
  </w:style>
  <w:style w:type="paragraph" w:styleId="NormalWeb">
    <w:name w:val="Normal (Web)"/>
    <w:basedOn w:val="Normal"/>
    <w:autoRedefine/>
    <w:qFormat/>
    <w:pPr>
      <w:widowControl/>
      <w:spacing w:before="100" w:beforeAutospacing="1" w:after="100" w:afterAutospacing="1"/>
      <w:ind w:firstLine="200" w:firstLineChars="200"/>
      <w:jc w:val="left"/>
    </w:pPr>
    <w:rPr>
      <w:rFonts w:ascii="宋体" w:hAnsi="宋体" w:cs="宋体"/>
      <w:kern w:val="0"/>
      <w:sz w:val="24"/>
    </w:rPr>
  </w:style>
  <w:style w:type="table" w:styleId="TableGrid">
    <w:name w:val="Table Grid"/>
    <w:basedOn w:val="TableNormal"/>
    <w:autoRedefine/>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uiPriority w:val="22"/>
    <w:qFormat/>
    <w:rPr>
      <w:b/>
      <w:bCs/>
    </w:rPr>
  </w:style>
  <w:style w:type="character" w:styleId="Emphasis">
    <w:name w:val="Emphasis"/>
    <w:basedOn w:val="DefaultParagraphFont"/>
    <w:autoRedefine/>
    <w:uiPriority w:val="20"/>
    <w:qFormat/>
    <w:rPr>
      <w:i/>
      <w:iCs/>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脚 Char"/>
    <w:basedOn w:val="DefaultParagraphFont"/>
    <w:link w:val="Footer"/>
    <w:autoRedefine/>
    <w:uiPriority w:val="99"/>
    <w:qFormat/>
    <w:rPr>
      <w:sz w:val="18"/>
      <w:szCs w:val="18"/>
    </w:rPr>
  </w:style>
  <w:style w:type="character" w:customStyle="1" w:styleId="Char0">
    <w:name w:val="页眉 Char"/>
    <w:basedOn w:val="DefaultParagraphFont"/>
    <w:link w:val="Header"/>
    <w:autoRedefine/>
    <w:uiPriority w:val="99"/>
    <w:qFormat/>
    <w:rPr>
      <w:sz w:val="18"/>
      <w:szCs w:val="18"/>
    </w:rPr>
  </w:style>
  <w:style w:type="character" w:customStyle="1" w:styleId="font31">
    <w:name w:val="font31"/>
    <w:basedOn w:val="DefaultParagraphFont"/>
    <w:autoRedefine/>
    <w:qFormat/>
    <w:rPr>
      <w:rFonts w:ascii="宋体" w:eastAsia="宋体" w:hAnsi="宋体" w:cs="宋体" w:hint="eastAsia"/>
      <w:color w:val="000000"/>
      <w:sz w:val="22"/>
      <w:szCs w:val="22"/>
      <w:u w:val="none"/>
    </w:rPr>
  </w:style>
  <w:style w:type="character" w:customStyle="1" w:styleId="fontstyle01">
    <w:name w:val="fontstyle01"/>
    <w:basedOn w:val="DefaultParagraphFont"/>
    <w:autoRedefine/>
    <w:qFormat/>
    <w:rPr>
      <w:rFonts w:ascii="黑体" w:eastAsia="黑体" w:hAnsi="宋体" w:cs="黑体"/>
      <w:color w:val="000000"/>
      <w:sz w:val="20"/>
      <w:szCs w:val="20"/>
    </w:rPr>
  </w:style>
  <w:style w:type="character" w:customStyle="1" w:styleId="font01">
    <w:name w:val="font01"/>
    <w:basedOn w:val="DefaultParagraphFont"/>
    <w:autoRedefine/>
    <w:qFormat/>
    <w:rPr>
      <w:rFonts w:ascii="宋体" w:eastAsia="宋体" w:hAnsi="宋体" w:cs="宋体" w:hint="eastAsia"/>
      <w:color w:val="000000"/>
      <w:sz w:val="24"/>
      <w:szCs w:val="24"/>
      <w:u w:val="none"/>
    </w:rPr>
  </w:style>
  <w:style w:type="character" w:customStyle="1" w:styleId="font21">
    <w:name w:val="font21"/>
    <w:basedOn w:val="DefaultParagraphFont"/>
    <w:autoRedefine/>
    <w:qFormat/>
    <w:rPr>
      <w:rFonts w:ascii="Times New Roman" w:hAnsi="Times New Roman" w:cs="Times New Roman" w:hint="default"/>
      <w:color w:val="000000"/>
      <w:sz w:val="24"/>
      <w:szCs w:val="24"/>
      <w:u w:val="none"/>
    </w:rPr>
  </w:style>
  <w:style w:type="character" w:customStyle="1" w:styleId="fontstyle21">
    <w:name w:val="fontstyle21"/>
    <w:basedOn w:val="DefaultParagraphFont"/>
    <w:autoRedefine/>
    <w:qFormat/>
    <w:rPr>
      <w:rFonts w:ascii="B3 + CAJSymbolA" w:eastAsia="B3 + CAJSymbolA" w:hAnsi="B3 + CAJSymbolA" w:cs="B3 + CAJSymbolA"/>
      <w:color w:val="444444"/>
      <w:sz w:val="18"/>
      <w:szCs w:val="18"/>
    </w:rPr>
  </w:style>
  <w:style w:type="paragraph" w:styleId="ListParagraph">
    <w:name w:val="List Paragraph"/>
    <w:basedOn w:val="Normal"/>
    <w:autoRedefine/>
    <w:uiPriority w:val="34"/>
    <w:qFormat/>
    <w:pPr>
      <w:ind w:firstLine="420" w:firstLineChars="200"/>
    </w:pPr>
  </w:style>
  <w:style w:type="paragraph" w:customStyle="1" w:styleId="a">
    <w:name w:val="段"/>
    <w:autoRedefine/>
    <w:qFormat/>
    <w:pPr>
      <w:autoSpaceDE w:val="0"/>
      <w:autoSpaceDN w:val="0"/>
      <w:ind w:firstLine="200" w:firstLineChars="200"/>
      <w:jc w:val="both"/>
    </w:pPr>
    <w:rPr>
      <w:rFonts w:ascii="宋体" w:eastAsia="宋体" w:hAnsi="Calibri" w:cs="Times New Roman"/>
      <w:kern w:val="2"/>
      <w:sz w:val="21"/>
      <w:szCs w:val="22"/>
      <w:lang w:val="en-US" w:eastAsia="zh-CN" w:bidi="ar-SA"/>
    </w:rPr>
  </w:style>
  <w:style w:type="table" w:customStyle="1" w:styleId="TableNormal0">
    <w:name w:val="Table Normal_0"/>
    <w:autoRedefine/>
    <w:unhideWhenUsed/>
    <w:qFormat/>
    <w:tblPr>
      <w:tblCellMar>
        <w:top w:w="0" w:type="dxa"/>
        <w:left w:w="0" w:type="dxa"/>
        <w:bottom w:w="0" w:type="dxa"/>
        <w:right w:w="0" w:type="dxa"/>
      </w:tblCellMar>
    </w:tblPr>
  </w:style>
  <w:style w:type="paragraph" w:customStyle="1" w:styleId="Default">
    <w:name w:val="Default"/>
    <w:autoRedefine/>
    <w:qFormat/>
    <w:pPr>
      <w:widowControl w:val="0"/>
      <w:autoSpaceDE w:val="0"/>
      <w:autoSpaceDN w:val="0"/>
      <w:adjustRightInd w:val="0"/>
    </w:pPr>
    <w:rPr>
      <w:rFonts w:ascii="黑体" w:eastAsia="黑体" w:hAnsi="Calibri" w:cs="黑体"/>
      <w:color w:val="000000"/>
      <w:sz w:val="24"/>
      <w:szCs w:val="24"/>
      <w:lang w:val="en-US" w:eastAsia="zh-CN" w:bidi="ar-SA"/>
    </w:rPr>
  </w:style>
  <w:style w:type="character" w:customStyle="1" w:styleId="g8pp2nzcxo">
    <w:name w:val="g8pp2nzcxo"/>
    <w:basedOn w:val="DefaultParagraphFont"/>
    <w:autoRedefine/>
    <w:qFormat/>
  </w:style>
  <w:style w:type="character" w:customStyle="1" w:styleId="h08v2fq7at11">
    <w:name w:val="h08v2fq7at11"/>
    <w:basedOn w:val="DefaultParagraphFont"/>
    <w:autoRedefine/>
    <w:qFormat/>
  </w:style>
  <w:style w:type="character" w:customStyle="1" w:styleId="h328yllmnsx">
    <w:name w:val="h328yllmnsx"/>
    <w:basedOn w:val="DefaultParagraphFont"/>
    <w:autoRedefine/>
    <w:qFormat/>
  </w:style>
  <w:style w:type="character" w:customStyle="1" w:styleId="z20guud">
    <w:name w:val="z20guud"/>
    <w:basedOn w:val="DefaultParagraphFont"/>
    <w:autoRedefine/>
    <w:qFormat/>
  </w:style>
  <w:style w:type="character" w:customStyle="1" w:styleId="hbo1ddrb">
    <w:name w:val="hbo1ddrb"/>
    <w:basedOn w:val="DefaultParagraphFont"/>
    <w:autoRedefine/>
    <w:qFormat/>
  </w:style>
  <w:style w:type="paragraph" w:customStyle="1" w:styleId="TableParagraph">
    <w:name w:val="Table Paragraph"/>
    <w:basedOn w:val="Normal"/>
    <w:autoRedefine/>
    <w:uiPriority w:val="1"/>
    <w:qFormat/>
    <w:pPr>
      <w:spacing w:before="71"/>
    </w:pPr>
    <w:rPr>
      <w:rFonts w:ascii="宋体" w:eastAsia="宋体" w:hAnsi="宋体" w:cs="宋体"/>
      <w:lang w:val="zh-CN" w:bidi="zh-CN"/>
    </w:rPr>
  </w:style>
  <w:style w:type="paragraph" w:customStyle="1" w:styleId="a0">
    <w:name w:val="标准文件_段"/>
    <w:link w:val="Char3"/>
    <w:autoRedefine/>
    <w:qFormat/>
    <w:pPr>
      <w:autoSpaceDE w:val="0"/>
      <w:autoSpaceDN w:val="0"/>
      <w:ind w:firstLine="200" w:firstLineChars="200"/>
      <w:jc w:val="both"/>
    </w:pPr>
    <w:rPr>
      <w:rFonts w:ascii="宋体" w:eastAsia="宋体" w:hAnsi="Times New Roman" w:cs="Times New Roman"/>
      <w:sz w:val="21"/>
      <w:lang w:val="en-US" w:eastAsia="zh-CN" w:bidi="ar-SA"/>
    </w:rPr>
  </w:style>
  <w:style w:type="character" w:customStyle="1" w:styleId="font11">
    <w:name w:val="font11"/>
    <w:basedOn w:val="DefaultParagraphFont"/>
    <w:autoRedefine/>
    <w:qFormat/>
    <w:rPr>
      <w:rFonts w:ascii="仿宋" w:eastAsia="仿宋" w:hAnsi="仿宋" w:cs="仿宋" w:hint="eastAsia"/>
      <w:color w:val="FF0000"/>
      <w:sz w:val="28"/>
      <w:szCs w:val="28"/>
      <w:u w:val="none"/>
      <w:vertAlign w:val="subscript"/>
    </w:rPr>
  </w:style>
  <w:style w:type="character" w:customStyle="1" w:styleId="Char1">
    <w:name w:val="正文文本 Char"/>
    <w:basedOn w:val="DefaultParagraphFont"/>
    <w:link w:val="BodyText"/>
    <w:autoRedefine/>
    <w:qFormat/>
    <w:rPr>
      <w:rFonts w:ascii="宋体" w:eastAsia="宋体" w:hAnsi="宋体" w:cs="宋体" w:hint="eastAsia"/>
      <w:kern w:val="2"/>
      <w:sz w:val="21"/>
      <w:szCs w:val="21"/>
      <w:lang w:val="zh-CN" w:bidi="zh-CN"/>
    </w:rPr>
  </w:style>
  <w:style w:type="character" w:customStyle="1" w:styleId="font41">
    <w:name w:val="font41"/>
    <w:basedOn w:val="DefaultParagraphFont"/>
    <w:autoRedefine/>
    <w:qFormat/>
    <w:rPr>
      <w:rFonts w:ascii="宋体" w:eastAsia="宋体" w:hAnsi="宋体" w:cs="宋体" w:hint="eastAsia"/>
      <w:b/>
      <w:bCs/>
      <w:color w:val="000000"/>
      <w:sz w:val="22"/>
      <w:szCs w:val="22"/>
      <w:u w:val="none"/>
    </w:rPr>
  </w:style>
  <w:style w:type="character" w:customStyle="1" w:styleId="font101">
    <w:name w:val="font101"/>
    <w:basedOn w:val="DefaultParagraphFont"/>
    <w:autoRedefine/>
    <w:qFormat/>
    <w:rPr>
      <w:rFonts w:ascii="Times New Roman" w:hAnsi="Times New Roman" w:cs="Times New Roman" w:hint="default"/>
      <w:b/>
      <w:bCs/>
      <w:color w:val="000000"/>
      <w:sz w:val="22"/>
      <w:szCs w:val="22"/>
      <w:u w:val="none"/>
    </w:rPr>
  </w:style>
  <w:style w:type="character" w:customStyle="1" w:styleId="font51">
    <w:name w:val="font51"/>
    <w:basedOn w:val="DefaultParagraphFont"/>
    <w:autoRedefine/>
    <w:qFormat/>
    <w:rPr>
      <w:rFonts w:ascii="宋体" w:eastAsia="宋体" w:hAnsi="宋体" w:cs="宋体" w:hint="eastAsia"/>
      <w:color w:val="000000"/>
      <w:sz w:val="22"/>
      <w:szCs w:val="22"/>
      <w:u w:val="none"/>
    </w:rPr>
  </w:style>
  <w:style w:type="character" w:customStyle="1" w:styleId="font191">
    <w:name w:val="font191"/>
    <w:basedOn w:val="DefaultParagraphFont"/>
    <w:autoRedefine/>
    <w:qFormat/>
    <w:rPr>
      <w:rFonts w:ascii="Arial" w:hAnsi="Arial" w:cs="Arial"/>
      <w:color w:val="000000"/>
      <w:sz w:val="22"/>
      <w:szCs w:val="22"/>
      <w:u w:val="none"/>
    </w:rPr>
  </w:style>
  <w:style w:type="character" w:customStyle="1" w:styleId="font201">
    <w:name w:val="font201"/>
    <w:basedOn w:val="DefaultParagraphFont"/>
    <w:autoRedefine/>
    <w:qFormat/>
    <w:rPr>
      <w:rFonts w:ascii="宋体" w:eastAsia="宋体" w:hAnsi="宋体" w:cs="宋体" w:hint="eastAsia"/>
      <w:color w:val="000000"/>
      <w:sz w:val="22"/>
      <w:szCs w:val="22"/>
      <w:u w:val="none"/>
      <w:vertAlign w:val="superscript"/>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a1">
    <w:name w:val="标准文件_三级无标题"/>
    <w:basedOn w:val="a2"/>
    <w:autoRedefine/>
    <w:qFormat/>
    <w:pPr>
      <w:spacing w:beforeLines="0" w:afterLines="0"/>
      <w:outlineLvl w:val="9"/>
    </w:pPr>
    <w:rPr>
      <w:rFonts w:ascii="宋体" w:eastAsia="宋体"/>
    </w:rPr>
  </w:style>
  <w:style w:type="paragraph" w:customStyle="1" w:styleId="a2">
    <w:name w:val="标准文件_三级条标题"/>
    <w:basedOn w:val="a3"/>
    <w:next w:val="a0"/>
    <w:autoRedefine/>
    <w:qFormat/>
    <w:pPr>
      <w:widowControl/>
      <w:numPr>
        <w:ilvl w:val="4"/>
      </w:numPr>
      <w:outlineLvl w:val="3"/>
    </w:pPr>
  </w:style>
  <w:style w:type="paragraph" w:customStyle="1" w:styleId="a3">
    <w:name w:val="标准文件_二级条标题"/>
    <w:next w:val="a0"/>
    <w:autoRedefine/>
    <w:qFormat/>
    <w:pPr>
      <w:widowControl w:val="0"/>
      <w:numPr>
        <w:ilvl w:val="3"/>
        <w:numId w:val="1"/>
      </w:numPr>
      <w:spacing w:beforeLines="50" w:afterLines="50"/>
      <w:jc w:val="both"/>
      <w:outlineLvl w:val="2"/>
    </w:pPr>
    <w:rPr>
      <w:rFonts w:ascii="黑体" w:eastAsia="黑体" w:hAnsi="Times New Roman" w:cs="Times New Roman"/>
      <w:sz w:val="21"/>
      <w:lang w:val="en-US" w:eastAsia="zh-CN" w:bidi="ar-SA"/>
    </w:rPr>
  </w:style>
  <w:style w:type="paragraph" w:customStyle="1" w:styleId="2">
    <w:name w:val="样式2"/>
    <w:basedOn w:val="a"/>
    <w:autoRedefine/>
    <w:qFormat/>
    <w:pPr>
      <w:tabs>
        <w:tab w:val="center" w:pos="4201"/>
        <w:tab w:val="right" w:leader="dot" w:pos="9298"/>
      </w:tabs>
      <w:spacing w:line="360" w:lineRule="auto"/>
      <w:ind w:firstLine="0" w:firstLineChars="0"/>
    </w:pPr>
    <w:rPr>
      <w:rFonts w:ascii="黑体" w:eastAsia="黑体" w:hAnsi="黑体"/>
      <w:szCs w:val="21"/>
    </w:rPr>
  </w:style>
  <w:style w:type="paragraph" w:customStyle="1" w:styleId="a4">
    <w:name w:val="标准文件_一级条标题"/>
    <w:basedOn w:val="a5"/>
    <w:next w:val="a0"/>
    <w:autoRedefine/>
    <w:qFormat/>
    <w:pPr>
      <w:numPr>
        <w:ilvl w:val="2"/>
      </w:numPr>
      <w:spacing w:beforeLines="50" w:afterLines="50"/>
      <w:outlineLvl w:val="1"/>
    </w:pPr>
  </w:style>
  <w:style w:type="paragraph" w:customStyle="1" w:styleId="a5">
    <w:name w:val="标准文件_章标题"/>
    <w:next w:val="a0"/>
    <w:autoRedefine/>
    <w:qFormat/>
    <w:pPr>
      <w:numPr>
        <w:ilvl w:val="1"/>
        <w:numId w:val="1"/>
      </w:numPr>
      <w:spacing w:beforeLines="100" w:afterLines="100"/>
      <w:jc w:val="both"/>
      <w:outlineLvl w:val="0"/>
    </w:pPr>
    <w:rPr>
      <w:rFonts w:ascii="黑体" w:eastAsia="黑体" w:hAnsi="Times New Roman" w:cs="Times New Roman"/>
      <w:sz w:val="21"/>
      <w:lang w:val="en-US" w:eastAsia="zh-CN" w:bidi="ar-SA"/>
    </w:rPr>
  </w:style>
  <w:style w:type="character" w:customStyle="1" w:styleId="Char2">
    <w:name w:val="批注框文本 Char"/>
    <w:basedOn w:val="DefaultParagraphFont"/>
    <w:link w:val="BalloonText"/>
    <w:autoRedefine/>
    <w:uiPriority w:val="99"/>
    <w:semiHidden/>
    <w:qFormat/>
    <w:rPr>
      <w:rFonts w:ascii="等线" w:eastAsia="等线" w:hAnsi="等线"/>
      <w:kern w:val="2"/>
      <w:sz w:val="18"/>
      <w:szCs w:val="18"/>
    </w:rPr>
  </w:style>
  <w:style w:type="character" w:customStyle="1" w:styleId="Char3">
    <w:name w:val="标准文件_段 Char"/>
    <w:link w:val="a0"/>
    <w:autoRedefine/>
    <w:qFormat/>
    <w:rPr>
      <w:rFonts w:ascii="宋体"/>
      <w:sz w:val="21"/>
    </w:rPr>
  </w:style>
  <w:style w:type="paragraph" w:customStyle="1" w:styleId="a6">
    <w:name w:val="标准文件_正文表标题"/>
    <w:next w:val="a0"/>
    <w:autoRedefine/>
    <w:qFormat/>
    <w:pPr>
      <w:numPr>
        <w:ilvl w:val="0"/>
        <w:numId w:val="2"/>
      </w:numPr>
      <w:tabs>
        <w:tab w:val="left" w:pos="0"/>
      </w:tabs>
      <w:spacing w:beforeLines="50" w:afterLines="50"/>
      <w:jc w:val="center"/>
    </w:pPr>
    <w:rPr>
      <w:rFonts w:ascii="黑体" w:eastAsia="黑体" w:hAnsi="Times New Roman" w:cs="Times New Roman"/>
      <w:sz w:val="21"/>
      <w:lang w:val="en-US" w:eastAsia="zh-CN" w:bidi="ar-SA"/>
    </w:rPr>
  </w:style>
  <w:style w:type="paragraph" w:customStyle="1" w:styleId="a7">
    <w:name w:val="标准文件_表格"/>
    <w:basedOn w:val="a0"/>
    <w:autoRedefine/>
    <w:qFormat/>
    <w:pPr>
      <w:ind w:firstLine="0" w:firstLineChars="0"/>
      <w:jc w:val="center"/>
    </w:pPr>
    <w:rPr>
      <w:sz w:val="18"/>
    </w:rPr>
  </w:style>
  <w:style w:type="character" w:customStyle="1" w:styleId="3Char">
    <w:name w:val="标题 3 Char"/>
    <w:link w:val="Heading3"/>
    <w:autoRedefine/>
    <w:uiPriority w:val="9"/>
    <w:qFormat/>
    <w:rPr>
      <w:rFonts w:ascii="宋体" w:eastAsia="宋体" w:hAnsi="宋体" w:cs="宋体" w:hint="eastAsia"/>
      <w:b/>
      <w:kern w:val="0"/>
      <w:sz w:val="27"/>
      <w:szCs w:val="27"/>
      <w:lang w:val="en-US" w:eastAsia="zh-CN" w:bidi="ar-SA"/>
    </w:rPr>
  </w:style>
  <w:style w:type="table" w:customStyle="1" w:styleId="TableGrid0">
    <w:name w:val="Table Grid_0"/>
    <w:basedOn w:val="TableNormal"/>
    <w:autoRedefine/>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autoRedefine/>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chart" Target="charts/chart1.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image" Target="media/image2.wmf" /><Relationship Id="rId28" Type="http://schemas.openxmlformats.org/officeDocument/2006/relationships/oleObject" Target="embeddings/oleObject1.bin" /><Relationship Id="rId29" Type="http://schemas.openxmlformats.org/officeDocument/2006/relationships/image" Target="media/image3.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footer" Target="footer22.xml" /><Relationship Id="rId34" Type="http://schemas.openxmlformats.org/officeDocument/2006/relationships/footer" Target="footer23.xml" /><Relationship Id="rId35" Type="http://schemas.openxmlformats.org/officeDocument/2006/relationships/footer" Target="footer24.xml"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footer" Target="footer27.xml" /><Relationship Id="rId39" Type="http://schemas.openxmlformats.org/officeDocument/2006/relationships/hyperlink" Target="https://d.book118.com/898140142127006047" TargetMode="External" /><Relationship Id="rId4" Type="http://schemas.openxmlformats.org/officeDocument/2006/relationships/customXml" Target="../customXml/item1.xml" /><Relationship Id="rId40" Type="http://schemas.openxmlformats.org/officeDocument/2006/relationships/footer" Target="footer28.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charts/_rels/chart1.xml.rels><?xml version="1.0" encoding="utf-8" standalone="yes"?><Relationships xmlns="http://schemas.openxmlformats.org/package/2006/relationships"><Relationship Id="rId1" Type="http://schemas.openxmlformats.org/officeDocument/2006/relationships/oleObject" Target="file:///C:\Users\dell\Documents\Tongda\&#25968;&#25454;&#22823;&#27719;&#24635;2023-9-5%5B1%5D.xlsx" TargetMode="External"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lt1">
            <a:lumMod val="902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00394736842105263"/>
          <c:y val="0.4"/>
        </c:manualLayout>
      </c:layout>
      <c:overlay val="0"/>
      <c:spPr>
        <a:noFill/>
        <a:ln>
          <a:noFill/>
        </a:ln>
        <a:effectLst/>
      </c:spPr>
      <c:txPr>
        <a:bodyPr rot="-5400000" spcFirstLastPara="0" vertOverflow="ellipsis" vert="horz" wrap="square" anchor="ctr" anchorCtr="1"/>
        <a:lstStyle/>
        <a:p>
          <a:pPr>
            <a:defRPr lang="zh-CN" sz="108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title>
    <c:autoTitleDeleted val="0"/>
    <c:plotArea>
      <c:layout>
        <c:manualLayout>
          <c:layoutTarget val="inner"/>
          <c:xMode val="edge"/>
          <c:yMode val="edge"/>
          <c:x val="0.178394736842105"/>
          <c:y val="0.0446153846153846"/>
          <c:w val="0.810026315789474"/>
          <c:h val="0.817230769230769"/>
        </c:manualLayout>
      </c:layout>
      <c:barChart>
        <c:barDir val="col"/>
        <c:grouping val="clustered"/>
        <c:varyColors val="0"/>
        <c:ser>
          <c:idx val="0"/>
          <c:order val="0"/>
          <c:tx>
            <c:strRef>
              <c:f>'[数据大汇总2023-9-5(1).xlsx]Sheet2'!$D$3</c:f>
              <c:strCache>
                <c:ptCount val="1"/>
                <c:pt idx="0">
                  <c:v>样本量/份</c:v>
                </c:pt>
              </c:strCache>
            </c:strRef>
          </c:tx>
          <c:spPr>
            <a:pattFill prst="dkUpDiag">
              <a:fgClr>
                <a:schemeClr val="tx1"/>
              </a:fgClr>
              <a:bgClr>
                <a:schemeClr val="bg1"/>
              </a:bgClr>
            </a:pattFill>
            <a:ln w="9525">
              <a:solidFill>
                <a:schemeClr val="tx1"/>
              </a:solidFill>
              <a:prstDash val="solid"/>
            </a:ln>
            <a:effectLst/>
            <a:sp3d contourW="9525"/>
          </c:spPr>
          <c:invertIfNegative val="0"/>
          <c:dLbls>
            <c:delete val="1"/>
            <c:showLegendKey val="0"/>
            <c:showVal val="0"/>
            <c:showCatName val="0"/>
            <c:showSerName val="0"/>
            <c:showPercent val="0"/>
            <c:showBubbleSize val="0"/>
          </c:dLbls>
          <c:cat>
            <c:strRef>
              <c:f>'[数据大汇总2023-9-5(1).xlsx]Sheet2'!$C$4:$C$7</c:f>
              <c:strCache>
                <c:ptCount val="4"/>
                <c:pt idx="0">
                  <c:v>2020年</c:v>
                </c:pt>
                <c:pt idx="1">
                  <c:v>2021年</c:v>
                </c:pt>
                <c:pt idx="2">
                  <c:v>2023年</c:v>
                </c:pt>
                <c:pt idx="3">
                  <c:v>总计</c:v>
                </c:pt>
              </c:strCache>
            </c:strRef>
          </c:cat>
          <c:val>
            <c:numRef>
              <c:f>'[数据大汇总2023-9-5(1).xlsx]Sheet2'!$D$4:$D$7</c:f>
              <c:numCache>
                <c:formatCode>General</c:formatCode>
                <c:ptCount val="4"/>
                <c:pt idx="0">
                  <c:v>69</c:v>
                </c:pt>
                <c:pt idx="1">
                  <c:v>304</c:v>
                </c:pt>
                <c:pt idx="2">
                  <c:v>181</c:v>
                </c:pt>
                <c:pt idx="3">
                  <c:v>554</c:v>
                </c:pt>
              </c:numCache>
            </c:numRef>
          </c:val>
        </c:ser>
        <c:dLbls>
          <c:showLegendKey val="0"/>
          <c:showVal val="0"/>
          <c:showCatName val="0"/>
          <c:showSerName val="0"/>
          <c:showPercent val="0"/>
          <c:showBubbleSize val="0"/>
        </c:dLbls>
        <c:gapWidth val="246"/>
        <c:overlap val="-28"/>
        <c:axId val="634117667"/>
        <c:axId val="524569516"/>
      </c:barChart>
      <c:catAx>
        <c:axId val="634117667"/>
        <c:scaling>
          <c:orientation val="minMax"/>
        </c:scaling>
        <c:delete val="0"/>
        <c:axPos val="b"/>
        <c:majorTickMark val="none"/>
        <c:minorTickMark val="none"/>
        <c:tickLblPos val="nextTo"/>
        <c:spPr>
          <a:noFill/>
          <a:ln w="9525">
            <a:solidFill>
              <a:schemeClr val="tx1"/>
            </a:solidFill>
            <a:prstDash val="solid"/>
            <a:bevel/>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524569516"/>
        <c:crosses val="autoZero"/>
        <c:auto val="1"/>
        <c:lblAlgn val="ctr"/>
        <c:lblOffset val="100"/>
        <c:noMultiLvlLbl val="0"/>
      </c:catAx>
      <c:valAx>
        <c:axId val="524569516"/>
        <c:scaling>
          <c:orientation val="minMax"/>
        </c:scaling>
        <c:delete val="0"/>
        <c:axPos val="l"/>
        <c:numFmt formatCode="General" sourceLinked="1"/>
        <c:majorTickMark val="in"/>
        <c:minorTickMark val="none"/>
        <c:tickLblPos val="nextTo"/>
        <c:spPr>
          <a:noFill/>
          <a:ln w="9525">
            <a:solidFill>
              <a:schemeClr val="tx1"/>
            </a:solidFill>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34117667"/>
        <c:crosses val="autoZero"/>
        <c:crossBetween val="between"/>
        <c:majorUnit val="100"/>
      </c:valAx>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rot="-5400000" vert="horz" anchor="b" anchorCtr="1"/>
    <a:lstStyle/>
    <a:p>
      <a:pPr>
        <a:defRPr lang="zh-CN" sz="900">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CAAA6B-A125-4FB5-8799-DD698CB9E4CF}">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35</Pages>
  <Words>3412</Words>
  <Characters>19454</Characters>
  <Application>Microsoft Office Word</Application>
  <DocSecurity>0</DocSecurity>
  <Lines>162</Lines>
  <Paragraphs>45</Paragraphs>
  <ScaleCrop>false</ScaleCrop>
  <Company>Microsoft</Company>
  <LinksUpToDate>false</LinksUpToDate>
  <CharactersWithSpaces>22821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xwbjl</cp:lastModifiedBy>
  <cp:revision>58</cp:revision>
  <cp:lastPrinted>2023-06-16T07:56:00Z</cp:lastPrinted>
  <dcterms:created xsi:type="dcterms:W3CDTF">2023-07-16T13:56:00Z</dcterms:created>
  <dcterms:modified xsi:type="dcterms:W3CDTF">2024-03-20T02:54:40Z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8F5369A002464D75BF90939931F882CE_13</vt:lpwstr>
  </property>
  <property fmtid="{D5CDD505-2E9C-101B-9397-08002B2CF9AE}" pid="3" name="KSOProductBuildVer">
    <vt:lpwstr>2052-12.1.0.16388</vt:lpwstr>
  </property>
</Properties>
</file>