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高压自动重合器项目计划设计方案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55" w:history="1">
        <w:r>
          <w:rPr>
            <w:rFonts w:ascii="仿宋" w:eastAsia="仿宋" w:hAnsi="仿宋" w:cs="仿宋" w:hint="eastAsia"/>
            <w:lang w:eastAsia="zh-CN"/>
          </w:rPr>
          <w:t>概论</w:t>
        </w:r>
        <w:r>
          <w:tab/>
        </w:r>
        <w:r>
          <w:fldChar w:fldCharType="begin"/>
        </w:r>
        <w:r>
          <w:instrText xml:space="preserve"> PAGEREF _Toc30255 \h </w:instrText>
        </w:r>
        <w:r>
          <w:fldChar w:fldCharType="separate"/>
        </w:r>
        <w:r>
          <w:t>3</w:t>
        </w:r>
        <w:r>
          <w:fldChar w:fldCharType="end"/>
        </w:r>
      </w:hyperlink>
    </w:p>
    <w:p>
      <w:pPr>
        <w:pStyle w:val="TOC1"/>
        <w:tabs>
          <w:tab w:val="right" w:leader="dot" w:pos="8306"/>
        </w:tabs>
      </w:pPr>
      <w:hyperlink w:anchor="_Toc28343" w:history="1">
        <w:r>
          <w:rPr>
            <w:rFonts w:ascii="仿宋" w:eastAsia="仿宋" w:hAnsi="仿宋" w:cs="仿宋" w:hint="eastAsia"/>
            <w:lang w:eastAsia="zh-CN"/>
          </w:rPr>
          <w:t>一、高压自动重合器项目概论</w:t>
        </w:r>
        <w:r>
          <w:tab/>
        </w:r>
        <w:r>
          <w:fldChar w:fldCharType="begin"/>
        </w:r>
        <w:r>
          <w:instrText xml:space="preserve"> PAGEREF _Toc28343 \h </w:instrText>
        </w:r>
        <w:r>
          <w:fldChar w:fldCharType="separate"/>
        </w:r>
        <w:r>
          <w:t>3</w:t>
        </w:r>
        <w:r>
          <w:fldChar w:fldCharType="end"/>
        </w:r>
      </w:hyperlink>
    </w:p>
    <w:p>
      <w:pPr>
        <w:pStyle w:val="TOC2"/>
        <w:tabs>
          <w:tab w:val="right" w:leader="dot" w:pos="8306"/>
        </w:tabs>
      </w:pPr>
      <w:hyperlink w:anchor="_Toc4277" w:history="1">
        <w:r>
          <w:rPr>
            <w:rFonts w:ascii="仿宋" w:eastAsia="仿宋" w:hAnsi="仿宋" w:cs="仿宋" w:hint="eastAsia"/>
            <w:lang w:eastAsia="zh-CN"/>
          </w:rPr>
          <w:t>(一)、高压自动重合器项目概况</w:t>
        </w:r>
        <w:r>
          <w:tab/>
        </w:r>
        <w:r>
          <w:fldChar w:fldCharType="begin"/>
        </w:r>
        <w:r>
          <w:instrText xml:space="preserve"> PAGEREF _Toc4277 \h </w:instrText>
        </w:r>
        <w:r>
          <w:fldChar w:fldCharType="separate"/>
        </w:r>
        <w:r>
          <w:t>3</w:t>
        </w:r>
        <w:r>
          <w:fldChar w:fldCharType="end"/>
        </w:r>
      </w:hyperlink>
    </w:p>
    <w:p>
      <w:pPr>
        <w:pStyle w:val="TOC2"/>
        <w:tabs>
          <w:tab w:val="right" w:leader="dot" w:pos="8306"/>
        </w:tabs>
      </w:pPr>
      <w:hyperlink w:anchor="_Toc11179" w:history="1">
        <w:r>
          <w:rPr>
            <w:rFonts w:ascii="仿宋" w:eastAsia="仿宋" w:hAnsi="仿宋" w:cs="仿宋" w:hint="eastAsia"/>
            <w:lang w:eastAsia="zh-CN"/>
          </w:rPr>
          <w:t>(二)、高压自动重合器项目目标</w:t>
        </w:r>
        <w:r>
          <w:tab/>
        </w:r>
        <w:r>
          <w:fldChar w:fldCharType="begin"/>
        </w:r>
        <w:r>
          <w:instrText xml:space="preserve"> PAGEREF _Toc11179 \h </w:instrText>
        </w:r>
        <w:r>
          <w:fldChar w:fldCharType="separate"/>
        </w:r>
        <w:r>
          <w:t>5</w:t>
        </w:r>
        <w:r>
          <w:fldChar w:fldCharType="end"/>
        </w:r>
      </w:hyperlink>
    </w:p>
    <w:p>
      <w:pPr>
        <w:pStyle w:val="TOC2"/>
        <w:tabs>
          <w:tab w:val="right" w:leader="dot" w:pos="8306"/>
        </w:tabs>
      </w:pPr>
      <w:hyperlink w:anchor="_Toc11496" w:history="1">
        <w:r>
          <w:rPr>
            <w:rFonts w:ascii="仿宋" w:eastAsia="仿宋" w:hAnsi="仿宋" w:cs="仿宋" w:hint="eastAsia"/>
            <w:lang w:eastAsia="zh-CN"/>
          </w:rPr>
          <w:t>(三)、高压自动重合器项目提出的理由</w:t>
        </w:r>
        <w:r>
          <w:tab/>
        </w:r>
        <w:r>
          <w:fldChar w:fldCharType="begin"/>
        </w:r>
        <w:r>
          <w:instrText xml:space="preserve"> PAGEREF _Toc11496 \h </w:instrText>
        </w:r>
        <w:r>
          <w:fldChar w:fldCharType="separate"/>
        </w:r>
        <w:r>
          <w:t>6</w:t>
        </w:r>
        <w:r>
          <w:fldChar w:fldCharType="end"/>
        </w:r>
      </w:hyperlink>
    </w:p>
    <w:p>
      <w:pPr>
        <w:pStyle w:val="TOC2"/>
        <w:tabs>
          <w:tab w:val="right" w:leader="dot" w:pos="8306"/>
        </w:tabs>
      </w:pPr>
      <w:hyperlink w:anchor="_Toc29702" w:history="1">
        <w:r>
          <w:rPr>
            <w:rFonts w:ascii="仿宋" w:eastAsia="仿宋" w:hAnsi="仿宋" w:cs="仿宋" w:hint="eastAsia"/>
            <w:lang w:eastAsia="zh-CN"/>
          </w:rPr>
          <w:t>(四)、高压自动重合器项目意义</w:t>
        </w:r>
        <w:r>
          <w:tab/>
        </w:r>
        <w:r>
          <w:fldChar w:fldCharType="begin"/>
        </w:r>
        <w:r>
          <w:instrText xml:space="preserve"> PAGEREF _Toc29702 \h </w:instrText>
        </w:r>
        <w:r>
          <w:fldChar w:fldCharType="separate"/>
        </w:r>
        <w:r>
          <w:t>8</w:t>
        </w:r>
        <w:r>
          <w:fldChar w:fldCharType="end"/>
        </w:r>
      </w:hyperlink>
    </w:p>
    <w:p>
      <w:pPr>
        <w:pStyle w:val="TOC2"/>
        <w:tabs>
          <w:tab w:val="right" w:leader="dot" w:pos="8306"/>
        </w:tabs>
      </w:pPr>
      <w:hyperlink w:anchor="_Toc15005" w:history="1">
        <w:r>
          <w:rPr>
            <w:rFonts w:ascii="仿宋" w:eastAsia="仿宋" w:hAnsi="仿宋" w:cs="仿宋" w:hint="eastAsia"/>
            <w:lang w:eastAsia="zh-CN"/>
          </w:rPr>
          <w:t>(五)、高压自动重合器项目背景</w:t>
        </w:r>
        <w:r>
          <w:tab/>
        </w:r>
        <w:r>
          <w:fldChar w:fldCharType="begin"/>
        </w:r>
        <w:r>
          <w:instrText xml:space="preserve"> PAGEREF _Toc15005 \h </w:instrText>
        </w:r>
        <w:r>
          <w:fldChar w:fldCharType="separate"/>
        </w:r>
        <w:r>
          <w:t>9</w:t>
        </w:r>
        <w:r>
          <w:fldChar w:fldCharType="end"/>
        </w:r>
      </w:hyperlink>
    </w:p>
    <w:p>
      <w:pPr>
        <w:pStyle w:val="TOC1"/>
        <w:tabs>
          <w:tab w:val="right" w:leader="dot" w:pos="8306"/>
        </w:tabs>
      </w:pPr>
      <w:hyperlink w:anchor="_Toc23984" w:history="1">
        <w:r>
          <w:rPr>
            <w:rFonts w:ascii="仿宋" w:eastAsia="仿宋" w:hAnsi="仿宋" w:cs="仿宋" w:hint="eastAsia"/>
            <w:lang w:eastAsia="zh-CN"/>
          </w:rPr>
          <w:t>二、高压自动重合器项目文档管理</w:t>
        </w:r>
        <w:r>
          <w:tab/>
        </w:r>
        <w:r>
          <w:fldChar w:fldCharType="begin"/>
        </w:r>
        <w:r>
          <w:instrText xml:space="preserve"> PAGEREF _Toc23984 \h </w:instrText>
        </w:r>
        <w:r>
          <w:fldChar w:fldCharType="separate"/>
        </w:r>
        <w:r>
          <w:t>10</w:t>
        </w:r>
        <w:r>
          <w:fldChar w:fldCharType="end"/>
        </w:r>
      </w:hyperlink>
    </w:p>
    <w:p>
      <w:pPr>
        <w:pStyle w:val="TOC2"/>
        <w:tabs>
          <w:tab w:val="right" w:leader="dot" w:pos="8306"/>
        </w:tabs>
      </w:pPr>
      <w:hyperlink w:anchor="_Toc28643" w:history="1">
        <w:r>
          <w:rPr>
            <w:rFonts w:ascii="仿宋" w:eastAsia="仿宋" w:hAnsi="仿宋" w:cs="仿宋" w:hint="eastAsia"/>
            <w:lang w:eastAsia="zh-CN"/>
          </w:rPr>
          <w:t>(一)、文档编制与审查</w:t>
        </w:r>
        <w:r>
          <w:tab/>
        </w:r>
        <w:r>
          <w:fldChar w:fldCharType="begin"/>
        </w:r>
        <w:r>
          <w:instrText xml:space="preserve"> PAGEREF _Toc28643 \h </w:instrText>
        </w:r>
        <w:r>
          <w:fldChar w:fldCharType="separate"/>
        </w:r>
        <w:r>
          <w:t>10</w:t>
        </w:r>
        <w:r>
          <w:fldChar w:fldCharType="end"/>
        </w:r>
      </w:hyperlink>
    </w:p>
    <w:p>
      <w:pPr>
        <w:pStyle w:val="TOC2"/>
        <w:tabs>
          <w:tab w:val="right" w:leader="dot" w:pos="8306"/>
        </w:tabs>
      </w:pPr>
      <w:hyperlink w:anchor="_Toc26426" w:history="1">
        <w:r>
          <w:rPr>
            <w:rFonts w:ascii="仿宋" w:eastAsia="仿宋" w:hAnsi="仿宋" w:cs="仿宋" w:hint="eastAsia"/>
            <w:lang w:eastAsia="zh-CN"/>
          </w:rPr>
          <w:t>(二)、文档发布与分发</w:t>
        </w:r>
        <w:r>
          <w:tab/>
        </w:r>
        <w:r>
          <w:fldChar w:fldCharType="begin"/>
        </w:r>
        <w:r>
          <w:instrText xml:space="preserve"> PAGEREF _Toc26426 \h </w:instrText>
        </w:r>
        <w:r>
          <w:fldChar w:fldCharType="separate"/>
        </w:r>
        <w:r>
          <w:t>11</w:t>
        </w:r>
        <w:r>
          <w:fldChar w:fldCharType="end"/>
        </w:r>
      </w:hyperlink>
    </w:p>
    <w:p>
      <w:pPr>
        <w:pStyle w:val="TOC2"/>
        <w:tabs>
          <w:tab w:val="right" w:leader="dot" w:pos="8306"/>
        </w:tabs>
      </w:pPr>
      <w:hyperlink w:anchor="_Toc22224" w:history="1">
        <w:r>
          <w:rPr>
            <w:rFonts w:ascii="仿宋" w:eastAsia="仿宋" w:hAnsi="仿宋" w:cs="仿宋" w:hint="eastAsia"/>
            <w:lang w:eastAsia="zh-CN"/>
          </w:rPr>
          <w:t>(三)、文档存档与归档</w:t>
        </w:r>
        <w:r>
          <w:tab/>
        </w:r>
        <w:r>
          <w:fldChar w:fldCharType="begin"/>
        </w:r>
        <w:r>
          <w:instrText xml:space="preserve"> PAGEREF _Toc22224 \h </w:instrText>
        </w:r>
        <w:r>
          <w:fldChar w:fldCharType="separate"/>
        </w:r>
        <w:r>
          <w:t>12</w:t>
        </w:r>
        <w:r>
          <w:fldChar w:fldCharType="end"/>
        </w:r>
      </w:hyperlink>
    </w:p>
    <w:p>
      <w:pPr>
        <w:pStyle w:val="TOC1"/>
        <w:tabs>
          <w:tab w:val="right" w:leader="dot" w:pos="8306"/>
        </w:tabs>
      </w:pPr>
      <w:hyperlink w:anchor="_Toc10472" w:history="1">
        <w:r>
          <w:rPr>
            <w:rFonts w:ascii="仿宋" w:eastAsia="仿宋" w:hAnsi="仿宋" w:cs="仿宋" w:hint="eastAsia"/>
            <w:lang w:eastAsia="zh-CN"/>
          </w:rPr>
          <w:t>三、高压自动重合器项目可持续发展</w:t>
        </w:r>
        <w:r>
          <w:tab/>
        </w:r>
        <w:r>
          <w:fldChar w:fldCharType="begin"/>
        </w:r>
        <w:r>
          <w:instrText xml:space="preserve"> PAGEREF _Toc10472 \h </w:instrText>
        </w:r>
        <w:r>
          <w:fldChar w:fldCharType="separate"/>
        </w:r>
        <w:r>
          <w:t>13</w:t>
        </w:r>
        <w:r>
          <w:fldChar w:fldCharType="end"/>
        </w:r>
      </w:hyperlink>
    </w:p>
    <w:p>
      <w:pPr>
        <w:pStyle w:val="TOC2"/>
        <w:tabs>
          <w:tab w:val="right" w:leader="dot" w:pos="8306"/>
        </w:tabs>
      </w:pPr>
      <w:hyperlink w:anchor="_Toc11011" w:history="1">
        <w:r>
          <w:rPr>
            <w:rFonts w:ascii="仿宋" w:eastAsia="仿宋" w:hAnsi="仿宋" w:cs="仿宋" w:hint="eastAsia"/>
            <w:lang w:eastAsia="zh-CN"/>
          </w:rPr>
          <w:t>(一)、可持续战略与实践</w:t>
        </w:r>
        <w:r>
          <w:tab/>
        </w:r>
        <w:r>
          <w:fldChar w:fldCharType="begin"/>
        </w:r>
        <w:r>
          <w:instrText xml:space="preserve"> PAGEREF _Toc11011 \h </w:instrText>
        </w:r>
        <w:r>
          <w:fldChar w:fldCharType="separate"/>
        </w:r>
        <w:r>
          <w:t>13</w:t>
        </w:r>
        <w:r>
          <w:fldChar w:fldCharType="end"/>
        </w:r>
      </w:hyperlink>
    </w:p>
    <w:p>
      <w:pPr>
        <w:pStyle w:val="TOC2"/>
        <w:tabs>
          <w:tab w:val="right" w:leader="dot" w:pos="8306"/>
        </w:tabs>
      </w:pPr>
      <w:hyperlink w:anchor="_Toc27324" w:history="1">
        <w:r>
          <w:rPr>
            <w:rFonts w:ascii="仿宋" w:eastAsia="仿宋" w:hAnsi="仿宋" w:cs="仿宋" w:hint="eastAsia"/>
            <w:lang w:eastAsia="zh-CN"/>
          </w:rPr>
          <w:t>(二)、环保与社会责任</w:t>
        </w:r>
        <w:r>
          <w:tab/>
        </w:r>
        <w:r>
          <w:fldChar w:fldCharType="begin"/>
        </w:r>
        <w:r>
          <w:instrText xml:space="preserve"> PAGEREF _Toc27324 \h </w:instrText>
        </w:r>
        <w:r>
          <w:fldChar w:fldCharType="separate"/>
        </w:r>
        <w:r>
          <w:t>14</w:t>
        </w:r>
        <w:r>
          <w:fldChar w:fldCharType="end"/>
        </w:r>
      </w:hyperlink>
    </w:p>
    <w:p>
      <w:pPr>
        <w:pStyle w:val="TOC1"/>
        <w:tabs>
          <w:tab w:val="right" w:leader="dot" w:pos="8306"/>
        </w:tabs>
      </w:pPr>
      <w:hyperlink w:anchor="_Toc3043" w:history="1">
        <w:r>
          <w:rPr>
            <w:rFonts w:ascii="仿宋" w:eastAsia="仿宋" w:hAnsi="仿宋" w:cs="仿宋" w:hint="eastAsia"/>
            <w:lang w:eastAsia="zh-CN"/>
          </w:rPr>
          <w:t>四、高压自动重合器项目绩效评估</w:t>
        </w:r>
        <w:r>
          <w:tab/>
        </w:r>
        <w:r>
          <w:fldChar w:fldCharType="begin"/>
        </w:r>
        <w:r>
          <w:instrText xml:space="preserve"> PAGEREF _Toc3043 \h </w:instrText>
        </w:r>
        <w:r>
          <w:fldChar w:fldCharType="separate"/>
        </w:r>
        <w:r>
          <w:t>15</w:t>
        </w:r>
        <w:r>
          <w:fldChar w:fldCharType="end"/>
        </w:r>
      </w:hyperlink>
    </w:p>
    <w:p>
      <w:pPr>
        <w:pStyle w:val="TOC2"/>
        <w:tabs>
          <w:tab w:val="right" w:leader="dot" w:pos="8306"/>
        </w:tabs>
      </w:pPr>
      <w:hyperlink w:anchor="_Toc12327" w:history="1">
        <w:r>
          <w:rPr>
            <w:rFonts w:ascii="仿宋" w:eastAsia="仿宋" w:hAnsi="仿宋" w:cs="仿宋" w:hint="eastAsia"/>
            <w:lang w:eastAsia="zh-CN"/>
          </w:rPr>
          <w:t>(一)、绩效评估指标</w:t>
        </w:r>
        <w:r>
          <w:tab/>
        </w:r>
        <w:r>
          <w:fldChar w:fldCharType="begin"/>
        </w:r>
        <w:r>
          <w:instrText xml:space="preserve"> PAGEREF _Toc12327 \h </w:instrText>
        </w:r>
        <w:r>
          <w:fldChar w:fldCharType="separate"/>
        </w:r>
        <w:r>
          <w:t>15</w:t>
        </w:r>
        <w:r>
          <w:fldChar w:fldCharType="end"/>
        </w:r>
      </w:hyperlink>
    </w:p>
    <w:p>
      <w:pPr>
        <w:pStyle w:val="TOC2"/>
        <w:tabs>
          <w:tab w:val="right" w:leader="dot" w:pos="8306"/>
        </w:tabs>
      </w:pPr>
      <w:hyperlink w:anchor="_Toc29216" w:history="1">
        <w:r>
          <w:rPr>
            <w:rFonts w:ascii="仿宋" w:eastAsia="仿宋" w:hAnsi="仿宋" w:cs="仿宋" w:hint="eastAsia"/>
            <w:lang w:eastAsia="zh-CN"/>
          </w:rPr>
          <w:t>(二)、绩效评估方法</w:t>
        </w:r>
        <w:r>
          <w:tab/>
        </w:r>
        <w:r>
          <w:fldChar w:fldCharType="begin"/>
        </w:r>
        <w:r>
          <w:instrText xml:space="preserve"> PAGEREF _Toc29216 \h </w:instrText>
        </w:r>
        <w:r>
          <w:fldChar w:fldCharType="separate"/>
        </w:r>
        <w:r>
          <w:t>16</w:t>
        </w:r>
        <w:r>
          <w:fldChar w:fldCharType="end"/>
        </w:r>
      </w:hyperlink>
    </w:p>
    <w:p>
      <w:pPr>
        <w:pStyle w:val="TOC2"/>
        <w:tabs>
          <w:tab w:val="right" w:leader="dot" w:pos="8306"/>
        </w:tabs>
      </w:pPr>
      <w:hyperlink w:anchor="_Toc3605" w:history="1">
        <w:r>
          <w:rPr>
            <w:rFonts w:ascii="仿宋" w:eastAsia="仿宋" w:hAnsi="仿宋" w:cs="仿宋" w:hint="eastAsia"/>
            <w:lang w:eastAsia="zh-CN"/>
          </w:rPr>
          <w:t>(三)、绩效评估周期</w:t>
        </w:r>
        <w:r>
          <w:tab/>
        </w:r>
        <w:r>
          <w:fldChar w:fldCharType="begin"/>
        </w:r>
        <w:r>
          <w:instrText xml:space="preserve"> PAGEREF _Toc3605 \h </w:instrText>
        </w:r>
        <w:r>
          <w:fldChar w:fldCharType="separate"/>
        </w:r>
        <w:r>
          <w:t>17</w:t>
        </w:r>
        <w:r>
          <w:fldChar w:fldCharType="end"/>
        </w:r>
      </w:hyperlink>
    </w:p>
    <w:p>
      <w:pPr>
        <w:pStyle w:val="TOC1"/>
        <w:tabs>
          <w:tab w:val="right" w:leader="dot" w:pos="8306"/>
        </w:tabs>
      </w:pPr>
      <w:hyperlink w:anchor="_Toc2569" w:history="1">
        <w:r>
          <w:rPr>
            <w:rFonts w:ascii="仿宋" w:eastAsia="仿宋" w:hAnsi="仿宋" w:cs="仿宋" w:hint="eastAsia"/>
            <w:lang w:eastAsia="zh-CN"/>
          </w:rPr>
          <w:t>五、高压自动重合器项目土建工程</w:t>
        </w:r>
        <w:r>
          <w:tab/>
        </w:r>
        <w:r>
          <w:fldChar w:fldCharType="begin"/>
        </w:r>
        <w:r>
          <w:instrText xml:space="preserve"> PAGEREF _Toc2569 \h </w:instrText>
        </w:r>
        <w:r>
          <w:fldChar w:fldCharType="separate"/>
        </w:r>
        <w:r>
          <w:t>18</w:t>
        </w:r>
        <w:r>
          <w:fldChar w:fldCharType="end"/>
        </w:r>
      </w:hyperlink>
    </w:p>
    <w:p>
      <w:pPr>
        <w:pStyle w:val="TOC2"/>
        <w:tabs>
          <w:tab w:val="right" w:leader="dot" w:pos="8306"/>
        </w:tabs>
      </w:pPr>
      <w:hyperlink w:anchor="_Toc1635" w:history="1">
        <w:r>
          <w:rPr>
            <w:rFonts w:ascii="仿宋" w:eastAsia="仿宋" w:hAnsi="仿宋" w:cs="仿宋" w:hint="eastAsia"/>
            <w:lang w:eastAsia="zh-CN"/>
          </w:rPr>
          <w:t>(一)、建筑工程设计原则</w:t>
        </w:r>
        <w:r>
          <w:tab/>
        </w:r>
        <w:r>
          <w:fldChar w:fldCharType="begin"/>
        </w:r>
        <w:r>
          <w:instrText xml:space="preserve"> PAGEREF _Toc1635 \h </w:instrText>
        </w:r>
        <w:r>
          <w:fldChar w:fldCharType="separate"/>
        </w:r>
        <w:r>
          <w:t>18</w:t>
        </w:r>
        <w:r>
          <w:fldChar w:fldCharType="end"/>
        </w:r>
      </w:hyperlink>
    </w:p>
    <w:p>
      <w:pPr>
        <w:pStyle w:val="TOC2"/>
        <w:tabs>
          <w:tab w:val="right" w:leader="dot" w:pos="8306"/>
        </w:tabs>
      </w:pPr>
      <w:hyperlink w:anchor="_Toc25002" w:history="1">
        <w:r>
          <w:rPr>
            <w:rFonts w:ascii="仿宋" w:eastAsia="仿宋" w:hAnsi="仿宋" w:cs="仿宋" w:hint="eastAsia"/>
            <w:lang w:eastAsia="zh-CN"/>
          </w:rPr>
          <w:t>(二)、土建工程设计年限及安全等级</w:t>
        </w:r>
        <w:r>
          <w:tab/>
        </w:r>
        <w:r>
          <w:fldChar w:fldCharType="begin"/>
        </w:r>
        <w:r>
          <w:instrText xml:space="preserve"> PAGEREF _Toc25002 \h </w:instrText>
        </w:r>
        <w:r>
          <w:fldChar w:fldCharType="separate"/>
        </w:r>
        <w:r>
          <w:t>19</w:t>
        </w:r>
        <w:r>
          <w:fldChar w:fldCharType="end"/>
        </w:r>
      </w:hyperlink>
    </w:p>
    <w:p>
      <w:pPr>
        <w:pStyle w:val="TOC2"/>
        <w:tabs>
          <w:tab w:val="right" w:leader="dot" w:pos="8306"/>
        </w:tabs>
      </w:pPr>
      <w:hyperlink w:anchor="_Toc15364" w:history="1">
        <w:r>
          <w:rPr>
            <w:rFonts w:ascii="仿宋" w:eastAsia="仿宋" w:hAnsi="仿宋" w:cs="仿宋" w:hint="eastAsia"/>
            <w:lang w:eastAsia="zh-CN"/>
          </w:rPr>
          <w:t>(三)、建筑工程设计总体要求</w:t>
        </w:r>
        <w:r>
          <w:tab/>
        </w:r>
        <w:r>
          <w:fldChar w:fldCharType="begin"/>
        </w:r>
        <w:r>
          <w:instrText xml:space="preserve"> PAGEREF _Toc15364 \h </w:instrText>
        </w:r>
        <w:r>
          <w:fldChar w:fldCharType="separate"/>
        </w:r>
        <w:r>
          <w:t>21</w:t>
        </w:r>
        <w:r>
          <w:fldChar w:fldCharType="end"/>
        </w:r>
      </w:hyperlink>
    </w:p>
    <w:p>
      <w:pPr>
        <w:pStyle w:val="TOC2"/>
        <w:tabs>
          <w:tab w:val="right" w:leader="dot" w:pos="8306"/>
        </w:tabs>
      </w:pPr>
      <w:hyperlink w:anchor="_Toc4312" w:history="1">
        <w:r>
          <w:rPr>
            <w:rFonts w:ascii="仿宋" w:eastAsia="仿宋" w:hAnsi="仿宋" w:cs="仿宋" w:hint="eastAsia"/>
            <w:lang w:eastAsia="zh-CN"/>
          </w:rPr>
          <w:t>(四)、土建工程建设指标</w:t>
        </w:r>
        <w:r>
          <w:tab/>
        </w:r>
        <w:r>
          <w:fldChar w:fldCharType="begin"/>
        </w:r>
        <w:r>
          <w:instrText xml:space="preserve"> PAGEREF _Toc4312 \h </w:instrText>
        </w:r>
        <w:r>
          <w:fldChar w:fldCharType="separate"/>
        </w:r>
        <w:r>
          <w:t>21</w:t>
        </w:r>
        <w:r>
          <w:fldChar w:fldCharType="end"/>
        </w:r>
      </w:hyperlink>
    </w:p>
    <w:p>
      <w:pPr>
        <w:pStyle w:val="TOC1"/>
        <w:tabs>
          <w:tab w:val="right" w:leader="dot" w:pos="8306"/>
        </w:tabs>
      </w:pPr>
      <w:hyperlink w:anchor="_Toc11621" w:history="1">
        <w:r>
          <w:rPr>
            <w:rFonts w:ascii="仿宋" w:eastAsia="仿宋" w:hAnsi="仿宋" w:cs="仿宋" w:hint="eastAsia"/>
            <w:lang w:eastAsia="zh-CN"/>
          </w:rPr>
          <w:t>六、高压自动重合器项目建设背景及必要性分析</w:t>
        </w:r>
        <w:r>
          <w:tab/>
        </w:r>
        <w:r>
          <w:fldChar w:fldCharType="begin"/>
        </w:r>
        <w:r>
          <w:instrText xml:space="preserve"> PAGEREF _Toc11621 \h </w:instrText>
        </w:r>
        <w:r>
          <w:fldChar w:fldCharType="separate"/>
        </w:r>
        <w:r>
          <w:t>22</w:t>
        </w:r>
        <w:r>
          <w:fldChar w:fldCharType="end"/>
        </w:r>
      </w:hyperlink>
    </w:p>
    <w:p>
      <w:pPr>
        <w:pStyle w:val="TOC2"/>
        <w:tabs>
          <w:tab w:val="right" w:leader="dot" w:pos="8306"/>
        </w:tabs>
      </w:pPr>
      <w:hyperlink w:anchor="_Toc29327" w:history="1">
        <w:r>
          <w:rPr>
            <w:rFonts w:ascii="仿宋" w:eastAsia="仿宋" w:hAnsi="仿宋" w:cs="仿宋" w:hint="eastAsia"/>
            <w:lang w:eastAsia="zh-CN"/>
          </w:rPr>
          <w:t>(一)、高压自动重合器项目背景分析</w:t>
        </w:r>
        <w:r>
          <w:tab/>
        </w:r>
        <w:r>
          <w:fldChar w:fldCharType="begin"/>
        </w:r>
        <w:r>
          <w:instrText xml:space="preserve"> PAGEREF _Toc29327 \h </w:instrText>
        </w:r>
        <w:r>
          <w:fldChar w:fldCharType="separate"/>
        </w:r>
        <w:r>
          <w:t>22</w:t>
        </w:r>
        <w:r>
          <w:fldChar w:fldCharType="end"/>
        </w:r>
      </w:hyperlink>
    </w:p>
    <w:p>
      <w:pPr>
        <w:pStyle w:val="TOC2"/>
        <w:tabs>
          <w:tab w:val="right" w:leader="dot" w:pos="8306"/>
        </w:tabs>
      </w:pPr>
      <w:hyperlink w:anchor="_Toc20173" w:history="1">
        <w:r>
          <w:rPr>
            <w:rFonts w:ascii="仿宋" w:eastAsia="仿宋" w:hAnsi="仿宋" w:cs="仿宋" w:hint="eastAsia"/>
            <w:lang w:eastAsia="zh-CN"/>
          </w:rPr>
          <w:t>(二)、高压自动重合器项目建设必要性分析</w:t>
        </w:r>
        <w:r>
          <w:tab/>
        </w:r>
        <w:r>
          <w:fldChar w:fldCharType="begin"/>
        </w:r>
        <w:r>
          <w:instrText xml:space="preserve"> PAGEREF _Toc20173 \h </w:instrText>
        </w:r>
        <w:r>
          <w:fldChar w:fldCharType="separate"/>
        </w:r>
        <w:r>
          <w:t>23</w:t>
        </w:r>
        <w:r>
          <w:fldChar w:fldCharType="end"/>
        </w:r>
      </w:hyperlink>
    </w:p>
    <w:p>
      <w:pPr>
        <w:pStyle w:val="TOC1"/>
        <w:tabs>
          <w:tab w:val="right" w:leader="dot" w:pos="8306"/>
        </w:tabs>
      </w:pPr>
      <w:hyperlink w:anchor="_Toc592" w:history="1">
        <w:r>
          <w:rPr>
            <w:rFonts w:ascii="仿宋" w:eastAsia="仿宋" w:hAnsi="仿宋" w:cs="仿宋" w:hint="eastAsia"/>
            <w:lang w:eastAsia="zh-CN"/>
          </w:rPr>
          <w:t>七、高压自动重合器项目人力资源培养与发展</w:t>
        </w:r>
        <w:r>
          <w:tab/>
        </w:r>
        <w:r>
          <w:fldChar w:fldCharType="begin"/>
        </w:r>
        <w:r>
          <w:instrText xml:space="preserve"> PAGEREF _Toc592 \h </w:instrText>
        </w:r>
        <w:r>
          <w:fldChar w:fldCharType="separate"/>
        </w:r>
        <w:r>
          <w:t>25</w:t>
        </w:r>
        <w:r>
          <w:fldChar w:fldCharType="end"/>
        </w:r>
      </w:hyperlink>
    </w:p>
    <w:p>
      <w:pPr>
        <w:pStyle w:val="TOC2"/>
        <w:tabs>
          <w:tab w:val="right" w:leader="dot" w:pos="8306"/>
        </w:tabs>
      </w:pPr>
      <w:hyperlink w:anchor="_Toc27844" w:history="1">
        <w:r>
          <w:rPr>
            <w:rFonts w:ascii="仿宋" w:eastAsia="仿宋" w:hAnsi="仿宋" w:cs="仿宋" w:hint="eastAsia"/>
            <w:lang w:eastAsia="zh-CN"/>
          </w:rPr>
          <w:t>(一)、人才需求与规划</w:t>
        </w:r>
        <w:r>
          <w:tab/>
        </w:r>
        <w:r>
          <w:fldChar w:fldCharType="begin"/>
        </w:r>
        <w:r>
          <w:instrText xml:space="preserve"> PAGEREF _Toc27844 \h </w:instrText>
        </w:r>
        <w:r>
          <w:fldChar w:fldCharType="separate"/>
        </w:r>
        <w:r>
          <w:t>25</w:t>
        </w:r>
        <w:r>
          <w:fldChar w:fldCharType="end"/>
        </w:r>
      </w:hyperlink>
    </w:p>
    <w:p>
      <w:pPr>
        <w:pStyle w:val="TOC2"/>
        <w:tabs>
          <w:tab w:val="right" w:leader="dot" w:pos="8306"/>
        </w:tabs>
      </w:pPr>
      <w:hyperlink w:anchor="_Toc17759" w:history="1">
        <w:r>
          <w:rPr>
            <w:rFonts w:ascii="仿宋" w:eastAsia="仿宋" w:hAnsi="仿宋" w:cs="仿宋" w:hint="eastAsia"/>
            <w:lang w:eastAsia="zh-CN"/>
          </w:rPr>
          <w:t>(二)、培训与发展计划</w:t>
        </w:r>
        <w:r>
          <w:tab/>
        </w:r>
        <w:r>
          <w:fldChar w:fldCharType="begin"/>
        </w:r>
        <w:r>
          <w:instrText xml:space="preserve"> PAGEREF _Toc17759 \h </w:instrText>
        </w:r>
        <w:r>
          <w:fldChar w:fldCharType="separate"/>
        </w:r>
        <w:r>
          <w:t>25</w:t>
        </w:r>
        <w:r>
          <w:fldChar w:fldCharType="end"/>
        </w:r>
      </w:hyperlink>
    </w:p>
    <w:p>
      <w:pPr>
        <w:pStyle w:val="TOC1"/>
        <w:tabs>
          <w:tab w:val="right" w:leader="dot" w:pos="8306"/>
        </w:tabs>
      </w:pPr>
      <w:hyperlink w:anchor="_Toc16083" w:history="1">
        <w:r>
          <w:rPr>
            <w:rFonts w:ascii="仿宋" w:eastAsia="仿宋" w:hAnsi="仿宋" w:cs="仿宋" w:hint="eastAsia"/>
            <w:lang w:eastAsia="zh-CN"/>
          </w:rPr>
          <w:t>八、高压自动重合器项目投资规划</w:t>
        </w:r>
        <w:r>
          <w:tab/>
        </w:r>
        <w:r>
          <w:fldChar w:fldCharType="begin"/>
        </w:r>
        <w:r>
          <w:instrText xml:space="preserve"> PAGEREF _Toc16083 \h </w:instrText>
        </w:r>
        <w:r>
          <w:fldChar w:fldCharType="separate"/>
        </w:r>
        <w:r>
          <w:t>26</w:t>
        </w:r>
        <w:r>
          <w:fldChar w:fldCharType="end"/>
        </w:r>
      </w:hyperlink>
    </w:p>
    <w:p>
      <w:pPr>
        <w:pStyle w:val="TOC2"/>
        <w:tabs>
          <w:tab w:val="right" w:leader="dot" w:pos="8306"/>
        </w:tabs>
      </w:pPr>
      <w:hyperlink w:anchor="_Toc10009" w:history="1">
        <w:r>
          <w:rPr>
            <w:rFonts w:ascii="仿宋" w:eastAsia="仿宋" w:hAnsi="仿宋" w:cs="仿宋" w:hint="eastAsia"/>
            <w:lang w:eastAsia="zh-CN"/>
          </w:rPr>
          <w:t>(一)、高压自动重合器项目总投资估算</w:t>
        </w:r>
        <w:r>
          <w:tab/>
        </w:r>
        <w:r>
          <w:fldChar w:fldCharType="begin"/>
        </w:r>
        <w:r>
          <w:instrText xml:space="preserve"> PAGEREF _Toc10009 \h </w:instrText>
        </w:r>
        <w:r>
          <w:fldChar w:fldCharType="separate"/>
        </w:r>
        <w:r>
          <w:t>26</w:t>
        </w:r>
        <w:r>
          <w:fldChar w:fldCharType="end"/>
        </w:r>
      </w:hyperlink>
    </w:p>
    <w:p>
      <w:pPr>
        <w:pStyle w:val="TOC2"/>
        <w:tabs>
          <w:tab w:val="right" w:leader="dot" w:pos="8306"/>
        </w:tabs>
      </w:pPr>
      <w:hyperlink w:anchor="_Toc5396" w:history="1">
        <w:r>
          <w:rPr>
            <w:rFonts w:ascii="仿宋" w:eastAsia="仿宋" w:hAnsi="仿宋" w:cs="仿宋" w:hint="eastAsia"/>
            <w:lang w:eastAsia="zh-CN"/>
          </w:rPr>
          <w:t>(二)、资金筹措</w:t>
        </w:r>
        <w:r>
          <w:tab/>
        </w:r>
        <w:r>
          <w:fldChar w:fldCharType="begin"/>
        </w:r>
        <w:r>
          <w:instrText xml:space="preserve"> PAGEREF _Toc5396 \h </w:instrText>
        </w:r>
        <w:r>
          <w:fldChar w:fldCharType="separate"/>
        </w:r>
        <w:r>
          <w:t>27</w:t>
        </w:r>
        <w:r>
          <w:fldChar w:fldCharType="end"/>
        </w:r>
      </w:hyperlink>
    </w:p>
    <w:p>
      <w:pPr>
        <w:pStyle w:val="TOC1"/>
        <w:tabs>
          <w:tab w:val="right" w:leader="dot" w:pos="8306"/>
        </w:tabs>
      </w:pPr>
      <w:hyperlink w:anchor="_Toc10415" w:history="1">
        <w:r>
          <w:rPr>
            <w:rFonts w:ascii="仿宋" w:eastAsia="仿宋" w:hAnsi="仿宋" w:cs="仿宋" w:hint="eastAsia"/>
            <w:lang w:eastAsia="zh-CN"/>
          </w:rPr>
          <w:t>九、高压自动重合器项目计划安排</w:t>
        </w:r>
        <w:r>
          <w:tab/>
        </w:r>
        <w:r>
          <w:fldChar w:fldCharType="begin"/>
        </w:r>
        <w:r>
          <w:instrText xml:space="preserve"> PAGEREF _Toc10415 \h </w:instrText>
        </w:r>
        <w:r>
          <w:fldChar w:fldCharType="separate"/>
        </w:r>
        <w:r>
          <w:t>28</w:t>
        </w:r>
        <w:r>
          <w:fldChar w:fldCharType="end"/>
        </w:r>
      </w:hyperlink>
    </w:p>
    <w:p>
      <w:pPr>
        <w:pStyle w:val="TOC2"/>
        <w:tabs>
          <w:tab w:val="right" w:leader="dot" w:pos="8306"/>
        </w:tabs>
      </w:pPr>
      <w:hyperlink w:anchor="_Toc8041" w:history="1">
        <w:r>
          <w:rPr>
            <w:rFonts w:ascii="仿宋" w:eastAsia="仿宋" w:hAnsi="仿宋" w:cs="仿宋" w:hint="eastAsia"/>
            <w:lang w:eastAsia="zh-CN"/>
          </w:rPr>
          <w:t>(一)、建设周期</w:t>
        </w:r>
        <w:r>
          <w:tab/>
        </w:r>
        <w:r>
          <w:fldChar w:fldCharType="begin"/>
        </w:r>
        <w:r>
          <w:instrText xml:space="preserve"> PAGEREF _Toc8041 \h </w:instrText>
        </w:r>
        <w:r>
          <w:fldChar w:fldCharType="separate"/>
        </w:r>
        <w:r>
          <w:t>28</w:t>
        </w:r>
        <w:r>
          <w:fldChar w:fldCharType="end"/>
        </w:r>
      </w:hyperlink>
    </w:p>
    <w:p>
      <w:pPr>
        <w:pStyle w:val="TOC2"/>
        <w:tabs>
          <w:tab w:val="right" w:leader="dot" w:pos="8306"/>
        </w:tabs>
      </w:pPr>
      <w:hyperlink w:anchor="_Toc2060" w:history="1">
        <w:r>
          <w:rPr>
            <w:rFonts w:ascii="仿宋" w:eastAsia="仿宋" w:hAnsi="仿宋" w:cs="仿宋" w:hint="eastAsia"/>
            <w:lang w:eastAsia="zh-CN"/>
          </w:rPr>
          <w:t>(二)、建设进度</w:t>
        </w:r>
        <w:r>
          <w:tab/>
        </w:r>
        <w:r>
          <w:fldChar w:fldCharType="begin"/>
        </w:r>
        <w:r>
          <w:instrText xml:space="preserve"> PAGEREF _Toc2060 \h </w:instrText>
        </w:r>
        <w:r>
          <w:fldChar w:fldCharType="separate"/>
        </w:r>
        <w:r>
          <w:t>29</w:t>
        </w:r>
        <w:r>
          <w:fldChar w:fldCharType="end"/>
        </w:r>
      </w:hyperlink>
    </w:p>
    <w:p>
      <w:pPr>
        <w:pStyle w:val="TOC2"/>
        <w:tabs>
          <w:tab w:val="right" w:leader="dot" w:pos="8306"/>
        </w:tabs>
      </w:pPr>
      <w:hyperlink w:anchor="_Toc859" w:history="1">
        <w:r>
          <w:rPr>
            <w:rFonts w:ascii="仿宋" w:eastAsia="仿宋" w:hAnsi="仿宋" w:cs="仿宋" w:hint="eastAsia"/>
            <w:lang w:eastAsia="zh-CN"/>
          </w:rPr>
          <w:t>(三)、进度安排注意事项</w:t>
        </w:r>
        <w:r>
          <w:tab/>
        </w:r>
        <w:r>
          <w:fldChar w:fldCharType="begin"/>
        </w:r>
        <w:r>
          <w:instrText xml:space="preserve"> PAGEREF _Toc859 \h </w:instrText>
        </w:r>
        <w:r>
          <w:fldChar w:fldCharType="separate"/>
        </w:r>
        <w:r>
          <w:t>30</w:t>
        </w:r>
        <w:r>
          <w:fldChar w:fldCharType="end"/>
        </w:r>
      </w:hyperlink>
    </w:p>
    <w:p>
      <w:pPr>
        <w:pStyle w:val="TOC2"/>
        <w:tabs>
          <w:tab w:val="right" w:leader="dot" w:pos="8306"/>
        </w:tabs>
      </w:pPr>
      <w:hyperlink w:anchor="_Toc24251" w:history="1">
        <w:r>
          <w:rPr>
            <w:rFonts w:ascii="仿宋" w:eastAsia="仿宋" w:hAnsi="仿宋" w:cs="仿宋" w:hint="eastAsia"/>
            <w:lang w:eastAsia="zh-CN"/>
          </w:rPr>
          <w:t>(四)、人力资源配置</w:t>
        </w:r>
        <w:r>
          <w:tab/>
        </w:r>
        <w:r>
          <w:fldChar w:fldCharType="begin"/>
        </w:r>
        <w:r>
          <w:instrText xml:space="preserve"> PAGEREF _Toc24251 \h </w:instrText>
        </w:r>
        <w:r>
          <w:fldChar w:fldCharType="separate"/>
        </w:r>
        <w:r>
          <w:t>31</w:t>
        </w:r>
        <w:r>
          <w:fldChar w:fldCharType="end"/>
        </w:r>
      </w:hyperlink>
    </w:p>
    <w:p>
      <w:pPr>
        <w:pStyle w:val="TOC1"/>
        <w:tabs>
          <w:tab w:val="right" w:leader="dot" w:pos="8306"/>
        </w:tabs>
      </w:pPr>
      <w:hyperlink w:anchor="_Toc24038" w:history="1">
        <w:r>
          <w:rPr>
            <w:rFonts w:ascii="仿宋" w:eastAsia="仿宋" w:hAnsi="仿宋" w:cs="仿宋" w:hint="eastAsia"/>
            <w:lang w:eastAsia="zh-CN"/>
          </w:rPr>
          <w:t>十、高压自动重合器项目风险管理</w:t>
        </w:r>
        <w:r>
          <w:tab/>
        </w:r>
        <w:r>
          <w:fldChar w:fldCharType="begin"/>
        </w:r>
        <w:r>
          <w:instrText xml:space="preserve"> PAGEREF _Toc24038 \h </w:instrText>
        </w:r>
        <w:r>
          <w:fldChar w:fldCharType="separate"/>
        </w:r>
        <w:r>
          <w:t>32</w:t>
        </w:r>
        <w:r>
          <w:fldChar w:fldCharType="end"/>
        </w:r>
      </w:hyperlink>
    </w:p>
    <w:p>
      <w:pPr>
        <w:pStyle w:val="TOC2"/>
        <w:tabs>
          <w:tab w:val="right" w:leader="dot" w:pos="8306"/>
        </w:tabs>
      </w:pPr>
      <w:hyperlink w:anchor="_Toc245" w:history="1">
        <w:r>
          <w:rPr>
            <w:rFonts w:ascii="仿宋" w:eastAsia="仿宋" w:hAnsi="仿宋" w:cs="仿宋" w:hint="eastAsia"/>
            <w:lang w:eastAsia="zh-CN"/>
          </w:rPr>
          <w:t>(一)、风险识别与评估</w:t>
        </w:r>
        <w:r>
          <w:tab/>
        </w:r>
        <w:r>
          <w:fldChar w:fldCharType="begin"/>
        </w:r>
        <w:r>
          <w:instrText xml:space="preserve"> PAGEREF _Toc245 \h </w:instrText>
        </w:r>
        <w:r>
          <w:fldChar w:fldCharType="separate"/>
        </w:r>
        <w:r>
          <w:t>32</w:t>
        </w:r>
        <w:r>
          <w:fldChar w:fldCharType="end"/>
        </w:r>
      </w:hyperlink>
    </w:p>
    <w:p>
      <w:pPr>
        <w:pStyle w:val="TOC2"/>
        <w:tabs>
          <w:tab w:val="right" w:leader="dot" w:pos="8306"/>
        </w:tabs>
      </w:pPr>
      <w:hyperlink w:anchor="_Toc30916" w:history="1">
        <w:r>
          <w:rPr>
            <w:rFonts w:ascii="仿宋" w:eastAsia="仿宋" w:hAnsi="仿宋" w:cs="仿宋" w:hint="eastAsia"/>
            <w:lang w:eastAsia="zh-CN"/>
          </w:rPr>
          <w:t>(二)、风险应对策略</w:t>
        </w:r>
        <w:r>
          <w:tab/>
        </w:r>
        <w:r>
          <w:fldChar w:fldCharType="begin"/>
        </w:r>
        <w:r>
          <w:instrText xml:space="preserve"> PAGEREF _Toc30916 \h </w:instrText>
        </w:r>
        <w:r>
          <w:fldChar w:fldCharType="separate"/>
        </w:r>
        <w:r>
          <w:t>33</w:t>
        </w:r>
        <w:r>
          <w:fldChar w:fldCharType="end"/>
        </w:r>
      </w:hyperlink>
    </w:p>
    <w:p>
      <w:pPr>
        <w:pStyle w:val="TOC2"/>
        <w:tabs>
          <w:tab w:val="right" w:leader="dot" w:pos="8306"/>
        </w:tabs>
      </w:pPr>
      <w:hyperlink w:anchor="_Toc26191" w:history="1">
        <w:r>
          <w:rPr>
            <w:rFonts w:ascii="仿宋" w:eastAsia="仿宋" w:hAnsi="仿宋" w:cs="仿宋" w:hint="eastAsia"/>
            <w:lang w:eastAsia="zh-CN"/>
          </w:rPr>
          <w:t>(三)、风险监控与控制</w:t>
        </w:r>
        <w:r>
          <w:tab/>
        </w:r>
        <w:r>
          <w:fldChar w:fldCharType="begin"/>
        </w:r>
        <w:r>
          <w:instrText xml:space="preserve"> PAGEREF _Toc26191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5" w:history="1">
        <w:r>
          <w:rPr>
            <w:rFonts w:ascii="仿宋" w:eastAsia="仿宋" w:hAnsi="仿宋" w:cs="仿宋" w:hint="eastAsia"/>
            <w:lang w:eastAsia="zh-CN"/>
          </w:rPr>
          <w:t>十一、高压自动重合器项目经营效益</w:t>
        </w:r>
        <w:r>
          <w:tab/>
        </w:r>
        <w:r>
          <w:fldChar w:fldCharType="begin"/>
        </w:r>
        <w:r>
          <w:instrText xml:space="preserve"> PAGEREF _Toc30455 \h </w:instrText>
        </w:r>
        <w:r>
          <w:fldChar w:fldCharType="separate"/>
        </w:r>
        <w:r>
          <w:t>36</w:t>
        </w:r>
        <w:r>
          <w:fldChar w:fldCharType="end"/>
        </w:r>
      </w:hyperlink>
    </w:p>
    <w:p>
      <w:pPr>
        <w:pStyle w:val="TOC2"/>
        <w:tabs>
          <w:tab w:val="right" w:leader="dot" w:pos="8306"/>
        </w:tabs>
      </w:pPr>
      <w:hyperlink w:anchor="_Toc28823" w:history="1">
        <w:r>
          <w:rPr>
            <w:rFonts w:ascii="仿宋" w:eastAsia="仿宋" w:hAnsi="仿宋" w:cs="仿宋" w:hint="eastAsia"/>
            <w:lang w:eastAsia="zh-CN"/>
          </w:rPr>
          <w:t>(一)、经济评价财务测算</w:t>
        </w:r>
        <w:r>
          <w:tab/>
        </w:r>
        <w:r>
          <w:fldChar w:fldCharType="begin"/>
        </w:r>
        <w:r>
          <w:instrText xml:space="preserve"> PAGEREF _Toc28823 \h </w:instrText>
        </w:r>
        <w:r>
          <w:fldChar w:fldCharType="separate"/>
        </w:r>
        <w:r>
          <w:t>36</w:t>
        </w:r>
        <w:r>
          <w:fldChar w:fldCharType="end"/>
        </w:r>
      </w:hyperlink>
    </w:p>
    <w:p>
      <w:pPr>
        <w:pStyle w:val="TOC2"/>
        <w:tabs>
          <w:tab w:val="right" w:leader="dot" w:pos="8306"/>
        </w:tabs>
      </w:pPr>
      <w:hyperlink w:anchor="_Toc6808" w:history="1">
        <w:r>
          <w:rPr>
            <w:rFonts w:ascii="仿宋" w:eastAsia="仿宋" w:hAnsi="仿宋" w:cs="仿宋" w:hint="eastAsia"/>
            <w:lang w:eastAsia="zh-CN"/>
          </w:rPr>
          <w:t>(二)、高压自动重合器项目盈利能力分析</w:t>
        </w:r>
        <w:r>
          <w:tab/>
        </w:r>
        <w:r>
          <w:fldChar w:fldCharType="begin"/>
        </w:r>
        <w:r>
          <w:instrText xml:space="preserve"> PAGEREF _Toc6808 \h </w:instrText>
        </w:r>
        <w:r>
          <w:fldChar w:fldCharType="separate"/>
        </w:r>
        <w:r>
          <w:t>37</w:t>
        </w:r>
        <w:r>
          <w:fldChar w:fldCharType="end"/>
        </w:r>
      </w:hyperlink>
    </w:p>
    <w:p>
      <w:pPr>
        <w:pStyle w:val="TOC1"/>
        <w:tabs>
          <w:tab w:val="right" w:leader="dot" w:pos="8306"/>
        </w:tabs>
      </w:pPr>
      <w:hyperlink w:anchor="_Toc19175" w:history="1">
        <w:r>
          <w:rPr>
            <w:rFonts w:ascii="仿宋" w:eastAsia="仿宋" w:hAnsi="仿宋" w:cs="仿宋" w:hint="eastAsia"/>
            <w:lang w:eastAsia="zh-CN"/>
          </w:rPr>
          <w:t>十二、高压自动重合器项目创新与研发</w:t>
        </w:r>
        <w:r>
          <w:tab/>
        </w:r>
        <w:r>
          <w:fldChar w:fldCharType="begin"/>
        </w:r>
        <w:r>
          <w:instrText xml:space="preserve"> PAGEREF _Toc19175 \h </w:instrText>
        </w:r>
        <w:r>
          <w:fldChar w:fldCharType="separate"/>
        </w:r>
        <w:r>
          <w:t>38</w:t>
        </w:r>
        <w:r>
          <w:fldChar w:fldCharType="end"/>
        </w:r>
      </w:hyperlink>
    </w:p>
    <w:p>
      <w:pPr>
        <w:pStyle w:val="TOC2"/>
        <w:tabs>
          <w:tab w:val="right" w:leader="dot" w:pos="8306"/>
        </w:tabs>
      </w:pPr>
      <w:hyperlink w:anchor="_Toc5690" w:history="1">
        <w:r>
          <w:rPr>
            <w:rFonts w:ascii="仿宋" w:eastAsia="仿宋" w:hAnsi="仿宋" w:cs="仿宋" w:hint="eastAsia"/>
            <w:lang w:eastAsia="zh-CN"/>
          </w:rPr>
          <w:t>(一)、创新策略与方向</w:t>
        </w:r>
        <w:r>
          <w:tab/>
        </w:r>
        <w:r>
          <w:fldChar w:fldCharType="begin"/>
        </w:r>
        <w:r>
          <w:instrText xml:space="preserve"> PAGEREF _Toc5690 \h </w:instrText>
        </w:r>
        <w:r>
          <w:fldChar w:fldCharType="separate"/>
        </w:r>
        <w:r>
          <w:t>38</w:t>
        </w:r>
        <w:r>
          <w:fldChar w:fldCharType="end"/>
        </w:r>
      </w:hyperlink>
    </w:p>
    <w:p>
      <w:pPr>
        <w:pStyle w:val="TOC2"/>
        <w:tabs>
          <w:tab w:val="right" w:leader="dot" w:pos="8306"/>
        </w:tabs>
      </w:pPr>
      <w:hyperlink w:anchor="_Toc10737" w:history="1">
        <w:r>
          <w:rPr>
            <w:rFonts w:ascii="仿宋" w:eastAsia="仿宋" w:hAnsi="仿宋" w:cs="仿宋" w:hint="eastAsia"/>
            <w:lang w:eastAsia="zh-CN"/>
          </w:rPr>
          <w:t>(二)、研发规划与投入</w:t>
        </w:r>
        <w:r>
          <w:tab/>
        </w:r>
        <w:r>
          <w:fldChar w:fldCharType="begin"/>
        </w:r>
        <w:r>
          <w:instrText xml:space="preserve"> PAGEREF _Toc10737 \h </w:instrText>
        </w:r>
        <w:r>
          <w:fldChar w:fldCharType="separate"/>
        </w:r>
        <w:r>
          <w:t>40</w:t>
        </w:r>
        <w:r>
          <w:fldChar w:fldCharType="end"/>
        </w:r>
      </w:hyperlink>
    </w:p>
    <w:p>
      <w:pPr>
        <w:pStyle w:val="TOC1"/>
        <w:tabs>
          <w:tab w:val="right" w:leader="dot" w:pos="8306"/>
        </w:tabs>
      </w:pPr>
      <w:hyperlink w:anchor="_Toc11881" w:history="1">
        <w:r>
          <w:rPr>
            <w:rFonts w:ascii="仿宋" w:eastAsia="仿宋" w:hAnsi="仿宋" w:cs="仿宋" w:hint="eastAsia"/>
            <w:lang w:eastAsia="zh-CN"/>
          </w:rPr>
          <w:t>十三、高压自动重合器项目变更管理</w:t>
        </w:r>
        <w:r>
          <w:tab/>
        </w:r>
        <w:r>
          <w:fldChar w:fldCharType="begin"/>
        </w:r>
        <w:r>
          <w:instrText xml:space="preserve"> PAGEREF _Toc11881 \h </w:instrText>
        </w:r>
        <w:r>
          <w:fldChar w:fldCharType="separate"/>
        </w:r>
        <w:r>
          <w:t>41</w:t>
        </w:r>
        <w:r>
          <w:fldChar w:fldCharType="end"/>
        </w:r>
      </w:hyperlink>
    </w:p>
    <w:p>
      <w:pPr>
        <w:pStyle w:val="TOC2"/>
        <w:tabs>
          <w:tab w:val="right" w:leader="dot" w:pos="8306"/>
        </w:tabs>
      </w:pPr>
      <w:hyperlink w:anchor="_Toc16405" w:history="1">
        <w:r>
          <w:rPr>
            <w:rFonts w:ascii="仿宋" w:eastAsia="仿宋" w:hAnsi="仿宋" w:cs="仿宋" w:hint="eastAsia"/>
            <w:lang w:eastAsia="zh-CN"/>
          </w:rPr>
          <w:t>(一)、变更申请与评估</w:t>
        </w:r>
        <w:r>
          <w:tab/>
        </w:r>
        <w:r>
          <w:fldChar w:fldCharType="begin"/>
        </w:r>
        <w:r>
          <w:instrText xml:space="preserve"> PAGEREF _Toc16405 \h </w:instrText>
        </w:r>
        <w:r>
          <w:fldChar w:fldCharType="separate"/>
        </w:r>
        <w:r>
          <w:t>41</w:t>
        </w:r>
        <w:r>
          <w:fldChar w:fldCharType="end"/>
        </w:r>
      </w:hyperlink>
    </w:p>
    <w:p>
      <w:pPr>
        <w:pStyle w:val="TOC2"/>
        <w:tabs>
          <w:tab w:val="right" w:leader="dot" w:pos="8306"/>
        </w:tabs>
      </w:pPr>
      <w:hyperlink w:anchor="_Toc21512" w:history="1">
        <w:r>
          <w:rPr>
            <w:rFonts w:ascii="仿宋" w:eastAsia="仿宋" w:hAnsi="仿宋" w:cs="仿宋" w:hint="eastAsia"/>
            <w:lang w:eastAsia="zh-CN"/>
          </w:rPr>
          <w:t>(二)、变更实施与控制</w:t>
        </w:r>
        <w:r>
          <w:tab/>
        </w:r>
        <w:r>
          <w:fldChar w:fldCharType="begin"/>
        </w:r>
        <w:r>
          <w:instrText xml:space="preserve"> PAGEREF _Toc21512 \h </w:instrText>
        </w:r>
        <w:r>
          <w:fldChar w:fldCharType="separate"/>
        </w:r>
        <w:r>
          <w:t>42</w:t>
        </w:r>
        <w:r>
          <w:fldChar w:fldCharType="end"/>
        </w:r>
      </w:hyperlink>
    </w:p>
    <w:p>
      <w:pPr>
        <w:pStyle w:val="TOC1"/>
        <w:tabs>
          <w:tab w:val="right" w:leader="dot" w:pos="8306"/>
        </w:tabs>
      </w:pPr>
      <w:hyperlink w:anchor="_Toc2752" w:history="1">
        <w:r>
          <w:rPr>
            <w:rFonts w:ascii="仿宋" w:eastAsia="仿宋" w:hAnsi="仿宋" w:cs="仿宋" w:hint="eastAsia"/>
            <w:lang w:eastAsia="zh-CN"/>
          </w:rPr>
          <w:t>十四、风险识别与分类</w:t>
        </w:r>
        <w:r>
          <w:tab/>
        </w:r>
        <w:r>
          <w:fldChar w:fldCharType="begin"/>
        </w:r>
        <w:r>
          <w:instrText xml:space="preserve"> PAGEREF _Toc2752 \h </w:instrText>
        </w:r>
        <w:r>
          <w:fldChar w:fldCharType="separate"/>
        </w:r>
        <w:r>
          <w:t>43</w:t>
        </w:r>
        <w:r>
          <w:fldChar w:fldCharType="end"/>
        </w:r>
      </w:hyperlink>
    </w:p>
    <w:p>
      <w:pPr>
        <w:pStyle w:val="TOC2"/>
        <w:tabs>
          <w:tab w:val="right" w:leader="dot" w:pos="8306"/>
        </w:tabs>
      </w:pPr>
      <w:hyperlink w:anchor="_Toc26257" w:history="1">
        <w:r>
          <w:rPr>
            <w:rFonts w:ascii="仿宋" w:eastAsia="仿宋" w:hAnsi="仿宋" w:cs="仿宋" w:hint="eastAsia"/>
            <w:lang w:eastAsia="zh-CN"/>
          </w:rPr>
          <w:t>(一)、风险识别</w:t>
        </w:r>
        <w:r>
          <w:tab/>
        </w:r>
        <w:r>
          <w:fldChar w:fldCharType="begin"/>
        </w:r>
        <w:r>
          <w:instrText xml:space="preserve"> PAGEREF _Toc26257 \h </w:instrText>
        </w:r>
        <w:r>
          <w:fldChar w:fldCharType="separate"/>
        </w:r>
        <w:r>
          <w:t>43</w:t>
        </w:r>
        <w:r>
          <w:fldChar w:fldCharType="end"/>
        </w:r>
      </w:hyperlink>
    </w:p>
    <w:p>
      <w:pPr>
        <w:pStyle w:val="TOC2"/>
        <w:tabs>
          <w:tab w:val="right" w:leader="dot" w:pos="8306"/>
        </w:tabs>
      </w:pPr>
      <w:hyperlink w:anchor="_Toc3107" w:history="1">
        <w:r>
          <w:rPr>
            <w:rFonts w:ascii="仿宋" w:eastAsia="仿宋" w:hAnsi="仿宋" w:cs="仿宋" w:hint="eastAsia"/>
            <w:lang w:eastAsia="zh-CN"/>
          </w:rPr>
          <w:t>(二)、风险分类</w:t>
        </w:r>
        <w:r>
          <w:tab/>
        </w:r>
        <w:r>
          <w:fldChar w:fldCharType="begin"/>
        </w:r>
        <w:r>
          <w:instrText xml:space="preserve"> PAGEREF _Toc3107 \h </w:instrText>
        </w:r>
        <w:r>
          <w:fldChar w:fldCharType="separate"/>
        </w:r>
        <w:r>
          <w:t>44</w:t>
        </w:r>
        <w:r>
          <w:fldChar w:fldCharType="end"/>
        </w:r>
      </w:hyperlink>
    </w:p>
    <w:p>
      <w:pPr>
        <w:pStyle w:val="TOC1"/>
        <w:tabs>
          <w:tab w:val="right" w:leader="dot" w:pos="8306"/>
        </w:tabs>
      </w:pPr>
      <w:hyperlink w:anchor="_Toc1426" w:history="1">
        <w:r>
          <w:rPr>
            <w:rFonts w:ascii="仿宋" w:eastAsia="仿宋" w:hAnsi="仿宋" w:cs="仿宋" w:hint="eastAsia"/>
            <w:lang w:eastAsia="zh-CN"/>
          </w:rPr>
          <w:t>十五、高压自动重合器项目实施保障措施</w:t>
        </w:r>
        <w:r>
          <w:tab/>
        </w:r>
        <w:r>
          <w:fldChar w:fldCharType="begin"/>
        </w:r>
        <w:r>
          <w:instrText xml:space="preserve"> PAGEREF _Toc1426 \h </w:instrText>
        </w:r>
        <w:r>
          <w:fldChar w:fldCharType="separate"/>
        </w:r>
        <w:r>
          <w:t>46</w:t>
        </w:r>
        <w:r>
          <w:fldChar w:fldCharType="end"/>
        </w:r>
      </w:hyperlink>
    </w:p>
    <w:p>
      <w:pPr>
        <w:pStyle w:val="TOC2"/>
        <w:tabs>
          <w:tab w:val="right" w:leader="dot" w:pos="8306"/>
        </w:tabs>
      </w:pPr>
      <w:hyperlink w:anchor="_Toc23365" w:history="1">
        <w:r>
          <w:rPr>
            <w:rFonts w:ascii="仿宋" w:eastAsia="仿宋" w:hAnsi="仿宋" w:cs="仿宋" w:hint="eastAsia"/>
            <w:lang w:eastAsia="zh-CN"/>
          </w:rPr>
          <w:t>(一)、高压自动重合器项目实施保障机制</w:t>
        </w:r>
        <w:r>
          <w:tab/>
        </w:r>
        <w:r>
          <w:fldChar w:fldCharType="begin"/>
        </w:r>
        <w:r>
          <w:instrText xml:space="preserve"> PAGEREF _Toc23365 \h </w:instrText>
        </w:r>
        <w:r>
          <w:fldChar w:fldCharType="separate"/>
        </w:r>
        <w:r>
          <w:t>46</w:t>
        </w:r>
        <w:r>
          <w:fldChar w:fldCharType="end"/>
        </w:r>
      </w:hyperlink>
    </w:p>
    <w:p>
      <w:pPr>
        <w:pStyle w:val="TOC2"/>
        <w:tabs>
          <w:tab w:val="right" w:leader="dot" w:pos="8306"/>
        </w:tabs>
      </w:pPr>
      <w:hyperlink w:anchor="_Toc21211" w:history="1">
        <w:r>
          <w:rPr>
            <w:rFonts w:ascii="仿宋" w:eastAsia="仿宋" w:hAnsi="仿宋" w:cs="仿宋" w:hint="eastAsia"/>
            <w:lang w:eastAsia="zh-CN"/>
          </w:rPr>
          <w:t>(二)、高压自动重合器项目法律合规要求</w:t>
        </w:r>
        <w:r>
          <w:tab/>
        </w:r>
        <w:r>
          <w:fldChar w:fldCharType="begin"/>
        </w:r>
        <w:r>
          <w:instrText xml:space="preserve"> PAGEREF _Toc21211 \h </w:instrText>
        </w:r>
        <w:r>
          <w:fldChar w:fldCharType="separate"/>
        </w:r>
        <w:r>
          <w:t>50</w:t>
        </w:r>
        <w:r>
          <w:fldChar w:fldCharType="end"/>
        </w:r>
      </w:hyperlink>
    </w:p>
    <w:p>
      <w:pPr>
        <w:pStyle w:val="TOC2"/>
        <w:tabs>
          <w:tab w:val="right" w:leader="dot" w:pos="8306"/>
        </w:tabs>
      </w:pPr>
      <w:hyperlink w:anchor="_Toc1529" w:history="1">
        <w:r>
          <w:rPr>
            <w:rFonts w:ascii="仿宋" w:eastAsia="仿宋" w:hAnsi="仿宋" w:cs="仿宋" w:hint="eastAsia"/>
            <w:lang w:eastAsia="zh-CN"/>
          </w:rPr>
          <w:t>(三)、高压自动重合器项目合同管理与法律事务</w:t>
        </w:r>
        <w:r>
          <w:tab/>
        </w:r>
        <w:r>
          <w:fldChar w:fldCharType="begin"/>
        </w:r>
        <w:r>
          <w:instrText xml:space="preserve"> PAGEREF _Toc1529 \h </w:instrText>
        </w:r>
        <w:r>
          <w:fldChar w:fldCharType="separate"/>
        </w:r>
        <w:r>
          <w:t>54</w:t>
        </w:r>
        <w:r>
          <w:fldChar w:fldCharType="end"/>
        </w:r>
      </w:hyperlink>
    </w:p>
    <w:p>
      <w:pPr>
        <w:pStyle w:val="TOC2"/>
        <w:tabs>
          <w:tab w:val="right" w:leader="dot" w:pos="8306"/>
        </w:tabs>
      </w:pPr>
      <w:hyperlink w:anchor="_Toc21295" w:history="1">
        <w:r>
          <w:rPr>
            <w:rFonts w:ascii="仿宋" w:eastAsia="仿宋" w:hAnsi="仿宋" w:cs="仿宋" w:hint="eastAsia"/>
            <w:lang w:eastAsia="zh-CN"/>
          </w:rPr>
          <w:t>(四)、高压自动重合器项目知识产权保护策略</w:t>
        </w:r>
        <w:r>
          <w:tab/>
        </w:r>
        <w:r>
          <w:fldChar w:fldCharType="begin"/>
        </w:r>
        <w:r>
          <w:instrText xml:space="preserve"> PAGEREF _Toc21295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43"/>
      <w:r>
        <w:rPr>
          <w:rFonts w:ascii="仿宋" w:eastAsia="仿宋" w:hAnsi="仿宋" w:cs="仿宋" w:hint="eastAsia"/>
          <w:sz w:val="28"/>
          <w:lang w:eastAsia="zh-CN"/>
        </w:rPr>
        <w:t>一、高压自动重合器项目概论</w:t>
      </w:r>
      <w:bookmarkEnd w:id="2"/>
    </w:p>
    <w:p>
      <w:pPr>
        <w:pStyle w:val="Heading2"/>
        <w:rPr>
          <w:rFonts w:ascii="仿宋" w:eastAsia="仿宋" w:hAnsi="仿宋" w:cs="仿宋" w:hint="eastAsia"/>
          <w:lang w:eastAsia="zh-CN"/>
        </w:rPr>
      </w:pPr>
      <w:bookmarkStart w:id="3" w:name="_Toc4277"/>
      <w:r>
        <w:rPr>
          <w:rFonts w:ascii="仿宋" w:eastAsia="仿宋" w:hAnsi="仿宋" w:cs="仿宋" w:hint="eastAsia"/>
          <w:lang w:eastAsia="zh-CN"/>
        </w:rPr>
        <w:t>(一)、高压自动重合器项目概况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起源追溯至对市场的深入洞察。市场的不断演变与变革为高压自动重合器项目提供了难得的机遇。当前市场存在的需求缺口和变革的大环境共同构成了高压自动重合器项目的背景。这个高压自动重合器项目旨在充分利用市场机遇，填补行业中尚未满足的需求，为客户提供全新的解决方案。市场的变革和需求的增长使得这个高压自动重合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高压自动重合器项目名称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压自动重合器项目正式命名为高压自动重合器。这个名称不仅仅是一个标识，更代表了高压自动重合器项目的核心理念和愿景。它蕴含着高压自动重合器项目所要解决问题的关键字，具有强烈的表达和辨识度，为高压自动重合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高压自动重合器项目目标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核心目标是提供一种全新、高效的解决方案，满足客户日益增长的需求。高压自动重合器项目追求的不仅仅是满足市场需求，更是在市场中获得卓越的竞争优势。通过不断提升产品或服务的质量和创新水平，高压自动重合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高压自动重合器项目范围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全面涵盖了产品研发、制造、市场推广和售后服务，确保从产品设计到最终用户体验的全方位关注。这一全面的高压自动重合器项目范围是为了确保高压自动重合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高压自动重合器项目时间表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高压自动重合器项目计划在未来18个月内完成，包括研发、测试、市场试点和正式推出等不同阶段。这个时间表的合理设计是为了确保高压自动重合器项目各个阶段的顺利推进，以便按时交付高质量的成果。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高压自动重合器项目预算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总预算估算为XX百万美元，主要分配在研发、市场推广、人员培训和运营等方面。这一充足的预算为高压自动重合器项目提供了充足的资源，确保高压自动重合器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高压自动重合器项目风险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可能面临的风险包括市场接受度低、技术难题、竞争激烈等。高压自动重合器项目团队已经制定了相应的风险应对计划，通过前瞻性的风险管理，确保高压自动重合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高压自动重合器项目团队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高压自动重合器项目汇聚了一支经验丰富、多领域专业素养的核心团队，确保高压自动重合器项目在各个方面都能拥有高水平的执行力。团队的协同作战是高压自动重合器项目成功的关键因素之一。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高压自动重合器项目背景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高压自动重合器项目的背景根植于市场对更高效、创新产品的渴望，同时也受到科技发展对行业格局的深刻改变的影响。这为高压自动重合器项目提供了广阔的发展空间和市场需求。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高压自动重合器项目现状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截至目前，高压自动重合器项目已完成市场调研和技术验证，取得了初步的成功。这为高压自动重合器项目在未来的发展奠定了坚实的基础，为更远大的目标打下了坚实的基石。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179"/>
      <w:r>
        <w:rPr>
          <w:rFonts w:ascii="仿宋" w:eastAsia="仿宋" w:hAnsi="仿宋" w:cs="仿宋" w:hint="eastAsia"/>
          <w:sz w:val="28"/>
          <w:lang w:eastAsia="zh-CN"/>
        </w:rPr>
        <w:t>(二)、高压自动重合器项目目标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keyword》高压自动重合器项目首要业务目标是在市场中占据有利地位，实现产品/服务的成功推广和销售。通过不断提升产品质量、创新性，高压自动重合器项目追求成为行业中的领导者，赢得更多客户的青睐。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在科技迅速发展的时代，高压自动重合器项目着眼于技术创新。通过持续的研发和技术升级，高压自动重合器项目旨在推出更具创新性的产品或服务，以满足市场对新鲜、先进解决方案的需求。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为了建立可持续的客户关系，高压自动重合器项目设定了客户满意度目标。通过提供卓越的产品质量和优质的客户服务，高压自动重合器项目追求赢得客户的信任和忠诚度，确保他们的满意度达到行业领先水平。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高压自动重合器项目注重社会责任和可持续发展。通过实施环保、社会责任高压自动重合器项目，高压自动重合器项目致力于在经济发展的同时保护环境，促进社会公平，实现可持续经营。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高压自动重合器项目的团队是实现目标的核心驱动力。因此，高压自动重合器项目设定了团队发展目标，包括提升团队成员的专业技能、培养领导力，以及搭建协同高效的团队工作氛围。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496"/>
      <w:r>
        <w:rPr>
          <w:rFonts w:ascii="仿宋" w:eastAsia="仿宋" w:hAnsi="仿宋" w:cs="仿宋" w:hint="eastAsia"/>
          <w:sz w:val="28"/>
          <w:lang w:eastAsia="zh-CN"/>
        </w:rPr>
        <w:t>(三)、高压自动重合器项目提出的理由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高压自动重合器项目提出的理由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提出源于对市场机遇的深刻洞察。当前市场中存在的需求缺口和行业发展趋势表明，有巨大的商业机会等待被开发。通过准确捕捉市场机遇，高压自动重合器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理念基于对技术创新的信仰。通过持续的研发和技术投入，高压自动重合器项目有望推出更具创新性的产品或服务。在科技飞速发展的当下，高压自动重合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提出是为了增强企业的行业竞争力。通过提升产品或服务的质量和独特性，高压自动重合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响应了消费者需求的变化。随着社会和科技的不断发展，消费者对产品和服务的需求也在发生变化。通过深入了解并及时回应消费者的新需求，高压自动重合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提出是企业战略发展规划的一部分。在面对日益激烈的市场竞争和不断变化的商业环境中，高压自动重合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提出不仅仅是基于商业考量，还注重社会责任。通过推出环保、社会责任等方面的高压自动重合器项目，高压自动重合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高压自动重合器项目的提出反映了对利益相关者期望的关注。包括客户、员工、投资者等利益相关者在企业发展中都有着各自的期望，高压自动重合器项目力求在满足这些期望的同时，取得更大的共赢。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702"/>
      <w:r>
        <w:rPr>
          <w:rFonts w:ascii="仿宋" w:eastAsia="仿宋" w:hAnsi="仿宋" w:cs="仿宋" w:hint="eastAsia"/>
          <w:sz w:val="28"/>
          <w:lang w:eastAsia="zh-CN"/>
        </w:rPr>
        <w:t>(四)、高压自动重合器项目意义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在实施高压自动重合器项目的过程中，我们不仅仅是在追逐商业成功，更是为企业和社会的多个层面创造了深远的意义。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首要意义在于提升企业的市场竞争力。通过持续的创新和对产品质量的高标准要求，高压自动重合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自动重合器项目的推进将促使行业技术水平的提升。通过引入先进技术和创新性解决方案，高压自动重合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自动重合器项目不仅创造了大量就业机会，提高了就业水平，还注重社会责任和环保。通过参与社会公益事业和推动环保高压自动重合器项目，高压自动重合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综合而言，高压自动重合器项目意义重大，不仅推动了企业的发展，也为行业和社会的进步贡献了积极力量。这是一个全面而深刻的影响，将在未来产生可持续的正面效应。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005"/>
      <w:r>
        <w:rPr>
          <w:rFonts w:ascii="仿宋" w:eastAsia="仿宋" w:hAnsi="仿宋" w:cs="仿宋" w:hint="eastAsia"/>
          <w:sz w:val="28"/>
          <w:lang w:eastAsia="zh-CN"/>
        </w:rPr>
        <w:t>(五)、高压自动重合器项目背景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在当今迅猛发展的商业环境中，高压自动重合器项目的动因根植于对多方面因素的审慎考量。这个高压自动重合器项目的提出并非孤立的决策，而是对企业所处背景深入思考的产物。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压自动重合器项目背后的首要原因。科技的迅速发展和全球市场的快速变化使得企业必须灵活应对。高压自动重合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竞争的激烈程度也是高压自动重合器项目背景中不可忽视的一环。企业需要在激烈竞争中脱颖而出，为此，高压自动重合器项目致力于打破常规，提供独特的价值主张，以吸引客户并确保市场份额的增长。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技术的迅速发展为企业带来了机遇与挑战。作为高压自动重合器项目启动的背景之一，对新兴技术的应用将有助于提升企业的技术水平，使其在不断演进的商业环境中保持竞争优势。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此外，社会对企业责任的期望也在逐渐升高。高压自动重合器项目充分融入了社会责任的理念，通过可持续经营和社会公益高压自动重合器项目，企图为社会贡献一份力量，在商业成功的同时关注社会价值。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984"/>
      <w:r>
        <w:rPr>
          <w:rFonts w:ascii="仿宋" w:eastAsia="仿宋" w:hAnsi="仿宋" w:cs="仿宋" w:hint="eastAsia"/>
          <w:sz w:val="28"/>
          <w:lang w:eastAsia="zh-CN"/>
        </w:rPr>
        <w:t>二、高压自动重合器项目文档管理</w:t>
      </w:r>
      <w:bookmarkEnd w:id="8"/>
    </w:p>
    <w:p>
      <w:pPr>
        <w:pStyle w:val="Heading2"/>
        <w:rPr>
          <w:rFonts w:ascii="仿宋" w:eastAsia="仿宋" w:hAnsi="仿宋" w:cs="仿宋" w:hint="eastAsia"/>
          <w:lang w:eastAsia="zh-CN"/>
        </w:rPr>
      </w:pPr>
      <w:bookmarkStart w:id="9" w:name="_Toc2864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高压自动重合器项目高度重视文档的质量和准确性，以支持高压自动重合器项目的各项活动和决策。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文档的编制始于高压自动重合器项目计划的初期，我们制定了详细的文档编制计划，明确了每个文档的内容、格式和编写责任人。在高压自动重合器项目启动阶段，我们首先编制了高压自动重合器项目章程，明确定义了高压自动重合器项目的目标、范围、风险等关键要素。随后，高压自动重合器项目团队根据计划陆续编制了需求文档、设计文档、测试文档等各类文档，确保高压自动重合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自动重合器项目管理中的重要环节，旨在确保高压自动重合器项目文档符合质量标准和高压自动重合器项目需求。在高压自动重合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自动重合器项目相关利益方和专业领域的专家对文档进行独立审查。这有助于获取更全面、客观的反馈，确保高压自动重合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高压自动重合器项目在文档编制与审查方面建立了严格的管理机制，通过规范的流程和多维度的审查，确保高压自动重合器项目文档的质量、准确性和可靠性，为高压自动重合器项目的顺利推进提供了有力支持。</w:t>
      </w:r>
    </w:p>
    <w:p>
      <w:pPr>
        <w:pStyle w:val="Heading2"/>
        <w:ind w:firstLine="560" w:firstLineChars="200"/>
        <w:rPr>
          <w:rFonts w:ascii="仿宋" w:eastAsia="仿宋" w:hAnsi="仿宋" w:cs="仿宋" w:hint="eastAsia"/>
          <w:sz w:val="28"/>
          <w:lang w:eastAsia="zh-CN"/>
        </w:rPr>
      </w:pPr>
      <w:bookmarkStart w:id="10" w:name="_Toc2642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在高压自动重合器项目中，我们致力于优化文档发布与分发过程，以确保信息的高效传递和团队间协作的顺畅进行。以下是我们采取的关键优化策略：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我们通过多渠道发布文档，包括电子邮件、高压自动重合器项目管理平台、内部网站等，以满足不同团队成员的偏好和需求。多渠道发布确保了信息的全面覆盖。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我们采用了精细的权限控制，确保只有授权人员可以访问敏感信息。这种安全措施保护了高压自动重合器项目文档的机密性，防止了未经授权的信息泄露。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22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自动重合器项目生命周期中一个至关重要的环节，直接关系到高压自动重合器项目信息的长期保存和历史记录的完整性。在高压自动重合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472"/>
      <w:r>
        <w:rPr>
          <w:rFonts w:ascii="仿宋" w:eastAsia="仿宋" w:hAnsi="仿宋" w:cs="仿宋" w:hint="eastAsia"/>
          <w:sz w:val="28"/>
          <w:lang w:eastAsia="zh-CN"/>
        </w:rPr>
        <w:t>三、高压自动重合器项目可持续发展</w:t>
      </w:r>
      <w:bookmarkEnd w:id="12"/>
    </w:p>
    <w:p>
      <w:pPr>
        <w:pStyle w:val="Heading2"/>
        <w:rPr>
          <w:rFonts w:ascii="仿宋" w:eastAsia="仿宋" w:hAnsi="仿宋" w:cs="仿宋" w:hint="eastAsia"/>
          <w:lang w:eastAsia="zh-CN"/>
        </w:rPr>
      </w:pPr>
      <w:bookmarkStart w:id="13" w:name="_Toc1101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自动重合器项目中，高压自动重合器项目团队着眼于未来，明确了可持续发展的战略方向。制定的具体可持续发展目标包括降低资源使用、采用环保技术、最大化社会效益等。这一步骤不仅有助于高压自动重合器项目在环保和社会责任方面达到最高标准，也为未来提供了明确的指引，确保高压自动重合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可持续实践的融入高压自动重合器项目管理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自动重合器项目管理周期。从高压自动重合器项目规划开始，高压自动重合器项目团队就考虑了环境和社会的因素。在执行阶段，高压自动重合器项目团队积极推动绿色技术的应用，优化资源利用。此外，关注员工的社会责任，通过培训和沟通活动提高员工对可持续发展的认知，使他们能够在日常工作中践行可持续实践。这些举措不仅为高压自动重合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32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扎根于高压自动重合器项目的可持续发展理念，我们深信环保与社会责任是高压自动重合器项目成功的关键支柱。在高压自动重合器项目的每一步，我们都致力于通过创新和实践，履行对环境和社会的坚定责任。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团队通过引入先进的环保技术、建立高效的废物处理系统以及推动能源节约措施，积极履行环保责任。定期的环保监测和评估确保高压自动重合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不仅致力于自身可持续发展，还注重对社会的回馈。通过支持社区高压自动重合器项目、参与慈善事业、提供培训机会等方式，高压自动重合器项目积极履行社会责任。与当地社区建立积极互动，关注员工的工作与生活平衡，以及员工的身心健康，是高压自动重合器项目在社会责任层面的关键举措。这样的实践不仅增强了高压自动重合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043"/>
      <w:r>
        <w:rPr>
          <w:rFonts w:ascii="仿宋" w:eastAsia="仿宋" w:hAnsi="仿宋" w:cs="仿宋" w:hint="eastAsia"/>
          <w:sz w:val="28"/>
          <w:lang w:eastAsia="zh-CN"/>
        </w:rPr>
        <w:t>四、高压自动重合器项目绩效评估</w:t>
      </w:r>
      <w:bookmarkEnd w:id="15"/>
    </w:p>
    <w:p>
      <w:pPr>
        <w:pStyle w:val="Heading2"/>
        <w:rPr>
          <w:rFonts w:ascii="仿宋" w:eastAsia="仿宋" w:hAnsi="仿宋" w:cs="仿宋" w:hint="eastAsia"/>
          <w:lang w:eastAsia="zh-CN"/>
        </w:rPr>
      </w:pPr>
      <w:bookmarkStart w:id="16" w:name="_Toc1232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自动重合器项目中，我们设计了一套全面的绩效评估指标，以确保高压自动重合器项目的可控和成功交付。这些指标跨足高压自动重合器项目目标、成本、进度和质量等多个维度，为我们提供了全面洞察高压自动重合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目标达成率是我们关注的首要指标。我们设定了明确的目标，并通过定期监测和评估，迅速发现并应对潜在的目标偏差。这为高压自动重合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成本绩效是另一个核心关注点。通过实际成本与预算成本的对比分析，我们深入了解成本差异的原因，及时调整资源分配，保持高压自动重合器项目在经济效益方面的合理水平。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进度作为关键的绩效指标之一，得到了精心的关注。我们制定了详细的高压自动重合器项目进度计划，并设立了进度符合度指标，确保实际进度与计划进度保持一致。这使我们能够快速发现和解决潜在的进度问题，保持高压自动重合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自动重合器项目绩效的不可或缺的一环。我们引入了一系列的质量标准和客户满意度指标，以确保高压自动重合器项目交付的成果在质量上达到或超越预期水平。通过持续监测这些指标，我们努力提升高压自动重合器项目整体质量水平，为高压自动重合器项目的成功交付提供有力保障。通过这些科学且全面的绩效评估，我们能够更好地引导高压自动重合器项目的持续改进，确保高压自动重合器项目目标的顺利达成。</w:t>
      </w:r>
    </w:p>
    <w:p>
      <w:pPr>
        <w:pStyle w:val="Heading2"/>
        <w:ind w:firstLine="560" w:firstLineChars="200"/>
        <w:rPr>
          <w:rFonts w:ascii="仿宋" w:eastAsia="仿宋" w:hAnsi="仿宋" w:cs="仿宋" w:hint="eastAsia"/>
          <w:sz w:val="28"/>
          <w:lang w:eastAsia="zh-CN"/>
        </w:rPr>
      </w:pPr>
      <w:bookmarkStart w:id="17" w:name="_Toc2921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绩效评估是高压自动重合器项目中的关键环节，为确保高压自动重合器项目达到预期目标，我们采用了多层次、多维度的绩效评估方法。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自动重合器项目的战略目标对齐，确保每个决策和行动都与高压自动重合器项目整体目标保持一致。团队会定期召开战略对齐会议，审视当前工作与高压自动重合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https://d.book118.com/898141056055006032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F31A97"/>
    <w:rsid w:val="07F31A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4105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2024-01-28T14:37:00Z</dcterms:created>
  <dcterms:modified xsi:type="dcterms:W3CDTF">2024-01-28T14:37:38Z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4CFFD7C033FD4D93A83F97357D99FAA0_11</vt:lpwstr>
  </property>
  <property fmtid="{D5CDD505-2E9C-101B-9397-08002B2CF9AE}" pid="3" name="KSOProductBuildVer">
    <vt:lpwstr>2052-12.1.0.16120</vt:lpwstr>
  </property>
</Properties>
</file>