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锯片级人造金刚石行业商业计划书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485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_Toc9485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32" w:history="1">
        <w:r>
          <w:rPr>
            <w:rFonts w:ascii="仿宋" w:eastAsia="仿宋" w:hAnsi="仿宋" w:cs="仿宋" w:hint="eastAsia"/>
            <w:lang w:val="en-US"/>
          </w:rPr>
          <w:t>一、资源开发及综合利用分析</w:t>
        </w:r>
        <w:r>
          <w:tab/>
        </w:r>
        <w:r>
          <w:fldChar w:fldCharType="begin"/>
        </w:r>
        <w:r>
          <w:instrText xml:space="preserve"> PAGEREF _Toc15632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4" w:history="1">
        <w:r>
          <w:rPr>
            <w:rFonts w:ascii="仿宋" w:eastAsia="仿宋" w:hAnsi="仿宋" w:cs="仿宋" w:hint="eastAsia"/>
            <w:lang w:val="en-US"/>
          </w:rPr>
          <w:t>(一)、资源开发方案</w:t>
        </w:r>
        <w:r>
          <w:tab/>
        </w:r>
        <w:r>
          <w:fldChar w:fldCharType="begin"/>
        </w:r>
        <w:r>
          <w:instrText xml:space="preserve"> PAGEREF _Toc31794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54" w:history="1">
        <w:r>
          <w:rPr>
            <w:rFonts w:ascii="仿宋" w:eastAsia="仿宋" w:hAnsi="仿宋" w:cs="仿宋" w:hint="eastAsia"/>
            <w:lang w:val="en-US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_Toc12154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1" w:history="1">
        <w:r>
          <w:rPr>
            <w:rFonts w:ascii="仿宋" w:eastAsia="仿宋" w:hAnsi="仿宋" w:cs="仿宋" w:hint="eastAsia"/>
            <w:lang w:val="en-US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_Toc28941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32" w:history="1">
        <w:r>
          <w:rPr>
            <w:rFonts w:ascii="仿宋" w:eastAsia="仿宋" w:hAnsi="仿宋" w:cs="仿宋" w:hint="eastAsia"/>
            <w:lang w:val="en-US"/>
          </w:rPr>
          <w:t>二、产品方案与建设规划</w:t>
        </w:r>
        <w:r>
          <w:tab/>
        </w:r>
        <w:r>
          <w:fldChar w:fldCharType="begin"/>
        </w:r>
        <w:r>
          <w:instrText xml:space="preserve"> PAGEREF _Toc20932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5" w:history="1">
        <w:r>
          <w:rPr>
            <w:rFonts w:ascii="仿宋" w:eastAsia="仿宋" w:hAnsi="仿宋" w:cs="仿宋" w:hint="eastAsia"/>
            <w:lang w:val="en-US"/>
          </w:rPr>
          <w:t>(一)、锯片级人造金刚石项目场地规模</w:t>
        </w:r>
        <w:r>
          <w:tab/>
        </w:r>
        <w:r>
          <w:fldChar w:fldCharType="begin"/>
        </w:r>
        <w:r>
          <w:instrText xml:space="preserve"> PAGEREF _Toc22585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39" w:history="1">
        <w:r>
          <w:rPr>
            <w:rFonts w:ascii="仿宋" w:eastAsia="仿宋" w:hAnsi="仿宋" w:cs="仿宋" w:hint="eastAsia"/>
            <w:lang w:val="en-US"/>
          </w:rPr>
          <w:t>(二)、产能规模</w:t>
        </w:r>
        <w:r>
          <w:tab/>
        </w:r>
        <w:r>
          <w:fldChar w:fldCharType="begin"/>
        </w:r>
        <w:r>
          <w:instrText xml:space="preserve"> PAGEREF _Toc16439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7" w:history="1">
        <w:r>
          <w:rPr>
            <w:rFonts w:ascii="仿宋" w:eastAsia="仿宋" w:hAnsi="仿宋" w:cs="仿宋" w:hint="eastAsia"/>
            <w:lang w:val="en-US"/>
          </w:rPr>
          <w:t>(三)、产品规划方案及生产纲领</w:t>
        </w:r>
        <w:r>
          <w:tab/>
        </w:r>
        <w:r>
          <w:fldChar w:fldCharType="begin"/>
        </w:r>
        <w:r>
          <w:instrText xml:space="preserve"> PAGEREF _Toc30357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20" w:history="1">
        <w:r>
          <w:rPr>
            <w:rFonts w:ascii="仿宋" w:eastAsia="仿宋" w:hAnsi="仿宋" w:cs="仿宋" w:hint="eastAsia"/>
            <w:lang w:val="en-US"/>
          </w:rPr>
          <w:t>三、定性、定量安全评价</w:t>
        </w:r>
        <w:r>
          <w:tab/>
        </w:r>
        <w:r>
          <w:fldChar w:fldCharType="begin"/>
        </w:r>
        <w:r>
          <w:instrText xml:space="preserve"> PAGEREF _Toc10020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8" w:history="1">
        <w:r>
          <w:rPr>
            <w:rFonts w:ascii="仿宋" w:eastAsia="仿宋" w:hAnsi="仿宋" w:cs="仿宋" w:hint="eastAsia"/>
            <w:lang w:val="en-US"/>
          </w:rPr>
          <w:t>(一)、安全管理单元</w:t>
        </w:r>
        <w:r>
          <w:tab/>
        </w:r>
        <w:r>
          <w:fldChar w:fldCharType="begin"/>
        </w:r>
        <w:r>
          <w:instrText xml:space="preserve"> PAGEREF _Toc32368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9" w:history="1">
        <w:r>
          <w:rPr>
            <w:rFonts w:ascii="仿宋" w:eastAsia="仿宋" w:hAnsi="仿宋" w:cs="仿宋" w:hint="eastAsia"/>
            <w:lang w:val="en-US"/>
          </w:rPr>
          <w:t>(二)、厂址条件、平面布置及建、构筑物单元</w:t>
        </w:r>
        <w:r>
          <w:tab/>
        </w:r>
        <w:r>
          <w:fldChar w:fldCharType="begin"/>
        </w:r>
        <w:r>
          <w:instrText xml:space="preserve"> PAGEREF _Toc20949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79" w:history="1">
        <w:r>
          <w:rPr>
            <w:rFonts w:ascii="仿宋" w:eastAsia="仿宋" w:hAnsi="仿宋" w:cs="仿宋" w:hint="eastAsia"/>
            <w:lang w:val="en-US"/>
          </w:rPr>
          <w:t>(三)、生产单元</w:t>
        </w:r>
        <w:r>
          <w:tab/>
        </w:r>
        <w:r>
          <w:fldChar w:fldCharType="begin"/>
        </w:r>
        <w:r>
          <w:instrText xml:space="preserve"> PAGEREF _Toc20279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42" w:history="1">
        <w:r>
          <w:rPr>
            <w:rFonts w:ascii="仿宋" w:eastAsia="仿宋" w:hAnsi="仿宋" w:cs="仿宋" w:hint="eastAsia"/>
            <w:lang w:val="en-US"/>
          </w:rPr>
          <w:t>(四)、公用工程及辅助设施单元</w:t>
        </w:r>
        <w:r>
          <w:tab/>
        </w:r>
        <w:r>
          <w:fldChar w:fldCharType="begin"/>
        </w:r>
        <w:r>
          <w:instrText xml:space="preserve"> PAGEREF _Toc9742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83" w:history="1">
        <w:r>
          <w:rPr>
            <w:rFonts w:ascii="仿宋" w:eastAsia="仿宋" w:hAnsi="仿宋" w:cs="仿宋" w:hint="eastAsia"/>
            <w:lang w:val="en-US"/>
          </w:rPr>
          <w:t>四、风险因素分析及规避措施</w:t>
        </w:r>
        <w:r>
          <w:tab/>
        </w:r>
        <w:r>
          <w:fldChar w:fldCharType="begin"/>
        </w:r>
        <w:r>
          <w:instrText xml:space="preserve"> PAGEREF _Toc21383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24" w:history="1">
        <w:r>
          <w:rPr>
            <w:rFonts w:ascii="仿宋" w:eastAsia="仿宋" w:hAnsi="仿宋" w:cs="仿宋" w:hint="eastAsia"/>
            <w:lang w:val="en-US"/>
          </w:rPr>
          <w:t>(一)、社会影响评价范围及内容的界定</w:t>
        </w:r>
        <w:r>
          <w:tab/>
        </w:r>
        <w:r>
          <w:fldChar w:fldCharType="begin"/>
        </w:r>
        <w:r>
          <w:instrText xml:space="preserve"> PAGEREF _Toc6224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4" w:history="1">
        <w:r>
          <w:rPr>
            <w:rFonts w:ascii="仿宋" w:eastAsia="仿宋" w:hAnsi="仿宋" w:cs="仿宋" w:hint="eastAsia"/>
            <w:lang w:val="en-US"/>
          </w:rPr>
          <w:t>(二)、社会影响因素分析</w:t>
        </w:r>
        <w:r>
          <w:tab/>
        </w:r>
        <w:r>
          <w:fldChar w:fldCharType="begin"/>
        </w:r>
        <w:r>
          <w:instrText xml:space="preserve"> PAGEREF _Toc30924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05" w:history="1">
        <w:r>
          <w:rPr>
            <w:rFonts w:ascii="仿宋" w:eastAsia="仿宋" w:hAnsi="仿宋" w:cs="仿宋" w:hint="eastAsia"/>
            <w:lang w:val="en-US"/>
          </w:rPr>
          <w:t>(三)、社会影响效果分析</w:t>
        </w:r>
        <w:r>
          <w:tab/>
        </w:r>
        <w:r>
          <w:fldChar w:fldCharType="begin"/>
        </w:r>
        <w:r>
          <w:instrText xml:space="preserve"> PAGEREF _Toc18305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16" w:history="1">
        <w:r>
          <w:rPr>
            <w:rFonts w:ascii="仿宋" w:eastAsia="仿宋" w:hAnsi="仿宋" w:cs="仿宋" w:hint="eastAsia"/>
            <w:lang w:val="en-US"/>
          </w:rPr>
          <w:t>五、锯片级人造金刚石项目危机管理</w:t>
        </w:r>
        <w:r>
          <w:tab/>
        </w:r>
        <w:r>
          <w:fldChar w:fldCharType="begin"/>
        </w:r>
        <w:r>
          <w:instrText xml:space="preserve"> PAGEREF _Toc21716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3" w:history="1">
        <w:r>
          <w:rPr>
            <w:rFonts w:ascii="仿宋" w:eastAsia="仿宋" w:hAnsi="仿宋" w:cs="仿宋" w:hint="eastAsia"/>
            <w:lang w:val="en-US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_Toc8883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28" w:history="1">
        <w:r>
          <w:rPr>
            <w:rFonts w:ascii="仿宋" w:eastAsia="仿宋" w:hAnsi="仿宋" w:cs="仿宋" w:hint="eastAsia"/>
            <w:lang w:val="en-US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_Toc28928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05" w:history="1">
        <w:r>
          <w:rPr>
            <w:rFonts w:ascii="仿宋" w:eastAsia="仿宋" w:hAnsi="仿宋" w:cs="仿宋" w:hint="eastAsia"/>
            <w:lang w:val="en-US"/>
          </w:rPr>
          <w:t>六、背景和必要性研究</w:t>
        </w:r>
        <w:r>
          <w:tab/>
        </w:r>
        <w:r>
          <w:fldChar w:fldCharType="begin"/>
        </w:r>
        <w:r>
          <w:instrText xml:space="preserve"> PAGEREF _Toc21005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80" w:history="1">
        <w:r>
          <w:rPr>
            <w:rFonts w:ascii="仿宋" w:eastAsia="仿宋" w:hAnsi="仿宋" w:cs="仿宋" w:hint="eastAsia"/>
            <w:lang w:val="en-US"/>
          </w:rPr>
          <w:t>(一)、锯片级人造金刚石项目承办单位背景分析</w:t>
        </w:r>
        <w:r>
          <w:tab/>
        </w:r>
        <w:r>
          <w:fldChar w:fldCharType="begin"/>
        </w:r>
        <w:r>
          <w:instrText xml:space="preserve"> PAGEREF _Toc12280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63" w:history="1">
        <w:r>
          <w:rPr>
            <w:rFonts w:ascii="仿宋" w:eastAsia="仿宋" w:hAnsi="仿宋" w:cs="仿宋" w:hint="eastAsia"/>
            <w:lang w:val="en-US"/>
          </w:rPr>
          <w:t>(二)、锯片级人造金刚石项目背景分析</w:t>
        </w:r>
        <w:r>
          <w:tab/>
        </w:r>
        <w:r>
          <w:fldChar w:fldCharType="begin"/>
        </w:r>
        <w:r>
          <w:instrText xml:space="preserve"> PAGEREF _Toc9263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69" w:history="1">
        <w:r>
          <w:rPr>
            <w:rFonts w:ascii="仿宋" w:eastAsia="仿宋" w:hAnsi="仿宋" w:cs="仿宋" w:hint="eastAsia"/>
            <w:lang w:val="en-US"/>
          </w:rPr>
          <w:t>七、锯片级人造金刚石行业发展形势分析</w:t>
        </w:r>
        <w:r>
          <w:tab/>
        </w:r>
        <w:r>
          <w:fldChar w:fldCharType="begin"/>
        </w:r>
        <w:r>
          <w:instrText xml:space="preserve"> PAGEREF _Toc10769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52" w:history="1">
        <w:r>
          <w:rPr>
            <w:rFonts w:ascii="仿宋" w:eastAsia="仿宋" w:hAnsi="仿宋" w:cs="仿宋" w:hint="eastAsia"/>
            <w:lang w:val="en-US"/>
          </w:rPr>
          <w:t>(一)、锯片级人造金刚石行业发展形势分析</w:t>
        </w:r>
        <w:r>
          <w:tab/>
        </w:r>
        <w:r>
          <w:fldChar w:fldCharType="begin"/>
        </w:r>
        <w:r>
          <w:instrText xml:space="preserve"> PAGEREF _Toc2952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92" w:history="1">
        <w:r>
          <w:rPr>
            <w:rFonts w:ascii="仿宋" w:eastAsia="仿宋" w:hAnsi="仿宋" w:cs="仿宋" w:hint="eastAsia"/>
            <w:lang w:val="en-US"/>
          </w:rPr>
          <w:t>八、进度计划</w:t>
        </w:r>
        <w:r>
          <w:tab/>
        </w:r>
        <w:r>
          <w:fldChar w:fldCharType="begin"/>
        </w:r>
        <w:r>
          <w:instrText xml:space="preserve"> PAGEREF _Toc32192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8" w:history="1">
        <w:r>
          <w:rPr>
            <w:rFonts w:ascii="仿宋" w:eastAsia="仿宋" w:hAnsi="仿宋" w:cs="仿宋" w:hint="eastAsia"/>
            <w:lang w:val="en-US"/>
          </w:rPr>
          <w:t>(一)、锯片级人造金刚石项目进度安排</w:t>
        </w:r>
        <w:r>
          <w:tab/>
        </w:r>
        <w:r>
          <w:fldChar w:fldCharType="begin"/>
        </w:r>
        <w:r>
          <w:instrText xml:space="preserve"> PAGEREF _Toc21358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1" w:history="1">
        <w:r>
          <w:rPr>
            <w:rFonts w:ascii="仿宋" w:eastAsia="仿宋" w:hAnsi="仿宋" w:cs="仿宋" w:hint="eastAsia"/>
            <w:lang w:val="en-US"/>
          </w:rPr>
          <w:t>(二)、锯片级人造金刚石项目实施保障措施</w:t>
        </w:r>
        <w:r>
          <w:tab/>
        </w:r>
        <w:r>
          <w:fldChar w:fldCharType="begin"/>
        </w:r>
        <w:r>
          <w:instrText xml:space="preserve"> PAGEREF _Toc15571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59" w:history="1">
        <w:r>
          <w:rPr>
            <w:rFonts w:ascii="仿宋" w:eastAsia="仿宋" w:hAnsi="仿宋" w:cs="仿宋" w:hint="eastAsia"/>
            <w:lang w:val="en-US"/>
          </w:rPr>
          <w:t>九、工艺原则</w:t>
        </w:r>
        <w:r>
          <w:tab/>
        </w:r>
        <w:r>
          <w:fldChar w:fldCharType="begin"/>
        </w:r>
        <w:r>
          <w:instrText xml:space="preserve"> PAGEREF _Toc13059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89" w:history="1">
        <w:r>
          <w:rPr>
            <w:rFonts w:ascii="仿宋" w:eastAsia="仿宋" w:hAnsi="仿宋" w:cs="仿宋" w:hint="eastAsia"/>
            <w:lang w:val="en-US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_Toc9289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1" w:history="1">
        <w:r>
          <w:rPr>
            <w:rFonts w:ascii="仿宋" w:eastAsia="仿宋" w:hAnsi="仿宋" w:cs="仿宋" w:hint="eastAsia"/>
            <w:lang w:val="en-US"/>
          </w:rPr>
          <w:t>(二)、技术管理特点</w:t>
        </w:r>
        <w:r>
          <w:tab/>
        </w:r>
        <w:r>
          <w:fldChar w:fldCharType="begin"/>
        </w:r>
        <w:r>
          <w:instrText xml:space="preserve"> PAGEREF _Toc21541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6" w:history="1">
        <w:r>
          <w:rPr>
            <w:rFonts w:ascii="仿宋" w:eastAsia="仿宋" w:hAnsi="仿宋" w:cs="仿宋" w:hint="eastAsia"/>
            <w:lang w:val="en-US"/>
          </w:rPr>
          <w:t>(三)、锯片级人造金刚石项目工艺技术设计方案</w:t>
        </w:r>
        <w:r>
          <w:tab/>
        </w:r>
        <w:r>
          <w:fldChar w:fldCharType="begin"/>
        </w:r>
        <w:r>
          <w:instrText xml:space="preserve"> PAGEREF _Toc31736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68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_Toc22268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20" w:history="1">
        <w:r>
          <w:rPr>
            <w:rFonts w:ascii="仿宋" w:eastAsia="仿宋" w:hAnsi="仿宋" w:cs="仿宋" w:hint="eastAsia"/>
            <w:lang w:val="en-US"/>
          </w:rPr>
          <w:t>十、锯片级人造金刚石行业定价策略</w:t>
        </w:r>
        <w:r>
          <w:tab/>
        </w:r>
        <w:r>
          <w:fldChar w:fldCharType="begin"/>
        </w:r>
        <w:r>
          <w:instrText xml:space="preserve"> PAGEREF _Toc9320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97" w:history="1">
        <w:r>
          <w:rPr>
            <w:rFonts w:ascii="仿宋" w:eastAsia="仿宋" w:hAnsi="仿宋" w:cs="仿宋" w:hint="eastAsia"/>
            <w:lang w:val="en-US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_Toc24297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98" w:history="1">
        <w:r>
          <w:rPr>
            <w:rFonts w:ascii="仿宋" w:eastAsia="仿宋" w:hAnsi="仿宋" w:cs="仿宋" w:hint="eastAsia"/>
            <w:lang w:val="en-US"/>
          </w:rPr>
          <w:t>(二)、成本考虑</w:t>
        </w:r>
        <w:r>
          <w:tab/>
        </w:r>
        <w:r>
          <w:fldChar w:fldCharType="begin"/>
        </w:r>
        <w:r>
          <w:instrText xml:space="preserve"> PAGEREF _Toc19598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10" w:history="1">
        <w:r>
          <w:rPr>
            <w:rFonts w:ascii="仿宋" w:eastAsia="仿宋" w:hAnsi="仿宋" w:cs="仿宋" w:hint="eastAsia"/>
            <w:lang w:val="en-US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_Toc23510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88" w:history="1">
        <w:r>
          <w:rPr>
            <w:rFonts w:ascii="仿宋" w:eastAsia="仿宋" w:hAnsi="仿宋" w:cs="仿宋" w:hint="eastAsia"/>
            <w:lang w:val="en-US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_Toc22088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79" w:history="1">
        <w:r>
          <w:rPr>
            <w:rFonts w:ascii="仿宋" w:eastAsia="仿宋" w:hAnsi="仿宋" w:cs="仿宋" w:hint="eastAsia"/>
            <w:lang w:val="en-US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_Toc6979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69" w:history="1">
        <w:r>
          <w:rPr>
            <w:rFonts w:ascii="仿宋" w:eastAsia="仿宋" w:hAnsi="仿宋" w:cs="仿宋" w:hint="eastAsia"/>
            <w:lang w:val="en-US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_Toc26569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4" w:history="1">
        <w:r>
          <w:rPr>
            <w:rFonts w:ascii="仿宋" w:eastAsia="仿宋" w:hAnsi="仿宋" w:cs="仿宋" w:hint="eastAsia"/>
            <w:lang w:val="en-US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_Toc18054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9" w:history="1">
        <w:r>
          <w:rPr>
            <w:rFonts w:ascii="仿宋" w:eastAsia="仿宋" w:hAnsi="仿宋" w:cs="仿宋" w:hint="eastAsia"/>
            <w:lang w:val="en-US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_Toc22869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82" w:history="1">
        <w:r>
          <w:rPr>
            <w:rFonts w:ascii="仿宋" w:eastAsia="仿宋" w:hAnsi="仿宋" w:cs="仿宋" w:hint="eastAsia"/>
            <w:lang w:val="en-US"/>
          </w:rPr>
          <w:t>十一、团队和合作伙伴</w:t>
        </w:r>
        <w:r>
          <w:tab/>
        </w:r>
        <w:r>
          <w:fldChar w:fldCharType="begin"/>
        </w:r>
        <w:r>
          <w:instrText xml:space="preserve"> PAGEREF _Toc24582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39" w:history="1">
        <w:r>
          <w:rPr>
            <w:rFonts w:ascii="仿宋" w:eastAsia="仿宋" w:hAnsi="仿宋" w:cs="仿宋" w:hint="eastAsia"/>
            <w:lang w:val="en-US"/>
          </w:rPr>
          <w:t>(一)、锯片级人造金刚石项目团队</w:t>
        </w:r>
        <w:r>
          <w:tab/>
        </w:r>
        <w:r>
          <w:fldChar w:fldCharType="begin"/>
        </w:r>
        <w:r>
          <w:instrText xml:space="preserve"> PAGEREF _Toc27139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78" w:history="1">
        <w:r>
          <w:rPr>
            <w:rFonts w:ascii="仿宋" w:eastAsia="仿宋" w:hAnsi="仿宋" w:cs="仿宋" w:hint="eastAsia"/>
            <w:lang w:val="en-US"/>
          </w:rPr>
          <w:t>(二)、合作伙伴和利益相关者</w:t>
        </w:r>
        <w:r>
          <w:tab/>
        </w:r>
        <w:r>
          <w:fldChar w:fldCharType="begin"/>
        </w:r>
        <w:r>
          <w:instrText xml:space="preserve"> PAGEREF _Toc8078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93" w:history="1">
        <w:r>
          <w:rPr>
            <w:rFonts w:ascii="仿宋" w:eastAsia="仿宋" w:hAnsi="仿宋" w:cs="仿宋" w:hint="eastAsia"/>
            <w:lang w:val="en-US"/>
          </w:rPr>
          <w:t>十二、锯片级人造金刚石项目人力资源培养与发展</w:t>
        </w:r>
        <w:r>
          <w:tab/>
        </w:r>
        <w:r>
          <w:fldChar w:fldCharType="begin"/>
        </w:r>
        <w:r>
          <w:instrText xml:space="preserve"> PAGEREF _Toc15193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36" w:history="1">
        <w:r>
          <w:rPr>
            <w:rFonts w:ascii="仿宋" w:eastAsia="仿宋" w:hAnsi="仿宋" w:cs="仿宋" w:hint="eastAsia"/>
            <w:lang w:val="en-US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_Toc19936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9" w:history="1">
        <w:r>
          <w:rPr>
            <w:rFonts w:ascii="仿宋" w:eastAsia="仿宋" w:hAnsi="仿宋" w:cs="仿宋" w:hint="eastAsia"/>
            <w:lang w:val="en-US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_Toc21249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9" w:history="1">
        <w:r>
          <w:rPr>
            <w:rFonts w:ascii="仿宋" w:eastAsia="仿宋" w:hAnsi="仿宋" w:cs="仿宋" w:hint="eastAsia"/>
            <w:lang w:val="en-US"/>
          </w:rPr>
          <w:t>十三、技术与研发计划</w:t>
        </w:r>
        <w:r>
          <w:tab/>
        </w:r>
        <w:r>
          <w:fldChar w:fldCharType="begin"/>
        </w:r>
        <w:r>
          <w:instrText xml:space="preserve"> PAGEREF _Toc559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85" w:history="1">
        <w:r>
          <w:rPr>
            <w:rFonts w:ascii="仿宋" w:eastAsia="仿宋" w:hAnsi="仿宋" w:cs="仿宋" w:hint="eastAsia"/>
            <w:lang w:val="en-US"/>
          </w:rPr>
          <w:t>(一)、技术背景与解决方案</w:t>
        </w:r>
        <w:r>
          <w:tab/>
        </w:r>
        <w:r>
          <w:fldChar w:fldCharType="begin"/>
        </w:r>
        <w:r>
          <w:instrText xml:space="preserve"> PAGEREF _Toc6885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68" w:history="1">
        <w:r>
          <w:rPr>
            <w:rFonts w:ascii="仿宋" w:eastAsia="仿宋" w:hAnsi="仿宋" w:cs="仿宋" w:hint="eastAsia"/>
            <w:lang w:val="en-US"/>
          </w:rPr>
          <w:t>(二)、研发团队与能力</w:t>
        </w:r>
        <w:r>
          <w:tab/>
        </w:r>
        <w:r>
          <w:fldChar w:fldCharType="begin"/>
        </w:r>
        <w:r>
          <w:instrText xml:space="preserve"> PAGEREF _Toc30768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16" w:history="1">
        <w:r>
          <w:rPr>
            <w:rFonts w:ascii="仿宋" w:eastAsia="仿宋" w:hAnsi="仿宋" w:cs="仿宋" w:hint="eastAsia"/>
            <w:lang w:val="en-US"/>
          </w:rPr>
          <w:t>十四、沟通计划</w:t>
        </w:r>
        <w:r>
          <w:tab/>
        </w:r>
        <w:r>
          <w:fldChar w:fldCharType="begin"/>
        </w:r>
        <w:r>
          <w:instrText xml:space="preserve"> PAGEREF _Toc23416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1226" w:history="1">
        <w:r>
          <w:rPr>
            <w:rFonts w:ascii="仿宋" w:eastAsia="仿宋" w:hAnsi="仿宋" w:cs="仿宋" w:hint="eastAsia"/>
            <w:lang w:val="en-US"/>
          </w:rPr>
          <w:t>(一)、沟通目标</w:t>
        </w:r>
        <w:r>
          <w:tab/>
        </w:r>
        <w:r>
          <w:fldChar w:fldCharType="begin"/>
        </w:r>
        <w:r>
          <w:instrText xml:space="preserve"> PAGEREF _Toc11226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5" w:history="1">
        <w:r>
          <w:rPr>
            <w:rFonts w:ascii="仿宋" w:eastAsia="仿宋" w:hAnsi="仿宋" w:cs="仿宋" w:hint="eastAsia"/>
            <w:lang w:val="en-US"/>
          </w:rPr>
          <w:t>(二)、沟通策略</w:t>
        </w:r>
        <w:r>
          <w:tab/>
        </w:r>
        <w:r>
          <w:fldChar w:fldCharType="begin"/>
        </w:r>
        <w:r>
          <w:instrText xml:space="preserve"> PAGEREF _Toc18675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9" w:history="1">
        <w:r>
          <w:rPr>
            <w:rFonts w:ascii="仿宋" w:eastAsia="仿宋" w:hAnsi="仿宋" w:cs="仿宋" w:hint="eastAsia"/>
            <w:lang w:val="en-US"/>
          </w:rPr>
          <w:t>(三)、沟通工具</w:t>
        </w:r>
        <w:r>
          <w:tab/>
        </w:r>
        <w:r>
          <w:fldChar w:fldCharType="begin"/>
        </w:r>
        <w:r>
          <w:instrText xml:space="preserve"> PAGEREF _Toc4119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59" w:history="1">
        <w:r>
          <w:rPr>
            <w:rFonts w:ascii="仿宋" w:eastAsia="仿宋" w:hAnsi="仿宋" w:cs="仿宋" w:hint="eastAsia"/>
            <w:lang w:val="en-US"/>
          </w:rPr>
          <w:t>十五、环境管理体系建设</w:t>
        </w:r>
        <w:r>
          <w:tab/>
        </w:r>
        <w:r>
          <w:fldChar w:fldCharType="begin"/>
        </w:r>
        <w:r>
          <w:instrText xml:space="preserve"> PAGEREF _Toc17359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69" w:history="1">
        <w:r>
          <w:rPr>
            <w:rFonts w:ascii="仿宋" w:eastAsia="仿宋" w:hAnsi="仿宋" w:cs="仿宋" w:hint="eastAsia"/>
            <w:lang w:val="en-US"/>
          </w:rPr>
          <w:t>(一)、环境管理体系建设的背景和必要性</w:t>
        </w:r>
        <w:r>
          <w:tab/>
        </w:r>
        <w:r>
          <w:fldChar w:fldCharType="begin"/>
        </w:r>
        <w:r>
          <w:instrText xml:space="preserve"> PAGEREF _Toc8169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21" w:history="1">
        <w:r>
          <w:rPr>
            <w:rFonts w:ascii="仿宋" w:eastAsia="仿宋" w:hAnsi="仿宋" w:cs="仿宋" w:hint="eastAsia"/>
            <w:lang w:val="en-US"/>
          </w:rPr>
          <w:t>(二)、环境管理体系建设的基本原则</w:t>
        </w:r>
        <w:r>
          <w:tab/>
        </w:r>
        <w:r>
          <w:fldChar w:fldCharType="begin"/>
        </w:r>
        <w:r>
          <w:instrText xml:space="preserve"> PAGEREF _Toc11721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74" w:history="1">
        <w:r>
          <w:rPr>
            <w:rFonts w:ascii="仿宋" w:eastAsia="仿宋" w:hAnsi="仿宋" w:cs="仿宋" w:hint="eastAsia"/>
            <w:lang w:val="en-US"/>
          </w:rPr>
          <w:t>(三)、环境管理体系建设的组织架构</w:t>
        </w:r>
        <w:r>
          <w:tab/>
        </w:r>
        <w:r>
          <w:fldChar w:fldCharType="begin"/>
        </w:r>
        <w:r>
          <w:instrText xml:space="preserve"> PAGEREF _Toc17874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" w:history="1">
        <w:r>
          <w:rPr>
            <w:rFonts w:ascii="仿宋" w:eastAsia="仿宋" w:hAnsi="仿宋" w:cs="仿宋" w:hint="eastAsia"/>
            <w:lang w:val="en-US"/>
          </w:rPr>
          <w:t>(四)、环境管理体系建设的责任分工</w:t>
        </w:r>
        <w:r>
          <w:tab/>
        </w:r>
        <w:r>
          <w:fldChar w:fldCharType="begin"/>
        </w:r>
        <w:r>
          <w:instrText xml:space="preserve"> PAGEREF _Toc39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96" w:history="1">
        <w:r>
          <w:rPr>
            <w:rFonts w:ascii="仿宋" w:eastAsia="仿宋" w:hAnsi="仿宋" w:cs="仿宋" w:hint="eastAsia"/>
            <w:lang w:val="en-US"/>
          </w:rPr>
          <w:t>(五)、环境管理体系建设的监督与评估</w:t>
        </w:r>
        <w:r>
          <w:tab/>
        </w:r>
        <w:r>
          <w:fldChar w:fldCharType="begin"/>
        </w:r>
        <w:r>
          <w:instrText xml:space="preserve"> PAGEREF _Toc13196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85" w:history="1">
        <w:r>
          <w:rPr>
            <w:rFonts w:ascii="仿宋" w:eastAsia="仿宋" w:hAnsi="仿宋" w:cs="仿宋" w:hint="eastAsia"/>
            <w:lang w:val="en-US"/>
          </w:rPr>
          <w:t>(六)、环境管理体系建设的持续改进与优化</w:t>
        </w:r>
        <w:r>
          <w:tab/>
        </w:r>
        <w:r>
          <w:fldChar w:fldCharType="begin"/>
        </w:r>
        <w:r>
          <w:instrText xml:space="preserve"> PAGEREF _Toc29985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75" w:history="1">
        <w:r>
          <w:rPr>
            <w:rFonts w:ascii="仿宋" w:eastAsia="仿宋" w:hAnsi="仿宋" w:cs="仿宋" w:hint="eastAsia"/>
            <w:lang w:val="en-US"/>
          </w:rPr>
          <w:t>十六、社会影响分析</w:t>
        </w:r>
        <w:r>
          <w:tab/>
        </w:r>
        <w:r>
          <w:fldChar w:fldCharType="begin"/>
        </w:r>
        <w:r>
          <w:instrText xml:space="preserve"> PAGEREF _Toc21575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09" w:history="1">
        <w:r>
          <w:rPr>
            <w:rFonts w:ascii="仿宋" w:eastAsia="仿宋" w:hAnsi="仿宋" w:cs="仿宋" w:hint="eastAsia"/>
            <w:lang w:val="en-US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_Toc26009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38" w:history="1">
        <w:r>
          <w:rPr>
            <w:rFonts w:ascii="仿宋" w:eastAsia="仿宋" w:hAnsi="仿宋" w:cs="仿宋" w:hint="eastAsia"/>
            <w:lang w:val="en-US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_Toc5638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98" w:history="1">
        <w:r>
          <w:rPr>
            <w:rFonts w:ascii="仿宋" w:eastAsia="仿宋" w:hAnsi="仿宋" w:cs="仿宋" w:hint="eastAsia"/>
            <w:lang w:val="en-US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_Toc17798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57" w:history="1">
        <w:r>
          <w:rPr>
            <w:rFonts w:ascii="仿宋" w:eastAsia="仿宋" w:hAnsi="仿宋" w:cs="仿宋" w:hint="eastAsia"/>
            <w:lang w:val="en-US"/>
          </w:rPr>
          <w:t>十七、员工满意度调查与提升策略</w:t>
        </w:r>
        <w:r>
          <w:tab/>
        </w:r>
        <w:r>
          <w:fldChar w:fldCharType="begin"/>
        </w:r>
        <w:r>
          <w:instrText xml:space="preserve"> PAGEREF _Toc27357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50" w:history="1">
        <w:r>
          <w:rPr>
            <w:rFonts w:ascii="仿宋" w:eastAsia="仿宋" w:hAnsi="仿宋" w:cs="仿宋" w:hint="eastAsia"/>
            <w:lang w:val="en-US"/>
          </w:rPr>
          <w:t>(一)、满意度调查的设计与实施</w:t>
        </w:r>
        <w:r>
          <w:tab/>
        </w:r>
        <w:r>
          <w:fldChar w:fldCharType="begin"/>
        </w:r>
        <w:r>
          <w:instrText xml:space="preserve"> PAGEREF _Toc15550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21" w:history="1">
        <w:r>
          <w:rPr>
            <w:rFonts w:ascii="仿宋" w:eastAsia="仿宋" w:hAnsi="仿宋" w:cs="仿宋" w:hint="eastAsia"/>
            <w:lang w:val="en-US"/>
          </w:rPr>
          <w:t>(二)、员工满意度的分析与解读</w:t>
        </w:r>
        <w:r>
          <w:tab/>
        </w:r>
        <w:r>
          <w:fldChar w:fldCharType="begin"/>
        </w:r>
        <w:r>
          <w:instrText xml:space="preserve"> PAGEREF _Toc10521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" w:history="1">
        <w:r>
          <w:rPr>
            <w:rFonts w:ascii="仿宋" w:eastAsia="仿宋" w:hAnsi="仿宋" w:cs="仿宋" w:hint="eastAsia"/>
            <w:lang w:val="en-US"/>
          </w:rPr>
          <w:t>(三)、提升员工满意度的措施与行动计划</w:t>
        </w:r>
        <w:r>
          <w:tab/>
        </w:r>
        <w:r>
          <w:fldChar w:fldCharType="begin"/>
        </w:r>
        <w:r>
          <w:instrText xml:space="preserve"> PAGEREF _Toc1793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25" w:history="1">
        <w:r>
          <w:rPr>
            <w:rFonts w:ascii="仿宋" w:eastAsia="仿宋" w:hAnsi="仿宋" w:cs="仿宋" w:hint="eastAsia"/>
            <w:lang w:val="en-US"/>
          </w:rPr>
          <w:t>十八、战略和未来发展计划</w:t>
        </w:r>
        <w:r>
          <w:tab/>
        </w:r>
        <w:r>
          <w:fldChar w:fldCharType="begin"/>
        </w:r>
        <w:r>
          <w:instrText xml:space="preserve"> PAGEREF _Toc27025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5" w:history="1">
        <w:r>
          <w:rPr>
            <w:rFonts w:ascii="仿宋" w:eastAsia="仿宋" w:hAnsi="仿宋" w:cs="仿宋" w:hint="eastAsia"/>
            <w:lang w:val="en-US"/>
          </w:rPr>
          <w:t>(一)、公司战略和目标分析</w:t>
        </w:r>
        <w:r>
          <w:tab/>
        </w:r>
        <w:r>
          <w:fldChar w:fldCharType="begin"/>
        </w:r>
        <w:r>
          <w:instrText xml:space="preserve"> PAGEREF _Toc23925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6" w:history="1">
        <w:r>
          <w:rPr>
            <w:rFonts w:ascii="仿宋" w:eastAsia="仿宋" w:hAnsi="仿宋" w:cs="仿宋" w:hint="eastAsia"/>
            <w:lang w:val="en-US"/>
          </w:rPr>
          <w:t>(二)、业务扩张和发展计划</w:t>
        </w:r>
        <w:r>
          <w:tab/>
        </w:r>
        <w:r>
          <w:fldChar w:fldCharType="begin"/>
        </w:r>
        <w:r>
          <w:instrText xml:space="preserve"> PAGEREF _Toc15806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89" w:history="1">
        <w:r>
          <w:rPr>
            <w:rFonts w:ascii="仿宋" w:eastAsia="仿宋" w:hAnsi="仿宋" w:cs="仿宋" w:hint="eastAsia"/>
            <w:lang w:val="en-US"/>
          </w:rPr>
          <w:t>(三)、技术创新和研发计划</w:t>
        </w:r>
        <w:r>
          <w:tab/>
        </w:r>
        <w:r>
          <w:fldChar w:fldCharType="begin"/>
        </w:r>
        <w:r>
          <w:instrText xml:space="preserve"> PAGEREF _Toc31989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1" w:history="1">
        <w:r>
          <w:rPr>
            <w:rFonts w:ascii="仿宋" w:eastAsia="仿宋" w:hAnsi="仿宋" w:cs="仿宋" w:hint="eastAsia"/>
            <w:lang w:val="en-US"/>
          </w:rPr>
          <w:t>(四)、风险管理和应对策略</w:t>
        </w:r>
        <w:r>
          <w:tab/>
        </w:r>
        <w:r>
          <w:fldChar w:fldCharType="begin"/>
        </w:r>
        <w:r>
          <w:instrText xml:space="preserve"> PAGEREF _Toc9031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04" w:history="1">
        <w:r>
          <w:rPr>
            <w:rFonts w:ascii="仿宋" w:eastAsia="仿宋" w:hAnsi="仿宋" w:cs="仿宋" w:hint="eastAsia"/>
            <w:lang w:val="en-US"/>
          </w:rPr>
          <w:t>十九、锯片级人造金刚石项目工程方案</w:t>
        </w:r>
        <w:r>
          <w:tab/>
        </w:r>
        <w:r>
          <w:fldChar w:fldCharType="begin"/>
        </w:r>
        <w:r>
          <w:instrText xml:space="preserve"> PAGEREF _Toc14304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_Toc2330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52" w:history="1">
        <w:r>
          <w:rPr>
            <w:rFonts w:ascii="仿宋" w:eastAsia="仿宋" w:hAnsi="仿宋" w:cs="仿宋" w:hint="eastAsia"/>
            <w:lang w:val="en-US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_Toc14152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49" w:history="1">
        <w:r>
          <w:rPr>
            <w:rFonts w:ascii="仿宋" w:eastAsia="仿宋" w:hAnsi="仿宋" w:cs="仿宋" w:hint="eastAsia"/>
            <w:lang w:val="en-US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_Toc6749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36" w:history="1">
        <w:r>
          <w:rPr>
            <w:rFonts w:ascii="仿宋" w:eastAsia="仿宋" w:hAnsi="仿宋" w:cs="仿宋" w:hint="eastAsia"/>
            <w:lang w:val="en-US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_Toc28336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6030" w:history="1">
        <w:r>
          <w:rPr>
            <w:rFonts w:ascii="仿宋" w:eastAsia="仿宋" w:hAnsi="仿宋" w:cs="仿宋" w:hint="eastAsia"/>
            <w:lang w:val="en-US"/>
          </w:rPr>
          <w:t>二十、技术创新战略</w:t>
        </w:r>
        <w:r>
          <w:tab/>
        </w:r>
        <w:r>
          <w:fldChar w:fldCharType="begin"/>
        </w:r>
        <w:r>
          <w:instrText xml:space="preserve"> PAGEREF _Toc26030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5" w:history="1">
        <w:r>
          <w:rPr>
            <w:rFonts w:ascii="仿宋" w:eastAsia="仿宋" w:hAnsi="仿宋" w:cs="仿宋" w:hint="eastAsia"/>
            <w:lang w:val="en-US"/>
          </w:rPr>
          <w:t>(一)、技术创新战略概述</w:t>
        </w:r>
        <w:r>
          <w:tab/>
        </w:r>
        <w:r>
          <w:fldChar w:fldCharType="begin"/>
        </w:r>
        <w:r>
          <w:instrText xml:space="preserve"> PAGEREF _Toc7875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26" w:history="1">
        <w:r>
          <w:rPr>
            <w:rFonts w:ascii="仿宋" w:eastAsia="仿宋" w:hAnsi="仿宋" w:cs="仿宋" w:hint="eastAsia"/>
            <w:lang w:val="en-US"/>
          </w:rPr>
          <w:t>(二)、技术创新战略的类型</w:t>
        </w:r>
        <w:r>
          <w:tab/>
        </w:r>
        <w:r>
          <w:fldChar w:fldCharType="begin"/>
        </w:r>
        <w:r>
          <w:instrText xml:space="preserve"> PAGEREF _Toc27526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75" w:history="1">
        <w:r>
          <w:rPr>
            <w:rFonts w:ascii="仿宋" w:eastAsia="仿宋" w:hAnsi="仿宋" w:cs="仿宋" w:hint="eastAsia"/>
            <w:lang w:val="en-US"/>
          </w:rPr>
          <w:t>(三)、技术创新战略的选择</w:t>
        </w:r>
        <w:r>
          <w:tab/>
        </w:r>
        <w:r>
          <w:fldChar w:fldCharType="begin"/>
        </w:r>
        <w:r>
          <w:instrText xml:space="preserve"> PAGEREF _Toc26275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https://d.book118.com/905002224043011121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锯片级人造金刚石行业商业计划书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锯片级人造金刚石行业商业计划书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锯片级人造金刚石行业商业计划书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锯片级人造金刚石行业商业计划书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锯片级人造金刚石行业商业计划书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12442C"/>
    <w:rsid w:val="0C1244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90500222404301112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2024-03-07T14:40:00Z</dcterms:created>
  <dcterms:modified xsi:type="dcterms:W3CDTF">2024-03-07T14:40:44Z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