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bookmarkStart w:id="0" w:name="_GoBack"/>
      <w:bookmarkEnd w:id="0"/>
    </w:p>
    <w:p>
      <w:pPr>
        <w:rPr>
          <w:rFonts w:ascii="仿宋" w:eastAsia="仿宋" w:hAnsi="仿宋" w:cs="仿宋" w:hint="eastAsia"/>
          <w:b/>
          <w:sz w:val="40"/>
        </w:rPr>
      </w:pPr>
    </w:p>
    <w:p>
      <w:pPr>
        <w:rPr>
          <w:rFonts w:ascii="仿宋" w:eastAsia="仿宋" w:hAnsi="仿宋" w:cs="仿宋" w:hint="eastAsia"/>
          <w:b/>
          <w:sz w:val="40"/>
        </w:rPr>
      </w:pPr>
    </w:p>
    <w:p>
      <w:pPr>
        <w:spacing w:before="254" w:line="360" w:lineRule="auto"/>
        <w:ind w:left="273"/>
        <w:jc w:val="center"/>
        <w:outlineLvl w:val="0"/>
        <w:rPr>
          <w:rFonts w:ascii="微软雅黑" w:eastAsia="微软雅黑" w:hAnsi="微软雅黑" w:cs="微软雅黑"/>
          <w:b/>
          <w:bCs/>
          <w:color w:val="2D54A0"/>
          <w:spacing w:val="8"/>
          <w:sz w:val="59"/>
          <w:szCs w:val="59"/>
        </w:rPr>
      </w:pPr>
      <w:r>
        <w:rPr>
          <w:rFonts w:ascii="微软雅黑" w:eastAsia="微软雅黑" w:hAnsi="微软雅黑" w:cs="微软雅黑"/>
          <w:b/>
          <w:bCs/>
          <w:color w:val="2D54A0"/>
          <w:spacing w:val="9"/>
          <w:sz w:val="59"/>
          <w:szCs w:val="59"/>
        </w:rPr>
        <w:t>2024年镁粉系列行业趋势报</w:t>
      </w:r>
      <w:r>
        <w:rPr>
          <w:rFonts w:ascii="微软雅黑" w:eastAsia="微软雅黑" w:hAnsi="微软雅黑" w:cs="微软雅黑"/>
          <w:b/>
          <w:bCs/>
          <w:color w:val="2D54A0"/>
          <w:spacing w:val="8"/>
          <w:sz w:val="59"/>
          <w:szCs w:val="59"/>
        </w:rPr>
        <w:t>告</w:t>
      </w: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b/>
          <w:bCs/>
          <w:color w:val="2D54A0"/>
          <w:spacing w:val="8"/>
          <w:sz w:val="59"/>
          <w:szCs w:val="59"/>
        </w:rPr>
      </w:pPr>
    </w:p>
    <w:p>
      <w:pPr>
        <w:spacing w:before="254" w:line="360" w:lineRule="auto"/>
        <w:ind w:left="273"/>
        <w:jc w:val="center"/>
        <w:outlineLvl w:val="0"/>
        <w:rPr>
          <w:rFonts w:ascii="微软雅黑" w:eastAsia="微软雅黑" w:hAnsi="微软雅黑" w:cs="微软雅黑" w:hint="default"/>
          <w:b/>
          <w:bCs/>
          <w:color w:val="2D54A0"/>
          <w:spacing w:val="8"/>
          <w:sz w:val="44"/>
          <w:szCs w:val="44"/>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color w:val="2D54A0"/>
          <w:spacing w:val="8"/>
          <w:sz w:val="44"/>
          <w:szCs w:val="44"/>
          <w:lang w:val="en-US" w:eastAsia="zh-CN"/>
        </w:rPr>
        <w:t>《2024年最新评估分析》</w:t>
      </w:r>
    </w:p>
    <w:p>
      <w:pPr>
        <w:spacing w:line="360" w:lineRule="auto"/>
        <w:jc w:val="center"/>
        <w:rPr>
          <w:rFonts w:ascii="微软雅黑" w:eastAsia="微软雅黑" w:hAnsi="微软雅黑" w:cs="微软雅黑" w:hint="eastAsia"/>
          <w:b/>
          <w:bCs w:val="0"/>
          <w:color w:val="2E54A1" w:themeColor="accent1" w:themeShade="BF"/>
          <w:sz w:val="40"/>
        </w:rPr>
      </w:pPr>
      <w:r>
        <w:rPr>
          <w:rFonts w:ascii="微软雅黑" w:eastAsia="微软雅黑" w:hAnsi="微软雅黑" w:cs="微软雅黑" w:hint="eastAsia"/>
          <w:b/>
          <w:bCs w:val="0"/>
          <w:color w:val="2E54A1" w:themeColor="accent1" w:themeShade="BF"/>
          <w:sz w:val="40"/>
          <w:lang w:eastAsia="zh-CN"/>
        </w:rPr>
        <w:t>目录</w:t>
      </w:r>
    </w:p>
    <w:p>
      <w:pPr>
        <w:pStyle w:val="TOC1"/>
        <w:tabs>
          <w:tab w:val="right" w:leader="dot" w:pos="8306"/>
        </w:tabs>
      </w:pPr>
      <w:r>
        <w:fldChar w:fldCharType="begin"/>
      </w:r>
      <w:r>
        <w:instrText>TOC \h \z</w:instrText>
      </w:r>
      <w:r>
        <w:fldChar w:fldCharType="separate"/>
      </w:r>
      <w:hyperlink w:anchor="_Toc31120" w:history="1">
        <w:r>
          <w:rPr>
            <w:rFonts w:ascii="微软雅黑" w:eastAsia="微软雅黑" w:hAnsi="微软雅黑" w:cs="微软雅黑" w:hint="eastAsia"/>
            <w:color w:val="001CAC" w:themeColor="hyperlink" w:themeShade="BF"/>
            <w:lang w:eastAsia="zh-CN"/>
          </w:rPr>
          <w:t>前言</w:t>
        </w:r>
        <w:r>
          <w:tab/>
        </w:r>
        <w:r>
          <w:fldChar w:fldCharType="begin"/>
        </w:r>
        <w:r>
          <w:instrText xml:space="preserve"> PAGEREF _Toc31120 \h </w:instrText>
        </w:r>
        <w:r>
          <w:fldChar w:fldCharType="separate"/>
        </w:r>
        <w:r>
          <w:t>4</w:t>
        </w:r>
        <w:r>
          <w:fldChar w:fldCharType="end"/>
        </w:r>
      </w:hyperlink>
    </w:p>
    <w:p>
      <w:pPr>
        <w:pStyle w:val="TOC1"/>
        <w:tabs>
          <w:tab w:val="right" w:leader="dot" w:pos="8306"/>
        </w:tabs>
      </w:pPr>
      <w:hyperlink w:anchor="_Toc10613" w:history="1">
        <w:r>
          <w:rPr>
            <w:rFonts w:ascii="微软雅黑" w:eastAsia="微软雅黑" w:hAnsi="微软雅黑" w:cs="微软雅黑" w:hint="eastAsia"/>
            <w:color w:val="001CAC" w:themeColor="hyperlink" w:themeShade="BF"/>
            <w:szCs w:val="32"/>
            <w:lang w:eastAsia="zh-CN"/>
          </w:rPr>
          <w:t>一、公司文化与社会责任</w:t>
        </w:r>
        <w:r>
          <w:tab/>
        </w:r>
        <w:r>
          <w:fldChar w:fldCharType="begin"/>
        </w:r>
        <w:r>
          <w:instrText xml:space="preserve"> PAGEREF _Toc10613 \h </w:instrText>
        </w:r>
        <w:r>
          <w:fldChar w:fldCharType="separate"/>
        </w:r>
        <w:r>
          <w:t>4</w:t>
        </w:r>
        <w:r>
          <w:fldChar w:fldCharType="end"/>
        </w:r>
      </w:hyperlink>
    </w:p>
    <w:p>
      <w:pPr>
        <w:pStyle w:val="TOC2"/>
        <w:tabs>
          <w:tab w:val="right" w:leader="dot" w:pos="8306"/>
        </w:tabs>
      </w:pPr>
      <w:hyperlink w:anchor="_Toc26662" w:history="1">
        <w:r>
          <w:rPr>
            <w:rFonts w:ascii="宋体" w:eastAsia="宋体" w:hAnsi="宋体" w:cs="宋体" w:hint="eastAsia"/>
            <w:bCs w:val="0"/>
            <w:szCs w:val="28"/>
            <w:lang w:eastAsia="zh-CN"/>
          </w:rPr>
          <w:t>(一)、公司文化建设</w:t>
        </w:r>
        <w:r>
          <w:tab/>
        </w:r>
        <w:r>
          <w:fldChar w:fldCharType="begin"/>
        </w:r>
        <w:r>
          <w:instrText xml:space="preserve"> PAGEREF _Toc26662 \h </w:instrText>
        </w:r>
        <w:r>
          <w:fldChar w:fldCharType="separate"/>
        </w:r>
        <w:r>
          <w:t>4</w:t>
        </w:r>
        <w:r>
          <w:fldChar w:fldCharType="end"/>
        </w:r>
      </w:hyperlink>
    </w:p>
    <w:p>
      <w:pPr>
        <w:pStyle w:val="TOC2"/>
        <w:tabs>
          <w:tab w:val="right" w:leader="dot" w:pos="8306"/>
        </w:tabs>
      </w:pPr>
      <w:hyperlink w:anchor="_Toc19300" w:history="1">
        <w:r>
          <w:rPr>
            <w:rFonts w:ascii="宋体" w:eastAsia="宋体" w:hAnsi="宋体" w:cs="宋体" w:hint="eastAsia"/>
            <w:bCs w:val="0"/>
            <w:szCs w:val="28"/>
            <w:lang w:eastAsia="zh-CN"/>
          </w:rPr>
          <w:t>(二)、企业社会责任与可持续发展</w:t>
        </w:r>
        <w:r>
          <w:tab/>
        </w:r>
        <w:r>
          <w:fldChar w:fldCharType="begin"/>
        </w:r>
        <w:r>
          <w:instrText xml:space="preserve"> PAGEREF _Toc19300 \h </w:instrText>
        </w:r>
        <w:r>
          <w:fldChar w:fldCharType="separate"/>
        </w:r>
        <w:r>
          <w:t>5</w:t>
        </w:r>
        <w:r>
          <w:fldChar w:fldCharType="end"/>
        </w:r>
      </w:hyperlink>
    </w:p>
    <w:p>
      <w:pPr>
        <w:pStyle w:val="TOC1"/>
        <w:tabs>
          <w:tab w:val="right" w:leader="dot" w:pos="8306"/>
        </w:tabs>
      </w:pPr>
      <w:hyperlink w:anchor="_Toc25705" w:history="1">
        <w:r>
          <w:rPr>
            <w:rFonts w:ascii="微软雅黑" w:eastAsia="微软雅黑" w:hAnsi="微软雅黑" w:cs="微软雅黑" w:hint="eastAsia"/>
            <w:color w:val="001CAC" w:themeColor="hyperlink" w:themeShade="BF"/>
            <w:szCs w:val="32"/>
            <w:lang w:eastAsia="zh-CN"/>
          </w:rPr>
          <w:t>二、制度运行与优化</w:t>
        </w:r>
        <w:r>
          <w:tab/>
        </w:r>
        <w:r>
          <w:fldChar w:fldCharType="begin"/>
        </w:r>
        <w:r>
          <w:instrText xml:space="preserve"> PAGEREF _Toc25705 \h </w:instrText>
        </w:r>
        <w:r>
          <w:fldChar w:fldCharType="separate"/>
        </w:r>
        <w:r>
          <w:t>5</w:t>
        </w:r>
        <w:r>
          <w:fldChar w:fldCharType="end"/>
        </w:r>
      </w:hyperlink>
    </w:p>
    <w:p>
      <w:pPr>
        <w:pStyle w:val="TOC2"/>
        <w:tabs>
          <w:tab w:val="right" w:leader="dot" w:pos="8306"/>
        </w:tabs>
      </w:pPr>
      <w:hyperlink w:anchor="_Toc12045" w:history="1">
        <w:r>
          <w:rPr>
            <w:rFonts w:ascii="宋体" w:eastAsia="宋体" w:hAnsi="宋体" w:cs="宋体" w:hint="eastAsia"/>
            <w:bCs w:val="0"/>
            <w:szCs w:val="28"/>
            <w:lang w:eastAsia="zh-CN"/>
          </w:rPr>
          <w:t>(一)、制度执行与监督</w:t>
        </w:r>
        <w:r>
          <w:tab/>
        </w:r>
        <w:r>
          <w:fldChar w:fldCharType="begin"/>
        </w:r>
        <w:r>
          <w:instrText xml:space="preserve"> PAGEREF _Toc12045 \h </w:instrText>
        </w:r>
        <w:r>
          <w:fldChar w:fldCharType="separate"/>
        </w:r>
        <w:r>
          <w:t>5</w:t>
        </w:r>
        <w:r>
          <w:fldChar w:fldCharType="end"/>
        </w:r>
      </w:hyperlink>
    </w:p>
    <w:p>
      <w:pPr>
        <w:pStyle w:val="TOC2"/>
        <w:tabs>
          <w:tab w:val="right" w:leader="dot" w:pos="8306"/>
        </w:tabs>
      </w:pPr>
      <w:hyperlink w:anchor="_Toc13367" w:history="1">
        <w:r>
          <w:rPr>
            <w:rFonts w:ascii="宋体" w:eastAsia="宋体" w:hAnsi="宋体" w:cs="宋体" w:hint="eastAsia"/>
            <w:bCs w:val="0"/>
            <w:szCs w:val="28"/>
            <w:lang w:eastAsia="zh-CN"/>
          </w:rPr>
          <w:t>(二)、制度优化与更新</w:t>
        </w:r>
        <w:r>
          <w:tab/>
        </w:r>
        <w:r>
          <w:fldChar w:fldCharType="begin"/>
        </w:r>
        <w:r>
          <w:instrText xml:space="preserve"> PAGEREF _Toc13367 \h </w:instrText>
        </w:r>
        <w:r>
          <w:fldChar w:fldCharType="separate"/>
        </w:r>
        <w:r>
          <w:t>6</w:t>
        </w:r>
        <w:r>
          <w:fldChar w:fldCharType="end"/>
        </w:r>
      </w:hyperlink>
    </w:p>
    <w:p>
      <w:pPr>
        <w:pStyle w:val="TOC1"/>
        <w:tabs>
          <w:tab w:val="right" w:leader="dot" w:pos="8306"/>
        </w:tabs>
      </w:pPr>
      <w:hyperlink w:anchor="_Toc17132" w:history="1">
        <w:r>
          <w:rPr>
            <w:rFonts w:ascii="微软雅黑" w:eastAsia="微软雅黑" w:hAnsi="微软雅黑" w:cs="微软雅黑" w:hint="eastAsia"/>
            <w:color w:val="001CAC" w:themeColor="hyperlink" w:themeShade="BF"/>
            <w:szCs w:val="32"/>
            <w:lang w:eastAsia="zh-CN"/>
          </w:rPr>
          <w:t>三、市场营销与推广策略</w:t>
        </w:r>
        <w:r>
          <w:tab/>
        </w:r>
        <w:r>
          <w:fldChar w:fldCharType="begin"/>
        </w:r>
        <w:r>
          <w:instrText xml:space="preserve"> PAGEREF _Toc17132 \h </w:instrText>
        </w:r>
        <w:r>
          <w:fldChar w:fldCharType="separate"/>
        </w:r>
        <w:r>
          <w:t>7</w:t>
        </w:r>
        <w:r>
          <w:fldChar w:fldCharType="end"/>
        </w:r>
      </w:hyperlink>
    </w:p>
    <w:p>
      <w:pPr>
        <w:pStyle w:val="TOC2"/>
        <w:tabs>
          <w:tab w:val="right" w:leader="dot" w:pos="8306"/>
        </w:tabs>
      </w:pPr>
      <w:hyperlink w:anchor="_Toc5094" w:history="1">
        <w:r>
          <w:rPr>
            <w:rFonts w:ascii="宋体" w:eastAsia="宋体" w:hAnsi="宋体" w:cs="宋体" w:hint="eastAsia"/>
            <w:bCs w:val="0"/>
            <w:szCs w:val="28"/>
            <w:lang w:eastAsia="zh-CN"/>
          </w:rPr>
          <w:t>(一)、目标市场分析</w:t>
        </w:r>
        <w:r>
          <w:tab/>
        </w:r>
        <w:r>
          <w:fldChar w:fldCharType="begin"/>
        </w:r>
        <w:r>
          <w:instrText xml:space="preserve"> PAGEREF _Toc5094 \h </w:instrText>
        </w:r>
        <w:r>
          <w:fldChar w:fldCharType="separate"/>
        </w:r>
        <w:r>
          <w:t>7</w:t>
        </w:r>
        <w:r>
          <w:fldChar w:fldCharType="end"/>
        </w:r>
      </w:hyperlink>
    </w:p>
    <w:p>
      <w:pPr>
        <w:pStyle w:val="TOC2"/>
        <w:tabs>
          <w:tab w:val="right" w:leader="dot" w:pos="8306"/>
        </w:tabs>
      </w:pPr>
      <w:hyperlink w:anchor="_Toc25243" w:history="1">
        <w:r>
          <w:rPr>
            <w:rFonts w:ascii="宋体" w:eastAsia="宋体" w:hAnsi="宋体" w:cs="宋体" w:hint="eastAsia"/>
            <w:bCs w:val="0"/>
            <w:szCs w:val="28"/>
            <w:lang w:eastAsia="zh-CN"/>
          </w:rPr>
          <w:t>(二)、市场定位与竞争分析</w:t>
        </w:r>
        <w:r>
          <w:tab/>
        </w:r>
        <w:r>
          <w:fldChar w:fldCharType="begin"/>
        </w:r>
        <w:r>
          <w:instrText xml:space="preserve"> PAGEREF _Toc25243 \h </w:instrText>
        </w:r>
        <w:r>
          <w:fldChar w:fldCharType="separate"/>
        </w:r>
        <w:r>
          <w:t>7</w:t>
        </w:r>
        <w:r>
          <w:fldChar w:fldCharType="end"/>
        </w:r>
      </w:hyperlink>
    </w:p>
    <w:p>
      <w:pPr>
        <w:pStyle w:val="TOC2"/>
        <w:tabs>
          <w:tab w:val="right" w:leader="dot" w:pos="8306"/>
        </w:tabs>
      </w:pPr>
      <w:hyperlink w:anchor="_Toc18113" w:history="1">
        <w:r>
          <w:rPr>
            <w:rFonts w:ascii="宋体" w:eastAsia="宋体" w:hAnsi="宋体" w:cs="宋体" w:hint="eastAsia"/>
            <w:bCs w:val="0"/>
            <w:szCs w:val="28"/>
            <w:lang w:eastAsia="zh-CN"/>
          </w:rPr>
          <w:t>(三)、推广与宣传策略</w:t>
        </w:r>
        <w:r>
          <w:tab/>
        </w:r>
        <w:r>
          <w:fldChar w:fldCharType="begin"/>
        </w:r>
        <w:r>
          <w:instrText xml:space="preserve"> PAGEREF _Toc18113 \h </w:instrText>
        </w:r>
        <w:r>
          <w:fldChar w:fldCharType="separate"/>
        </w:r>
        <w:r>
          <w:t>7</w:t>
        </w:r>
        <w:r>
          <w:fldChar w:fldCharType="end"/>
        </w:r>
      </w:hyperlink>
    </w:p>
    <w:p>
      <w:pPr>
        <w:pStyle w:val="TOC1"/>
        <w:tabs>
          <w:tab w:val="right" w:leader="dot" w:pos="8306"/>
        </w:tabs>
      </w:pPr>
      <w:hyperlink w:anchor="_Toc10736" w:history="1">
        <w:r>
          <w:rPr>
            <w:rFonts w:ascii="微软雅黑" w:eastAsia="微软雅黑" w:hAnsi="微软雅黑" w:cs="微软雅黑" w:hint="eastAsia"/>
            <w:color w:val="001CAC" w:themeColor="hyperlink" w:themeShade="BF"/>
            <w:szCs w:val="32"/>
            <w:lang w:eastAsia="zh-CN"/>
          </w:rPr>
          <w:t>四、项目技术流程</w:t>
        </w:r>
        <w:r>
          <w:tab/>
        </w:r>
        <w:r>
          <w:fldChar w:fldCharType="begin"/>
        </w:r>
        <w:r>
          <w:instrText xml:space="preserve"> PAGEREF _Toc10736 \h </w:instrText>
        </w:r>
        <w:r>
          <w:fldChar w:fldCharType="separate"/>
        </w:r>
        <w:r>
          <w:t>8</w:t>
        </w:r>
        <w:r>
          <w:fldChar w:fldCharType="end"/>
        </w:r>
      </w:hyperlink>
    </w:p>
    <w:p>
      <w:pPr>
        <w:pStyle w:val="TOC2"/>
        <w:tabs>
          <w:tab w:val="right" w:leader="dot" w:pos="8306"/>
        </w:tabs>
      </w:pPr>
      <w:hyperlink w:anchor="_Toc4147" w:history="1">
        <w:r>
          <w:rPr>
            <w:rFonts w:ascii="宋体" w:eastAsia="宋体" w:hAnsi="宋体" w:cs="宋体" w:hint="eastAsia"/>
            <w:bCs w:val="0"/>
            <w:szCs w:val="28"/>
            <w:lang w:eastAsia="zh-CN"/>
          </w:rPr>
          <w:t>(一)、技术方案选择</w:t>
        </w:r>
        <w:r>
          <w:tab/>
        </w:r>
        <w:r>
          <w:fldChar w:fldCharType="begin"/>
        </w:r>
        <w:r>
          <w:instrText xml:space="preserve"> PAGEREF _Toc4147 \h </w:instrText>
        </w:r>
        <w:r>
          <w:fldChar w:fldCharType="separate"/>
        </w:r>
        <w:r>
          <w:t>8</w:t>
        </w:r>
        <w:r>
          <w:fldChar w:fldCharType="end"/>
        </w:r>
      </w:hyperlink>
    </w:p>
    <w:p>
      <w:pPr>
        <w:pStyle w:val="TOC2"/>
        <w:tabs>
          <w:tab w:val="right" w:leader="dot" w:pos="8306"/>
        </w:tabs>
      </w:pPr>
      <w:hyperlink w:anchor="_Toc12776" w:history="1">
        <w:r>
          <w:rPr>
            <w:rFonts w:ascii="宋体" w:eastAsia="宋体" w:hAnsi="宋体" w:cs="宋体" w:hint="eastAsia"/>
            <w:bCs w:val="0"/>
            <w:szCs w:val="28"/>
            <w:lang w:eastAsia="zh-CN"/>
          </w:rPr>
          <w:t>(二)、设备选型方案</w:t>
        </w:r>
        <w:r>
          <w:tab/>
        </w:r>
        <w:r>
          <w:fldChar w:fldCharType="begin"/>
        </w:r>
        <w:r>
          <w:instrText xml:space="preserve"> PAGEREF _Toc12776 \h </w:instrText>
        </w:r>
        <w:r>
          <w:fldChar w:fldCharType="separate"/>
        </w:r>
        <w:r>
          <w:t>8</w:t>
        </w:r>
        <w:r>
          <w:fldChar w:fldCharType="end"/>
        </w:r>
      </w:hyperlink>
    </w:p>
    <w:p>
      <w:pPr>
        <w:pStyle w:val="TOC2"/>
        <w:tabs>
          <w:tab w:val="right" w:leader="dot" w:pos="8306"/>
        </w:tabs>
      </w:pPr>
      <w:hyperlink w:anchor="_Toc892" w:history="1">
        <w:r>
          <w:rPr>
            <w:rFonts w:ascii="宋体" w:eastAsia="宋体" w:hAnsi="宋体" w:cs="宋体" w:hint="eastAsia"/>
            <w:bCs w:val="0"/>
            <w:szCs w:val="28"/>
            <w:lang w:eastAsia="zh-CN"/>
          </w:rPr>
          <w:t>(三)、技术流程与工艺设计</w:t>
        </w:r>
        <w:r>
          <w:tab/>
        </w:r>
        <w:r>
          <w:fldChar w:fldCharType="begin"/>
        </w:r>
        <w:r>
          <w:instrText xml:space="preserve"> PAGEREF _Toc892 \h </w:instrText>
        </w:r>
        <w:r>
          <w:fldChar w:fldCharType="separate"/>
        </w:r>
        <w:r>
          <w:t>9</w:t>
        </w:r>
        <w:r>
          <w:fldChar w:fldCharType="end"/>
        </w:r>
      </w:hyperlink>
    </w:p>
    <w:p>
      <w:pPr>
        <w:pStyle w:val="TOC1"/>
        <w:tabs>
          <w:tab w:val="right" w:leader="dot" w:pos="8306"/>
        </w:tabs>
      </w:pPr>
      <w:hyperlink w:anchor="_Toc3608" w:history="1">
        <w:r>
          <w:rPr>
            <w:rFonts w:ascii="微软雅黑" w:eastAsia="微软雅黑" w:hAnsi="微软雅黑" w:cs="微软雅黑" w:hint="eastAsia"/>
            <w:color w:val="001CAC" w:themeColor="hyperlink" w:themeShade="BF"/>
            <w:szCs w:val="32"/>
            <w:lang w:eastAsia="zh-CN"/>
          </w:rPr>
          <w:t>五、质量管理与持续改进</w:t>
        </w:r>
        <w:r>
          <w:tab/>
        </w:r>
        <w:r>
          <w:fldChar w:fldCharType="begin"/>
        </w:r>
        <w:r>
          <w:instrText xml:space="preserve"> PAGEREF _Toc3608 \h </w:instrText>
        </w:r>
        <w:r>
          <w:fldChar w:fldCharType="separate"/>
        </w:r>
        <w:r>
          <w:t>10</w:t>
        </w:r>
        <w:r>
          <w:fldChar w:fldCharType="end"/>
        </w:r>
      </w:hyperlink>
    </w:p>
    <w:p>
      <w:pPr>
        <w:pStyle w:val="TOC2"/>
        <w:tabs>
          <w:tab w:val="right" w:leader="dot" w:pos="8306"/>
        </w:tabs>
      </w:pPr>
      <w:hyperlink w:anchor="_Toc17897" w:history="1">
        <w:r>
          <w:rPr>
            <w:rFonts w:ascii="宋体" w:eastAsia="宋体" w:hAnsi="宋体" w:cs="宋体" w:hint="eastAsia"/>
            <w:bCs w:val="0"/>
            <w:szCs w:val="28"/>
            <w:lang w:eastAsia="zh-CN"/>
          </w:rPr>
          <w:t>(一)、质量管理体系建设</w:t>
        </w:r>
        <w:r>
          <w:tab/>
        </w:r>
        <w:r>
          <w:fldChar w:fldCharType="begin"/>
        </w:r>
        <w:r>
          <w:instrText xml:space="preserve"> PAGEREF _Toc17897 \h </w:instrText>
        </w:r>
        <w:r>
          <w:fldChar w:fldCharType="separate"/>
        </w:r>
        <w:r>
          <w:t>10</w:t>
        </w:r>
        <w:r>
          <w:fldChar w:fldCharType="end"/>
        </w:r>
      </w:hyperlink>
    </w:p>
    <w:p>
      <w:pPr>
        <w:pStyle w:val="TOC2"/>
        <w:tabs>
          <w:tab w:val="right" w:leader="dot" w:pos="8306"/>
        </w:tabs>
      </w:pPr>
      <w:hyperlink w:anchor="_Toc22140" w:history="1">
        <w:r>
          <w:rPr>
            <w:rFonts w:ascii="宋体" w:eastAsia="宋体" w:hAnsi="宋体" w:cs="宋体" w:hint="eastAsia"/>
            <w:bCs w:val="0"/>
            <w:szCs w:val="28"/>
            <w:lang w:eastAsia="zh-CN"/>
          </w:rPr>
          <w:t>(二)、生产过程控制与优化</w:t>
        </w:r>
        <w:r>
          <w:tab/>
        </w:r>
        <w:r>
          <w:fldChar w:fldCharType="begin"/>
        </w:r>
        <w:r>
          <w:instrText xml:space="preserve"> PAGEREF _Toc22140 \h </w:instrText>
        </w:r>
        <w:r>
          <w:fldChar w:fldCharType="separate"/>
        </w:r>
        <w:r>
          <w:t>11</w:t>
        </w:r>
        <w:r>
          <w:fldChar w:fldCharType="end"/>
        </w:r>
      </w:hyperlink>
    </w:p>
    <w:p>
      <w:pPr>
        <w:pStyle w:val="TOC2"/>
        <w:tabs>
          <w:tab w:val="right" w:leader="dot" w:pos="8306"/>
        </w:tabs>
      </w:pPr>
      <w:hyperlink w:anchor="_Toc32734" w:history="1">
        <w:r>
          <w:rPr>
            <w:rFonts w:ascii="宋体" w:eastAsia="宋体" w:hAnsi="宋体" w:cs="宋体" w:hint="eastAsia"/>
            <w:bCs w:val="0"/>
            <w:szCs w:val="28"/>
            <w:lang w:eastAsia="zh-CN"/>
          </w:rPr>
          <w:t>(三)、产品质量检验与测试</w:t>
        </w:r>
        <w:r>
          <w:tab/>
        </w:r>
        <w:r>
          <w:fldChar w:fldCharType="begin"/>
        </w:r>
        <w:r>
          <w:instrText xml:space="preserve"> PAGEREF _Toc32734 \h </w:instrText>
        </w:r>
        <w:r>
          <w:fldChar w:fldCharType="separate"/>
        </w:r>
        <w:r>
          <w:t>12</w:t>
        </w:r>
        <w:r>
          <w:fldChar w:fldCharType="end"/>
        </w:r>
      </w:hyperlink>
    </w:p>
    <w:p>
      <w:pPr>
        <w:pStyle w:val="TOC2"/>
        <w:tabs>
          <w:tab w:val="right" w:leader="dot" w:pos="8306"/>
        </w:tabs>
      </w:pPr>
      <w:hyperlink w:anchor="_Toc10455" w:history="1">
        <w:r>
          <w:rPr>
            <w:rFonts w:ascii="宋体" w:eastAsia="宋体" w:hAnsi="宋体" w:cs="宋体" w:hint="eastAsia"/>
            <w:bCs w:val="0"/>
            <w:szCs w:val="28"/>
            <w:lang w:eastAsia="zh-CN"/>
          </w:rPr>
          <w:t>(四)、用户反馈与质量改进</w:t>
        </w:r>
        <w:r>
          <w:tab/>
        </w:r>
        <w:r>
          <w:fldChar w:fldCharType="begin"/>
        </w:r>
        <w:r>
          <w:instrText xml:space="preserve"> PAGEREF _Toc10455 \h </w:instrText>
        </w:r>
        <w:r>
          <w:fldChar w:fldCharType="separate"/>
        </w:r>
        <w:r>
          <w:t>12</w:t>
        </w:r>
        <w:r>
          <w:fldChar w:fldCharType="end"/>
        </w:r>
      </w:hyperlink>
    </w:p>
    <w:p>
      <w:pPr>
        <w:pStyle w:val="TOC1"/>
        <w:tabs>
          <w:tab w:val="right" w:leader="dot" w:pos="8306"/>
        </w:tabs>
      </w:pPr>
      <w:hyperlink w:anchor="_Toc23357" w:history="1">
        <w:r>
          <w:rPr>
            <w:rFonts w:ascii="微软雅黑" w:eastAsia="微软雅黑" w:hAnsi="微软雅黑" w:cs="微软雅黑" w:hint="eastAsia"/>
            <w:color w:val="001CAC" w:themeColor="hyperlink" w:themeShade="BF"/>
            <w:szCs w:val="32"/>
            <w:lang w:eastAsia="zh-CN"/>
          </w:rPr>
          <w:t>六、项目实施与进度安排</w:t>
        </w:r>
        <w:r>
          <w:tab/>
        </w:r>
        <w:r>
          <w:fldChar w:fldCharType="begin"/>
        </w:r>
        <w:r>
          <w:instrText xml:space="preserve"> PAGEREF _Toc23357 \h </w:instrText>
        </w:r>
        <w:r>
          <w:fldChar w:fldCharType="separate"/>
        </w:r>
        <w:r>
          <w:t>13</w:t>
        </w:r>
        <w:r>
          <w:fldChar w:fldCharType="end"/>
        </w:r>
      </w:hyperlink>
    </w:p>
    <w:p>
      <w:pPr>
        <w:pStyle w:val="TOC2"/>
        <w:tabs>
          <w:tab w:val="right" w:leader="dot" w:pos="8306"/>
        </w:tabs>
      </w:pPr>
      <w:hyperlink w:anchor="_Toc9735" w:history="1">
        <w:r>
          <w:rPr>
            <w:rFonts w:ascii="宋体" w:eastAsia="宋体" w:hAnsi="宋体" w:cs="宋体" w:hint="eastAsia"/>
            <w:bCs w:val="0"/>
            <w:szCs w:val="28"/>
            <w:lang w:eastAsia="zh-CN"/>
          </w:rPr>
          <w:t>(一)、项目计划与时间节点</w:t>
        </w:r>
        <w:r>
          <w:tab/>
        </w:r>
        <w:r>
          <w:fldChar w:fldCharType="begin"/>
        </w:r>
        <w:r>
          <w:instrText xml:space="preserve"> PAGEREF _Toc9735 \h </w:instrText>
        </w:r>
        <w:r>
          <w:fldChar w:fldCharType="separate"/>
        </w:r>
        <w:r>
          <w:t>13</w:t>
        </w:r>
        <w:r>
          <w:fldChar w:fldCharType="end"/>
        </w:r>
      </w:hyperlink>
    </w:p>
    <w:p>
      <w:pPr>
        <w:pStyle w:val="TOC2"/>
        <w:tabs>
          <w:tab w:val="right" w:leader="dot" w:pos="8306"/>
        </w:tabs>
      </w:pPr>
      <w:hyperlink w:anchor="_Toc8682" w:history="1">
        <w:r>
          <w:rPr>
            <w:rFonts w:ascii="宋体" w:eastAsia="宋体" w:hAnsi="宋体" w:cs="宋体" w:hint="eastAsia"/>
            <w:bCs w:val="0"/>
            <w:szCs w:val="28"/>
            <w:lang w:eastAsia="zh-CN"/>
          </w:rPr>
          <w:t>(二)、项目进度安排</w:t>
        </w:r>
        <w:r>
          <w:tab/>
        </w:r>
        <w:r>
          <w:fldChar w:fldCharType="begin"/>
        </w:r>
        <w:r>
          <w:instrText xml:space="preserve"> PAGEREF _Toc8682 \h </w:instrText>
        </w:r>
        <w:r>
          <w:fldChar w:fldCharType="separate"/>
        </w:r>
        <w:r>
          <w:t>15</w:t>
        </w:r>
        <w:r>
          <w:fldChar w:fldCharType="end"/>
        </w:r>
      </w:hyperlink>
    </w:p>
    <w:p>
      <w:pPr>
        <w:pStyle w:val="TOC2"/>
        <w:tabs>
          <w:tab w:val="right" w:leader="dot" w:pos="8306"/>
        </w:tabs>
      </w:pPr>
      <w:hyperlink w:anchor="_Toc21233" w:history="1">
        <w:r>
          <w:rPr>
            <w:rFonts w:ascii="宋体" w:eastAsia="宋体" w:hAnsi="宋体" w:cs="宋体" w:hint="eastAsia"/>
            <w:bCs w:val="0"/>
            <w:szCs w:val="28"/>
            <w:lang w:eastAsia="zh-CN"/>
          </w:rPr>
          <w:t>(三)、风险管理与对策</w:t>
        </w:r>
        <w:r>
          <w:tab/>
        </w:r>
        <w:r>
          <w:fldChar w:fldCharType="begin"/>
        </w:r>
        <w:r>
          <w:instrText xml:space="preserve"> PAGEREF _Toc21233 \h </w:instrText>
        </w:r>
        <w:r>
          <w:fldChar w:fldCharType="separate"/>
        </w:r>
        <w:r>
          <w:t>16</w:t>
        </w:r>
        <w:r>
          <w:fldChar w:fldCharType="end"/>
        </w:r>
      </w:hyperlink>
    </w:p>
    <w:p>
      <w:pPr>
        <w:pStyle w:val="TOC1"/>
        <w:tabs>
          <w:tab w:val="right" w:leader="dot" w:pos="8306"/>
        </w:tabs>
      </w:pPr>
      <w:hyperlink w:anchor="_Toc25976" w:history="1">
        <w:r>
          <w:rPr>
            <w:rFonts w:ascii="微软雅黑" w:eastAsia="微软雅黑" w:hAnsi="微软雅黑" w:cs="微软雅黑" w:hint="eastAsia"/>
            <w:color w:val="001CAC" w:themeColor="hyperlink" w:themeShade="BF"/>
            <w:szCs w:val="32"/>
            <w:lang w:eastAsia="zh-CN"/>
          </w:rPr>
          <w:t>七、镁粉系列行业运营管理及商业模式分析</w:t>
        </w:r>
        <w:r>
          <w:tab/>
        </w:r>
        <w:r>
          <w:fldChar w:fldCharType="begin"/>
        </w:r>
        <w:r>
          <w:instrText xml:space="preserve"> PAGEREF _Toc25976 \h </w:instrText>
        </w:r>
        <w:r>
          <w:fldChar w:fldCharType="separate"/>
        </w:r>
        <w:r>
          <w:t>18</w:t>
        </w:r>
        <w:r>
          <w:fldChar w:fldCharType="end"/>
        </w:r>
      </w:hyperlink>
    </w:p>
    <w:p>
      <w:pPr>
        <w:pStyle w:val="TOC2"/>
        <w:tabs>
          <w:tab w:val="right" w:leader="dot" w:pos="8306"/>
        </w:tabs>
      </w:pPr>
      <w:hyperlink w:anchor="_Toc16895" w:history="1">
        <w:r>
          <w:rPr>
            <w:rFonts w:ascii="宋体" w:eastAsia="宋体" w:hAnsi="宋体" w:cs="宋体" w:hint="eastAsia"/>
            <w:bCs w:val="0"/>
            <w:szCs w:val="28"/>
            <w:lang w:eastAsia="zh-CN"/>
          </w:rPr>
          <w:t>(一)、镁粉系列行业数字化发展方案</w:t>
        </w:r>
        <w:r>
          <w:tab/>
        </w:r>
        <w:r>
          <w:fldChar w:fldCharType="begin"/>
        </w:r>
        <w:r>
          <w:instrText xml:space="preserve"> PAGEREF _Toc16895 \h </w:instrText>
        </w:r>
        <w:r>
          <w:fldChar w:fldCharType="separate"/>
        </w:r>
        <w:r>
          <w:t>18</w:t>
        </w:r>
        <w:r>
          <w:fldChar w:fldCharType="end"/>
        </w:r>
      </w:hyperlink>
    </w:p>
    <w:p>
      <w:pPr>
        <w:pStyle w:val="TOC2"/>
        <w:tabs>
          <w:tab w:val="right" w:leader="dot" w:pos="8306"/>
        </w:tabs>
      </w:pPr>
      <w:hyperlink w:anchor="_Toc8521" w:history="1">
        <w:r>
          <w:rPr>
            <w:rFonts w:ascii="宋体" w:eastAsia="宋体" w:hAnsi="宋体" w:cs="宋体" w:hint="eastAsia"/>
            <w:bCs w:val="0"/>
            <w:szCs w:val="28"/>
            <w:lang w:eastAsia="zh-CN"/>
          </w:rPr>
          <w:t>(二)、镁粉系列行业新型运营方式</w:t>
        </w:r>
        <w:r>
          <w:tab/>
        </w:r>
        <w:r>
          <w:fldChar w:fldCharType="begin"/>
        </w:r>
        <w:r>
          <w:instrText xml:space="preserve"> PAGEREF _Toc8521 \h </w:instrText>
        </w:r>
        <w:r>
          <w:fldChar w:fldCharType="separate"/>
        </w:r>
        <w:r>
          <w:t>21</w:t>
        </w:r>
        <w:r>
          <w:fldChar w:fldCharType="end"/>
        </w:r>
      </w:hyperlink>
    </w:p>
    <w:p>
      <w:pPr>
        <w:pStyle w:val="TOC2"/>
        <w:tabs>
          <w:tab w:val="right" w:leader="dot" w:pos="8306"/>
        </w:tabs>
      </w:pPr>
      <w:hyperlink w:anchor="_Toc20795" w:history="1">
        <w:r>
          <w:rPr>
            <w:rFonts w:ascii="宋体" w:eastAsia="宋体" w:hAnsi="宋体" w:cs="宋体" w:hint="eastAsia"/>
            <w:bCs w:val="0"/>
            <w:szCs w:val="28"/>
            <w:lang w:eastAsia="zh-CN"/>
          </w:rPr>
          <w:t>(三)、镁粉系列行业风险管理</w:t>
        </w:r>
        <w:r>
          <w:tab/>
        </w:r>
        <w:r>
          <w:fldChar w:fldCharType="begin"/>
        </w:r>
        <w:r>
          <w:instrText xml:space="preserve"> PAGEREF _Toc20795 \h </w:instrText>
        </w:r>
        <w:r>
          <w:fldChar w:fldCharType="separate"/>
        </w:r>
        <w:r>
          <w:t>24</w:t>
        </w:r>
        <w:r>
          <w:fldChar w:fldCharType="end"/>
        </w:r>
      </w:hyperlink>
    </w:p>
    <w:p>
      <w:pPr>
        <w:pStyle w:val="TOC1"/>
        <w:tabs>
          <w:tab w:val="right" w:leader="dot" w:pos="8306"/>
        </w:tabs>
      </w:pPr>
      <w:hyperlink w:anchor="_Toc4775" w:history="1">
        <w:r>
          <w:rPr>
            <w:rFonts w:ascii="微软雅黑" w:eastAsia="微软雅黑" w:hAnsi="微软雅黑" w:cs="微软雅黑" w:hint="eastAsia"/>
            <w:color w:val="001CAC" w:themeColor="hyperlink" w:themeShade="BF"/>
            <w:szCs w:val="32"/>
            <w:lang w:eastAsia="zh-CN"/>
          </w:rPr>
          <w:t>八、安全与劳动保护</w:t>
        </w:r>
        <w:r>
          <w:tab/>
        </w:r>
        <w:r>
          <w:fldChar w:fldCharType="begin"/>
        </w:r>
        <w:r>
          <w:instrText xml:space="preserve"> PAGEREF _Toc4775 \h </w:instrText>
        </w:r>
        <w:r>
          <w:fldChar w:fldCharType="separate"/>
        </w:r>
        <w:r>
          <w:t>28</w:t>
        </w:r>
        <w:r>
          <w:fldChar w:fldCharType="end"/>
        </w:r>
      </w:hyperlink>
    </w:p>
    <w:p>
      <w:pPr>
        <w:pStyle w:val="TOC2"/>
        <w:tabs>
          <w:tab w:val="right" w:leader="dot" w:pos="8306"/>
        </w:tabs>
      </w:pPr>
      <w:hyperlink w:anchor="_Toc27275" w:history="1">
        <w:r>
          <w:rPr>
            <w:rFonts w:ascii="宋体" w:eastAsia="宋体" w:hAnsi="宋体" w:cs="宋体" w:hint="eastAsia"/>
            <w:bCs w:val="0"/>
            <w:szCs w:val="28"/>
            <w:lang w:eastAsia="zh-CN"/>
          </w:rPr>
          <w:t>(一)、设计依据与法规合规</w:t>
        </w:r>
        <w:r>
          <w:tab/>
        </w:r>
        <w:r>
          <w:fldChar w:fldCharType="begin"/>
        </w:r>
        <w:r>
          <w:instrText xml:space="preserve"> PAGEREF _Toc27275 \h </w:instrText>
        </w:r>
        <w:r>
          <w:fldChar w:fldCharType="separate"/>
        </w:r>
        <w:r>
          <w:t>28</w:t>
        </w:r>
        <w:r>
          <w:fldChar w:fldCharType="end"/>
        </w:r>
      </w:hyperlink>
    </w:p>
    <w:p>
      <w:pPr>
        <w:pStyle w:val="TOC2"/>
        <w:tabs>
          <w:tab w:val="right" w:leader="dot" w:pos="8306"/>
        </w:tabs>
      </w:pPr>
      <w:hyperlink w:anchor="_Toc7835" w:history="1">
        <w:r>
          <w:rPr>
            <w:rFonts w:ascii="宋体" w:eastAsia="宋体" w:hAnsi="宋体" w:cs="宋体" w:hint="eastAsia"/>
            <w:bCs w:val="0"/>
            <w:szCs w:val="28"/>
            <w:lang w:eastAsia="zh-CN"/>
          </w:rPr>
          <w:t>(二)、劳动安全预期效果评价</w:t>
        </w:r>
        <w:r>
          <w:tab/>
        </w:r>
        <w:r>
          <w:fldChar w:fldCharType="begin"/>
        </w:r>
        <w:r>
          <w:instrText xml:space="preserve"> PAGEREF _Toc7835 \h </w:instrText>
        </w:r>
        <w:r>
          <w:fldChar w:fldCharType="separate"/>
        </w:r>
        <w:r>
          <w:t>28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26" w:history="1">
        <w:r>
          <w:rPr>
            <w:rFonts w:ascii="宋体" w:eastAsia="宋体" w:hAnsi="宋体" w:cs="宋体" w:hint="eastAsia"/>
            <w:bCs w:val="0"/>
            <w:szCs w:val="28"/>
            <w:lang w:eastAsia="zh-CN"/>
          </w:rPr>
          <w:t>(三)、主要防范措施</w:t>
        </w:r>
        <w:r>
          <w:tab/>
        </w:r>
        <w:r>
          <w:fldChar w:fldCharType="begin"/>
        </w:r>
        <w:r>
          <w:instrText xml:space="preserve"> PAGEREF _Toc24226 \h </w:instrText>
        </w:r>
        <w:r>
          <w:fldChar w:fldCharType="separate"/>
        </w:r>
        <w:r>
          <w:t>28</w:t>
        </w:r>
        <w:r>
          <w:fldChar w:fldCharType="end"/>
        </w:r>
      </w:hyperlink>
    </w:p>
    <w:p>
      <w:pPr>
        <w:pStyle w:val="TOC1"/>
        <w:tabs>
          <w:tab w:val="right" w:leader="dot" w:pos="8306"/>
        </w:tabs>
      </w:pPr>
      <w:hyperlink w:anchor="_Toc7059" w:history="1">
        <w:r>
          <w:rPr>
            <w:rFonts w:ascii="微软雅黑" w:eastAsia="微软雅黑" w:hAnsi="微软雅黑" w:cs="微软雅黑" w:hint="eastAsia"/>
            <w:color w:val="001CAC" w:themeColor="hyperlink" w:themeShade="BF"/>
            <w:szCs w:val="32"/>
            <w:lang w:eastAsia="zh-CN"/>
          </w:rPr>
          <w:t>九、镁粉系列行业市场营销分析</w:t>
        </w:r>
        <w:r>
          <w:tab/>
        </w:r>
        <w:r>
          <w:fldChar w:fldCharType="begin"/>
        </w:r>
        <w:r>
          <w:instrText xml:space="preserve"> PAGEREF _Toc7059 \h </w:instrText>
        </w:r>
        <w:r>
          <w:fldChar w:fldCharType="separate"/>
        </w:r>
        <w:r>
          <w:t>29</w:t>
        </w:r>
        <w:r>
          <w:fldChar w:fldCharType="end"/>
        </w:r>
      </w:hyperlink>
    </w:p>
    <w:p>
      <w:pPr>
        <w:pStyle w:val="TOC2"/>
        <w:tabs>
          <w:tab w:val="right" w:leader="dot" w:pos="8306"/>
        </w:tabs>
      </w:pPr>
      <w:hyperlink w:anchor="_Toc30880" w:history="1">
        <w:r>
          <w:rPr>
            <w:rFonts w:ascii="宋体" w:eastAsia="宋体" w:hAnsi="宋体" w:cs="宋体" w:hint="eastAsia"/>
            <w:bCs w:val="0"/>
            <w:szCs w:val="28"/>
            <w:lang w:eastAsia="zh-CN"/>
          </w:rPr>
          <w:t>(一)、镁粉系列行业市场营销总体思路</w:t>
        </w:r>
        <w:r>
          <w:tab/>
        </w:r>
        <w:r>
          <w:fldChar w:fldCharType="begin"/>
        </w:r>
        <w:r>
          <w:instrText xml:space="preserve"> PAGEREF _Toc30880 \h </w:instrText>
        </w:r>
        <w:r>
          <w:fldChar w:fldCharType="separate"/>
        </w:r>
        <w:r>
          <w:t>29</w:t>
        </w:r>
        <w:r>
          <w:fldChar w:fldCharType="end"/>
        </w:r>
      </w:hyperlink>
    </w:p>
    <w:p>
      <w:pPr>
        <w:pStyle w:val="TOC2"/>
        <w:tabs>
          <w:tab w:val="right" w:leader="dot" w:pos="8306"/>
        </w:tabs>
      </w:pPr>
      <w:hyperlink w:anchor="_Toc17679" w:history="1">
        <w:r>
          <w:rPr>
            <w:rFonts w:ascii="宋体" w:eastAsia="宋体" w:hAnsi="宋体" w:cs="宋体" w:hint="eastAsia"/>
            <w:bCs w:val="0"/>
            <w:szCs w:val="28"/>
            <w:lang w:eastAsia="zh-CN"/>
          </w:rPr>
          <w:t>(二)、镁粉系列行业组织市场分析</w:t>
        </w:r>
        <w:r>
          <w:tab/>
        </w:r>
        <w:r>
          <w:fldChar w:fldCharType="begin"/>
        </w:r>
        <w:r>
          <w:instrText xml:space="preserve"> PAGEREF _Toc17679 \h </w:instrText>
        </w:r>
        <w:r>
          <w:fldChar w:fldCharType="separate"/>
        </w:r>
        <w:r>
          <w:t>31</w:t>
        </w:r>
        <w:r>
          <w:fldChar w:fldCharType="end"/>
        </w:r>
      </w:hyperlink>
    </w:p>
    <w:p>
      <w:pPr>
        <w:pStyle w:val="TOC2"/>
        <w:tabs>
          <w:tab w:val="right" w:leader="dot" w:pos="8306"/>
        </w:tabs>
      </w:pPr>
      <w:hyperlink w:anchor="_Toc5999" w:history="1">
        <w:r>
          <w:rPr>
            <w:rFonts w:ascii="宋体" w:eastAsia="宋体" w:hAnsi="宋体" w:cs="宋体" w:hint="eastAsia"/>
            <w:bCs w:val="0"/>
            <w:szCs w:val="28"/>
            <w:lang w:eastAsia="zh-CN"/>
          </w:rPr>
          <w:t>(三)、镁粉系列行业目标市场营销战略</w:t>
        </w:r>
        <w:r>
          <w:tab/>
        </w:r>
        <w:r>
          <w:fldChar w:fldCharType="begin"/>
        </w:r>
        <w:r>
          <w:instrText xml:space="preserve"> PAGEREF _Toc5999 \h </w:instrText>
        </w:r>
        <w:r>
          <w:fldChar w:fldCharType="separate"/>
        </w:r>
        <w:r>
          <w:t>32</w:t>
        </w:r>
        <w:r>
          <w:fldChar w:fldCharType="end"/>
        </w:r>
      </w:hyperlink>
    </w:p>
    <w:p>
      <w:pPr>
        <w:pStyle w:val="TOC2"/>
        <w:tabs>
          <w:tab w:val="right" w:leader="dot" w:pos="8306"/>
        </w:tabs>
      </w:pPr>
      <w:hyperlink w:anchor="_Toc4595" w:history="1">
        <w:r>
          <w:rPr>
            <w:rFonts w:ascii="宋体" w:eastAsia="宋体" w:hAnsi="宋体" w:cs="宋体" w:hint="eastAsia"/>
            <w:bCs w:val="0"/>
            <w:szCs w:val="28"/>
            <w:lang w:eastAsia="zh-CN"/>
          </w:rPr>
          <w:t>(四)、镁粉系列行业定价策略</w:t>
        </w:r>
        <w:r>
          <w:tab/>
        </w:r>
        <w:r>
          <w:fldChar w:fldCharType="begin"/>
        </w:r>
        <w:r>
          <w:instrText xml:space="preserve"> PAGEREF _Toc4595 \h </w:instrText>
        </w:r>
        <w:r>
          <w:fldChar w:fldCharType="separate"/>
        </w:r>
        <w:r>
          <w:t>33</w:t>
        </w:r>
        <w:r>
          <w:fldChar w:fldCharType="end"/>
        </w:r>
      </w:hyperlink>
    </w:p>
    <w:p>
      <w:pPr>
        <w:pStyle w:val="TOC2"/>
        <w:tabs>
          <w:tab w:val="right" w:leader="dot" w:pos="8306"/>
        </w:tabs>
      </w:pPr>
      <w:hyperlink w:anchor="_Toc17257" w:history="1">
        <w:r>
          <w:rPr>
            <w:rFonts w:ascii="宋体" w:eastAsia="宋体" w:hAnsi="宋体" w:cs="宋体" w:hint="eastAsia"/>
            <w:bCs w:val="0"/>
            <w:szCs w:val="28"/>
            <w:lang w:eastAsia="zh-CN"/>
          </w:rPr>
          <w:t>(五)、镁粉系列行业促销策略</w:t>
        </w:r>
        <w:r>
          <w:tab/>
        </w:r>
        <w:r>
          <w:fldChar w:fldCharType="begin"/>
        </w:r>
        <w:r>
          <w:instrText xml:space="preserve"> PAGEREF _Toc17257 \h </w:instrText>
        </w:r>
        <w:r>
          <w:fldChar w:fldCharType="separate"/>
        </w:r>
        <w:r>
          <w:t>35</w:t>
        </w:r>
        <w:r>
          <w:fldChar w:fldCharType="end"/>
        </w:r>
      </w:hyperlink>
    </w:p>
    <w:p>
      <w:pPr>
        <w:pStyle w:val="TOC2"/>
        <w:tabs>
          <w:tab w:val="right" w:leader="dot" w:pos="8306"/>
        </w:tabs>
      </w:pPr>
      <w:hyperlink w:anchor="_Toc10801" w:history="1">
        <w:r>
          <w:rPr>
            <w:rFonts w:ascii="宋体" w:eastAsia="宋体" w:hAnsi="宋体" w:cs="宋体" w:hint="eastAsia"/>
            <w:bCs w:val="0"/>
            <w:szCs w:val="28"/>
            <w:lang w:eastAsia="zh-CN"/>
          </w:rPr>
          <w:t>(六)、镁粉系列行业品牌策略</w:t>
        </w:r>
        <w:r>
          <w:tab/>
        </w:r>
        <w:r>
          <w:fldChar w:fldCharType="begin"/>
        </w:r>
        <w:r>
          <w:instrText xml:space="preserve"> PAGEREF _Toc10801 \h </w:instrText>
        </w:r>
        <w:r>
          <w:fldChar w:fldCharType="separate"/>
        </w:r>
        <w:r>
          <w:t>37</w:t>
        </w:r>
        <w:r>
          <w:fldChar w:fldCharType="end"/>
        </w:r>
      </w:hyperlink>
    </w:p>
    <w:p>
      <w:pPr>
        <w:pStyle w:val="TOC2"/>
        <w:tabs>
          <w:tab w:val="right" w:leader="dot" w:pos="8306"/>
        </w:tabs>
      </w:pPr>
      <w:hyperlink w:anchor="_Toc10698" w:history="1">
        <w:r>
          <w:rPr>
            <w:rFonts w:ascii="宋体" w:eastAsia="宋体" w:hAnsi="宋体" w:cs="宋体" w:hint="eastAsia"/>
            <w:bCs w:val="0"/>
            <w:szCs w:val="28"/>
            <w:lang w:eastAsia="zh-CN"/>
          </w:rPr>
          <w:t>(七)、镁粉系列行业关系营销</w:t>
        </w:r>
        <w:r>
          <w:tab/>
        </w:r>
        <w:r>
          <w:fldChar w:fldCharType="begin"/>
        </w:r>
        <w:r>
          <w:instrText xml:space="preserve"> PAGEREF _Toc10698 \h </w:instrText>
        </w:r>
        <w:r>
          <w:fldChar w:fldCharType="separate"/>
        </w:r>
        <w:r>
          <w:t>39</w:t>
        </w:r>
        <w:r>
          <w:fldChar w:fldCharType="end"/>
        </w:r>
      </w:hyperlink>
    </w:p>
    <w:p>
      <w:pPr>
        <w:pStyle w:val="TOC2"/>
        <w:tabs>
          <w:tab w:val="right" w:leader="dot" w:pos="8306"/>
        </w:tabs>
      </w:pPr>
      <w:hyperlink w:anchor="_Toc24289" w:history="1">
        <w:r>
          <w:rPr>
            <w:rFonts w:ascii="宋体" w:eastAsia="宋体" w:hAnsi="宋体" w:cs="宋体" w:hint="eastAsia"/>
            <w:bCs w:val="0"/>
            <w:szCs w:val="28"/>
            <w:lang w:eastAsia="zh-CN"/>
          </w:rPr>
          <w:t>(八)、镁粉系列行业体验营销</w:t>
        </w:r>
        <w:r>
          <w:tab/>
        </w:r>
        <w:r>
          <w:fldChar w:fldCharType="begin"/>
        </w:r>
        <w:r>
          <w:instrText xml:space="preserve"> PAGEREF _Toc24289 \h </w:instrText>
        </w:r>
        <w:r>
          <w:fldChar w:fldCharType="separate"/>
        </w:r>
        <w:r>
          <w:t>41</w:t>
        </w:r>
        <w:r>
          <w:fldChar w:fldCharType="end"/>
        </w:r>
      </w:hyperlink>
    </w:p>
    <w:p>
      <w:pPr>
        <w:pStyle w:val="TOC2"/>
        <w:tabs>
          <w:tab w:val="right" w:leader="dot" w:pos="8306"/>
        </w:tabs>
      </w:pPr>
      <w:hyperlink w:anchor="_Toc29933" w:history="1">
        <w:r>
          <w:rPr>
            <w:rFonts w:ascii="宋体" w:eastAsia="宋体" w:hAnsi="宋体" w:cs="宋体" w:hint="eastAsia"/>
            <w:bCs w:val="0"/>
            <w:szCs w:val="28"/>
            <w:lang w:eastAsia="zh-CN"/>
          </w:rPr>
          <w:t>(九)、镁粉系列行业互联网营销</w:t>
        </w:r>
        <w:r>
          <w:tab/>
        </w:r>
        <w:r>
          <w:fldChar w:fldCharType="begin"/>
        </w:r>
        <w:r>
          <w:instrText xml:space="preserve"> PAGEREF _Toc29933 \h </w:instrText>
        </w:r>
        <w:r>
          <w:fldChar w:fldCharType="separate"/>
        </w:r>
        <w:r>
          <w:t>42</w:t>
        </w:r>
        <w:r>
          <w:fldChar w:fldCharType="end"/>
        </w:r>
      </w:hyperlink>
    </w:p>
    <w:p>
      <w:pPr>
        <w:pStyle w:val="TOC1"/>
        <w:tabs>
          <w:tab w:val="right" w:leader="dot" w:pos="8306"/>
        </w:tabs>
      </w:pPr>
      <w:hyperlink w:anchor="_Toc24580" w:history="1">
        <w:r>
          <w:rPr>
            <w:rFonts w:ascii="微软雅黑" w:eastAsia="微软雅黑" w:hAnsi="微软雅黑" w:cs="微软雅黑" w:hint="eastAsia"/>
            <w:color w:val="001CAC" w:themeColor="hyperlink" w:themeShade="BF"/>
            <w:szCs w:val="32"/>
            <w:lang w:eastAsia="zh-CN"/>
          </w:rPr>
          <w:t>十、制度建设与管理</w:t>
        </w:r>
        <w:r>
          <w:tab/>
        </w:r>
        <w:r>
          <w:fldChar w:fldCharType="begin"/>
        </w:r>
        <w:r>
          <w:instrText xml:space="preserve"> PAGEREF _Toc24580 \h </w:instrText>
        </w:r>
        <w:r>
          <w:fldChar w:fldCharType="separate"/>
        </w:r>
        <w:r>
          <w:t>44</w:t>
        </w:r>
        <w:r>
          <w:fldChar w:fldCharType="end"/>
        </w:r>
      </w:hyperlink>
    </w:p>
    <w:p>
      <w:pPr>
        <w:pStyle w:val="TOC2"/>
        <w:tabs>
          <w:tab w:val="right" w:leader="dot" w:pos="8306"/>
        </w:tabs>
      </w:pPr>
      <w:hyperlink w:anchor="_Toc28540" w:history="1">
        <w:r>
          <w:rPr>
            <w:rFonts w:ascii="宋体" w:eastAsia="宋体" w:hAnsi="宋体" w:cs="宋体" w:hint="eastAsia"/>
            <w:bCs w:val="0"/>
            <w:szCs w:val="28"/>
            <w:lang w:eastAsia="zh-CN"/>
          </w:rPr>
          <w:t>(一)、公司治理结构</w:t>
        </w:r>
        <w:r>
          <w:tab/>
        </w:r>
        <w:r>
          <w:fldChar w:fldCharType="begin"/>
        </w:r>
        <w:r>
          <w:instrText xml:space="preserve"> PAGEREF _Toc28540 \h </w:instrText>
        </w:r>
        <w:r>
          <w:fldChar w:fldCharType="separate"/>
        </w:r>
        <w:r>
          <w:t>44</w:t>
        </w:r>
        <w:r>
          <w:fldChar w:fldCharType="end"/>
        </w:r>
      </w:hyperlink>
    </w:p>
    <w:p>
      <w:pPr>
        <w:pStyle w:val="TOC2"/>
        <w:tabs>
          <w:tab w:val="right" w:leader="dot" w:pos="8306"/>
        </w:tabs>
      </w:pPr>
      <w:hyperlink w:anchor="_Toc1419" w:history="1">
        <w:r>
          <w:rPr>
            <w:rFonts w:ascii="宋体" w:eastAsia="宋体" w:hAnsi="宋体" w:cs="宋体" w:hint="eastAsia"/>
            <w:bCs w:val="0"/>
            <w:szCs w:val="28"/>
            <w:lang w:eastAsia="zh-CN"/>
          </w:rPr>
          <w:t>(二)、内部控制与审计</w:t>
        </w:r>
        <w:r>
          <w:tab/>
        </w:r>
        <w:r>
          <w:fldChar w:fldCharType="begin"/>
        </w:r>
        <w:r>
          <w:instrText xml:space="preserve"> PAGEREF _Toc1419 \h </w:instrText>
        </w:r>
        <w:r>
          <w:fldChar w:fldCharType="separate"/>
        </w:r>
        <w:r>
          <w:t>45</w:t>
        </w:r>
        <w:r>
          <w:fldChar w:fldCharType="end"/>
        </w:r>
      </w:hyperlink>
    </w:p>
    <w:p>
      <w:pPr>
        <w:pStyle w:val="TOC2"/>
        <w:tabs>
          <w:tab w:val="right" w:leader="dot" w:pos="8306"/>
        </w:tabs>
      </w:pPr>
      <w:hyperlink w:anchor="_Toc4588" w:history="1">
        <w:r>
          <w:rPr>
            <w:rFonts w:ascii="宋体" w:eastAsia="宋体" w:hAnsi="宋体" w:cs="宋体" w:hint="eastAsia"/>
            <w:bCs w:val="0"/>
            <w:szCs w:val="28"/>
            <w:lang w:eastAsia="zh-CN"/>
          </w:rPr>
          <w:t>(三)、法律法规合规体系</w:t>
        </w:r>
        <w:r>
          <w:tab/>
        </w:r>
        <w:r>
          <w:fldChar w:fldCharType="begin"/>
        </w:r>
        <w:r>
          <w:instrText xml:space="preserve"> PAGEREF _Toc4588 \h </w:instrText>
        </w:r>
        <w:r>
          <w:fldChar w:fldCharType="separate"/>
        </w:r>
        <w:r>
          <w:t>46</w:t>
        </w:r>
        <w:r>
          <w:fldChar w:fldCharType="end"/>
        </w:r>
      </w:hyperlink>
    </w:p>
    <w:p>
      <w:pPr>
        <w:pStyle w:val="TOC1"/>
        <w:tabs>
          <w:tab w:val="right" w:leader="dot" w:pos="8306"/>
        </w:tabs>
      </w:pPr>
      <w:hyperlink w:anchor="_Toc27985" w:history="1">
        <w:r>
          <w:rPr>
            <w:rFonts w:ascii="微软雅黑" w:eastAsia="微软雅黑" w:hAnsi="微软雅黑" w:cs="微软雅黑" w:hint="eastAsia"/>
            <w:color w:val="001CAC" w:themeColor="hyperlink" w:themeShade="BF"/>
            <w:szCs w:val="32"/>
            <w:lang w:eastAsia="zh-CN"/>
          </w:rPr>
          <w:t>十一、项目管理与团队协作</w:t>
        </w:r>
        <w:r>
          <w:tab/>
        </w:r>
        <w:r>
          <w:fldChar w:fldCharType="begin"/>
        </w:r>
        <w:r>
          <w:instrText xml:space="preserve"> PAGEREF _Toc27985 \h </w:instrText>
        </w:r>
        <w:r>
          <w:fldChar w:fldCharType="separate"/>
        </w:r>
        <w:r>
          <w:t>46</w:t>
        </w:r>
        <w:r>
          <w:fldChar w:fldCharType="end"/>
        </w:r>
      </w:hyperlink>
    </w:p>
    <w:p>
      <w:pPr>
        <w:pStyle w:val="TOC2"/>
        <w:tabs>
          <w:tab w:val="right" w:leader="dot" w:pos="8306"/>
        </w:tabs>
      </w:pPr>
      <w:hyperlink w:anchor="_Toc21753" w:history="1">
        <w:r>
          <w:rPr>
            <w:rFonts w:ascii="宋体" w:eastAsia="宋体" w:hAnsi="宋体" w:cs="宋体" w:hint="eastAsia"/>
            <w:bCs w:val="0"/>
            <w:szCs w:val="28"/>
            <w:lang w:eastAsia="zh-CN"/>
          </w:rPr>
          <w:t>(一)、项目管理方法论</w:t>
        </w:r>
        <w:r>
          <w:tab/>
        </w:r>
        <w:r>
          <w:fldChar w:fldCharType="begin"/>
        </w:r>
        <w:r>
          <w:instrText xml:space="preserve"> PAGEREF _Toc21753 \h </w:instrText>
        </w:r>
        <w:r>
          <w:fldChar w:fldCharType="separate"/>
        </w:r>
        <w:r>
          <w:t>46</w:t>
        </w:r>
        <w:r>
          <w:fldChar w:fldCharType="end"/>
        </w:r>
      </w:hyperlink>
    </w:p>
    <w:p>
      <w:pPr>
        <w:pStyle w:val="TOC2"/>
        <w:tabs>
          <w:tab w:val="right" w:leader="dot" w:pos="8306"/>
        </w:tabs>
      </w:pPr>
      <w:hyperlink w:anchor="_Toc32299" w:history="1">
        <w:r>
          <w:rPr>
            <w:rFonts w:ascii="宋体" w:eastAsia="宋体" w:hAnsi="宋体" w:cs="宋体" w:hint="eastAsia"/>
            <w:bCs w:val="0"/>
            <w:szCs w:val="28"/>
            <w:lang w:eastAsia="zh-CN"/>
          </w:rPr>
          <w:t>(二)、团队组建与角色分工</w:t>
        </w:r>
        <w:r>
          <w:tab/>
        </w:r>
        <w:r>
          <w:fldChar w:fldCharType="begin"/>
        </w:r>
        <w:r>
          <w:instrText xml:space="preserve"> PAGEREF _Toc32299 \h </w:instrText>
        </w:r>
        <w:r>
          <w:fldChar w:fldCharType="separate"/>
        </w:r>
        <w:r>
          <w:t>47</w:t>
        </w:r>
        <w:r>
          <w:fldChar w:fldCharType="end"/>
        </w:r>
      </w:hyperlink>
    </w:p>
    <w:p>
      <w:pPr>
        <w:pStyle w:val="TOC2"/>
        <w:tabs>
          <w:tab w:val="right" w:leader="dot" w:pos="8306"/>
        </w:tabs>
      </w:pPr>
      <w:hyperlink w:anchor="_Toc14601" w:history="1">
        <w:r>
          <w:rPr>
            <w:rFonts w:ascii="宋体" w:eastAsia="宋体" w:hAnsi="宋体" w:cs="宋体" w:hint="eastAsia"/>
            <w:bCs w:val="0"/>
            <w:szCs w:val="28"/>
            <w:lang w:eastAsia="zh-CN"/>
          </w:rPr>
          <w:t>(三)、团队沟通与协作机制</w:t>
        </w:r>
        <w:r>
          <w:tab/>
        </w:r>
        <w:r>
          <w:fldChar w:fldCharType="begin"/>
        </w:r>
        <w:r>
          <w:instrText xml:space="preserve"> PAGEREF _Toc14601 \h </w:instrText>
        </w:r>
        <w:r>
          <w:fldChar w:fldCharType="separate"/>
        </w:r>
        <w:r>
          <w:t>48</w:t>
        </w:r>
        <w:r>
          <w:fldChar w:fldCharType="end"/>
        </w:r>
      </w:hyperlink>
    </w:p>
    <w:p>
      <w:pPr>
        <w:pStyle w:val="TOC2"/>
        <w:tabs>
          <w:tab w:val="right" w:leader="dot" w:pos="8306"/>
        </w:tabs>
      </w:pPr>
      <w:hyperlink w:anchor="_Toc8254" w:history="1">
        <w:r>
          <w:rPr>
            <w:rFonts w:ascii="宋体" w:eastAsia="宋体" w:hAnsi="宋体" w:cs="宋体" w:hint="eastAsia"/>
            <w:bCs w:val="0"/>
            <w:szCs w:val="28"/>
            <w:lang w:eastAsia="zh-CN"/>
          </w:rPr>
          <w:t>(四)、项目风险管理与应对</w:t>
        </w:r>
        <w:r>
          <w:tab/>
        </w:r>
        <w:r>
          <w:fldChar w:fldCharType="begin"/>
        </w:r>
        <w:r>
          <w:instrText xml:space="preserve"> PAGEREF _Toc8254 \h </w:instrText>
        </w:r>
        <w:r>
          <w:fldChar w:fldCharType="separate"/>
        </w:r>
        <w:r>
          <w:t>49</w:t>
        </w:r>
        <w:r>
          <w:fldChar w:fldCharType="end"/>
        </w:r>
      </w:hyperlink>
    </w:p>
    <w:p>
      <w:pPr>
        <w:pStyle w:val="TOC1"/>
        <w:tabs>
          <w:tab w:val="right" w:leader="dot" w:pos="8306"/>
        </w:tabs>
      </w:pPr>
      <w:hyperlink w:anchor="_Toc12701" w:history="1">
        <w:r>
          <w:rPr>
            <w:rFonts w:ascii="微软雅黑" w:eastAsia="微软雅黑" w:hAnsi="微软雅黑" w:cs="微软雅黑" w:hint="eastAsia"/>
            <w:color w:val="001CAC" w:themeColor="hyperlink" w:themeShade="BF"/>
            <w:szCs w:val="32"/>
            <w:lang w:eastAsia="zh-CN"/>
          </w:rPr>
          <w:t>十二、制度运行与优化</w:t>
        </w:r>
        <w:r>
          <w:tab/>
        </w:r>
        <w:r>
          <w:fldChar w:fldCharType="begin"/>
        </w:r>
        <w:r>
          <w:instrText xml:space="preserve"> PAGEREF _Toc12701 \h </w:instrText>
        </w:r>
        <w:r>
          <w:fldChar w:fldCharType="separate"/>
        </w:r>
        <w:r>
          <w:t>50</w:t>
        </w:r>
        <w:r>
          <w:fldChar w:fldCharType="end"/>
        </w:r>
      </w:hyperlink>
    </w:p>
    <w:p>
      <w:pPr>
        <w:pStyle w:val="TOC2"/>
        <w:tabs>
          <w:tab w:val="right" w:leader="dot" w:pos="8306"/>
        </w:tabs>
      </w:pPr>
      <w:hyperlink w:anchor="_Toc15673" w:history="1">
        <w:r>
          <w:rPr>
            <w:rFonts w:ascii="宋体" w:eastAsia="宋体" w:hAnsi="宋体" w:cs="宋体" w:hint="eastAsia"/>
            <w:bCs w:val="0"/>
            <w:szCs w:val="28"/>
            <w:lang w:eastAsia="zh-CN"/>
          </w:rPr>
          <w:t>(一)、制度执行与监督</w:t>
        </w:r>
        <w:r>
          <w:tab/>
        </w:r>
        <w:r>
          <w:fldChar w:fldCharType="begin"/>
        </w:r>
        <w:r>
          <w:instrText xml:space="preserve"> PAGEREF _Toc15673 \h </w:instrText>
        </w:r>
        <w:r>
          <w:fldChar w:fldCharType="separate"/>
        </w:r>
        <w:r>
          <w:t>50</w:t>
        </w:r>
        <w:r>
          <w:fldChar w:fldCharType="end"/>
        </w:r>
      </w:hyperlink>
    </w:p>
    <w:p>
      <w:pPr>
        <w:pStyle w:val="TOC2"/>
        <w:tabs>
          <w:tab w:val="right" w:leader="dot" w:pos="8306"/>
        </w:tabs>
      </w:pPr>
      <w:hyperlink w:anchor="_Toc23855" w:history="1">
        <w:r>
          <w:rPr>
            <w:rFonts w:ascii="宋体" w:eastAsia="宋体" w:hAnsi="宋体" w:cs="宋体" w:hint="eastAsia"/>
            <w:bCs w:val="0"/>
            <w:szCs w:val="28"/>
            <w:lang w:eastAsia="zh-CN"/>
          </w:rPr>
          <w:t>(二)、制度优化与更新</w:t>
        </w:r>
        <w:r>
          <w:tab/>
        </w:r>
        <w:r>
          <w:fldChar w:fldCharType="begin"/>
        </w:r>
        <w:r>
          <w:instrText xml:space="preserve"> PAGEREF _Toc23855 \h </w:instrText>
        </w:r>
        <w:r>
          <w:fldChar w:fldCharType="separate"/>
        </w:r>
        <w:r>
          <w:t>51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微软雅黑" w:eastAsia="微软雅黑" w:hAnsi="微软雅黑" w:cs="微软雅黑" w:hint="eastAsia"/>
          <w:color w:val="2E54A1" w:themeColor="accent1" w:themeShade="BF"/>
          <w:lang w:eastAsia="zh-CN"/>
        </w:rPr>
      </w:pPr>
      <w:bookmarkStart w:id="1" w:name="_Toc31120"/>
      <w:r>
        <w:rPr>
          <w:rFonts w:ascii="微软雅黑" w:eastAsia="微软雅黑" w:hAnsi="微软雅黑" w:cs="微软雅黑" w:hint="eastAsia"/>
          <w:color w:val="2E54A1" w:themeColor="accent1" w:themeShade="BF"/>
          <w:lang w:eastAsia="zh-CN"/>
        </w:rPr>
        <w:t>前言</w:t>
      </w:r>
      <w:bookmarkEnd w:id="1"/>
    </w:p>
    <w:p>
      <w:pPr>
        <w:spacing w:line="480" w:lineRule="auto"/>
        <w:ind w:firstLine="480" w:firstLineChars="200"/>
        <w:rPr>
          <w:rFonts w:ascii="宋体" w:eastAsia="宋体" w:hAnsi="宋体" w:cs="宋体" w:hint="eastAsia"/>
          <w:sz w:val="24"/>
          <w:szCs w:val="22"/>
        </w:rPr>
      </w:pPr>
      <w:r>
        <w:rPr>
          <w:rFonts w:ascii="宋体" w:eastAsia="宋体" w:hAnsi="宋体" w:cs="宋体" w:hint="eastAsia"/>
          <w:sz w:val="24"/>
          <w:szCs w:val="22"/>
          <w:lang w:eastAsia="zh-CN"/>
        </w:rPr>
        <w:t>镁粉系列行业研究报告旨在对镁粉系列行业进行深入分析和研究,为 相关从业人员提供参考依据。报告内容仅供学习交流使用，不可用于商业用途。通过梳理镁粉系列行业发展历程、分析市场潜力和主要竞争对手，探讨行业趋势及未来发展方向，旨在提供启示和建议。</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2" w:name="_Toc10613"/>
      <w:r>
        <w:rPr>
          <w:rFonts w:ascii="微软雅黑" w:eastAsia="微软雅黑" w:hAnsi="微软雅黑" w:cs="微软雅黑" w:hint="eastAsia"/>
          <w:color w:val="2E54A1" w:themeColor="accent1" w:themeShade="BF"/>
          <w:sz w:val="32"/>
          <w:szCs w:val="32"/>
          <w:lang w:eastAsia="zh-CN"/>
        </w:rPr>
        <w:t>一、公司文化与社会责任</w:t>
      </w:r>
      <w:bookmarkEnd w:id="2"/>
    </w:p>
    <w:p>
      <w:pPr>
        <w:pStyle w:val="Heading2"/>
        <w:spacing w:line="480" w:lineRule="auto"/>
        <w:rPr>
          <w:rFonts w:ascii="宋体" w:eastAsia="宋体" w:hAnsi="宋体" w:cs="宋体" w:hint="eastAsia"/>
          <w:bCs w:val="0"/>
          <w:sz w:val="28"/>
          <w:szCs w:val="28"/>
          <w:lang w:eastAsia="zh-CN"/>
        </w:rPr>
      </w:pPr>
      <w:bookmarkStart w:id="3" w:name="_Toc26662"/>
      <w:r>
        <w:rPr>
          <w:rFonts w:ascii="宋体" w:eastAsia="宋体" w:hAnsi="宋体" w:cs="宋体" w:hint="eastAsia"/>
          <w:b/>
          <w:bCs w:val="0"/>
          <w:sz w:val="28"/>
          <w:szCs w:val="28"/>
          <w:lang w:eastAsia="zh-CN"/>
        </w:rPr>
        <w:t>(一)、公司文化建设</w:t>
      </w:r>
      <w:bookmarkEnd w:id="3"/>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塑造公司文化的过程中，我们强调共同的价值观和团队协作，旨在创造积极向上、充满活力的工作氛围。核心价值体现在对员工的尊重和关爱，鼓励创新和开放沟通。通过持续的文化建设活动，如文化培训、团队建设、员工互动等，我们致力于激发员工的工作激情和创造力，形成共同的企业文化认同。</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镁粉系列行业公司文化建设的过程中,我们强调领导层的引领作用。通过领导者的言行和榜样力量,将企业核心价值观融入组织的各个层面，引导员工在日常工作中体现公司文化的核心精神。这有助于形成一支高度凝聚力的团队，共同追求公司的使命和愿景。</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此外，我们注重将公司文化融入日常工作中，通过设立相关奖励机制、文化传承活动等形式，让员工更深入地体验和理解公司文化。</w:t>
      </w:r>
    </w:p>
    <w:p>
      <w:pPr>
        <w:spacing w:line="480" w:lineRule="auto"/>
        <w:ind w:firstLine="420" w:firstLineChars="0"/>
        <w:rPr>
          <w:rFonts w:ascii="宋体" w:eastAsia="宋体" w:hAnsi="宋体" w:cs="宋体" w:hint="eastAsia"/>
          <w:sz w:val="24"/>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宋体" w:eastAsia="宋体" w:hAnsi="宋体" w:cs="宋体" w:hint="eastAsia"/>
          <w:sz w:val="24"/>
          <w:szCs w:val="24"/>
          <w:lang w:eastAsia="zh-CN"/>
        </w:rPr>
        <w:t>在镁粉系列行业公司文化建设中，我们视员工为企业文化的传播者和参与者，通过激励和认可，营造积极的文化氛围，使每个员工都成为公司文化的倡导者和践行者。</w:t>
      </w:r>
    </w:p>
    <w:p>
      <w:pPr>
        <w:pStyle w:val="Heading2"/>
        <w:spacing w:line="480" w:lineRule="auto"/>
        <w:rPr>
          <w:rFonts w:ascii="宋体" w:eastAsia="宋体" w:hAnsi="宋体" w:cs="宋体" w:hint="eastAsia"/>
          <w:bCs w:val="0"/>
          <w:sz w:val="28"/>
          <w:szCs w:val="28"/>
          <w:lang w:eastAsia="zh-CN"/>
        </w:rPr>
      </w:pPr>
      <w:bookmarkStart w:id="4" w:name="_Toc19300"/>
      <w:r>
        <w:rPr>
          <w:rFonts w:ascii="宋体" w:eastAsia="宋体" w:hAnsi="宋体" w:cs="宋体" w:hint="eastAsia"/>
          <w:b/>
          <w:bCs w:val="0"/>
          <w:sz w:val="28"/>
          <w:szCs w:val="28"/>
          <w:lang w:eastAsia="zh-CN"/>
        </w:rPr>
        <w:t>(二)、企业社会责任与可持续发展</w:t>
      </w:r>
      <w:bookmarkEnd w:id="4"/>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在履行企业社会责任方面，我们积极参与社会公益事业，支持当地社区的发展。通过设立基金、捐赠物资、参与慈善活动等方式，我们关心社会弱势群体的福祉，致力于为社会创造更多的价值。</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可持续发展方面，我们将可持续性纳入业务战略中，采取切实可行的措施减少环境影响。我们致力于提高资源利用效率，推动绿色生产，降低碳排放，从而实现经济、社会和环境的三重可持续发展目标。通过制定并执行可持续发展计划，我们在业务成长的同时最大限度地减少了对环境的负面影响。</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在推动可持续发展的过程中，我们与供应链伙伴共同努力，倡导合作共赢的理念。通过建立透明的供应链管理体系，我们要求供应商也遵循相应的环保和社会责任标准,共同推动整个产业链的可持续发展。</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总体而言，镁粉系列行业企业在社会责任与可持续发展方面的努力不仅体现了企业的社会担当,更将为未来的可持续性发展翼定坚实基础。</w:t>
      </w:r>
    </w:p>
    <w:p>
      <w:pPr>
        <w:spacing w:line="480" w:lineRule="auto"/>
        <w:ind w:firstLine="420" w:firstLineChars="0"/>
        <w:rPr>
          <w:rFonts w:ascii="宋体" w:eastAsia="宋体" w:hAnsi="宋体" w:cs="宋体" w:hint="eastAsia"/>
          <w:sz w:val="24"/>
        </w:rPr>
      </w:pPr>
      <w:r>
        <w:rPr>
          <w:rFonts w:ascii="宋体" w:eastAsia="宋体" w:hAnsi="宋体" w:cs="宋体" w:hint="eastAsia"/>
          <w:sz w:val="24"/>
          <w:szCs w:val="24"/>
          <w:lang w:eastAsia="zh-CN"/>
        </w:rPr>
        <w:t>我们将继续不懈努力,为社会、环境和业务的共同繁荣贡献一份力量。</w:t>
      </w:r>
    </w:p>
    <w:p>
      <w:pPr>
        <w:pStyle w:val="Heading1"/>
        <w:spacing w:line="480" w:lineRule="auto"/>
        <w:rPr>
          <w:rFonts w:ascii="微软雅黑" w:eastAsia="微软雅黑" w:hAnsi="微软雅黑" w:cs="微软雅黑" w:hint="eastAsia"/>
          <w:color w:val="2E54A1" w:themeColor="accent1" w:themeShade="BF"/>
          <w:sz w:val="32"/>
          <w:szCs w:val="32"/>
          <w:lang w:eastAsia="zh-CN"/>
        </w:rPr>
      </w:pPr>
      <w:bookmarkStart w:id="5" w:name="_Toc25705"/>
      <w:r>
        <w:rPr>
          <w:rFonts w:ascii="微软雅黑" w:eastAsia="微软雅黑" w:hAnsi="微软雅黑" w:cs="微软雅黑" w:hint="eastAsia"/>
          <w:color w:val="2E54A1" w:themeColor="accent1" w:themeShade="BF"/>
          <w:sz w:val="32"/>
          <w:szCs w:val="32"/>
          <w:lang w:eastAsia="zh-CN"/>
        </w:rPr>
        <w:t>二、制度运行与优化</w:t>
      </w:r>
      <w:bookmarkEnd w:id="5"/>
    </w:p>
    <w:p>
      <w:pPr>
        <w:pStyle w:val="Heading2"/>
        <w:spacing w:line="480" w:lineRule="auto"/>
        <w:rPr>
          <w:rFonts w:ascii="宋体" w:eastAsia="宋体" w:hAnsi="宋体" w:cs="宋体" w:hint="eastAsia"/>
          <w:bCs w:val="0"/>
          <w:sz w:val="28"/>
          <w:szCs w:val="28"/>
          <w:lang w:eastAsia="zh-CN"/>
        </w:rPr>
      </w:pPr>
      <w:bookmarkStart w:id="6" w:name="_Toc12045"/>
      <w:r>
        <w:rPr>
          <w:rFonts w:ascii="宋体" w:eastAsia="宋体" w:hAnsi="宋体" w:cs="宋体" w:hint="eastAsia"/>
          <w:b/>
          <w:bCs w:val="0"/>
          <w:sz w:val="28"/>
          <w:szCs w:val="28"/>
          <w:lang w:eastAsia="zh-CN"/>
        </w:rPr>
        <w:t>(一)、制度执行与监督</w:t>
      </w:r>
      <w:bookmarkEnd w:id="6"/>
    </w:p>
    <w:p>
      <w:pPr>
        <w:spacing w:line="480" w:lineRule="auto"/>
        <w:ind w:firstLine="420" w:firstLineChars="0"/>
        <w:rPr>
          <w:rFonts w:ascii="宋体" w:eastAsia="宋体" w:hAnsi="宋体" w:cs="宋体" w:hint="eastAsia"/>
          <w:sz w:val="24"/>
        </w:rPr>
      </w:pPr>
      <w:r>
        <w:rPr>
          <w:rFonts w:ascii="宋体" w:eastAsia="宋体" w:hAnsi="宋体" w:cs="宋体" w:hint="eastAsia"/>
          <w:sz w:val="24"/>
        </w:rPr>
        <w:br/>
      </w:r>
      <w:r>
        <w:rPr>
          <w:rFonts w:ascii="宋体" w:eastAsia="宋体" w:hAnsi="宋体" w:cs="宋体"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https://d.book118.com/905112120020011100</w:t>
        </w:r>
      </w:hyperlink>
    </w:p>
    <w:p>
      <w:pPr>
        <w:spacing w:line="480" w:lineRule="auto"/>
        <w:ind w:firstLine="420" w:firstLineChars="0"/>
        <w:rPr>
          <w:rFonts w:ascii="宋体" w:eastAsia="宋体" w:hAnsi="宋体" w:cs="宋体" w:hint="eastAsia"/>
          <w:sz w:val="24"/>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2775B3"/>
    <w:rsid w:val="02623C3C"/>
    <w:rsid w:val="03734037"/>
    <w:rsid w:val="13614867"/>
    <w:rsid w:val="3DAC44EE"/>
    <w:rsid w:val="453746B4"/>
    <w:rsid w:val="482775B3"/>
    <w:rsid w:val="49C53810"/>
    <w:rsid w:val="4E155AC7"/>
    <w:rsid w:val="50930768"/>
    <w:rsid w:val="62A91464"/>
    <w:rsid w:val="692E1C42"/>
    <w:rsid w:val="7B580EDA"/>
  </w:rsids>
  <w:docVars>
    <w:docVar w:name="commondata" w:val="eyJoZGlkIjoiYjEzZTI3MzIxYzUxM2E3Y2YyMDVhZDRkMWU5YjExZ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autoRedefine/>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character" w:styleId="PageNumber">
    <w:name w:val="page number"/>
    <w:basedOn w:val="DefaultParagraphFont"/>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0511212002001110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小海豹</cp:lastModifiedBy>
  <cp:revision>1</cp:revision>
  <dcterms:created xsi:type="dcterms:W3CDTF">2023-12-10T12:06:00Z</dcterms:created>
  <dcterms:modified xsi:type="dcterms:W3CDTF">2024-01-17T07:36:05Z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1E39AA5D4B7F4B19B7D16FD992F8235D_13</vt:lpwstr>
  </property>
  <property fmtid="{D5CDD505-2E9C-101B-9397-08002B2CF9AE}" pid="3" name="KSOProductBuildVer">
    <vt:lpwstr>2052-12.1.0.16120</vt:lpwstr>
  </property>
</Properties>
</file>