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2018-2023年石家庄铁路职业技术学院高职单招（数学／语文／英语）历年常考试题库含答案解析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下列诗句中属于远景静态描写的是（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A.操吴戈兮披犀甲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B.车错毂兮短兵接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C.旌蔽日兮敌若云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D.矢交坠兮士争先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屈原根据战国时期楚地祭祀乐歌加工而成的组诗是（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A.《国殇》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B.《楚辞》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C.《九歌》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D.《九章》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《大同》出自《礼记》，下面对其陈述正确的是（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A.《礼记》是儒家五经《诗》、《书》、《礼》、《易》、《春秋》之一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B.《礼记》中的《仪礼》、《周礼》、《周官》合称“三礼”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C.《礼记》成书是在春秋时代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D.《礼记》的内容主要涉及了上古三代的礼仪制度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陶渊明《饮酒（其五）》的体裁是（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B.五言律诗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C.五言绝句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D.杂言诗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在下列词作中富有主见的是（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A.李煜《虞美人（春花秋月何时了）》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B.柳永《八声甘州（对潇潇暮雨洒江天）》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C.苏轼《水调歌头（明月几时有）》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D.李清照《声声慢（寻寻觅觅）》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鲁迅短篇小说《风波》的结构线索是（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A.张勋复辟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B.九斤老太的唠叨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C.七斤的苦闷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D.辫子事件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《论毅力》本文贯穿始终的论证方法是（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D.类比法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《马伶传》本文是一篇（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A.人物传记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B.叙事散文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C.抒情散文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D.说理散文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下列属于闻一多的作品是（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A.《女神》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下列各组句子中，加点字意思相同的一组是（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drawing>
          <wp:inline distT="0" distB="0" distL="0" distR="0">
            <wp:extent cx="2705384" cy="2105246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5384" cy="210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《选择与安排》一文提出完美的作品在结构上须具备的条件有（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A.要有头有尾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B.层次清楚、轻重分明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C.有贯穿的主旨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D.首尾呼应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李广将兵的特点是（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A.行军无部伍行阵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B.士吏治军簿至明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C.谨守法度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D.正部曲行伍营阵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在《答司马谏议书》一文中，司马光强加给王安石变法的罪名是（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https://d.book118.com/905122104330011112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hyperlink" Target="https://d.book118.com/90512210433001111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