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输送计量设备项目规划设计蓝图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46" w:history="1">
        <w:r>
          <w:rPr>
            <w:rFonts w:ascii="仿宋" w:eastAsia="仿宋" w:hAnsi="仿宋" w:cs="仿宋" w:hint="eastAsia"/>
            <w:lang w:eastAsia="zh-CN"/>
          </w:rPr>
          <w:t>序言</w:t>
        </w:r>
        <w:r>
          <w:tab/>
        </w:r>
        <w:r>
          <w:fldChar w:fldCharType="begin"/>
        </w:r>
        <w:r>
          <w:instrText xml:space="preserve"> PAGEREF _Toc32146 \h </w:instrText>
        </w:r>
        <w:r>
          <w:fldChar w:fldCharType="separate"/>
        </w:r>
        <w:r>
          <w:t>3</w:t>
        </w:r>
        <w:r>
          <w:fldChar w:fldCharType="end"/>
        </w:r>
      </w:hyperlink>
    </w:p>
    <w:p>
      <w:pPr>
        <w:pStyle w:val="TOC1"/>
        <w:tabs>
          <w:tab w:val="right" w:leader="dot" w:pos="8306"/>
        </w:tabs>
      </w:pPr>
      <w:hyperlink w:anchor="_Toc4850" w:history="1">
        <w:r>
          <w:rPr>
            <w:rFonts w:ascii="仿宋" w:eastAsia="仿宋" w:hAnsi="仿宋" w:cs="仿宋" w:hint="eastAsia"/>
            <w:lang w:eastAsia="zh-CN"/>
          </w:rPr>
          <w:t>一、输送计量设备项目绩效评估</w:t>
        </w:r>
        <w:r>
          <w:tab/>
        </w:r>
        <w:r>
          <w:fldChar w:fldCharType="begin"/>
        </w:r>
        <w:r>
          <w:instrText xml:space="preserve"> PAGEREF _Toc4850 \h </w:instrText>
        </w:r>
        <w:r>
          <w:fldChar w:fldCharType="separate"/>
        </w:r>
        <w:r>
          <w:t>3</w:t>
        </w:r>
        <w:r>
          <w:fldChar w:fldCharType="end"/>
        </w:r>
      </w:hyperlink>
    </w:p>
    <w:p>
      <w:pPr>
        <w:pStyle w:val="TOC2"/>
        <w:tabs>
          <w:tab w:val="right" w:leader="dot" w:pos="8306"/>
        </w:tabs>
      </w:pPr>
      <w:hyperlink w:anchor="_Toc15943" w:history="1">
        <w:r>
          <w:rPr>
            <w:rFonts w:ascii="仿宋" w:eastAsia="仿宋" w:hAnsi="仿宋" w:cs="仿宋" w:hint="eastAsia"/>
            <w:lang w:eastAsia="zh-CN"/>
          </w:rPr>
          <w:t>(一)、绩效评估指标</w:t>
        </w:r>
        <w:r>
          <w:tab/>
        </w:r>
        <w:r>
          <w:fldChar w:fldCharType="begin"/>
        </w:r>
        <w:r>
          <w:instrText xml:space="preserve"> PAGEREF _Toc15943 \h </w:instrText>
        </w:r>
        <w:r>
          <w:fldChar w:fldCharType="separate"/>
        </w:r>
        <w:r>
          <w:t>3</w:t>
        </w:r>
        <w:r>
          <w:fldChar w:fldCharType="end"/>
        </w:r>
      </w:hyperlink>
    </w:p>
    <w:p>
      <w:pPr>
        <w:pStyle w:val="TOC2"/>
        <w:tabs>
          <w:tab w:val="right" w:leader="dot" w:pos="8306"/>
        </w:tabs>
      </w:pPr>
      <w:hyperlink w:anchor="_Toc14292" w:history="1">
        <w:r>
          <w:rPr>
            <w:rFonts w:ascii="仿宋" w:eastAsia="仿宋" w:hAnsi="仿宋" w:cs="仿宋" w:hint="eastAsia"/>
            <w:lang w:eastAsia="zh-CN"/>
          </w:rPr>
          <w:t>(二)、绩效评估方法</w:t>
        </w:r>
        <w:r>
          <w:tab/>
        </w:r>
        <w:r>
          <w:fldChar w:fldCharType="begin"/>
        </w:r>
        <w:r>
          <w:instrText xml:space="preserve"> PAGEREF _Toc14292 \h </w:instrText>
        </w:r>
        <w:r>
          <w:fldChar w:fldCharType="separate"/>
        </w:r>
        <w:r>
          <w:t>4</w:t>
        </w:r>
        <w:r>
          <w:fldChar w:fldCharType="end"/>
        </w:r>
      </w:hyperlink>
    </w:p>
    <w:p>
      <w:pPr>
        <w:pStyle w:val="TOC2"/>
        <w:tabs>
          <w:tab w:val="right" w:leader="dot" w:pos="8306"/>
        </w:tabs>
      </w:pPr>
      <w:hyperlink w:anchor="_Toc24250" w:history="1">
        <w:r>
          <w:rPr>
            <w:rFonts w:ascii="仿宋" w:eastAsia="仿宋" w:hAnsi="仿宋" w:cs="仿宋" w:hint="eastAsia"/>
            <w:lang w:eastAsia="zh-CN"/>
          </w:rPr>
          <w:t>(三)、绩效评估周期</w:t>
        </w:r>
        <w:r>
          <w:tab/>
        </w:r>
        <w:r>
          <w:fldChar w:fldCharType="begin"/>
        </w:r>
        <w:r>
          <w:instrText xml:space="preserve"> PAGEREF _Toc24250 \h </w:instrText>
        </w:r>
        <w:r>
          <w:fldChar w:fldCharType="separate"/>
        </w:r>
        <w:r>
          <w:t>5</w:t>
        </w:r>
        <w:r>
          <w:fldChar w:fldCharType="end"/>
        </w:r>
      </w:hyperlink>
    </w:p>
    <w:p>
      <w:pPr>
        <w:pStyle w:val="TOC1"/>
        <w:tabs>
          <w:tab w:val="right" w:leader="dot" w:pos="8306"/>
        </w:tabs>
      </w:pPr>
      <w:hyperlink w:anchor="_Toc23763" w:history="1">
        <w:r>
          <w:rPr>
            <w:rFonts w:ascii="仿宋" w:eastAsia="仿宋" w:hAnsi="仿宋" w:cs="仿宋" w:hint="eastAsia"/>
            <w:lang w:eastAsia="zh-CN"/>
          </w:rPr>
          <w:t>二、输送计量设备项目危机管理</w:t>
        </w:r>
        <w:r>
          <w:tab/>
        </w:r>
        <w:r>
          <w:fldChar w:fldCharType="begin"/>
        </w:r>
        <w:r>
          <w:instrText xml:space="preserve"> PAGEREF _Toc23763 \h </w:instrText>
        </w:r>
        <w:r>
          <w:fldChar w:fldCharType="separate"/>
        </w:r>
        <w:r>
          <w:t>6</w:t>
        </w:r>
        <w:r>
          <w:fldChar w:fldCharType="end"/>
        </w:r>
      </w:hyperlink>
    </w:p>
    <w:p>
      <w:pPr>
        <w:pStyle w:val="TOC2"/>
        <w:tabs>
          <w:tab w:val="right" w:leader="dot" w:pos="8306"/>
        </w:tabs>
      </w:pPr>
      <w:hyperlink w:anchor="_Toc16859" w:history="1">
        <w:r>
          <w:rPr>
            <w:rFonts w:ascii="仿宋" w:eastAsia="仿宋" w:hAnsi="仿宋" w:cs="仿宋" w:hint="eastAsia"/>
            <w:lang w:eastAsia="zh-CN"/>
          </w:rPr>
          <w:t>(一)、危机预警与识别</w:t>
        </w:r>
        <w:r>
          <w:tab/>
        </w:r>
        <w:r>
          <w:fldChar w:fldCharType="begin"/>
        </w:r>
        <w:r>
          <w:instrText xml:space="preserve"> PAGEREF _Toc16859 \h </w:instrText>
        </w:r>
        <w:r>
          <w:fldChar w:fldCharType="separate"/>
        </w:r>
        <w:r>
          <w:t>6</w:t>
        </w:r>
        <w:r>
          <w:fldChar w:fldCharType="end"/>
        </w:r>
      </w:hyperlink>
    </w:p>
    <w:p>
      <w:pPr>
        <w:pStyle w:val="TOC2"/>
        <w:tabs>
          <w:tab w:val="right" w:leader="dot" w:pos="8306"/>
        </w:tabs>
      </w:pPr>
      <w:hyperlink w:anchor="_Toc3517" w:history="1">
        <w:r>
          <w:rPr>
            <w:rFonts w:ascii="仿宋" w:eastAsia="仿宋" w:hAnsi="仿宋" w:cs="仿宋" w:hint="eastAsia"/>
            <w:lang w:eastAsia="zh-CN"/>
          </w:rPr>
          <w:t>(二)、危机应对与恢复</w:t>
        </w:r>
        <w:r>
          <w:tab/>
        </w:r>
        <w:r>
          <w:fldChar w:fldCharType="begin"/>
        </w:r>
        <w:r>
          <w:instrText xml:space="preserve"> PAGEREF _Toc3517 \h </w:instrText>
        </w:r>
        <w:r>
          <w:fldChar w:fldCharType="separate"/>
        </w:r>
        <w:r>
          <w:t>7</w:t>
        </w:r>
        <w:r>
          <w:fldChar w:fldCharType="end"/>
        </w:r>
      </w:hyperlink>
    </w:p>
    <w:p>
      <w:pPr>
        <w:pStyle w:val="TOC1"/>
        <w:tabs>
          <w:tab w:val="right" w:leader="dot" w:pos="8306"/>
        </w:tabs>
      </w:pPr>
      <w:hyperlink w:anchor="_Toc11861" w:history="1">
        <w:r>
          <w:rPr>
            <w:rFonts w:ascii="仿宋" w:eastAsia="仿宋" w:hAnsi="仿宋" w:cs="仿宋" w:hint="eastAsia"/>
            <w:lang w:eastAsia="zh-CN"/>
          </w:rPr>
          <w:t>三、输送计量设备项目文档管理</w:t>
        </w:r>
        <w:r>
          <w:tab/>
        </w:r>
        <w:r>
          <w:fldChar w:fldCharType="begin"/>
        </w:r>
        <w:r>
          <w:instrText xml:space="preserve"> PAGEREF _Toc11861 \h </w:instrText>
        </w:r>
        <w:r>
          <w:fldChar w:fldCharType="separate"/>
        </w:r>
        <w:r>
          <w:t>9</w:t>
        </w:r>
        <w:r>
          <w:fldChar w:fldCharType="end"/>
        </w:r>
      </w:hyperlink>
    </w:p>
    <w:p>
      <w:pPr>
        <w:pStyle w:val="TOC2"/>
        <w:tabs>
          <w:tab w:val="right" w:leader="dot" w:pos="8306"/>
        </w:tabs>
      </w:pPr>
      <w:hyperlink w:anchor="_Toc8261" w:history="1">
        <w:r>
          <w:rPr>
            <w:rFonts w:ascii="仿宋" w:eastAsia="仿宋" w:hAnsi="仿宋" w:cs="仿宋" w:hint="eastAsia"/>
            <w:lang w:eastAsia="zh-CN"/>
          </w:rPr>
          <w:t>(一)、文档编制与审查</w:t>
        </w:r>
        <w:r>
          <w:tab/>
        </w:r>
        <w:r>
          <w:fldChar w:fldCharType="begin"/>
        </w:r>
        <w:r>
          <w:instrText xml:space="preserve"> PAGEREF _Toc8261 \h </w:instrText>
        </w:r>
        <w:r>
          <w:fldChar w:fldCharType="separate"/>
        </w:r>
        <w:r>
          <w:t>9</w:t>
        </w:r>
        <w:r>
          <w:fldChar w:fldCharType="end"/>
        </w:r>
      </w:hyperlink>
    </w:p>
    <w:p>
      <w:pPr>
        <w:pStyle w:val="TOC2"/>
        <w:tabs>
          <w:tab w:val="right" w:leader="dot" w:pos="8306"/>
        </w:tabs>
      </w:pPr>
      <w:hyperlink w:anchor="_Toc28156" w:history="1">
        <w:r>
          <w:rPr>
            <w:rFonts w:ascii="仿宋" w:eastAsia="仿宋" w:hAnsi="仿宋" w:cs="仿宋" w:hint="eastAsia"/>
            <w:lang w:eastAsia="zh-CN"/>
          </w:rPr>
          <w:t>(二)、文档发布与分发</w:t>
        </w:r>
        <w:r>
          <w:tab/>
        </w:r>
        <w:r>
          <w:fldChar w:fldCharType="begin"/>
        </w:r>
        <w:r>
          <w:instrText xml:space="preserve"> PAGEREF _Toc28156 \h </w:instrText>
        </w:r>
        <w:r>
          <w:fldChar w:fldCharType="separate"/>
        </w:r>
        <w:r>
          <w:t>10</w:t>
        </w:r>
        <w:r>
          <w:fldChar w:fldCharType="end"/>
        </w:r>
      </w:hyperlink>
    </w:p>
    <w:p>
      <w:pPr>
        <w:pStyle w:val="TOC2"/>
        <w:tabs>
          <w:tab w:val="right" w:leader="dot" w:pos="8306"/>
        </w:tabs>
      </w:pPr>
      <w:hyperlink w:anchor="_Toc32303" w:history="1">
        <w:r>
          <w:rPr>
            <w:rFonts w:ascii="仿宋" w:eastAsia="仿宋" w:hAnsi="仿宋" w:cs="仿宋" w:hint="eastAsia"/>
            <w:lang w:eastAsia="zh-CN"/>
          </w:rPr>
          <w:t>(三)、文档存档与归档</w:t>
        </w:r>
        <w:r>
          <w:tab/>
        </w:r>
        <w:r>
          <w:fldChar w:fldCharType="begin"/>
        </w:r>
        <w:r>
          <w:instrText xml:space="preserve"> PAGEREF _Toc32303 \h </w:instrText>
        </w:r>
        <w:r>
          <w:fldChar w:fldCharType="separate"/>
        </w:r>
        <w:r>
          <w:t>11</w:t>
        </w:r>
        <w:r>
          <w:fldChar w:fldCharType="end"/>
        </w:r>
      </w:hyperlink>
    </w:p>
    <w:p>
      <w:pPr>
        <w:pStyle w:val="TOC1"/>
        <w:tabs>
          <w:tab w:val="right" w:leader="dot" w:pos="8306"/>
        </w:tabs>
      </w:pPr>
      <w:hyperlink w:anchor="_Toc30145" w:history="1">
        <w:r>
          <w:rPr>
            <w:rFonts w:ascii="仿宋" w:eastAsia="仿宋" w:hAnsi="仿宋" w:cs="仿宋" w:hint="eastAsia"/>
            <w:lang w:eastAsia="zh-CN"/>
          </w:rPr>
          <w:t>四、输送计量设备项目建设背景及必要性分析</w:t>
        </w:r>
        <w:r>
          <w:tab/>
        </w:r>
        <w:r>
          <w:fldChar w:fldCharType="begin"/>
        </w:r>
        <w:r>
          <w:instrText xml:space="preserve"> PAGEREF _Toc30145 \h </w:instrText>
        </w:r>
        <w:r>
          <w:fldChar w:fldCharType="separate"/>
        </w:r>
        <w:r>
          <w:t>12</w:t>
        </w:r>
        <w:r>
          <w:fldChar w:fldCharType="end"/>
        </w:r>
      </w:hyperlink>
    </w:p>
    <w:p>
      <w:pPr>
        <w:pStyle w:val="TOC2"/>
        <w:tabs>
          <w:tab w:val="right" w:leader="dot" w:pos="8306"/>
        </w:tabs>
      </w:pPr>
      <w:hyperlink w:anchor="_Toc6651" w:history="1">
        <w:r>
          <w:rPr>
            <w:rFonts w:ascii="仿宋" w:eastAsia="仿宋" w:hAnsi="仿宋" w:cs="仿宋" w:hint="eastAsia"/>
            <w:lang w:eastAsia="zh-CN"/>
          </w:rPr>
          <w:t>(一)、输送计量设备项目背景分析</w:t>
        </w:r>
        <w:r>
          <w:tab/>
        </w:r>
        <w:r>
          <w:fldChar w:fldCharType="begin"/>
        </w:r>
        <w:r>
          <w:instrText xml:space="preserve"> PAGEREF _Toc6651 \h </w:instrText>
        </w:r>
        <w:r>
          <w:fldChar w:fldCharType="separate"/>
        </w:r>
        <w:r>
          <w:t>12</w:t>
        </w:r>
        <w:r>
          <w:fldChar w:fldCharType="end"/>
        </w:r>
      </w:hyperlink>
    </w:p>
    <w:p>
      <w:pPr>
        <w:pStyle w:val="TOC2"/>
        <w:tabs>
          <w:tab w:val="right" w:leader="dot" w:pos="8306"/>
        </w:tabs>
      </w:pPr>
      <w:hyperlink w:anchor="_Toc16938" w:history="1">
        <w:r>
          <w:rPr>
            <w:rFonts w:ascii="仿宋" w:eastAsia="仿宋" w:hAnsi="仿宋" w:cs="仿宋" w:hint="eastAsia"/>
            <w:lang w:eastAsia="zh-CN"/>
          </w:rPr>
          <w:t>(二)、输送计量设备项目建设必要性分析</w:t>
        </w:r>
        <w:r>
          <w:tab/>
        </w:r>
        <w:r>
          <w:fldChar w:fldCharType="begin"/>
        </w:r>
        <w:r>
          <w:instrText xml:space="preserve"> PAGEREF _Toc16938 \h </w:instrText>
        </w:r>
        <w:r>
          <w:fldChar w:fldCharType="separate"/>
        </w:r>
        <w:r>
          <w:t>14</w:t>
        </w:r>
        <w:r>
          <w:fldChar w:fldCharType="end"/>
        </w:r>
      </w:hyperlink>
    </w:p>
    <w:p>
      <w:pPr>
        <w:pStyle w:val="TOC1"/>
        <w:tabs>
          <w:tab w:val="right" w:leader="dot" w:pos="8306"/>
        </w:tabs>
      </w:pPr>
      <w:hyperlink w:anchor="_Toc10747" w:history="1">
        <w:r>
          <w:rPr>
            <w:rFonts w:ascii="仿宋" w:eastAsia="仿宋" w:hAnsi="仿宋" w:cs="仿宋" w:hint="eastAsia"/>
            <w:lang w:eastAsia="zh-CN"/>
          </w:rPr>
          <w:t>五、输送计量设备项目可持续发展</w:t>
        </w:r>
        <w:r>
          <w:tab/>
        </w:r>
        <w:r>
          <w:fldChar w:fldCharType="begin"/>
        </w:r>
        <w:r>
          <w:instrText xml:space="preserve"> PAGEREF _Toc10747 \h </w:instrText>
        </w:r>
        <w:r>
          <w:fldChar w:fldCharType="separate"/>
        </w:r>
        <w:r>
          <w:t>15</w:t>
        </w:r>
        <w:r>
          <w:fldChar w:fldCharType="end"/>
        </w:r>
      </w:hyperlink>
    </w:p>
    <w:p>
      <w:pPr>
        <w:pStyle w:val="TOC2"/>
        <w:tabs>
          <w:tab w:val="right" w:leader="dot" w:pos="8306"/>
        </w:tabs>
      </w:pPr>
      <w:hyperlink w:anchor="_Toc13468" w:history="1">
        <w:r>
          <w:rPr>
            <w:rFonts w:ascii="仿宋" w:eastAsia="仿宋" w:hAnsi="仿宋" w:cs="仿宋" w:hint="eastAsia"/>
            <w:lang w:eastAsia="zh-CN"/>
          </w:rPr>
          <w:t>(一)、可持续战略与实践</w:t>
        </w:r>
        <w:r>
          <w:tab/>
        </w:r>
        <w:r>
          <w:fldChar w:fldCharType="begin"/>
        </w:r>
        <w:r>
          <w:instrText xml:space="preserve"> PAGEREF _Toc13468 \h </w:instrText>
        </w:r>
        <w:r>
          <w:fldChar w:fldCharType="separate"/>
        </w:r>
        <w:r>
          <w:t>15</w:t>
        </w:r>
        <w:r>
          <w:fldChar w:fldCharType="end"/>
        </w:r>
      </w:hyperlink>
    </w:p>
    <w:p>
      <w:pPr>
        <w:pStyle w:val="TOC2"/>
        <w:tabs>
          <w:tab w:val="right" w:leader="dot" w:pos="8306"/>
        </w:tabs>
      </w:pPr>
      <w:hyperlink w:anchor="_Toc25838" w:history="1">
        <w:r>
          <w:rPr>
            <w:rFonts w:ascii="仿宋" w:eastAsia="仿宋" w:hAnsi="仿宋" w:cs="仿宋" w:hint="eastAsia"/>
            <w:lang w:eastAsia="zh-CN"/>
          </w:rPr>
          <w:t>(二)、环保与社会责任</w:t>
        </w:r>
        <w:r>
          <w:tab/>
        </w:r>
        <w:r>
          <w:fldChar w:fldCharType="begin"/>
        </w:r>
        <w:r>
          <w:instrText xml:space="preserve"> PAGEREF _Toc25838 \h </w:instrText>
        </w:r>
        <w:r>
          <w:fldChar w:fldCharType="separate"/>
        </w:r>
        <w:r>
          <w:t>16</w:t>
        </w:r>
        <w:r>
          <w:fldChar w:fldCharType="end"/>
        </w:r>
      </w:hyperlink>
    </w:p>
    <w:p>
      <w:pPr>
        <w:pStyle w:val="TOC1"/>
        <w:tabs>
          <w:tab w:val="right" w:leader="dot" w:pos="8306"/>
        </w:tabs>
      </w:pPr>
      <w:hyperlink w:anchor="_Toc24579" w:history="1">
        <w:r>
          <w:rPr>
            <w:rFonts w:ascii="仿宋" w:eastAsia="仿宋" w:hAnsi="仿宋" w:cs="仿宋" w:hint="eastAsia"/>
            <w:lang w:eastAsia="zh-CN"/>
          </w:rPr>
          <w:t>六、市场分析、调研</w:t>
        </w:r>
        <w:r>
          <w:tab/>
        </w:r>
        <w:r>
          <w:fldChar w:fldCharType="begin"/>
        </w:r>
        <w:r>
          <w:instrText xml:space="preserve"> PAGEREF _Toc24579 \h </w:instrText>
        </w:r>
        <w:r>
          <w:fldChar w:fldCharType="separate"/>
        </w:r>
        <w:r>
          <w:t>17</w:t>
        </w:r>
        <w:r>
          <w:fldChar w:fldCharType="end"/>
        </w:r>
      </w:hyperlink>
    </w:p>
    <w:p>
      <w:pPr>
        <w:pStyle w:val="TOC2"/>
        <w:tabs>
          <w:tab w:val="right" w:leader="dot" w:pos="8306"/>
        </w:tabs>
      </w:pPr>
      <w:hyperlink w:anchor="_Toc5271" w:history="1">
        <w:r>
          <w:rPr>
            <w:rFonts w:ascii="仿宋" w:eastAsia="仿宋" w:hAnsi="仿宋" w:cs="仿宋" w:hint="eastAsia"/>
            <w:lang w:eastAsia="zh-CN"/>
          </w:rPr>
          <w:t>(一)、输送计量设备行业分析</w:t>
        </w:r>
        <w:r>
          <w:tab/>
        </w:r>
        <w:r>
          <w:fldChar w:fldCharType="begin"/>
        </w:r>
        <w:r>
          <w:instrText xml:space="preserve"> PAGEREF _Toc5271 \h </w:instrText>
        </w:r>
        <w:r>
          <w:fldChar w:fldCharType="separate"/>
        </w:r>
        <w:r>
          <w:t>17</w:t>
        </w:r>
        <w:r>
          <w:fldChar w:fldCharType="end"/>
        </w:r>
      </w:hyperlink>
    </w:p>
    <w:p>
      <w:pPr>
        <w:pStyle w:val="TOC2"/>
        <w:tabs>
          <w:tab w:val="right" w:leader="dot" w:pos="8306"/>
        </w:tabs>
      </w:pPr>
      <w:hyperlink w:anchor="_Toc26514" w:history="1">
        <w:r>
          <w:rPr>
            <w:rFonts w:ascii="仿宋" w:eastAsia="仿宋" w:hAnsi="仿宋" w:cs="仿宋" w:hint="eastAsia"/>
            <w:lang w:eastAsia="zh-CN"/>
          </w:rPr>
          <w:t>(二)、输送计量设备市场分析预测</w:t>
        </w:r>
        <w:r>
          <w:tab/>
        </w:r>
        <w:r>
          <w:fldChar w:fldCharType="begin"/>
        </w:r>
        <w:r>
          <w:instrText xml:space="preserve"> PAGEREF _Toc26514 \h </w:instrText>
        </w:r>
        <w:r>
          <w:fldChar w:fldCharType="separate"/>
        </w:r>
        <w:r>
          <w:t>18</w:t>
        </w:r>
        <w:r>
          <w:fldChar w:fldCharType="end"/>
        </w:r>
      </w:hyperlink>
    </w:p>
    <w:p>
      <w:pPr>
        <w:pStyle w:val="TOC1"/>
        <w:tabs>
          <w:tab w:val="right" w:leader="dot" w:pos="8306"/>
        </w:tabs>
      </w:pPr>
      <w:hyperlink w:anchor="_Toc13802" w:history="1">
        <w:r>
          <w:rPr>
            <w:rFonts w:ascii="仿宋" w:eastAsia="仿宋" w:hAnsi="仿宋" w:cs="仿宋" w:hint="eastAsia"/>
            <w:lang w:eastAsia="zh-CN"/>
          </w:rPr>
          <w:t>七、输送计量设备项目人力资源培养与发展</w:t>
        </w:r>
        <w:r>
          <w:tab/>
        </w:r>
        <w:r>
          <w:fldChar w:fldCharType="begin"/>
        </w:r>
        <w:r>
          <w:instrText xml:space="preserve"> PAGEREF _Toc13802 \h </w:instrText>
        </w:r>
        <w:r>
          <w:fldChar w:fldCharType="separate"/>
        </w:r>
        <w:r>
          <w:t>18</w:t>
        </w:r>
        <w:r>
          <w:fldChar w:fldCharType="end"/>
        </w:r>
      </w:hyperlink>
    </w:p>
    <w:p>
      <w:pPr>
        <w:pStyle w:val="TOC2"/>
        <w:tabs>
          <w:tab w:val="right" w:leader="dot" w:pos="8306"/>
        </w:tabs>
      </w:pPr>
      <w:hyperlink w:anchor="_Toc26806" w:history="1">
        <w:r>
          <w:rPr>
            <w:rFonts w:ascii="仿宋" w:eastAsia="仿宋" w:hAnsi="仿宋" w:cs="仿宋" w:hint="eastAsia"/>
            <w:lang w:eastAsia="zh-CN"/>
          </w:rPr>
          <w:t>(一)、人才需求与规划</w:t>
        </w:r>
        <w:r>
          <w:tab/>
        </w:r>
        <w:r>
          <w:fldChar w:fldCharType="begin"/>
        </w:r>
        <w:r>
          <w:instrText xml:space="preserve"> PAGEREF _Toc26806 \h </w:instrText>
        </w:r>
        <w:r>
          <w:fldChar w:fldCharType="separate"/>
        </w:r>
        <w:r>
          <w:t>18</w:t>
        </w:r>
        <w:r>
          <w:fldChar w:fldCharType="end"/>
        </w:r>
      </w:hyperlink>
    </w:p>
    <w:p>
      <w:pPr>
        <w:pStyle w:val="TOC2"/>
        <w:tabs>
          <w:tab w:val="right" w:leader="dot" w:pos="8306"/>
        </w:tabs>
      </w:pPr>
      <w:hyperlink w:anchor="_Toc23492" w:history="1">
        <w:r>
          <w:rPr>
            <w:rFonts w:ascii="仿宋" w:eastAsia="仿宋" w:hAnsi="仿宋" w:cs="仿宋" w:hint="eastAsia"/>
            <w:lang w:eastAsia="zh-CN"/>
          </w:rPr>
          <w:t>(二)、培训与发展计划</w:t>
        </w:r>
        <w:r>
          <w:tab/>
        </w:r>
        <w:r>
          <w:fldChar w:fldCharType="begin"/>
        </w:r>
        <w:r>
          <w:instrText xml:space="preserve"> PAGEREF _Toc23492 \h </w:instrText>
        </w:r>
        <w:r>
          <w:fldChar w:fldCharType="separate"/>
        </w:r>
        <w:r>
          <w:t>19</w:t>
        </w:r>
        <w:r>
          <w:fldChar w:fldCharType="end"/>
        </w:r>
      </w:hyperlink>
    </w:p>
    <w:p>
      <w:pPr>
        <w:pStyle w:val="TOC1"/>
        <w:tabs>
          <w:tab w:val="right" w:leader="dot" w:pos="8306"/>
        </w:tabs>
      </w:pPr>
      <w:hyperlink w:anchor="_Toc29043" w:history="1">
        <w:r>
          <w:rPr>
            <w:rFonts w:ascii="仿宋" w:eastAsia="仿宋" w:hAnsi="仿宋" w:cs="仿宋" w:hint="eastAsia"/>
            <w:lang w:eastAsia="zh-CN"/>
          </w:rPr>
          <w:t>八、输送计量设备项目社会影响</w:t>
        </w:r>
        <w:r>
          <w:tab/>
        </w:r>
        <w:r>
          <w:fldChar w:fldCharType="begin"/>
        </w:r>
        <w:r>
          <w:instrText xml:space="preserve"> PAGEREF _Toc29043 \h </w:instrText>
        </w:r>
        <w:r>
          <w:fldChar w:fldCharType="separate"/>
        </w:r>
        <w:r>
          <w:t>20</w:t>
        </w:r>
        <w:r>
          <w:fldChar w:fldCharType="end"/>
        </w:r>
      </w:hyperlink>
    </w:p>
    <w:p>
      <w:pPr>
        <w:pStyle w:val="TOC2"/>
        <w:tabs>
          <w:tab w:val="right" w:leader="dot" w:pos="8306"/>
        </w:tabs>
      </w:pPr>
      <w:hyperlink w:anchor="_Toc28749" w:history="1">
        <w:r>
          <w:rPr>
            <w:rFonts w:ascii="仿宋" w:eastAsia="仿宋" w:hAnsi="仿宋" w:cs="仿宋" w:hint="eastAsia"/>
            <w:lang w:eastAsia="zh-CN"/>
          </w:rPr>
          <w:t>(一)、社会责任与义务</w:t>
        </w:r>
        <w:r>
          <w:tab/>
        </w:r>
        <w:r>
          <w:fldChar w:fldCharType="begin"/>
        </w:r>
        <w:r>
          <w:instrText xml:space="preserve"> PAGEREF _Toc28749 \h </w:instrText>
        </w:r>
        <w:r>
          <w:fldChar w:fldCharType="separate"/>
        </w:r>
        <w:r>
          <w:t>20</w:t>
        </w:r>
        <w:r>
          <w:fldChar w:fldCharType="end"/>
        </w:r>
      </w:hyperlink>
    </w:p>
    <w:p>
      <w:pPr>
        <w:pStyle w:val="TOC2"/>
        <w:tabs>
          <w:tab w:val="right" w:leader="dot" w:pos="8306"/>
        </w:tabs>
      </w:pPr>
      <w:hyperlink w:anchor="_Toc20155" w:history="1">
        <w:r>
          <w:rPr>
            <w:rFonts w:ascii="仿宋" w:eastAsia="仿宋" w:hAnsi="仿宋" w:cs="仿宋" w:hint="eastAsia"/>
            <w:lang w:eastAsia="zh-CN"/>
          </w:rPr>
          <w:t>(二)、社会参与与沟通</w:t>
        </w:r>
        <w:r>
          <w:tab/>
        </w:r>
        <w:r>
          <w:fldChar w:fldCharType="begin"/>
        </w:r>
        <w:r>
          <w:instrText xml:space="preserve"> PAGEREF _Toc20155 \h </w:instrText>
        </w:r>
        <w:r>
          <w:fldChar w:fldCharType="separate"/>
        </w:r>
        <w:r>
          <w:t>20</w:t>
        </w:r>
        <w:r>
          <w:fldChar w:fldCharType="end"/>
        </w:r>
      </w:hyperlink>
    </w:p>
    <w:p>
      <w:pPr>
        <w:pStyle w:val="TOC1"/>
        <w:tabs>
          <w:tab w:val="right" w:leader="dot" w:pos="8306"/>
        </w:tabs>
      </w:pPr>
      <w:hyperlink w:anchor="_Toc4719" w:history="1">
        <w:r>
          <w:rPr>
            <w:rFonts w:ascii="仿宋" w:eastAsia="仿宋" w:hAnsi="仿宋" w:cs="仿宋" w:hint="eastAsia"/>
            <w:lang w:eastAsia="zh-CN"/>
          </w:rPr>
          <w:t>九、输送计量设备项目人力资源管理</w:t>
        </w:r>
        <w:r>
          <w:tab/>
        </w:r>
        <w:r>
          <w:fldChar w:fldCharType="begin"/>
        </w:r>
        <w:r>
          <w:instrText xml:space="preserve"> PAGEREF _Toc4719 \h </w:instrText>
        </w:r>
        <w:r>
          <w:fldChar w:fldCharType="separate"/>
        </w:r>
        <w:r>
          <w:t>21</w:t>
        </w:r>
        <w:r>
          <w:fldChar w:fldCharType="end"/>
        </w:r>
      </w:hyperlink>
    </w:p>
    <w:p>
      <w:pPr>
        <w:pStyle w:val="TOC2"/>
        <w:tabs>
          <w:tab w:val="right" w:leader="dot" w:pos="8306"/>
        </w:tabs>
      </w:pPr>
      <w:hyperlink w:anchor="_Toc6793" w:history="1">
        <w:r>
          <w:rPr>
            <w:rFonts w:ascii="仿宋" w:eastAsia="仿宋" w:hAnsi="仿宋" w:cs="仿宋" w:hint="eastAsia"/>
            <w:lang w:eastAsia="zh-CN"/>
          </w:rPr>
          <w:t>(一)、建立健全的预算管理制度</w:t>
        </w:r>
        <w:r>
          <w:tab/>
        </w:r>
        <w:r>
          <w:fldChar w:fldCharType="begin"/>
        </w:r>
        <w:r>
          <w:instrText xml:space="preserve"> PAGEREF _Toc6793 \h </w:instrText>
        </w:r>
        <w:r>
          <w:fldChar w:fldCharType="separate"/>
        </w:r>
        <w:r>
          <w:t>21</w:t>
        </w:r>
        <w:r>
          <w:fldChar w:fldCharType="end"/>
        </w:r>
      </w:hyperlink>
    </w:p>
    <w:p>
      <w:pPr>
        <w:pStyle w:val="TOC2"/>
        <w:tabs>
          <w:tab w:val="right" w:leader="dot" w:pos="8306"/>
        </w:tabs>
      </w:pPr>
      <w:hyperlink w:anchor="_Toc30732" w:history="1">
        <w:r>
          <w:rPr>
            <w:rFonts w:ascii="仿宋" w:eastAsia="仿宋" w:hAnsi="仿宋" w:cs="仿宋" w:hint="eastAsia"/>
            <w:lang w:eastAsia="zh-CN"/>
          </w:rPr>
          <w:t>(二)、加强资金流动监控</w:t>
        </w:r>
        <w:r>
          <w:tab/>
        </w:r>
        <w:r>
          <w:fldChar w:fldCharType="begin"/>
        </w:r>
        <w:r>
          <w:instrText xml:space="preserve"> PAGEREF _Toc30732 \h </w:instrText>
        </w:r>
        <w:r>
          <w:fldChar w:fldCharType="separate"/>
        </w:r>
        <w:r>
          <w:t>23</w:t>
        </w:r>
        <w:r>
          <w:fldChar w:fldCharType="end"/>
        </w:r>
      </w:hyperlink>
    </w:p>
    <w:p>
      <w:pPr>
        <w:pStyle w:val="TOC2"/>
        <w:tabs>
          <w:tab w:val="right" w:leader="dot" w:pos="8306"/>
        </w:tabs>
      </w:pPr>
      <w:hyperlink w:anchor="_Toc28610" w:history="1">
        <w:r>
          <w:rPr>
            <w:rFonts w:ascii="仿宋" w:eastAsia="仿宋" w:hAnsi="仿宋" w:cs="仿宋" w:hint="eastAsia"/>
            <w:lang w:eastAsia="zh-CN"/>
          </w:rPr>
          <w:t>(三)、制定完善的风险控制机制</w:t>
        </w:r>
        <w:r>
          <w:tab/>
        </w:r>
        <w:r>
          <w:fldChar w:fldCharType="begin"/>
        </w:r>
        <w:r>
          <w:instrText xml:space="preserve"> PAGEREF _Toc28610 \h </w:instrText>
        </w:r>
        <w:r>
          <w:fldChar w:fldCharType="separate"/>
        </w:r>
        <w:r>
          <w:t>24</w:t>
        </w:r>
        <w:r>
          <w:fldChar w:fldCharType="end"/>
        </w:r>
      </w:hyperlink>
    </w:p>
    <w:p>
      <w:pPr>
        <w:pStyle w:val="TOC2"/>
        <w:tabs>
          <w:tab w:val="right" w:leader="dot" w:pos="8306"/>
        </w:tabs>
      </w:pPr>
      <w:hyperlink w:anchor="_Toc17109" w:history="1">
        <w:r>
          <w:rPr>
            <w:rFonts w:ascii="仿宋" w:eastAsia="仿宋" w:hAnsi="仿宋" w:cs="仿宋" w:hint="eastAsia"/>
            <w:lang w:eastAsia="zh-CN"/>
          </w:rPr>
          <w:t>(四)、优化成本管理</w:t>
        </w:r>
        <w:r>
          <w:tab/>
        </w:r>
        <w:r>
          <w:fldChar w:fldCharType="begin"/>
        </w:r>
        <w:r>
          <w:instrText xml:space="preserve"> PAGEREF _Toc17109 \h </w:instrText>
        </w:r>
        <w:r>
          <w:fldChar w:fldCharType="separate"/>
        </w:r>
        <w:r>
          <w:t>25</w:t>
        </w:r>
        <w:r>
          <w:fldChar w:fldCharType="end"/>
        </w:r>
      </w:hyperlink>
    </w:p>
    <w:p>
      <w:pPr>
        <w:pStyle w:val="TOC1"/>
        <w:tabs>
          <w:tab w:val="right" w:leader="dot" w:pos="8306"/>
        </w:tabs>
      </w:pPr>
      <w:hyperlink w:anchor="_Toc6696" w:history="1">
        <w:r>
          <w:rPr>
            <w:rFonts w:ascii="仿宋" w:eastAsia="仿宋" w:hAnsi="仿宋" w:cs="仿宋" w:hint="eastAsia"/>
            <w:lang w:eastAsia="zh-CN"/>
          </w:rPr>
          <w:t>十、输送计量设备项目投资规划</w:t>
        </w:r>
        <w:r>
          <w:tab/>
        </w:r>
        <w:r>
          <w:fldChar w:fldCharType="begin"/>
        </w:r>
        <w:r>
          <w:instrText xml:space="preserve"> PAGEREF _Toc6696 \h </w:instrText>
        </w:r>
        <w:r>
          <w:fldChar w:fldCharType="separate"/>
        </w:r>
        <w:r>
          <w:t>27</w:t>
        </w:r>
        <w:r>
          <w:fldChar w:fldCharType="end"/>
        </w:r>
      </w:hyperlink>
    </w:p>
    <w:p>
      <w:pPr>
        <w:pStyle w:val="TOC2"/>
        <w:tabs>
          <w:tab w:val="right" w:leader="dot" w:pos="8306"/>
        </w:tabs>
      </w:pPr>
      <w:hyperlink w:anchor="_Toc25846" w:history="1">
        <w:r>
          <w:rPr>
            <w:rFonts w:ascii="仿宋" w:eastAsia="仿宋" w:hAnsi="仿宋" w:cs="仿宋" w:hint="eastAsia"/>
            <w:lang w:eastAsia="zh-CN"/>
          </w:rPr>
          <w:t>(一)、输送计量设备项目总投资估算</w:t>
        </w:r>
        <w:r>
          <w:tab/>
        </w:r>
        <w:r>
          <w:fldChar w:fldCharType="begin"/>
        </w:r>
        <w:r>
          <w:instrText xml:space="preserve"> PAGEREF _Toc25846 \h </w:instrText>
        </w:r>
        <w:r>
          <w:fldChar w:fldCharType="separate"/>
        </w:r>
        <w:r>
          <w:t>27</w:t>
        </w:r>
        <w:r>
          <w:fldChar w:fldCharType="end"/>
        </w:r>
      </w:hyperlink>
    </w:p>
    <w:p>
      <w:pPr>
        <w:pStyle w:val="TOC2"/>
        <w:tabs>
          <w:tab w:val="right" w:leader="dot" w:pos="8306"/>
        </w:tabs>
      </w:pPr>
      <w:hyperlink w:anchor="_Toc2793" w:history="1">
        <w:r>
          <w:rPr>
            <w:rFonts w:ascii="仿宋" w:eastAsia="仿宋" w:hAnsi="仿宋" w:cs="仿宋" w:hint="eastAsia"/>
            <w:lang w:eastAsia="zh-CN"/>
          </w:rPr>
          <w:t>(二)、资金筹措</w:t>
        </w:r>
        <w:r>
          <w:tab/>
        </w:r>
        <w:r>
          <w:fldChar w:fldCharType="begin"/>
        </w:r>
        <w:r>
          <w:instrText xml:space="preserve"> PAGEREF _Toc2793 \h </w:instrText>
        </w:r>
        <w:r>
          <w:fldChar w:fldCharType="separate"/>
        </w:r>
        <w:r>
          <w:t>28</w:t>
        </w:r>
        <w:r>
          <w:fldChar w:fldCharType="end"/>
        </w:r>
      </w:hyperlink>
    </w:p>
    <w:p>
      <w:pPr>
        <w:pStyle w:val="TOC1"/>
        <w:tabs>
          <w:tab w:val="right" w:leader="dot" w:pos="8306"/>
        </w:tabs>
      </w:pPr>
      <w:hyperlink w:anchor="_Toc23531" w:history="1">
        <w:r>
          <w:rPr>
            <w:rFonts w:ascii="仿宋" w:eastAsia="仿宋" w:hAnsi="仿宋" w:cs="仿宋" w:hint="eastAsia"/>
            <w:lang w:eastAsia="zh-CN"/>
          </w:rPr>
          <w:t>十一、输送计量设备项目技术管理</w:t>
        </w:r>
        <w:r>
          <w:tab/>
        </w:r>
        <w:r>
          <w:fldChar w:fldCharType="begin"/>
        </w:r>
        <w:r>
          <w:instrText xml:space="preserve"> PAGEREF _Toc23531 \h </w:instrText>
        </w:r>
        <w:r>
          <w:fldChar w:fldCharType="separate"/>
        </w:r>
        <w:r>
          <w:t>29</w:t>
        </w:r>
        <w:r>
          <w:fldChar w:fldCharType="end"/>
        </w:r>
      </w:hyperlink>
    </w:p>
    <w:p>
      <w:pPr>
        <w:pStyle w:val="TOC2"/>
        <w:tabs>
          <w:tab w:val="right" w:leader="dot" w:pos="8306"/>
        </w:tabs>
      </w:pPr>
      <w:hyperlink w:anchor="_Toc24198" w:history="1">
        <w:r>
          <w:rPr>
            <w:rFonts w:ascii="仿宋" w:eastAsia="仿宋" w:hAnsi="仿宋" w:cs="仿宋" w:hint="eastAsia"/>
            <w:lang w:eastAsia="zh-CN"/>
          </w:rPr>
          <w:t>(一)、技术方案选用方向</w:t>
        </w:r>
        <w:r>
          <w:tab/>
        </w:r>
        <w:r>
          <w:fldChar w:fldCharType="begin"/>
        </w:r>
        <w:r>
          <w:instrText xml:space="preserve"> PAGEREF _Toc24198 \h </w:instrText>
        </w:r>
        <w:r>
          <w:fldChar w:fldCharType="separate"/>
        </w:r>
        <w:r>
          <w:t>29</w:t>
        </w:r>
        <w:r>
          <w:fldChar w:fldCharType="end"/>
        </w:r>
      </w:hyperlink>
    </w:p>
    <w:p>
      <w:pPr>
        <w:pStyle w:val="TOC2"/>
        <w:tabs>
          <w:tab w:val="right" w:leader="dot" w:pos="8306"/>
        </w:tabs>
      </w:pPr>
      <w:hyperlink w:anchor="_Toc31549" w:history="1">
        <w:r>
          <w:rPr>
            <w:rFonts w:ascii="仿宋" w:eastAsia="仿宋" w:hAnsi="仿宋" w:cs="仿宋" w:hint="eastAsia"/>
            <w:lang w:eastAsia="zh-CN"/>
          </w:rPr>
          <w:t>(二)、工艺技术方案选用原则</w:t>
        </w:r>
        <w:r>
          <w:tab/>
        </w:r>
        <w:r>
          <w:fldChar w:fldCharType="begin"/>
        </w:r>
        <w:r>
          <w:instrText xml:space="preserve"> PAGEREF _Toc31549 \h </w:instrText>
        </w:r>
        <w:r>
          <w:fldChar w:fldCharType="separate"/>
        </w:r>
        <w:r>
          <w:t>31</w:t>
        </w:r>
        <w:r>
          <w:fldChar w:fldCharType="end"/>
        </w:r>
      </w:hyperlink>
    </w:p>
    <w:p>
      <w:pPr>
        <w:pStyle w:val="TOC2"/>
        <w:tabs>
          <w:tab w:val="right" w:leader="dot" w:pos="8306"/>
        </w:tabs>
      </w:pPr>
      <w:hyperlink w:anchor="_Toc26417" w:history="1">
        <w:r>
          <w:rPr>
            <w:rFonts w:ascii="仿宋" w:eastAsia="仿宋" w:hAnsi="仿宋" w:cs="仿宋" w:hint="eastAsia"/>
            <w:lang w:eastAsia="zh-CN"/>
          </w:rPr>
          <w:t>(三)、工艺技术方案要求</w:t>
        </w:r>
        <w:r>
          <w:tab/>
        </w:r>
        <w:r>
          <w:fldChar w:fldCharType="begin"/>
        </w:r>
        <w:r>
          <w:instrText xml:space="preserve"> PAGEREF _Toc26417 \h </w:instrText>
        </w:r>
        <w:r>
          <w:fldChar w:fldCharType="separate"/>
        </w:r>
        <w:r>
          <w:t>33</w:t>
        </w:r>
        <w:r>
          <w:fldChar w:fldCharType="end"/>
        </w:r>
      </w:hyperlink>
    </w:p>
    <w:p>
      <w:pPr>
        <w:pStyle w:val="TOC1"/>
        <w:tabs>
          <w:tab w:val="right" w:leader="dot" w:pos="8306"/>
        </w:tabs>
      </w:pPr>
      <w:hyperlink w:anchor="_Toc3581" w:history="1">
        <w:r>
          <w:rPr>
            <w:rFonts w:ascii="仿宋" w:eastAsia="仿宋" w:hAnsi="仿宋" w:cs="仿宋" w:hint="eastAsia"/>
            <w:lang w:eastAsia="zh-CN"/>
          </w:rPr>
          <w:t>十二、生产安全保护</w:t>
        </w:r>
        <w:r>
          <w:tab/>
        </w:r>
        <w:r>
          <w:fldChar w:fldCharType="begin"/>
        </w:r>
        <w:r>
          <w:instrText xml:space="preserve"> PAGEREF _Toc3581 \h </w:instrText>
        </w:r>
        <w:r>
          <w:fldChar w:fldCharType="separate"/>
        </w:r>
        <w:r>
          <w:t>35</w:t>
        </w:r>
        <w:r>
          <w:fldChar w:fldCharType="end"/>
        </w:r>
      </w:hyperlink>
    </w:p>
    <w:p>
      <w:pPr>
        <w:pStyle w:val="TOC2"/>
        <w:tabs>
          <w:tab w:val="right" w:leader="dot" w:pos="8306"/>
        </w:tabs>
      </w:pPr>
      <w:hyperlink w:anchor="_Toc1741" w:history="1">
        <w:r>
          <w:rPr>
            <w:rFonts w:ascii="仿宋" w:eastAsia="仿宋" w:hAnsi="仿宋" w:cs="仿宋" w:hint="eastAsia"/>
            <w:lang w:eastAsia="zh-CN"/>
          </w:rPr>
          <w:t>(一)、消防安全</w:t>
        </w:r>
        <w:r>
          <w:tab/>
        </w:r>
        <w:r>
          <w:fldChar w:fldCharType="begin"/>
        </w:r>
        <w:r>
          <w:instrText xml:space="preserve"> PAGEREF _Toc1741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78" w:history="1">
        <w:r>
          <w:rPr>
            <w:rFonts w:ascii="仿宋" w:eastAsia="仿宋" w:hAnsi="仿宋" w:cs="仿宋" w:hint="eastAsia"/>
            <w:lang w:eastAsia="zh-CN"/>
          </w:rPr>
          <w:t>(二)、防火防爆总图布置措施</w:t>
        </w:r>
        <w:r>
          <w:tab/>
        </w:r>
        <w:r>
          <w:fldChar w:fldCharType="begin"/>
        </w:r>
        <w:r>
          <w:instrText xml:space="preserve"> PAGEREF _Toc3378 \h </w:instrText>
        </w:r>
        <w:r>
          <w:fldChar w:fldCharType="separate"/>
        </w:r>
        <w:r>
          <w:t>37</w:t>
        </w:r>
        <w:r>
          <w:fldChar w:fldCharType="end"/>
        </w:r>
      </w:hyperlink>
    </w:p>
    <w:p>
      <w:pPr>
        <w:pStyle w:val="TOC2"/>
        <w:tabs>
          <w:tab w:val="right" w:leader="dot" w:pos="8306"/>
        </w:tabs>
      </w:pPr>
      <w:hyperlink w:anchor="_Toc15923" w:history="1">
        <w:r>
          <w:rPr>
            <w:rFonts w:ascii="仿宋" w:eastAsia="仿宋" w:hAnsi="仿宋" w:cs="仿宋" w:hint="eastAsia"/>
            <w:lang w:eastAsia="zh-CN"/>
          </w:rPr>
          <w:t>(三)、自然灾害防范措施</w:t>
        </w:r>
        <w:r>
          <w:tab/>
        </w:r>
        <w:r>
          <w:fldChar w:fldCharType="begin"/>
        </w:r>
        <w:r>
          <w:instrText xml:space="preserve"> PAGEREF _Toc15923 \h </w:instrText>
        </w:r>
        <w:r>
          <w:fldChar w:fldCharType="separate"/>
        </w:r>
        <w:r>
          <w:t>38</w:t>
        </w:r>
        <w:r>
          <w:fldChar w:fldCharType="end"/>
        </w:r>
      </w:hyperlink>
    </w:p>
    <w:p>
      <w:pPr>
        <w:pStyle w:val="TOC2"/>
        <w:tabs>
          <w:tab w:val="right" w:leader="dot" w:pos="8306"/>
        </w:tabs>
      </w:pPr>
      <w:hyperlink w:anchor="_Toc23189" w:history="1">
        <w:r>
          <w:rPr>
            <w:rFonts w:ascii="仿宋" w:eastAsia="仿宋" w:hAnsi="仿宋" w:cs="仿宋" w:hint="eastAsia"/>
            <w:lang w:eastAsia="zh-CN"/>
          </w:rPr>
          <w:t>(四)、安全色及安全标志使用要求</w:t>
        </w:r>
        <w:r>
          <w:tab/>
        </w:r>
        <w:r>
          <w:fldChar w:fldCharType="begin"/>
        </w:r>
        <w:r>
          <w:instrText xml:space="preserve"> PAGEREF _Toc23189 \h </w:instrText>
        </w:r>
        <w:r>
          <w:fldChar w:fldCharType="separate"/>
        </w:r>
        <w:r>
          <w:t>39</w:t>
        </w:r>
        <w:r>
          <w:fldChar w:fldCharType="end"/>
        </w:r>
      </w:hyperlink>
    </w:p>
    <w:p>
      <w:pPr>
        <w:pStyle w:val="TOC2"/>
        <w:tabs>
          <w:tab w:val="right" w:leader="dot" w:pos="8306"/>
        </w:tabs>
      </w:pPr>
      <w:hyperlink w:anchor="_Toc17263" w:history="1">
        <w:r>
          <w:rPr>
            <w:rFonts w:ascii="仿宋" w:eastAsia="仿宋" w:hAnsi="仿宋" w:cs="仿宋" w:hint="eastAsia"/>
            <w:lang w:eastAsia="zh-CN"/>
          </w:rPr>
          <w:t>(五)、防尘防毒措施</w:t>
        </w:r>
        <w:r>
          <w:tab/>
        </w:r>
        <w:r>
          <w:fldChar w:fldCharType="begin"/>
        </w:r>
        <w:r>
          <w:instrText xml:space="preserve"> PAGEREF _Toc17263 \h </w:instrText>
        </w:r>
        <w:r>
          <w:fldChar w:fldCharType="separate"/>
        </w:r>
        <w:r>
          <w:t>40</w:t>
        </w:r>
        <w:r>
          <w:fldChar w:fldCharType="end"/>
        </w:r>
      </w:hyperlink>
    </w:p>
    <w:p>
      <w:pPr>
        <w:pStyle w:val="TOC2"/>
        <w:tabs>
          <w:tab w:val="right" w:leader="dot" w:pos="8306"/>
        </w:tabs>
      </w:pPr>
      <w:hyperlink w:anchor="_Toc10832" w:history="1">
        <w:r>
          <w:rPr>
            <w:rFonts w:ascii="仿宋" w:eastAsia="仿宋" w:hAnsi="仿宋" w:cs="仿宋" w:hint="eastAsia"/>
            <w:lang w:eastAsia="zh-CN"/>
          </w:rPr>
          <w:t>(六)、防静电、触电防护及防雷措施</w:t>
        </w:r>
        <w:r>
          <w:tab/>
        </w:r>
        <w:r>
          <w:fldChar w:fldCharType="begin"/>
        </w:r>
        <w:r>
          <w:instrText xml:space="preserve"> PAGEREF _Toc10832 \h </w:instrText>
        </w:r>
        <w:r>
          <w:fldChar w:fldCharType="separate"/>
        </w:r>
        <w:r>
          <w:t>41</w:t>
        </w:r>
        <w:r>
          <w:fldChar w:fldCharType="end"/>
        </w:r>
      </w:hyperlink>
    </w:p>
    <w:p>
      <w:pPr>
        <w:pStyle w:val="TOC2"/>
        <w:tabs>
          <w:tab w:val="right" w:leader="dot" w:pos="8306"/>
        </w:tabs>
      </w:pPr>
      <w:hyperlink w:anchor="_Toc16143" w:history="1">
        <w:r>
          <w:rPr>
            <w:rFonts w:ascii="仿宋" w:eastAsia="仿宋" w:hAnsi="仿宋" w:cs="仿宋" w:hint="eastAsia"/>
            <w:lang w:eastAsia="zh-CN"/>
          </w:rPr>
          <w:t>(七)、机械设备安全保障措施</w:t>
        </w:r>
        <w:r>
          <w:tab/>
        </w:r>
        <w:r>
          <w:fldChar w:fldCharType="begin"/>
        </w:r>
        <w:r>
          <w:instrText xml:space="preserve"> PAGEREF _Toc16143 \h </w:instrText>
        </w:r>
        <w:r>
          <w:fldChar w:fldCharType="separate"/>
        </w:r>
        <w:r>
          <w:t>42</w:t>
        </w:r>
        <w:r>
          <w:fldChar w:fldCharType="end"/>
        </w:r>
      </w:hyperlink>
    </w:p>
    <w:p>
      <w:pPr>
        <w:pStyle w:val="TOC1"/>
        <w:tabs>
          <w:tab w:val="right" w:leader="dot" w:pos="8306"/>
        </w:tabs>
      </w:pPr>
      <w:hyperlink w:anchor="_Toc23454" w:history="1">
        <w:r>
          <w:rPr>
            <w:rFonts w:ascii="仿宋" w:eastAsia="仿宋" w:hAnsi="仿宋" w:cs="仿宋" w:hint="eastAsia"/>
            <w:lang w:eastAsia="zh-CN"/>
          </w:rPr>
          <w:t>十三、风险识别与分类</w:t>
        </w:r>
        <w:r>
          <w:tab/>
        </w:r>
        <w:r>
          <w:fldChar w:fldCharType="begin"/>
        </w:r>
        <w:r>
          <w:instrText xml:space="preserve"> PAGEREF _Toc23454 \h </w:instrText>
        </w:r>
        <w:r>
          <w:fldChar w:fldCharType="separate"/>
        </w:r>
        <w:r>
          <w:t>43</w:t>
        </w:r>
        <w:r>
          <w:fldChar w:fldCharType="end"/>
        </w:r>
      </w:hyperlink>
    </w:p>
    <w:p>
      <w:pPr>
        <w:pStyle w:val="TOC2"/>
        <w:tabs>
          <w:tab w:val="right" w:leader="dot" w:pos="8306"/>
        </w:tabs>
      </w:pPr>
      <w:hyperlink w:anchor="_Toc4282" w:history="1">
        <w:r>
          <w:rPr>
            <w:rFonts w:ascii="仿宋" w:eastAsia="仿宋" w:hAnsi="仿宋" w:cs="仿宋" w:hint="eastAsia"/>
            <w:lang w:eastAsia="zh-CN"/>
          </w:rPr>
          <w:t>(一)、风险识别</w:t>
        </w:r>
        <w:r>
          <w:tab/>
        </w:r>
        <w:r>
          <w:fldChar w:fldCharType="begin"/>
        </w:r>
        <w:r>
          <w:instrText xml:space="preserve"> PAGEREF _Toc4282 \h </w:instrText>
        </w:r>
        <w:r>
          <w:fldChar w:fldCharType="separate"/>
        </w:r>
        <w:r>
          <w:t>43</w:t>
        </w:r>
        <w:r>
          <w:fldChar w:fldCharType="end"/>
        </w:r>
      </w:hyperlink>
    </w:p>
    <w:p>
      <w:pPr>
        <w:pStyle w:val="TOC2"/>
        <w:tabs>
          <w:tab w:val="right" w:leader="dot" w:pos="8306"/>
        </w:tabs>
      </w:pPr>
      <w:hyperlink w:anchor="_Toc16252" w:history="1">
        <w:r>
          <w:rPr>
            <w:rFonts w:ascii="仿宋" w:eastAsia="仿宋" w:hAnsi="仿宋" w:cs="仿宋" w:hint="eastAsia"/>
            <w:lang w:eastAsia="zh-CN"/>
          </w:rPr>
          <w:t>(二)、风险分类</w:t>
        </w:r>
        <w:r>
          <w:tab/>
        </w:r>
        <w:r>
          <w:fldChar w:fldCharType="begin"/>
        </w:r>
        <w:r>
          <w:instrText xml:space="preserve"> PAGEREF _Toc16252 \h </w:instrText>
        </w:r>
        <w:r>
          <w:fldChar w:fldCharType="separate"/>
        </w:r>
        <w:r>
          <w:t>45</w:t>
        </w:r>
        <w:r>
          <w:fldChar w:fldCharType="end"/>
        </w:r>
      </w:hyperlink>
    </w:p>
    <w:p>
      <w:pPr>
        <w:pStyle w:val="TOC1"/>
        <w:tabs>
          <w:tab w:val="right" w:leader="dot" w:pos="8306"/>
        </w:tabs>
      </w:pPr>
      <w:hyperlink w:anchor="_Toc15782" w:history="1">
        <w:r>
          <w:rPr>
            <w:rFonts w:ascii="仿宋" w:eastAsia="仿宋" w:hAnsi="仿宋" w:cs="仿宋" w:hint="eastAsia"/>
            <w:lang w:eastAsia="zh-CN"/>
          </w:rPr>
          <w:t>十四、利益相关者分析与沟通计划</w:t>
        </w:r>
        <w:r>
          <w:tab/>
        </w:r>
        <w:r>
          <w:fldChar w:fldCharType="begin"/>
        </w:r>
        <w:r>
          <w:instrText xml:space="preserve"> PAGEREF _Toc15782 \h </w:instrText>
        </w:r>
        <w:r>
          <w:fldChar w:fldCharType="separate"/>
        </w:r>
        <w:r>
          <w:t>47</w:t>
        </w:r>
        <w:r>
          <w:fldChar w:fldCharType="end"/>
        </w:r>
      </w:hyperlink>
    </w:p>
    <w:p>
      <w:pPr>
        <w:pStyle w:val="TOC2"/>
        <w:tabs>
          <w:tab w:val="right" w:leader="dot" w:pos="8306"/>
        </w:tabs>
      </w:pPr>
      <w:hyperlink w:anchor="_Toc1481" w:history="1">
        <w:r>
          <w:rPr>
            <w:rFonts w:ascii="仿宋" w:eastAsia="仿宋" w:hAnsi="仿宋" w:cs="仿宋" w:hint="eastAsia"/>
            <w:lang w:eastAsia="zh-CN"/>
          </w:rPr>
          <w:t>(一)、利益相关者分析</w:t>
        </w:r>
        <w:r>
          <w:tab/>
        </w:r>
        <w:r>
          <w:fldChar w:fldCharType="begin"/>
        </w:r>
        <w:r>
          <w:instrText xml:space="preserve"> PAGEREF _Toc1481 \h </w:instrText>
        </w:r>
        <w:r>
          <w:fldChar w:fldCharType="separate"/>
        </w:r>
        <w:r>
          <w:t>47</w:t>
        </w:r>
        <w:r>
          <w:fldChar w:fldCharType="end"/>
        </w:r>
      </w:hyperlink>
    </w:p>
    <w:p>
      <w:pPr>
        <w:pStyle w:val="TOC2"/>
        <w:tabs>
          <w:tab w:val="right" w:leader="dot" w:pos="8306"/>
        </w:tabs>
      </w:pPr>
      <w:hyperlink w:anchor="_Toc32684" w:history="1">
        <w:r>
          <w:rPr>
            <w:rFonts w:ascii="仿宋" w:eastAsia="仿宋" w:hAnsi="仿宋" w:cs="仿宋" w:hint="eastAsia"/>
            <w:lang w:eastAsia="zh-CN"/>
          </w:rPr>
          <w:t>(二)、沟通计划</w:t>
        </w:r>
        <w:r>
          <w:tab/>
        </w:r>
        <w:r>
          <w:fldChar w:fldCharType="begin"/>
        </w:r>
        <w:r>
          <w:instrText xml:space="preserve"> PAGEREF _Toc32684 \h </w:instrText>
        </w:r>
        <w:r>
          <w:fldChar w:fldCharType="separate"/>
        </w:r>
        <w:r>
          <w:t>48</w:t>
        </w:r>
        <w:r>
          <w:fldChar w:fldCharType="end"/>
        </w:r>
      </w:hyperlink>
    </w:p>
    <w:p>
      <w:pPr>
        <w:pStyle w:val="TOC1"/>
        <w:tabs>
          <w:tab w:val="right" w:leader="dot" w:pos="8306"/>
        </w:tabs>
      </w:pPr>
      <w:hyperlink w:anchor="_Toc3211" w:history="1">
        <w:r>
          <w:rPr>
            <w:rFonts w:ascii="仿宋" w:eastAsia="仿宋" w:hAnsi="仿宋" w:cs="仿宋" w:hint="eastAsia"/>
            <w:lang w:eastAsia="zh-CN"/>
          </w:rPr>
          <w:t>十五、输送计量设备项目实施保障措施</w:t>
        </w:r>
        <w:r>
          <w:tab/>
        </w:r>
        <w:r>
          <w:fldChar w:fldCharType="begin"/>
        </w:r>
        <w:r>
          <w:instrText xml:space="preserve"> PAGEREF _Toc3211 \h </w:instrText>
        </w:r>
        <w:r>
          <w:fldChar w:fldCharType="separate"/>
        </w:r>
        <w:r>
          <w:t>49</w:t>
        </w:r>
        <w:r>
          <w:fldChar w:fldCharType="end"/>
        </w:r>
      </w:hyperlink>
    </w:p>
    <w:p>
      <w:pPr>
        <w:pStyle w:val="TOC2"/>
        <w:tabs>
          <w:tab w:val="right" w:leader="dot" w:pos="8306"/>
        </w:tabs>
      </w:pPr>
      <w:hyperlink w:anchor="_Toc25097" w:history="1">
        <w:r>
          <w:rPr>
            <w:rFonts w:ascii="仿宋" w:eastAsia="仿宋" w:hAnsi="仿宋" w:cs="仿宋" w:hint="eastAsia"/>
            <w:lang w:eastAsia="zh-CN"/>
          </w:rPr>
          <w:t>(一)、输送计量设备项目实施保障机制</w:t>
        </w:r>
        <w:r>
          <w:tab/>
        </w:r>
        <w:r>
          <w:fldChar w:fldCharType="begin"/>
        </w:r>
        <w:r>
          <w:instrText xml:space="preserve"> PAGEREF _Toc25097 \h </w:instrText>
        </w:r>
        <w:r>
          <w:fldChar w:fldCharType="separate"/>
        </w:r>
        <w:r>
          <w:t>49</w:t>
        </w:r>
        <w:r>
          <w:fldChar w:fldCharType="end"/>
        </w:r>
      </w:hyperlink>
    </w:p>
    <w:p>
      <w:pPr>
        <w:pStyle w:val="TOC2"/>
        <w:tabs>
          <w:tab w:val="right" w:leader="dot" w:pos="8306"/>
        </w:tabs>
      </w:pPr>
      <w:hyperlink w:anchor="_Toc27184" w:history="1">
        <w:r>
          <w:rPr>
            <w:rFonts w:ascii="仿宋" w:eastAsia="仿宋" w:hAnsi="仿宋" w:cs="仿宋" w:hint="eastAsia"/>
            <w:lang w:eastAsia="zh-CN"/>
          </w:rPr>
          <w:t>(二)、输送计量设备项目法律合规要求</w:t>
        </w:r>
        <w:r>
          <w:tab/>
        </w:r>
        <w:r>
          <w:fldChar w:fldCharType="begin"/>
        </w:r>
        <w:r>
          <w:instrText xml:space="preserve"> PAGEREF _Toc27184 \h </w:instrText>
        </w:r>
        <w:r>
          <w:fldChar w:fldCharType="separate"/>
        </w:r>
        <w:r>
          <w:t>53</w:t>
        </w:r>
        <w:r>
          <w:fldChar w:fldCharType="end"/>
        </w:r>
      </w:hyperlink>
    </w:p>
    <w:p>
      <w:pPr>
        <w:pStyle w:val="TOC2"/>
        <w:tabs>
          <w:tab w:val="right" w:leader="dot" w:pos="8306"/>
        </w:tabs>
      </w:pPr>
      <w:hyperlink w:anchor="_Toc264" w:history="1">
        <w:r>
          <w:rPr>
            <w:rFonts w:ascii="仿宋" w:eastAsia="仿宋" w:hAnsi="仿宋" w:cs="仿宋" w:hint="eastAsia"/>
            <w:lang w:eastAsia="zh-CN"/>
          </w:rPr>
          <w:t>(三)、输送计量设备项目合同管理与法律事务</w:t>
        </w:r>
        <w:r>
          <w:tab/>
        </w:r>
        <w:r>
          <w:fldChar w:fldCharType="begin"/>
        </w:r>
        <w:r>
          <w:instrText xml:space="preserve"> PAGEREF _Toc264 \h </w:instrText>
        </w:r>
        <w:r>
          <w:fldChar w:fldCharType="separate"/>
        </w:r>
        <w:r>
          <w:t>57</w:t>
        </w:r>
        <w:r>
          <w:fldChar w:fldCharType="end"/>
        </w:r>
      </w:hyperlink>
    </w:p>
    <w:p>
      <w:pPr>
        <w:pStyle w:val="TOC2"/>
        <w:tabs>
          <w:tab w:val="right" w:leader="dot" w:pos="8306"/>
        </w:tabs>
      </w:pPr>
      <w:hyperlink w:anchor="_Toc4869" w:history="1">
        <w:r>
          <w:rPr>
            <w:rFonts w:ascii="仿宋" w:eastAsia="仿宋" w:hAnsi="仿宋" w:cs="仿宋" w:hint="eastAsia"/>
            <w:lang w:eastAsia="zh-CN"/>
          </w:rPr>
          <w:t>(四)、输送计量设备项目知识产权保护策略</w:t>
        </w:r>
        <w:r>
          <w:tab/>
        </w:r>
        <w:r>
          <w:fldChar w:fldCharType="begin"/>
        </w:r>
        <w:r>
          <w:instrText xml:space="preserve"> PAGEREF _Toc4869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850"/>
      <w:r>
        <w:rPr>
          <w:rFonts w:ascii="仿宋" w:eastAsia="仿宋" w:hAnsi="仿宋" w:cs="仿宋" w:hint="eastAsia"/>
          <w:sz w:val="28"/>
          <w:lang w:eastAsia="zh-CN"/>
        </w:rPr>
        <w:t>一、输送计量设备项目绩效评估</w:t>
      </w:r>
      <w:bookmarkEnd w:id="2"/>
    </w:p>
    <w:p>
      <w:pPr>
        <w:pStyle w:val="Heading2"/>
        <w:rPr>
          <w:rFonts w:ascii="仿宋" w:eastAsia="仿宋" w:hAnsi="仿宋" w:cs="仿宋" w:hint="eastAsia"/>
          <w:lang w:eastAsia="zh-CN"/>
        </w:rPr>
      </w:pPr>
      <w:bookmarkStart w:id="3" w:name="_Toc1594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输送计量设备项目中，我们设计了一套全面的绩效评估指标，以确保输送计量设备项目的可控和成功交付。这些指标跨足输送计量设备项目目标、成本、进度和质量等多个维度，为我们提供了全面洞察输送计量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目标达成率是我们关注的首要指标。我们设定了明确的目标，并通过定期监测和评估，迅速发现并应对潜在的目标偏差。这为输送计量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成本绩效是另一个核心关注点。通过实际成本与预算成本的对比分析，我们深入了解成本差异的原因，及时调整资源分配，保持输送计量设备项目在经济效益方面的合理水平。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进度作为关键的绩效指标之一，得到了精心的关注。我们制定了详细的输送计量设备项目进度计划，并设立了进度符合度指标，确保实际进度与计划进度保持一致。这使我们能够快速发现和解决潜在的进度问题，保持输送计量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输送计量设备项目绩效的不可或缺的一环。我们引入了一系列的质量标准和客户满意度指标，以确保输送计量设备项目交付的成果在质量上达到或超越预期水平。通过持续监测这些指标，我们努力提升输送计量设备项目整体质量水平，为输送计量设备项目的成功交付提供有力保障。通过这些科学且全面的绩效评估，我们能够更好地引导输送计量设备项目的持续改进，确保输送计量设备项目目标的顺利达成。</w:t>
      </w:r>
    </w:p>
    <w:p>
      <w:pPr>
        <w:pStyle w:val="Heading2"/>
        <w:ind w:firstLine="560" w:firstLineChars="200"/>
        <w:rPr>
          <w:rFonts w:ascii="仿宋" w:eastAsia="仿宋" w:hAnsi="仿宋" w:cs="仿宋" w:hint="eastAsia"/>
          <w:sz w:val="28"/>
          <w:lang w:eastAsia="zh-CN"/>
        </w:rPr>
      </w:pPr>
      <w:bookmarkStart w:id="4" w:name="_Toc1429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绩效评估是输送计量设备项目中的关键环节，为确保输送计量设备项目达到预期目标，我们采用了多层次、多维度的绩效评估方法。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输送计量设备项目的战略目标对齐，确保每个决策和行动都与输送计量设备项目整体目标保持一致。团队会定期召开战略对齐会议，审视当前工作与输送计量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输送计量设备项目进度、质量、成本和风险等方面。这些指标通过数据收集和分析，为输送计量设备项目管理团队提供了客观的评估依据。例如，我们通过输送计量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绩效评估不仅仅停留在输送计量设备项目内部，还考虑了输送计量设备项目对外部环境的影响。我们定期进行干系人满意度调查，以了解各利益相关方对输送计量设备项目的期望和满意度，并及时做出调整。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这种多层次、多角度的绩效评估方法，使得我们能够全面了解输送计量设备项目的运行状态，及时做出调整，确保输送计量设备项目在不断变化的环境中保持稳健前行。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2425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为了确保输送计量设备项目的有效管理和不断优化，我们采用了精心设计的绩效评估周期。这个周期旨在实现灵活、实时和全面的评估，以适应输送计量设备项目执行中的各种挑战。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输送计量设备项目的不同需求，分为短期、中期和长期。短期评估关注每个迭代或工作周期，以及时发现和解决当前任务中的问题。中期评估涵盖几个迭代，深入了解整体输送计量设备项目的趋势和性能。长期评估则着眼于整个输送计量设备项目阶段，确保输送计量设备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输送计量设备项目管理工具和协作平台，团队成员能够随时更新和分享输送计量设备项目数据。这种实时性的反馈机制使我们能够及时察觉潜在问题，快速调整，保持输送计量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输送计量设备项目的决策制定密不可分。每个周期的输送计量设备项目回顾会议成为集体总结经验、识别问题深层次原因并找到创新解决方案的平台。这种定期的反思与调整机制使输送计量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763"/>
      <w:r>
        <w:rPr>
          <w:rFonts w:ascii="仿宋" w:eastAsia="仿宋" w:hAnsi="仿宋" w:cs="仿宋" w:hint="eastAsia"/>
          <w:sz w:val="28"/>
          <w:lang w:eastAsia="zh-CN"/>
        </w:rPr>
        <w:t>二、输送计量设备项目危机管理</w:t>
      </w:r>
      <w:bookmarkEnd w:id="6"/>
    </w:p>
    <w:p>
      <w:pPr>
        <w:pStyle w:val="Heading2"/>
        <w:rPr>
          <w:rFonts w:ascii="仿宋" w:eastAsia="仿宋" w:hAnsi="仿宋" w:cs="仿宋" w:hint="eastAsia"/>
          <w:lang w:eastAsia="zh-CN"/>
        </w:rPr>
      </w:pPr>
      <w:bookmarkStart w:id="7" w:name="_Toc16859"/>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输送计量设备项目危机管理中，危机预警与识别是确保输送计量设备项目稳健运行的核心步骤。通过建立全面的监测机制，输送计量设备项目团队旨在及时发现和理解潜在的风险和危机因素，以便采取及时的预防和应对措施，确保输送计量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首先，通过深入的风险评估，输送计量设备项目团队全面分析了整个输送计量设备项目和各个阶段可能存在的威胁。这包括准确评估每个潜在风险的发生概率和可能影响的程度，为后续危机预警提供了有力支持。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输送计量设备项目团队着重于明确定义输送计量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输送计量设备项目进展的持续监控，团队能够及时发现潜在问题并作出迅速反应。输送计量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在这一阶段，团队的专业素养和反应速度将发挥至关重要的作用，以确保潜在危机能够在初期得到有效的处理，最大程度地减轻负面影响。通过危机预警与识别，输送计量设备项目得以更有序、可控地推进。</w:t>
      </w:r>
    </w:p>
    <w:p>
      <w:pPr>
        <w:pStyle w:val="Heading2"/>
        <w:ind w:firstLine="560" w:firstLineChars="200"/>
        <w:rPr>
          <w:rFonts w:ascii="仿宋" w:eastAsia="仿宋" w:hAnsi="仿宋" w:cs="仿宋" w:hint="eastAsia"/>
          <w:sz w:val="28"/>
          <w:lang w:eastAsia="zh-CN"/>
        </w:rPr>
      </w:pPr>
      <w:bookmarkStart w:id="8" w:name="_Toc351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在危机发生时，输送计量设备项目团队立即行动，成立了应急小组。该小组的任务是迅速制定并实施紧急应对措施，以最小化潜在损失。以下是采取的主要措施：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暂停输送计量设备项目进度：为遏制危机蔓延，输送计量设备项目暂时停止进行，以便全面评估当前状况。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资源重新分配：重新评估输送计量设备项目资源的分配，确保最大限度地减小损失。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实时沟通：与关键利益相关者建立实时沟通机制，向他们传递输送计量设备项目危机的实际状况，保障输送计量设备项目核心利益。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在紧急应对的同时，输送计量设备项目团队强调了团队协作和有效沟通的重要性。以下是团队协作的关键举措：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信息共享机制：建立了信息共享平台，确保团队成员能够及时获取输送计量设备项目危机的实时信息。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领导者沟通：输送计量设备项目领导者通过定期会议和即时沟通工具，指导团队应对危机，保持团队稳定运行。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随着危机得到初步控制，输送计量设备项目团队转向制定恢复计划，以确保输送计量设备项目能够从中迅速恢复。主要恢复计划包括：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修复受损的进度计划：重新评估输送计量设备项目进度，制定修复计划，确保输送计量设备项目尽快回归正常进程。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重新调整资源分配：优化资源分配，确保输送计量设备项目在有限资源下高效运转。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风险管理机制加强：对输送计量设备项目风险进行全面评估，制定更强化的风险管理策略，以预防未来可能的危机。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1861"/>
      <w:r>
        <w:rPr>
          <w:rFonts w:ascii="仿宋" w:eastAsia="仿宋" w:hAnsi="仿宋" w:cs="仿宋" w:hint="eastAsia"/>
          <w:sz w:val="28"/>
          <w:lang w:eastAsia="zh-CN"/>
        </w:rPr>
        <w:t>三、输送计量设备项目文档管理</w:t>
      </w:r>
      <w:bookmarkEnd w:id="9"/>
    </w:p>
    <w:p>
      <w:pPr>
        <w:pStyle w:val="Heading2"/>
        <w:rPr>
          <w:rFonts w:ascii="仿宋" w:eastAsia="仿宋" w:hAnsi="仿宋" w:cs="仿宋" w:hint="eastAsia"/>
          <w:lang w:eastAsia="zh-CN"/>
        </w:rPr>
      </w:pPr>
      <w:bookmarkStart w:id="10" w:name="_Toc8261"/>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输送计量设备项目高度重视文档的质量和准确性，以支持输送计量设备项目的各项活动和决策。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文档的编制始于输送计量设备项目计划的初期，我们制定了详细的文档编制计划，明确了每个文档的内容、格式和编写责任人。在输送计量设备项目启动阶段，我们首先编制了输送计量设备项目章程，明确定义了输送计量设备项目的目标、范围、风险等关键要素。随后，输送计量设备项目团队根据计划陆续编制了需求文档、设计文档、测试文档等各类文档，确保输送计量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输送计量设备项目管理中的重要环节，旨在确保输送计量设备项目文档符合质量标准和输送计量设备项目需求。在输送计量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输送计量设备项目相关利益方和专业领域的专家对文档进行独立审查。这有助于获取更全面、客观的反馈，确保输送计量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输送计量设备项目在文档编制与审查方面建立了严格的管理机制，通过规范的流程和多维度的审查，确保输送计量设备项目文档的质量、准确性和可靠性，为输送计量设备项目的顺利推进提供了有力支持。</w:t>
      </w:r>
    </w:p>
    <w:p>
      <w:pPr>
        <w:pStyle w:val="Heading2"/>
        <w:ind w:firstLine="560" w:firstLineChars="200"/>
        <w:rPr>
          <w:rFonts w:ascii="仿宋" w:eastAsia="仿宋" w:hAnsi="仿宋" w:cs="仿宋" w:hint="eastAsia"/>
          <w:sz w:val="28"/>
          <w:lang w:eastAsia="zh-CN"/>
        </w:rPr>
      </w:pPr>
      <w:bookmarkStart w:id="11" w:name="_Toc28156"/>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在输送计量设备项目中，我们致力于优化文档发布与分发过程，以确保信息的高效传递和团队间协作的顺畅进行。以下是我们采取的关键优化策略：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我们通过多渠道发布文档，包括电子邮件、输送计量设备项目管理平台、内部网站等，以满足不同团队成员的偏好和需求。多渠道发布确保了信息的全面覆盖。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我们采用了精细的权限控制，确保只有授权人员可以访问敏感信息。这种安全措施保护了输送计量设备项目文档的机密性，防止了未经授权的信息泄露。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32303"/>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输送计量设备项目生命周期中一个至关重要的环节，直接关系到输送计量设备项目信息的长期保存和历史记录的完整性。在输送计量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30145"/>
      <w:r>
        <w:rPr>
          <w:rFonts w:ascii="仿宋" w:eastAsia="仿宋" w:hAnsi="仿宋" w:cs="仿宋" w:hint="eastAsia"/>
          <w:sz w:val="28"/>
          <w:lang w:eastAsia="zh-CN"/>
        </w:rPr>
        <w:t>四、输送计量设备项目建设背景及必要性分析</w:t>
      </w:r>
      <w:bookmarkEnd w:id="13"/>
    </w:p>
    <w:p>
      <w:pPr>
        <w:pStyle w:val="Heading2"/>
        <w:rPr>
          <w:rFonts w:ascii="仿宋" w:eastAsia="仿宋" w:hAnsi="仿宋" w:cs="仿宋" w:hint="eastAsia"/>
          <w:lang w:eastAsia="zh-CN"/>
        </w:rPr>
      </w:pPr>
      <w:bookmarkStart w:id="14" w:name="_Toc6651"/>
      <w:r>
        <w:rPr>
          <w:rFonts w:ascii="仿宋" w:eastAsia="仿宋" w:hAnsi="仿宋" w:cs="仿宋" w:hint="eastAsia"/>
          <w:lang w:eastAsia="zh-CN"/>
        </w:rPr>
        <w:t>(一)、输送计量设备项目背景分析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输送计量设备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输送计量设备项目在这个潮流中的定位。同时，我们将关注行业内涌现的新兴机遇，以便输送计量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输送计量设备项目提供了强大的发展动力。我们将聚焦于行业内最新的技术发展趋势，包括但不限于人工智能、大数据分析、物联网等领域。通过深度的技术研究，我们将确保输送计量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输送计量设备项目发展的源泉。我们将投入更多的精力对市场需求进行深入剖析，超越表面的需求，深入挖掘潜在的市场痛点和机遇。通过对市场需求的细致了解，输送计量设备项目将更有针对性地设计解决方案，满足市场的多样化需求，从而更好地促进输送计量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输送计量设备项目战略至关重要。我们将对竞争态势进行更为深入的分析，包括但不限于市场份额、产品特点、客户满意度等多个维度。通过深度的竞争分析，输送计量设备项目将能够更准确地把握市场脉搏，制定具有竞争力的输送计量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输送计量设备项目的发展具有直接的影响。我们将进行更为全面的法规和政策分析，了解行业发展中的潜在法律风险和合规挑战。通过充分了解和遵守相关法规，输送计量设备项目将确保在法律框架内合法合规运营，为输送计量设备项目的稳健发展提供有力支持。</w:t>
      </w:r>
    </w:p>
    <w:p>
      <w:pPr>
        <w:pStyle w:val="Heading2"/>
        <w:ind w:firstLine="560" w:firstLineChars="200"/>
        <w:rPr>
          <w:rFonts w:ascii="仿宋" w:eastAsia="仿宋" w:hAnsi="仿宋" w:cs="仿宋" w:hint="eastAsia"/>
          <w:sz w:val="28"/>
          <w:lang w:eastAsia="zh-CN"/>
        </w:rPr>
      </w:pPr>
      <w:bookmarkStart w:id="15" w:name="_Toc16938"/>
      <w:r>
        <w:rPr>
          <w:rFonts w:ascii="仿宋" w:eastAsia="仿宋" w:hAnsi="仿宋" w:cs="仿宋" w:hint="eastAsia"/>
          <w:sz w:val="28"/>
          <w:lang w:eastAsia="zh-CN"/>
        </w:rPr>
        <w:t>(二)、输送计量设备项目建设必要性分析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建设的迫切性源于对行业发展趋势的深刻洞察。我们正处于一个行业变革的时代，科技创新、数字化转型成为企业发展的关键动力。输送计量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建设不仅仅是为了跟上潮流，更是为了通过技术创新推动企业的持续发展。通过引入先进的技术和解决方案，输送计量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输送计量设备项目的建设成为必然选择，通过提高产品质量、拓展服务领域，从而在竞争中获得更多的机会。输送计量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输送计量设备项目建设的必要性体现在对客户需求更精准的满足。通过输送计量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建设的背后是对企业持续创新的追求。只有通过不断创新，企业才能在竞争中立于不败之地。输送计量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0747"/>
      <w:r>
        <w:rPr>
          <w:rFonts w:ascii="仿宋" w:eastAsia="仿宋" w:hAnsi="仿宋" w:cs="仿宋" w:hint="eastAsia"/>
          <w:sz w:val="28"/>
          <w:lang w:eastAsia="zh-CN"/>
        </w:rPr>
        <w:t>五、输送计量设备项目可持续发展</w:t>
      </w:r>
      <w:bookmarkEnd w:id="16"/>
    </w:p>
    <w:p>
      <w:pPr>
        <w:pStyle w:val="Heading2"/>
        <w:rPr>
          <w:rFonts w:ascii="仿宋" w:eastAsia="仿宋" w:hAnsi="仿宋" w:cs="仿宋" w:hint="eastAsia"/>
          <w:lang w:eastAsia="zh-CN"/>
        </w:rPr>
      </w:pPr>
      <w:bookmarkStart w:id="17" w:name="_Toc13468"/>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输送计量设备项目中，输送计量设备项目团队着眼于未来，明确了可持续发展的战略方向。制定的具体可持续发展目标包括降低资源使用、采用环保技术、最大化社会效益等。这一步骤不仅有助于输送计量设备项目在环保和社会责任方面达到最高标准，也为未来提供了明确的指引，确保输送计量设备项目的发展符合可持续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1.2 可持续实践的融入输送计量设备项目管理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输送计量设备项目管理周期。从输送计量设备项目规划开始，输送计量设备项目团队就考虑了环境和社会的因素。在执行阶段，输送计量设备项目团队积极推动绿色技术的应用，优化资源利用。此外，关注员工的社会责任，通过培训和沟通活动提高员工对可持续发展的认知，使他们能够在日常工作中践行可持续实践。这些举措不仅为输送计量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5838"/>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扎根于输送计量设备项目的可持续发展理念，我们深信环保与社会责任是输送计量设备项目成功的关键支柱。在输送计量设备项目的每一步，我们都致力于通过创新和实践，履行对环境和社会的坚定责任。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团队通过引入先进的环保技术、建立高效的废物处理系统以及推动能源节约措施，积极履行环保责任。定期的环保监测和评估确保输送计量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https://d.book118.com/905132310244011122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EA1CF5"/>
    <w:rsid w:val="09EA1C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513231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2024-03-04T00:55:00Z</dcterms:created>
  <dcterms:modified xsi:type="dcterms:W3CDTF">2024-03-04T00:55:22Z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02EF285BD88E4E35A1437A3D3964498F_11</vt:lpwstr>
  </property>
  <property fmtid="{D5CDD505-2E9C-101B-9397-08002B2CF9AE}" pid="3" name="KSOProductBuildVer">
    <vt:lpwstr>2052-12.1.0.16388</vt:lpwstr>
  </property>
</Properties>
</file>