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车载电源项目可行性分析报告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8041058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一、车载电源项目可行性研究报告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二、车载电源项目建设背景及必要性分析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二)、车载电源项目总平面设计要求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二)、车载电源项目技术工艺分析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三)、车载电源项目技术流程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车载电源项目进度安排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)、车载电源项目实施保障措施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)、车载电源项目对环境的主要影响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892943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712316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4595860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4535678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项目商业计划书旨在全面介绍和规划一个创新性的车载电源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以满足需求。该方案的目的是为了提供车载电源项目的全面概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一、车载电源项目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在车</w:t>
      </w:r>
      <w:r>
        <w:rPr>
          <w:rFonts w:ascii="FangSong" w:eastAsia="FangSong" w:hAnsi="FangSong" w:cs="FangSong"/>
          <w:spacing w:val="-15"/>
          <w:sz w:val="28"/>
          <w:szCs w:val="28"/>
        </w:rPr>
        <w:t>载</w:t>
      </w:r>
      <w:r>
        <w:rPr>
          <w:rFonts w:ascii="FangSong" w:eastAsia="FangSong" w:hAnsi="FangSong" w:cs="FangSong"/>
          <w:spacing w:val="-8"/>
          <w:sz w:val="28"/>
          <w:szCs w:val="28"/>
        </w:rPr>
        <w:t>电源行业，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为消费者首选的车载电源产品。</w:t>
      </w:r>
    </w:p>
    <w:p>
      <w:pPr>
        <w:spacing w:before="248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车载电源项目总投资</w:t>
      </w:r>
    </w:p>
    <w:p>
      <w:pPr>
        <w:spacing w:before="293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建设规模旨在实现一个全面、可持续的车载电源项目。车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载电源项目总投资将主要用于以下几个方面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载</w:t>
      </w:r>
      <w:r>
        <w:rPr>
          <w:rFonts w:ascii="FangSong" w:eastAsia="FangSong" w:hAnsi="FangSong" w:cs="FangSong"/>
          <w:spacing w:val="-7"/>
          <w:sz w:val="28"/>
          <w:szCs w:val="28"/>
        </w:rPr>
        <w:t>电</w:t>
      </w:r>
      <w:r>
        <w:rPr>
          <w:rFonts w:ascii="FangSong" w:eastAsia="FangSong" w:hAnsi="FangSong" w:cs="FangSong"/>
          <w:spacing w:val="-4"/>
          <w:sz w:val="28"/>
          <w:szCs w:val="28"/>
        </w:rPr>
        <w:t>源项目的顺利进行。</w:t>
      </w:r>
    </w:p>
    <w:p>
      <w:pPr>
        <w:spacing w:before="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一部分资金将用于技术研发，以确保车载电源项目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6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车载电源项目规模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92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我们计划在车载电源项目建设后的第一年实现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车</w:t>
      </w:r>
      <w:r>
        <w:rPr>
          <w:rFonts w:ascii="FangSong" w:eastAsia="FangSong" w:hAnsi="FangSong" w:cs="FangSong"/>
          <w:spacing w:val="-17"/>
          <w:sz w:val="28"/>
          <w:szCs w:val="28"/>
        </w:rPr>
        <w:t>载电源项目规模：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车载电源项目将建设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房、办公区域、仓储设施等。这将确保车载电源项目能够满足预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、废气处理等，以确保车载电源项目的环保性。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车载电源项目总投资与用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该车载电源项目总征地面积为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亩)。车载电源项目规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车载电源项目计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。这些设备将在车载电源项目运营中发挥关键作用，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right="2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车载电源项目计划总投资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车载电源项目未来的发展提供可观的经济回报。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9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二、车载电源项目建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6" w:lineRule="auto"/>
        <w:ind w:left="49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4" w:right="7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ectPr>
          <w:pgSz w:w="11906" w:h="16839"/>
          <w:pgMar w:top="1431" w:right="1730" w:bottom="0" w:left="1785" w:header="0" w:footer="0" w:gutter="0"/>
          <w:pgNumType w:start="9"/>
          <w:cols w:space="708"/>
        </w:sectPr>
      </w:pPr>
    </w:p>
    <w:p>
      <w:pPr>
        <w:spacing w:before="186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245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在车</w:t>
      </w:r>
      <w:r>
        <w:rPr>
          <w:rFonts w:ascii="FangSong" w:eastAsia="FangSong" w:hAnsi="FangSong" w:cs="FangSong"/>
          <w:spacing w:val="-15"/>
          <w:sz w:val="28"/>
          <w:szCs w:val="28"/>
        </w:rPr>
        <w:t>载</w:t>
      </w:r>
      <w:r>
        <w:rPr>
          <w:rFonts w:ascii="FangSong" w:eastAsia="FangSong" w:hAnsi="FangSong" w:cs="FangSong"/>
          <w:spacing w:val="-8"/>
          <w:sz w:val="28"/>
          <w:szCs w:val="28"/>
        </w:rPr>
        <w:t>电源项目的建筑工程设计过程中，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计原则，以确保车载电</w:t>
      </w:r>
      <w:r>
        <w:rPr>
          <w:rFonts w:ascii="FangSong" w:eastAsia="FangSong" w:hAnsi="FangSong" w:cs="FangSong"/>
          <w:spacing w:val="-3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车载电源项目总平面设计要求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车载电源项目总平面设计将充分考虑以下要求，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定，适应车载电源项目的实际使用需要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载电源项目所处地区的地质条件和地震风险，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结合车载电源项目的实际需求和环境条件，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4"/>
          <w:sz w:val="28"/>
          <w:szCs w:val="28"/>
        </w:rPr>
        <w:t>久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33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筑工程的设计总体要求是确保车载电源项目实现预期功能、安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建筑的功能布局满足车载电源项目需求，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能够达到高标准，满足车载电源项目的长期发展需求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车载电源项目规划的总建筑面积为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载电源项目的功能布局和需求，确保各功能区域得到合理的利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19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车载电源项目总投资比例：</w:t>
      </w:r>
    </w:p>
    <w:p>
      <w:pPr>
        <w:spacing w:before="292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载电源项目总投资的比例为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未来车载电源项目运营的需求，同时避免了过度浪费。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车</w:t>
      </w:r>
      <w:r>
        <w:rPr>
          <w:rFonts w:ascii="FangSong" w:eastAsia="FangSong" w:hAnsi="FangSong" w:cs="FangSong"/>
          <w:spacing w:val="-7"/>
          <w:sz w:val="28"/>
          <w:szCs w:val="28"/>
        </w:rPr>
        <w:t>载电源项目整体布局：</w:t>
      </w:r>
    </w:p>
    <w:p>
      <w:pPr>
        <w:spacing w:before="290" w:line="416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使车载电源项目更好地适应当地的自然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(二)、车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载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电源项目技术工艺分析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2" w:right="49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提供优质产品和服务。保障工艺流程能够满足车载电源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1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车载电源项目建设贯彻“三同时”的原则，注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车载电源项目拟采用国内成熟的生产工艺，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8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3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车载</w:t>
      </w:r>
      <w:r>
        <w:rPr>
          <w:rFonts w:ascii="FangSong" w:eastAsia="FangSong" w:hAnsi="FangSong" w:cs="FangSong"/>
          <w:spacing w:val="-4"/>
          <w:sz w:val="28"/>
          <w:szCs w:val="28"/>
        </w:rPr>
        <w:t>电源项目的技术保障措施从设计、施工、试运行到投产、销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以确保车载电源项目在技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将确保车载电</w:t>
      </w:r>
      <w:r>
        <w:rPr>
          <w:rFonts w:ascii="FangSong" w:eastAsia="FangSong" w:hAnsi="FangSong" w:cs="FangSong"/>
          <w:spacing w:val="-3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三)、车载电源项目技术流程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ectPr>
          <w:pgSz w:w="11906" w:h="16839"/>
          <w:pgMar w:top="1431" w:right="1750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在车载电源项目运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分析工具监测和分析车载电源项目各环节数据。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共同构建了高效、稳定的车载电源项目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确保车载电源项目顺利推进。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保选用的设备能够满足车载电源项目的技术要求，例如：</w:t>
      </w:r>
    </w:p>
    <w:p>
      <w:pPr>
        <w:spacing w:before="29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选设备与车载电源项目工艺流程相匹配，例如：</w:t>
      </w:r>
    </w:p>
    <w:p>
      <w:pPr>
        <w:spacing w:before="293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的生产能力是否符合车载电源项目的产能需求。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车载电源行业作为一个充满活力的领域，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8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196" w:hanging="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着科技的迅猛发展，车载电源行业在技术上取得了显著的突破。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**车载电源行业**是一片充满活力的领域，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41" w:right="196" w:firstLine="55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9"/>
          <w:sz w:val="28"/>
          <w:szCs w:val="28"/>
        </w:rPr>
        <w:t>车载电源行业市场规模庞大，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着科技的飞速发展，车载电源行业在技术上取得了显著的突破。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413" w:lineRule="auto"/>
        <w:ind w:left="37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资源配置是确保车载电源项目成功实施的核心要素之一。在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岗</w:t>
      </w:r>
      <w:r>
        <w:rPr>
          <w:rFonts w:ascii="FangSong" w:eastAsia="FangSong" w:hAnsi="FangSong" w:cs="FangSong"/>
          <w:spacing w:val="-10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我们根据车载电源项目规模和复杂性制定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了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畅顺。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0" w:line="413" w:lineRule="auto"/>
        <w:ind w:left="35" w:right="4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员具备应对车载电源项</w:t>
      </w:r>
      <w:r>
        <w:rPr>
          <w:rFonts w:ascii="FangSong" w:eastAsia="FangSong" w:hAnsi="FangSong" w:cs="FangSong"/>
          <w:spacing w:val="-2"/>
          <w:sz w:val="28"/>
          <w:szCs w:val="28"/>
        </w:rPr>
        <w:t>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为车载电源项目的顺利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8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确保车载电源项目团队的协调运作和高效执行，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配置分为不同层面，并采用灵活的策略来满足车载电源项目需求。</w:t>
      </w:r>
    </w:p>
    <w:p>
      <w:pPr>
        <w:spacing w:before="2" w:line="411" w:lineRule="auto"/>
        <w:ind w:left="31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保招募到最适合车载电源项目的人才。</w:t>
      </w:r>
    </w:p>
    <w:p>
      <w:pPr>
        <w:spacing w:before="2" w:line="411" w:lineRule="auto"/>
        <w:ind w:left="37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岗位分工：明确车载电源项目各个岗位的职责和任务，根据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团队成员的专业特长和兴趣分配适当的工作职责。充分发挥每位团</w:t>
      </w:r>
      <w:r>
        <w:rPr>
          <w:rFonts w:ascii="FangSong" w:eastAsia="FangSong" w:hAnsi="FangSong" w:cs="FangSong"/>
          <w:spacing w:val="-2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员的专业优势，提高工作效率和执行力。</w:t>
      </w:r>
    </w:p>
    <w:p>
      <w:pPr>
        <w:spacing w:before="1" w:line="414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标，并提供培训和资源支持，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助力其在车载电源项目中不断成长。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载电源项目、角色扮演等方式，提高团队成员的协同工作能力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50" w:bottom="0" w:left="1785" w:header="0" w:footer="0" w:gutter="0"/>
          <w:pgNumType w:start="27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、车载电源项目进度安排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确保车载电源项目按时、按质完成，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载</w:t>
      </w:r>
      <w:r>
        <w:rPr>
          <w:rFonts w:ascii="FangSong" w:eastAsia="FangSong" w:hAnsi="FangSong" w:cs="FangSong"/>
          <w:spacing w:val="-15"/>
          <w:sz w:val="28"/>
          <w:szCs w:val="28"/>
        </w:rPr>
        <w:t>电源项目进度安排，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阶段：</w:t>
      </w:r>
    </w:p>
    <w:p>
      <w:pPr>
        <w:spacing w:before="2" w:line="411" w:lineRule="auto"/>
        <w:ind w:left="29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车载电源项目前期准备(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在车载电源项目启动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包括车载电源项目立项、人员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和需求分析等。这个阶段的目标是确保车载电源项目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3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确保对车载电源项目地理环境和资源有全面了解。基于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这个阶段的目标是确保车载电源项目的设计是科学、合理且可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以保证车载电源项目的高质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2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照车载电源项目需求，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https://d.book118.com/905143244322011122</w:t>
        </w:r>
      </w:hyperlink>
    </w:p>
    <w:p/>
    <w:sectPr>
      <w:pgSz w:w="11906" w:h="16839"/>
      <w:pgMar w:top="1431" w:right="1743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05143244322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2024-03-14T07:56:18Z</vt:filetime>
  </property>
  <property fmtid="{D5CDD505-2E9C-101B-9397-08002B2CF9AE}" pid="3" name="CRO">
    <vt:lpwstr>wqlLaW5nc29mdCBQREYgdG8gV1BTIDgw</vt:lpwstr>
  </property>
</Properties>
</file>