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03" w:line="219" w:lineRule="auto"/>
        <w:ind w:left="29"/>
        <w:outlineLvl w:val="0"/>
        <w:rPr>
          <w:sz w:val="43"/>
          <w:szCs w:val="43"/>
        </w:rPr>
      </w:pPr>
      <w:r>
        <w:rPr>
          <w:b/>
          <w:bCs/>
          <w:sz w:val="43"/>
          <w:szCs w:val="43"/>
        </w:rPr>
        <w:t>湖南酒鬼酒公司财务风险现状、成因及对策</w:t>
      </w:r>
    </w:p>
    <w:p>
      <w:pPr>
        <w:spacing w:line="321" w:lineRule="auto"/>
        <w:rPr>
          <w:rFonts w:ascii="Arial"/>
          <w:sz w:val="21"/>
        </w:rPr>
      </w:pPr>
    </w:p>
    <w:p>
      <w:pPr>
        <w:spacing w:line="322" w:lineRule="auto"/>
        <w:rPr>
          <w:rFonts w:ascii="Arial"/>
          <w:sz w:val="21"/>
        </w:rPr>
      </w:pPr>
    </w:p>
    <w:sdt>
      <w:sdtPr>
        <w:rPr>
          <w:rFonts w:ascii="Times New Roman" w:eastAsia="Times New Roman" w:hAnsi="Times New Roman" w:cs="Times New Roman"/>
          <w:sz w:val="23"/>
          <w:szCs w:val="23"/>
        </w:rPr>
        <w:id w:val="1088607564"/>
        <w:docPartObj>
          <w:docPartGallery w:val="Table of Contents"/>
          <w:docPartUnique/>
        </w:docPartObj>
      </w:sdtPr>
      <w:sdtEndPr>
        <w:rPr>
          <w:rFonts w:ascii="Times New Roman" w:eastAsia="Times New Roman" w:hAnsi="Times New Roman" w:cs="Times New Roman"/>
          <w:sz w:val="23"/>
          <w:szCs w:val="23"/>
        </w:rPr>
      </w:sdtEndPr>
      <w:sdtContent>
        <w:p>
          <w:pPr>
            <w:pStyle w:val="BodyText"/>
            <w:tabs>
              <w:tab w:val="right" w:leader="dot" w:pos="8239"/>
            </w:tabs>
            <w:spacing w:before="75" w:line="225" w:lineRule="auto"/>
            <w:ind w:left="3"/>
            <w:rPr>
              <w:rFonts w:ascii="Times New Roman" w:eastAsia="Times New Roman" w:hAnsi="Times New Roman" w:cs="Times New Roman"/>
            </w:rPr>
          </w:pPr>
          <w:r>
            <w:rPr>
              <w:rFonts w:ascii="Times New Roman" w:eastAsia="Times New Roman" w:hAnsi="Times New Roman" w:cs="Times New Roman"/>
              <w:spacing w:val="-10"/>
            </w:rPr>
            <w:t>1.</w:t>
          </w:r>
          <w:r>
            <w:rPr>
              <w:rFonts w:ascii="Times New Roman" w:eastAsia="Times New Roman" w:hAnsi="Times New Roman" w:cs="Times New Roman"/>
              <w:spacing w:val="-11"/>
            </w:rPr>
            <w:t xml:space="preserve"> </w:t>
          </w:r>
          <w:r>
            <w:rPr>
              <w:spacing w:val="-10"/>
            </w:rPr>
            <w:t>绪</w:t>
          </w:r>
          <w:r>
            <w:rPr>
              <w:spacing w:val="-10"/>
            </w:rPr>
            <w:t xml:space="preserve"> </w:t>
          </w:r>
          <w:r>
            <w:rPr>
              <w:spacing w:val="-10"/>
            </w:rPr>
            <w:t>论</w:t>
          </w:r>
          <w:r>
            <w:rPr>
              <w:spacing w:val="-90"/>
            </w:rPr>
            <w:t xml:space="preserve"> </w:t>
          </w:r>
          <w:r>
            <w:tab/>
          </w:r>
          <w:hyperlink w:anchor="bookmark1" w:history="1">
            <w:r>
              <w:rPr>
                <w:rFonts w:ascii="Times New Roman" w:eastAsia="Times New Roman" w:hAnsi="Times New Roman" w:cs="Times New Roman"/>
                <w:spacing w:val="17"/>
              </w:rPr>
              <w:t>3</w:t>
            </w:r>
          </w:hyperlink>
        </w:p>
        <w:p>
          <w:pPr>
            <w:spacing w:line="286" w:lineRule="auto"/>
            <w:rPr>
              <w:rFonts w:ascii="Arial"/>
              <w:sz w:val="21"/>
            </w:rPr>
          </w:pPr>
        </w:p>
        <w:p>
          <w:pPr>
            <w:pStyle w:val="BodyText"/>
            <w:tabs>
              <w:tab w:val="right" w:leader="dot" w:pos="8239"/>
            </w:tabs>
            <w:spacing w:before="74" w:line="219" w:lineRule="auto"/>
            <w:ind w:left="3"/>
            <w:rPr>
              <w:rFonts w:ascii="Times New Roman" w:eastAsia="Times New Roman" w:hAnsi="Times New Roman" w:cs="Times New Roman"/>
            </w:rPr>
          </w:pPr>
          <w:r>
            <w:rPr>
              <w:rFonts w:ascii="Times New Roman" w:eastAsia="Times New Roman" w:hAnsi="Times New Roman" w:cs="Times New Roman"/>
              <w:spacing w:val="-5"/>
            </w:rPr>
            <w:t>2.</w:t>
          </w:r>
          <w:r>
            <w:rPr>
              <w:spacing w:val="-5"/>
            </w:rPr>
            <w:t>财</w:t>
          </w:r>
          <w:r>
            <w:rPr>
              <w:spacing w:val="-55"/>
            </w:rPr>
            <w:t xml:space="preserve"> </w:t>
          </w:r>
          <w:r>
            <w:rPr>
              <w:spacing w:val="-5"/>
            </w:rPr>
            <w:t>务</w:t>
          </w:r>
          <w:r>
            <w:rPr>
              <w:spacing w:val="-52"/>
            </w:rPr>
            <w:t xml:space="preserve"> </w:t>
          </w:r>
          <w:r>
            <w:rPr>
              <w:spacing w:val="-5"/>
            </w:rPr>
            <w:t>风</w:t>
          </w:r>
          <w:r>
            <w:rPr>
              <w:spacing w:val="-42"/>
            </w:rPr>
            <w:t xml:space="preserve"> </w:t>
          </w:r>
          <w:r>
            <w:rPr>
              <w:spacing w:val="-5"/>
            </w:rPr>
            <w:t>险</w:t>
          </w:r>
          <w:r>
            <w:rPr>
              <w:spacing w:val="-49"/>
            </w:rPr>
            <w:t xml:space="preserve"> </w:t>
          </w:r>
          <w:r>
            <w:rPr>
              <w:spacing w:val="-5"/>
            </w:rPr>
            <w:t>与</w:t>
          </w:r>
          <w:r>
            <w:rPr>
              <w:spacing w:val="-51"/>
            </w:rPr>
            <w:t xml:space="preserve"> </w:t>
          </w:r>
          <w:r>
            <w:rPr>
              <w:spacing w:val="-5"/>
            </w:rPr>
            <w:t>财</w:t>
          </w:r>
          <w:r>
            <w:rPr>
              <w:spacing w:val="-57"/>
            </w:rPr>
            <w:t xml:space="preserve"> </w:t>
          </w:r>
          <w:r>
            <w:rPr>
              <w:spacing w:val="-5"/>
            </w:rPr>
            <w:t>务</w:t>
          </w:r>
          <w:r>
            <w:rPr>
              <w:spacing w:val="-47"/>
            </w:rPr>
            <w:t xml:space="preserve"> </w:t>
          </w:r>
          <w:r>
            <w:rPr>
              <w:spacing w:val="-5"/>
            </w:rPr>
            <w:t>危</w:t>
          </w:r>
          <w:r>
            <w:rPr>
              <w:spacing w:val="-56"/>
            </w:rPr>
            <w:t xml:space="preserve"> </w:t>
          </w:r>
          <w:r>
            <w:rPr>
              <w:spacing w:val="-5"/>
            </w:rPr>
            <w:t>机</w:t>
          </w:r>
          <w:r>
            <w:rPr>
              <w:spacing w:val="-58"/>
            </w:rPr>
            <w:t xml:space="preserve"> </w:t>
          </w:r>
          <w:r>
            <w:rPr>
              <w:spacing w:val="-5"/>
            </w:rPr>
            <w:t>理</w:t>
          </w:r>
          <w:r>
            <w:rPr>
              <w:spacing w:val="-55"/>
            </w:rPr>
            <w:t xml:space="preserve"> </w:t>
          </w:r>
          <w:r>
            <w:rPr>
              <w:spacing w:val="-5"/>
            </w:rPr>
            <w:t>论</w:t>
          </w:r>
          <w:r>
            <w:rPr>
              <w:spacing w:val="-57"/>
            </w:rPr>
            <w:t xml:space="preserve"> </w:t>
          </w:r>
          <w:r>
            <w:rPr>
              <w:spacing w:val="-5"/>
            </w:rPr>
            <w:t>概</w:t>
          </w:r>
          <w:r>
            <w:rPr>
              <w:spacing w:val="-55"/>
            </w:rPr>
            <w:t xml:space="preserve"> </w:t>
          </w:r>
          <w:r>
            <w:rPr>
              <w:spacing w:val="-5"/>
            </w:rPr>
            <w:t>述</w:t>
          </w:r>
          <w:r>
            <w:rPr>
              <w:spacing w:val="-90"/>
            </w:rPr>
            <w:t xml:space="preserve"> </w:t>
          </w:r>
          <w:r>
            <w:tab/>
          </w:r>
          <w:hyperlink w:anchor="bookmark2" w:history="1">
            <w:r>
              <w:rPr>
                <w:rFonts w:ascii="Times New Roman" w:eastAsia="Times New Roman" w:hAnsi="Times New Roman" w:cs="Times New Roman"/>
              </w:rPr>
              <w:t>3</w:t>
            </w:r>
          </w:hyperlink>
        </w:p>
        <w:p>
          <w:pPr>
            <w:pStyle w:val="BodyText"/>
            <w:tabs>
              <w:tab w:val="right" w:leader="dot" w:pos="8259"/>
            </w:tabs>
            <w:spacing w:before="257" w:line="219" w:lineRule="auto"/>
            <w:ind w:left="403"/>
            <w:rPr>
              <w:rFonts w:ascii="Times New Roman" w:eastAsia="Times New Roman" w:hAnsi="Times New Roman" w:cs="Times New Roman"/>
            </w:rPr>
          </w:pPr>
          <w:r>
            <w:rPr>
              <w:rFonts w:ascii="Times New Roman" w:eastAsia="Times New Roman" w:hAnsi="Times New Roman" w:cs="Times New Roman"/>
              <w:spacing w:val="9"/>
            </w:rPr>
            <w:t>2.1</w:t>
          </w:r>
          <w:r>
            <w:rPr>
              <w:rFonts w:ascii="Times New Roman" w:eastAsia="Times New Roman" w:hAnsi="Times New Roman" w:cs="Times New Roman"/>
              <w:spacing w:val="27"/>
              <w:w w:val="101"/>
            </w:rPr>
            <w:t xml:space="preserve"> </w:t>
          </w:r>
          <w:r>
            <w:rPr>
              <w:spacing w:val="9"/>
            </w:rPr>
            <w:t>财务风险的概念</w:t>
          </w:r>
          <w:r>
            <w:rPr>
              <w:spacing w:val="-89"/>
            </w:rPr>
            <w:t xml:space="preserve"> </w:t>
          </w:r>
          <w:r>
            <w:tab/>
          </w:r>
          <w:hyperlink w:anchor="bookmark3" w:history="1">
            <w:r>
              <w:rPr>
                <w:rFonts w:ascii="Times New Roman" w:eastAsia="Times New Roman" w:hAnsi="Times New Roman" w:cs="Times New Roman"/>
              </w:rPr>
              <w:t>3</w:t>
            </w:r>
          </w:hyperlink>
        </w:p>
        <w:p>
          <w:pPr>
            <w:pStyle w:val="BodyText"/>
            <w:tabs>
              <w:tab w:val="right" w:leader="dot" w:pos="8239"/>
            </w:tabs>
            <w:spacing w:before="207" w:line="219" w:lineRule="auto"/>
            <w:ind w:left="403"/>
            <w:rPr>
              <w:rFonts w:ascii="Times New Roman" w:eastAsia="Times New Roman" w:hAnsi="Times New Roman" w:cs="Times New Roman"/>
            </w:rPr>
          </w:pPr>
          <w:r>
            <w:rPr>
              <w:rFonts w:ascii="Times New Roman" w:eastAsia="Times New Roman" w:hAnsi="Times New Roman" w:cs="Times New Roman"/>
              <w:spacing w:val="5"/>
            </w:rPr>
            <w:t xml:space="preserve">2.2  </w:t>
          </w:r>
          <w:r>
            <w:rPr>
              <w:spacing w:val="5"/>
            </w:rPr>
            <w:t>财务风险的特征</w:t>
          </w:r>
          <w:r>
            <w:rPr>
              <w:spacing w:val="-79"/>
            </w:rPr>
            <w:t xml:space="preserve"> </w:t>
          </w:r>
          <w:r>
            <w:tab/>
          </w:r>
          <w:hyperlink w:anchor="bookmark4" w:history="1">
            <w:r>
              <w:rPr>
                <w:rFonts w:ascii="Times New Roman" w:eastAsia="Times New Roman" w:hAnsi="Times New Roman" w:cs="Times New Roman"/>
              </w:rPr>
              <w:t>3</w:t>
            </w:r>
          </w:hyperlink>
        </w:p>
        <w:p>
          <w:pPr>
            <w:pStyle w:val="BodyText"/>
            <w:tabs>
              <w:tab w:val="right" w:leader="dot" w:pos="8244"/>
            </w:tabs>
            <w:spacing w:before="197" w:line="219" w:lineRule="auto"/>
            <w:ind w:left="403"/>
            <w:rPr>
              <w:rFonts w:ascii="Times New Roman" w:eastAsia="Times New Roman" w:hAnsi="Times New Roman" w:cs="Times New Roman"/>
            </w:rPr>
          </w:pPr>
          <w:r>
            <w:rPr>
              <w:rFonts w:ascii="Times New Roman" w:eastAsia="Times New Roman" w:hAnsi="Times New Roman" w:cs="Times New Roman"/>
              <w:spacing w:val="5"/>
            </w:rPr>
            <w:t xml:space="preserve">2.3  </w:t>
          </w:r>
          <w:r>
            <w:rPr>
              <w:spacing w:val="5"/>
            </w:rPr>
            <w:t>财务风险的危害</w:t>
          </w:r>
          <w:r>
            <w:rPr>
              <w:spacing w:val="-79"/>
            </w:rPr>
            <w:t xml:space="preserve"> </w:t>
          </w:r>
          <w:r>
            <w:tab/>
          </w:r>
          <w:hyperlink w:anchor="bookmark5" w:history="1">
            <w:r>
              <w:rPr>
                <w:rFonts w:ascii="Times New Roman" w:eastAsia="Times New Roman" w:hAnsi="Times New Roman" w:cs="Times New Roman"/>
                <w:spacing w:val="1"/>
              </w:rPr>
              <w:t>4</w:t>
            </w:r>
          </w:hyperlink>
        </w:p>
        <w:p>
          <w:pPr>
            <w:pStyle w:val="BodyText"/>
            <w:tabs>
              <w:tab w:val="right" w:leader="dot" w:pos="8244"/>
            </w:tabs>
            <w:spacing w:before="297" w:line="219" w:lineRule="auto"/>
            <w:ind w:left="3"/>
            <w:rPr>
              <w:rFonts w:ascii="Times New Roman" w:eastAsia="Times New Roman" w:hAnsi="Times New Roman" w:cs="Times New Roman"/>
            </w:rPr>
          </w:pPr>
          <w:r>
            <w:rPr>
              <w:rFonts w:ascii="Times New Roman" w:eastAsia="Times New Roman" w:hAnsi="Times New Roman" w:cs="Times New Roman"/>
              <w:spacing w:val="38"/>
            </w:rPr>
            <w:t>3.</w:t>
          </w:r>
          <w:r>
            <w:rPr>
              <w:rFonts w:ascii="Times New Roman" w:eastAsia="Times New Roman" w:hAnsi="Times New Roman" w:cs="Times New Roman"/>
              <w:spacing w:val="-21"/>
            </w:rPr>
            <w:t xml:space="preserve"> </w:t>
          </w:r>
          <w:r>
            <w:rPr>
              <w:spacing w:val="38"/>
            </w:rPr>
            <w:t>湖南酒鬼酒公司发展状况</w:t>
          </w:r>
          <w:r>
            <w:rPr>
              <w:spacing w:val="81"/>
            </w:rPr>
            <w:t xml:space="preserve"> </w:t>
          </w:r>
          <w:r>
            <w:tab/>
          </w:r>
          <w:hyperlink w:anchor="bookmark6" w:history="1">
            <w:r>
              <w:rPr>
                <w:rFonts w:ascii="Times New Roman" w:eastAsia="Times New Roman" w:hAnsi="Times New Roman" w:cs="Times New Roman"/>
                <w:spacing w:val="1"/>
              </w:rPr>
              <w:t>4</w:t>
            </w:r>
          </w:hyperlink>
        </w:p>
        <w:p>
          <w:pPr>
            <w:pStyle w:val="BodyText"/>
            <w:tabs>
              <w:tab w:val="right" w:leader="dot" w:pos="8254"/>
            </w:tabs>
            <w:spacing w:before="270" w:line="222" w:lineRule="auto"/>
            <w:ind w:left="403"/>
            <w:rPr>
              <w:rFonts w:ascii="Times New Roman" w:eastAsia="Times New Roman" w:hAnsi="Times New Roman" w:cs="Times New Roman"/>
            </w:rPr>
          </w:pPr>
          <w:r>
            <w:rPr>
              <w:rFonts w:ascii="Times New Roman" w:eastAsia="Times New Roman" w:hAnsi="Times New Roman" w:cs="Times New Roman"/>
              <w:spacing w:val="8"/>
            </w:rPr>
            <w:t>3.1</w:t>
          </w:r>
          <w:r>
            <w:rPr>
              <w:rFonts w:ascii="Times New Roman" w:eastAsia="Times New Roman" w:hAnsi="Times New Roman" w:cs="Times New Roman"/>
              <w:spacing w:val="52"/>
              <w:w w:val="101"/>
            </w:rPr>
            <w:t xml:space="preserve"> </w:t>
          </w:r>
          <w:r>
            <w:rPr>
              <w:spacing w:val="8"/>
            </w:rPr>
            <w:t>湖南酒鬼酒公司基本情况</w:t>
          </w:r>
          <w:r>
            <w:rPr>
              <w:spacing w:val="-96"/>
            </w:rPr>
            <w:t xml:space="preserve"> </w:t>
          </w:r>
          <w:r>
            <w:tab/>
          </w:r>
          <w:r>
            <w:rPr>
              <w:spacing w:val="-9"/>
            </w:rPr>
            <w:t xml:space="preserve"> </w:t>
          </w:r>
          <w:hyperlink w:anchor="bookmark7" w:history="1">
            <w:r>
              <w:rPr>
                <w:rFonts w:ascii="Times New Roman" w:eastAsia="Times New Roman" w:hAnsi="Times New Roman" w:cs="Times New Roman"/>
              </w:rPr>
              <w:t>4</w:t>
            </w:r>
          </w:hyperlink>
        </w:p>
        <w:p>
          <w:pPr>
            <w:pStyle w:val="BodyText"/>
            <w:tabs>
              <w:tab w:val="right" w:leader="dot" w:pos="8254"/>
            </w:tabs>
            <w:spacing w:before="194" w:line="222" w:lineRule="auto"/>
            <w:ind w:left="843"/>
            <w:rPr>
              <w:rFonts w:ascii="Times New Roman" w:eastAsia="Times New Roman" w:hAnsi="Times New Roman" w:cs="Times New Roman"/>
            </w:rPr>
          </w:pPr>
          <w:r>
            <w:rPr>
              <w:rFonts w:ascii="Times New Roman" w:eastAsia="Times New Roman" w:hAnsi="Times New Roman" w:cs="Times New Roman"/>
              <w:spacing w:val="7"/>
            </w:rPr>
            <w:t>3.1.1</w:t>
          </w:r>
          <w:r>
            <w:rPr>
              <w:rFonts w:ascii="Times New Roman" w:eastAsia="Times New Roman" w:hAnsi="Times New Roman" w:cs="Times New Roman"/>
              <w:spacing w:val="69"/>
            </w:rPr>
            <w:t xml:space="preserve"> </w:t>
          </w:r>
          <w:r>
            <w:rPr>
              <w:spacing w:val="7"/>
            </w:rPr>
            <w:t>湖南酒鬼酒公司简介及基本情况</w:t>
          </w:r>
          <w:r>
            <w:rPr>
              <w:spacing w:val="-96"/>
            </w:rPr>
            <w:t xml:space="preserve"> </w:t>
          </w:r>
          <w:r>
            <w:tab/>
          </w:r>
          <w:hyperlink w:anchor="bookmark8" w:history="1">
            <w:r>
              <w:rPr>
                <w:rFonts w:ascii="Times New Roman" w:eastAsia="Times New Roman" w:hAnsi="Times New Roman" w:cs="Times New Roman"/>
                <w:spacing w:val="1"/>
              </w:rPr>
              <w:t>4</w:t>
            </w:r>
          </w:hyperlink>
        </w:p>
        <w:p>
          <w:pPr>
            <w:pStyle w:val="BodyText"/>
            <w:tabs>
              <w:tab w:val="right" w:leader="dot" w:pos="8254"/>
            </w:tabs>
            <w:spacing w:before="190" w:line="219" w:lineRule="auto"/>
            <w:ind w:left="843"/>
            <w:rPr>
              <w:rFonts w:ascii="Times New Roman" w:eastAsia="Times New Roman" w:hAnsi="Times New Roman" w:cs="Times New Roman"/>
            </w:rPr>
          </w:pPr>
          <w:r>
            <w:rPr>
              <w:rFonts w:ascii="Times New Roman" w:eastAsia="Times New Roman" w:hAnsi="Times New Roman" w:cs="Times New Roman"/>
              <w:spacing w:val="5"/>
            </w:rPr>
            <w:t xml:space="preserve">3.1.2  </w:t>
          </w:r>
          <w:r>
            <w:rPr>
              <w:spacing w:val="5"/>
            </w:rPr>
            <w:t>馥郁香酒行业特点</w:t>
          </w:r>
          <w:r>
            <w:rPr>
              <w:spacing w:val="-86"/>
            </w:rPr>
            <w:t xml:space="preserve"> </w:t>
          </w:r>
          <w:r>
            <w:tab/>
          </w:r>
          <w:hyperlink w:anchor="bookmark9" w:history="1">
            <w:r>
              <w:rPr>
                <w:rFonts w:ascii="Times New Roman" w:eastAsia="Times New Roman" w:hAnsi="Times New Roman" w:cs="Times New Roman"/>
              </w:rPr>
              <w:t>4</w:t>
            </w:r>
          </w:hyperlink>
        </w:p>
        <w:p>
          <w:pPr>
            <w:pStyle w:val="BodyText"/>
            <w:tabs>
              <w:tab w:val="right" w:leader="dot" w:pos="8257"/>
            </w:tabs>
            <w:spacing w:before="217" w:line="219" w:lineRule="auto"/>
            <w:ind w:left="403"/>
            <w:rPr>
              <w:rFonts w:ascii="Times New Roman" w:eastAsia="Times New Roman" w:hAnsi="Times New Roman" w:cs="Times New Roman"/>
            </w:rPr>
          </w:pPr>
          <w:r>
            <w:rPr>
              <w:rFonts w:ascii="Times New Roman" w:eastAsia="Times New Roman" w:hAnsi="Times New Roman" w:cs="Times New Roman"/>
              <w:spacing w:val="8"/>
            </w:rPr>
            <w:t>3.2</w:t>
          </w:r>
          <w:r>
            <w:rPr>
              <w:rFonts w:ascii="Times New Roman" w:eastAsia="Times New Roman" w:hAnsi="Times New Roman" w:cs="Times New Roman"/>
              <w:spacing w:val="45"/>
              <w:w w:val="101"/>
            </w:rPr>
            <w:t xml:space="preserve"> </w:t>
          </w:r>
          <w:r>
            <w:rPr>
              <w:spacing w:val="8"/>
            </w:rPr>
            <w:t>湖南酒鬼酒公司财务现状</w:t>
          </w:r>
          <w:r>
            <w:rPr>
              <w:spacing w:val="-89"/>
            </w:rPr>
            <w:t xml:space="preserve"> </w:t>
          </w:r>
          <w:r>
            <w:tab/>
          </w:r>
          <w:hyperlink w:anchor="bookmark10" w:history="1">
            <w:r>
              <w:rPr>
                <w:rFonts w:ascii="Times New Roman" w:eastAsia="Times New Roman" w:hAnsi="Times New Roman" w:cs="Times New Roman"/>
              </w:rPr>
              <w:t>5</w:t>
            </w:r>
          </w:hyperlink>
        </w:p>
        <w:p>
          <w:pPr>
            <w:pStyle w:val="BodyText"/>
            <w:tabs>
              <w:tab w:val="right" w:leader="dot" w:pos="8247"/>
            </w:tabs>
            <w:spacing w:before="187" w:line="219" w:lineRule="auto"/>
            <w:ind w:left="843"/>
            <w:rPr>
              <w:rFonts w:ascii="Times New Roman" w:eastAsia="Times New Roman" w:hAnsi="Times New Roman" w:cs="Times New Roman"/>
            </w:rPr>
          </w:pPr>
          <w:r>
            <w:rPr>
              <w:rFonts w:ascii="Times New Roman" w:eastAsia="Times New Roman" w:hAnsi="Times New Roman" w:cs="Times New Roman"/>
              <w:spacing w:val="7"/>
            </w:rPr>
            <w:t xml:space="preserve">3.2.1  </w:t>
          </w:r>
          <w:r>
            <w:rPr>
              <w:spacing w:val="7"/>
            </w:rPr>
            <w:t>湖南酒鬼酒公司财务结构</w:t>
          </w:r>
          <w:r>
            <w:rPr>
              <w:spacing w:val="-97"/>
            </w:rPr>
            <w:t xml:space="preserve"> </w:t>
          </w:r>
          <w:r>
            <w:tab/>
          </w:r>
          <w:hyperlink w:anchor="bookmark11" w:history="1">
            <w:r>
              <w:rPr>
                <w:rFonts w:ascii="Times New Roman" w:eastAsia="Times New Roman" w:hAnsi="Times New Roman" w:cs="Times New Roman"/>
              </w:rPr>
              <w:t>5</w:t>
            </w:r>
          </w:hyperlink>
        </w:p>
        <w:p>
          <w:pPr>
            <w:pStyle w:val="BodyText"/>
            <w:tabs>
              <w:tab w:val="right" w:leader="dot" w:pos="8257"/>
            </w:tabs>
            <w:spacing w:before="204" w:line="216" w:lineRule="auto"/>
            <w:ind w:left="843"/>
            <w:rPr>
              <w:rFonts w:ascii="Times New Roman" w:eastAsia="Times New Roman" w:hAnsi="Times New Roman" w:cs="Times New Roman"/>
            </w:rPr>
          </w:pPr>
          <w:r>
            <w:rPr>
              <w:rFonts w:ascii="Times New Roman" w:eastAsia="Times New Roman" w:hAnsi="Times New Roman" w:cs="Times New Roman"/>
              <w:spacing w:val="6"/>
            </w:rPr>
            <w:t xml:space="preserve">3.2.2  </w:t>
          </w:r>
          <w:r>
            <w:rPr>
              <w:spacing w:val="6"/>
            </w:rPr>
            <w:t>湖南酒鬼酒公司偿债能力</w:t>
          </w:r>
          <w:r>
            <w:rPr>
              <w:spacing w:val="-100"/>
            </w:rPr>
            <w:t xml:space="preserve"> </w:t>
          </w:r>
          <w:r>
            <w:tab/>
          </w:r>
          <w:hyperlink w:anchor="bookmark12" w:history="1">
            <w:r>
              <w:rPr>
                <w:rFonts w:ascii="Times New Roman" w:eastAsia="Times New Roman" w:hAnsi="Times New Roman" w:cs="Times New Roman"/>
              </w:rPr>
              <w:t>6</w:t>
            </w:r>
          </w:hyperlink>
        </w:p>
        <w:p>
          <w:pPr>
            <w:pStyle w:val="BodyText"/>
            <w:tabs>
              <w:tab w:val="right" w:leader="dot" w:pos="8264"/>
            </w:tabs>
            <w:spacing w:before="221" w:line="216" w:lineRule="auto"/>
            <w:ind w:left="843"/>
            <w:rPr>
              <w:rFonts w:ascii="Times New Roman" w:eastAsia="Times New Roman" w:hAnsi="Times New Roman" w:cs="Times New Roman"/>
            </w:rPr>
          </w:pPr>
          <w:r>
            <w:rPr>
              <w:rFonts w:ascii="Times New Roman" w:eastAsia="Times New Roman" w:hAnsi="Times New Roman" w:cs="Times New Roman"/>
              <w:spacing w:val="7"/>
            </w:rPr>
            <w:t>3.2.3</w:t>
          </w:r>
          <w:r>
            <w:rPr>
              <w:rFonts w:ascii="Times New Roman" w:eastAsia="Times New Roman" w:hAnsi="Times New Roman" w:cs="Times New Roman"/>
              <w:spacing w:val="4"/>
            </w:rPr>
            <w:t xml:space="preserve">  </w:t>
          </w:r>
          <w:r>
            <w:rPr>
              <w:spacing w:val="7"/>
            </w:rPr>
            <w:t>湖南酒鬼酒公司营运能力</w:t>
          </w:r>
          <w:r>
            <w:rPr>
              <w:spacing w:val="-102"/>
            </w:rPr>
            <w:t xml:space="preserve"> </w:t>
          </w:r>
          <w:r>
            <w:tab/>
          </w:r>
          <w:hyperlink w:anchor="bookmark13" w:history="1">
            <w:r>
              <w:rPr>
                <w:rFonts w:ascii="Times New Roman" w:eastAsia="Times New Roman" w:hAnsi="Times New Roman" w:cs="Times New Roman"/>
              </w:rPr>
              <w:t>8</w:t>
            </w:r>
          </w:hyperlink>
        </w:p>
        <w:p>
          <w:pPr>
            <w:pStyle w:val="BodyText"/>
            <w:tabs>
              <w:tab w:val="right" w:leader="dot" w:pos="8259"/>
            </w:tabs>
            <w:spacing w:before="191" w:line="216" w:lineRule="auto"/>
            <w:ind w:left="843"/>
            <w:rPr>
              <w:rFonts w:ascii="Times New Roman" w:eastAsia="Times New Roman" w:hAnsi="Times New Roman" w:cs="Times New Roman"/>
            </w:rPr>
          </w:pPr>
          <w:r>
            <w:rPr>
              <w:rFonts w:ascii="Times New Roman" w:eastAsia="Times New Roman" w:hAnsi="Times New Roman" w:cs="Times New Roman"/>
              <w:spacing w:val="6"/>
            </w:rPr>
            <w:t xml:space="preserve">3.2.4  </w:t>
          </w:r>
          <w:r>
            <w:rPr>
              <w:spacing w:val="6"/>
            </w:rPr>
            <w:t>湖南酒鬼酒公司盈利能力</w:t>
          </w:r>
          <w:r>
            <w:rPr>
              <w:spacing w:val="-100"/>
            </w:rPr>
            <w:t xml:space="preserve"> </w:t>
          </w:r>
          <w:r>
            <w:tab/>
          </w:r>
          <w:hyperlink w:anchor="bookmark14" w:history="1">
            <w:r>
              <w:rPr>
                <w:rFonts w:ascii="Times New Roman" w:eastAsia="Times New Roman" w:hAnsi="Times New Roman" w:cs="Times New Roman"/>
              </w:rPr>
              <w:t>9</w:t>
            </w:r>
          </w:hyperlink>
        </w:p>
        <w:p>
          <w:pPr>
            <w:pStyle w:val="BodyText"/>
            <w:tabs>
              <w:tab w:val="right" w:leader="dot" w:pos="8255"/>
            </w:tabs>
            <w:spacing w:before="220" w:line="216" w:lineRule="auto"/>
            <w:ind w:left="843"/>
            <w:rPr>
              <w:rFonts w:ascii="Times New Roman" w:eastAsia="Times New Roman" w:hAnsi="Times New Roman" w:cs="Times New Roman"/>
            </w:rPr>
          </w:pPr>
          <w:r>
            <w:rPr>
              <w:rFonts w:ascii="Times New Roman" w:eastAsia="Times New Roman" w:hAnsi="Times New Roman" w:cs="Times New Roman"/>
              <w:spacing w:val="7"/>
            </w:rPr>
            <w:t>3.2.5</w:t>
          </w:r>
          <w:r>
            <w:rPr>
              <w:rFonts w:ascii="Times New Roman" w:eastAsia="Times New Roman" w:hAnsi="Times New Roman" w:cs="Times New Roman"/>
              <w:spacing w:val="4"/>
            </w:rPr>
            <w:t xml:space="preserve">  </w:t>
          </w:r>
          <w:r>
            <w:rPr>
              <w:spacing w:val="7"/>
            </w:rPr>
            <w:t>湖南酒鬼酒公司成长能力</w:t>
          </w:r>
          <w:r>
            <w:rPr>
              <w:spacing w:val="-102"/>
            </w:rPr>
            <w:t xml:space="preserve"> </w:t>
          </w:r>
          <w:r>
            <w:tab/>
          </w:r>
          <w:r>
            <w:rPr>
              <w:spacing w:val="-29"/>
            </w:rPr>
            <w:t xml:space="preserve"> </w:t>
          </w:r>
          <w:hyperlink w:anchor="bookmark15" w:history="1">
            <w:r>
              <w:rPr>
                <w:rFonts w:ascii="Times New Roman" w:eastAsia="Times New Roman" w:hAnsi="Times New Roman" w:cs="Times New Roman"/>
                <w:spacing w:val="-7"/>
              </w:rPr>
              <w:t>10</w:t>
            </w:r>
          </w:hyperlink>
        </w:p>
        <w:p>
          <w:pPr>
            <w:pStyle w:val="BodyText"/>
            <w:tabs>
              <w:tab w:val="right" w:leader="dot" w:pos="8255"/>
            </w:tabs>
            <w:spacing w:before="199" w:line="224" w:lineRule="auto"/>
            <w:ind w:left="843"/>
            <w:rPr>
              <w:rFonts w:ascii="Times New Roman" w:eastAsia="Times New Roman" w:hAnsi="Times New Roman" w:cs="Times New Roman"/>
            </w:rPr>
          </w:pPr>
          <w:r>
            <w:rPr>
              <w:rFonts w:ascii="Times New Roman" w:eastAsia="Times New Roman" w:hAnsi="Times New Roman" w:cs="Times New Roman"/>
              <w:spacing w:val="6"/>
            </w:rPr>
            <w:t xml:space="preserve">3.2.6  </w:t>
          </w:r>
          <w:r>
            <w:rPr>
              <w:spacing w:val="6"/>
            </w:rPr>
            <w:t>湖南酒鬼酒公司现金流量</w:t>
          </w:r>
          <w:r>
            <w:rPr>
              <w:spacing w:val="-79"/>
            </w:rPr>
            <w:t xml:space="preserve"> </w:t>
          </w:r>
          <w:r>
            <w:tab/>
          </w:r>
          <w:r>
            <w:rPr>
              <w:spacing w:val="-39"/>
            </w:rPr>
            <w:t xml:space="preserve"> </w:t>
          </w:r>
          <w:hyperlink w:anchor="bookmark16" w:history="1">
            <w:r>
              <w:rPr>
                <w:rFonts w:ascii="Times New Roman" w:eastAsia="Times New Roman" w:hAnsi="Times New Roman" w:cs="Times New Roman"/>
                <w:spacing w:val="-7"/>
              </w:rPr>
              <w:t>10</w:t>
            </w:r>
          </w:hyperlink>
        </w:p>
        <w:p>
          <w:pPr>
            <w:pStyle w:val="BodyText"/>
            <w:tabs>
              <w:tab w:val="right" w:leader="dot" w:pos="8255"/>
            </w:tabs>
            <w:spacing w:before="306" w:line="219" w:lineRule="auto"/>
            <w:ind w:left="3"/>
            <w:rPr>
              <w:rFonts w:ascii="Times New Roman" w:eastAsia="Times New Roman" w:hAnsi="Times New Roman" w:cs="Times New Roman"/>
            </w:rPr>
          </w:pPr>
          <w:r>
            <w:rPr>
              <w:rFonts w:ascii="Times New Roman" w:eastAsia="Times New Roman" w:hAnsi="Times New Roman" w:cs="Times New Roman"/>
              <w:spacing w:val="-8"/>
            </w:rPr>
            <w:t>4.</w:t>
          </w:r>
          <w:r>
            <w:rPr>
              <w:rFonts w:ascii="Times New Roman" w:eastAsia="Times New Roman" w:hAnsi="Times New Roman" w:cs="Times New Roman"/>
              <w:spacing w:val="-12"/>
            </w:rPr>
            <w:t xml:space="preserve"> </w:t>
          </w:r>
          <w:r>
            <w:rPr>
              <w:spacing w:val="-8"/>
            </w:rPr>
            <w:t>湖</w:t>
          </w:r>
          <w:r>
            <w:rPr>
              <w:spacing w:val="-53"/>
            </w:rPr>
            <w:t xml:space="preserve"> </w:t>
          </w:r>
          <w:r>
            <w:rPr>
              <w:spacing w:val="-8"/>
            </w:rPr>
            <w:t>南</w:t>
          </w:r>
          <w:r>
            <w:rPr>
              <w:spacing w:val="-52"/>
            </w:rPr>
            <w:t xml:space="preserve"> </w:t>
          </w:r>
          <w:r>
            <w:rPr>
              <w:spacing w:val="-8"/>
            </w:rPr>
            <w:t>酒</w:t>
          </w:r>
          <w:r>
            <w:rPr>
              <w:spacing w:val="-55"/>
            </w:rPr>
            <w:t xml:space="preserve"> </w:t>
          </w:r>
          <w:r>
            <w:rPr>
              <w:spacing w:val="-8"/>
            </w:rPr>
            <w:t>鬼</w:t>
          </w:r>
          <w:r>
            <w:rPr>
              <w:spacing w:val="-51"/>
            </w:rPr>
            <w:t xml:space="preserve"> </w:t>
          </w:r>
          <w:r>
            <w:rPr>
              <w:spacing w:val="-8"/>
            </w:rPr>
            <w:t>酒</w:t>
          </w:r>
          <w:r>
            <w:rPr>
              <w:spacing w:val="-57"/>
            </w:rPr>
            <w:t xml:space="preserve"> </w:t>
          </w:r>
          <w:r>
            <w:rPr>
              <w:spacing w:val="-8"/>
            </w:rPr>
            <w:t>公</w:t>
          </w:r>
          <w:r>
            <w:rPr>
              <w:spacing w:val="-55"/>
            </w:rPr>
            <w:t xml:space="preserve"> </w:t>
          </w:r>
          <w:r>
            <w:rPr>
              <w:spacing w:val="-8"/>
            </w:rPr>
            <w:t>司</w:t>
          </w:r>
          <w:r>
            <w:rPr>
              <w:spacing w:val="-51"/>
            </w:rPr>
            <w:t xml:space="preserve"> </w:t>
          </w:r>
          <w:r>
            <w:rPr>
              <w:spacing w:val="-8"/>
            </w:rPr>
            <w:t>财</w:t>
          </w:r>
          <w:r>
            <w:rPr>
              <w:spacing w:val="-58"/>
            </w:rPr>
            <w:t xml:space="preserve"> </w:t>
          </w:r>
          <w:r>
            <w:rPr>
              <w:spacing w:val="-8"/>
            </w:rPr>
            <w:t>务</w:t>
          </w:r>
          <w:r>
            <w:rPr>
              <w:spacing w:val="-54"/>
            </w:rPr>
            <w:t xml:space="preserve"> </w:t>
          </w:r>
          <w:r>
            <w:rPr>
              <w:spacing w:val="-8"/>
            </w:rPr>
            <w:t>风</w:t>
          </w:r>
          <w:r>
            <w:rPr>
              <w:spacing w:val="-42"/>
            </w:rPr>
            <w:t xml:space="preserve"> </w:t>
          </w:r>
          <w:r>
            <w:rPr>
              <w:spacing w:val="-8"/>
            </w:rPr>
            <w:t>险</w:t>
          </w:r>
          <w:r>
            <w:rPr>
              <w:spacing w:val="-57"/>
            </w:rPr>
            <w:t xml:space="preserve"> </w:t>
          </w:r>
          <w:r>
            <w:rPr>
              <w:spacing w:val="-8"/>
            </w:rPr>
            <w:t>成</w:t>
          </w:r>
          <w:r>
            <w:rPr>
              <w:spacing w:val="-38"/>
            </w:rPr>
            <w:t xml:space="preserve"> </w:t>
          </w:r>
          <w:r>
            <w:rPr>
              <w:spacing w:val="-8"/>
            </w:rPr>
            <w:t>因</w:t>
          </w:r>
          <w:r>
            <w:rPr>
              <w:spacing w:val="-55"/>
            </w:rPr>
            <w:t xml:space="preserve"> </w:t>
          </w:r>
          <w:r>
            <w:rPr>
              <w:spacing w:val="-8"/>
            </w:rPr>
            <w:t>分</w:t>
          </w:r>
          <w:r>
            <w:rPr>
              <w:spacing w:val="-52"/>
            </w:rPr>
            <w:t xml:space="preserve"> </w:t>
          </w:r>
          <w:r>
            <w:rPr>
              <w:spacing w:val="-8"/>
            </w:rPr>
            <w:t>析</w:t>
          </w:r>
          <w:r>
            <w:rPr>
              <w:spacing w:val="-88"/>
            </w:rPr>
            <w:t xml:space="preserve"> </w:t>
          </w:r>
          <w:r>
            <w:tab/>
          </w:r>
          <w:hyperlink w:anchor="bookmark17" w:history="1">
            <w:r>
              <w:rPr>
                <w:rFonts w:ascii="Times New Roman" w:eastAsia="Times New Roman" w:hAnsi="Times New Roman" w:cs="Times New Roman"/>
                <w:spacing w:val="-6"/>
              </w:rPr>
              <w:t>11</w:t>
            </w:r>
          </w:hyperlink>
        </w:p>
        <w:p>
          <w:pPr>
            <w:pStyle w:val="BodyText"/>
            <w:tabs>
              <w:tab w:val="right" w:leader="dot" w:pos="8295"/>
            </w:tabs>
            <w:spacing w:before="254" w:line="216" w:lineRule="auto"/>
            <w:ind w:left="403"/>
            <w:rPr>
              <w:rFonts w:ascii="Times New Roman" w:eastAsia="Times New Roman" w:hAnsi="Times New Roman" w:cs="Times New Roman"/>
            </w:rPr>
          </w:pPr>
          <w:r>
            <w:rPr>
              <w:rFonts w:ascii="Times New Roman" w:eastAsia="Times New Roman" w:hAnsi="Times New Roman" w:cs="Times New Roman"/>
              <w:spacing w:val="7"/>
            </w:rPr>
            <w:t xml:space="preserve">4.1  </w:t>
          </w:r>
          <w:r>
            <w:rPr>
              <w:spacing w:val="7"/>
            </w:rPr>
            <w:t>筹资风险诱发财务风险</w:t>
          </w:r>
          <w:r>
            <w:rPr>
              <w:spacing w:val="-84"/>
            </w:rPr>
            <w:t xml:space="preserve"> </w:t>
          </w:r>
          <w:r>
            <w:tab/>
          </w:r>
          <w:r>
            <w:rPr>
              <w:spacing w:val="-69"/>
            </w:rPr>
            <w:t xml:space="preserve"> </w:t>
          </w:r>
          <w:hyperlink w:anchor="bookmark18" w:history="1">
            <w:r>
              <w:rPr>
                <w:rFonts w:ascii="Times New Roman" w:eastAsia="Times New Roman" w:hAnsi="Times New Roman" w:cs="Times New Roman"/>
                <w:spacing w:val="-7"/>
              </w:rPr>
              <w:t>11</w:t>
            </w:r>
          </w:hyperlink>
        </w:p>
        <w:p>
          <w:pPr>
            <w:pStyle w:val="BodyText"/>
            <w:tabs>
              <w:tab w:val="right" w:leader="dot" w:pos="8285"/>
            </w:tabs>
            <w:spacing w:before="211" w:line="216" w:lineRule="auto"/>
            <w:ind w:left="403"/>
            <w:rPr>
              <w:rFonts w:ascii="Times New Roman" w:eastAsia="Times New Roman" w:hAnsi="Times New Roman" w:cs="Times New Roman"/>
            </w:rPr>
          </w:pPr>
          <w:r>
            <w:rPr>
              <w:rFonts w:ascii="Times New Roman" w:eastAsia="Times New Roman" w:hAnsi="Times New Roman" w:cs="Times New Roman"/>
              <w:spacing w:val="8"/>
            </w:rPr>
            <w:t>4.2</w:t>
          </w:r>
          <w:r>
            <w:rPr>
              <w:rFonts w:ascii="Times New Roman" w:eastAsia="Times New Roman" w:hAnsi="Times New Roman" w:cs="Times New Roman"/>
              <w:spacing w:val="3"/>
            </w:rPr>
            <w:t xml:space="preserve">  </w:t>
          </w:r>
          <w:r>
            <w:rPr>
              <w:spacing w:val="8"/>
            </w:rPr>
            <w:t>经营风险诱发财务风险</w:t>
          </w:r>
          <w:r>
            <w:rPr>
              <w:spacing w:val="-89"/>
            </w:rPr>
            <w:t xml:space="preserve"> </w:t>
          </w:r>
          <w:r>
            <w:tab/>
          </w:r>
          <w:r>
            <w:rPr>
              <w:spacing w:val="-79"/>
            </w:rPr>
            <w:t xml:space="preserve"> </w:t>
          </w:r>
          <w:hyperlink w:anchor="bookmark19" w:history="1">
            <w:r>
              <w:rPr>
                <w:rFonts w:ascii="Times New Roman" w:eastAsia="Times New Roman" w:hAnsi="Times New Roman" w:cs="Times New Roman"/>
                <w:spacing w:val="-7"/>
              </w:rPr>
              <w:t>11</w:t>
            </w:r>
          </w:hyperlink>
        </w:p>
        <w:p>
          <w:pPr>
            <w:pStyle w:val="BodyText"/>
            <w:tabs>
              <w:tab w:val="right" w:leader="dot" w:pos="8275"/>
            </w:tabs>
            <w:spacing w:before="201" w:line="216" w:lineRule="auto"/>
            <w:ind w:left="403"/>
            <w:rPr>
              <w:rFonts w:ascii="Times New Roman" w:eastAsia="Times New Roman" w:hAnsi="Times New Roman" w:cs="Times New Roman"/>
            </w:rPr>
          </w:pPr>
          <w:r>
            <w:rPr>
              <w:rFonts w:ascii="Times New Roman" w:eastAsia="Times New Roman" w:hAnsi="Times New Roman" w:cs="Times New Roman"/>
              <w:spacing w:val="7"/>
            </w:rPr>
            <w:t xml:space="preserve">4.3  </w:t>
          </w:r>
          <w:r>
            <w:rPr>
              <w:spacing w:val="7"/>
            </w:rPr>
            <w:t>收益分配风险诱发财务风险</w:t>
          </w:r>
          <w:r>
            <w:rPr>
              <w:spacing w:val="-78"/>
            </w:rPr>
            <w:t xml:space="preserve"> </w:t>
          </w:r>
          <w:r>
            <w:tab/>
          </w:r>
          <w:hyperlink w:anchor="bookmark20" w:history="1">
            <w:r>
              <w:rPr>
                <w:rFonts w:ascii="Times New Roman" w:eastAsia="Times New Roman" w:hAnsi="Times New Roman" w:cs="Times New Roman"/>
                <w:spacing w:val="-6"/>
              </w:rPr>
              <w:t>12</w:t>
            </w:r>
          </w:hyperlink>
        </w:p>
        <w:p>
          <w:pPr>
            <w:pStyle w:val="BodyText"/>
            <w:tabs>
              <w:tab w:val="right" w:leader="dot" w:pos="8275"/>
            </w:tabs>
            <w:spacing w:before="214" w:line="219" w:lineRule="auto"/>
            <w:ind w:left="403"/>
            <w:rPr>
              <w:rFonts w:ascii="Times New Roman" w:eastAsia="Times New Roman" w:hAnsi="Times New Roman" w:cs="Times New Roman"/>
            </w:rPr>
          </w:pPr>
          <w:r>
            <w:rPr>
              <w:rFonts w:ascii="Times New Roman" w:eastAsia="Times New Roman" w:hAnsi="Times New Roman" w:cs="Times New Roman"/>
              <w:spacing w:val="8"/>
            </w:rPr>
            <w:t>4.4</w:t>
          </w:r>
          <w:r>
            <w:rPr>
              <w:rFonts w:ascii="Times New Roman" w:eastAsia="Times New Roman" w:hAnsi="Times New Roman" w:cs="Times New Roman"/>
              <w:spacing w:val="6"/>
            </w:rPr>
            <w:t xml:space="preserve">  </w:t>
          </w:r>
          <w:r>
            <w:rPr>
              <w:spacing w:val="8"/>
            </w:rPr>
            <w:t>公司认知度不足导致财务风险</w:t>
          </w:r>
          <w:r>
            <w:rPr>
              <w:spacing w:val="-89"/>
            </w:rPr>
            <w:t xml:space="preserve"> </w:t>
          </w:r>
          <w:r>
            <w:tab/>
          </w:r>
          <w:hyperlink w:anchor="bookmark21" w:history="1">
            <w:r>
              <w:rPr>
                <w:rFonts w:ascii="Times New Roman" w:eastAsia="Times New Roman" w:hAnsi="Times New Roman" w:cs="Times New Roman"/>
                <w:spacing w:val="-8"/>
              </w:rPr>
              <w:t>12</w:t>
            </w:r>
          </w:hyperlink>
        </w:p>
        <w:p>
          <w:pPr>
            <w:pStyle w:val="BodyText"/>
            <w:tabs>
              <w:tab w:val="right" w:leader="dot" w:pos="8275"/>
            </w:tabs>
            <w:spacing w:before="208" w:line="219" w:lineRule="auto"/>
            <w:ind w:left="403"/>
            <w:rPr>
              <w:rFonts w:ascii="Times New Roman" w:eastAsia="Times New Roman" w:hAnsi="Times New Roman" w:cs="Times New Roman"/>
            </w:rPr>
          </w:pPr>
          <w:r>
            <w:rPr>
              <w:rFonts w:ascii="Times New Roman" w:eastAsia="Times New Roman" w:hAnsi="Times New Roman" w:cs="Times New Roman"/>
              <w:spacing w:val="9"/>
            </w:rPr>
            <w:t>4.5</w:t>
          </w:r>
          <w:r>
            <w:rPr>
              <w:rFonts w:ascii="Times New Roman" w:eastAsia="Times New Roman" w:hAnsi="Times New Roman" w:cs="Times New Roman"/>
              <w:spacing w:val="53"/>
            </w:rPr>
            <w:t xml:space="preserve"> </w:t>
          </w:r>
          <w:r>
            <w:rPr>
              <w:spacing w:val="9"/>
            </w:rPr>
            <w:t>企业合同不公平引起财务风险</w:t>
          </w:r>
          <w:r>
            <w:rPr>
              <w:spacing w:val="-88"/>
            </w:rPr>
            <w:t xml:space="preserve"> </w:t>
          </w:r>
          <w:r>
            <w:tab/>
          </w:r>
          <w:hyperlink w:anchor="bookmark22" w:history="1">
            <w:r>
              <w:rPr>
                <w:rFonts w:ascii="Times New Roman" w:eastAsia="Times New Roman" w:hAnsi="Times New Roman" w:cs="Times New Roman"/>
                <w:spacing w:val="-8"/>
              </w:rPr>
              <w:t>12</w:t>
            </w:r>
          </w:hyperlink>
        </w:p>
        <w:p>
          <w:pPr>
            <w:pStyle w:val="BodyText"/>
            <w:tabs>
              <w:tab w:val="right" w:leader="dot" w:pos="8275"/>
            </w:tabs>
            <w:spacing w:before="197" w:line="219" w:lineRule="auto"/>
            <w:ind w:left="403"/>
            <w:rPr>
              <w:rFonts w:ascii="Times New Roman" w:eastAsia="Times New Roman" w:hAnsi="Times New Roman" w:cs="Times New Roman"/>
            </w:rPr>
          </w:pPr>
          <w:r>
            <w:rPr>
              <w:rFonts w:ascii="Times New Roman" w:eastAsia="Times New Roman" w:hAnsi="Times New Roman" w:cs="Times New Roman"/>
              <w:spacing w:val="7"/>
            </w:rPr>
            <w:t xml:space="preserve">4.6  </w:t>
          </w:r>
          <w:r>
            <w:rPr>
              <w:spacing w:val="7"/>
            </w:rPr>
            <w:t>资本结构不合理引起财务风险</w:t>
          </w:r>
          <w:r>
            <w:rPr>
              <w:spacing w:val="-75"/>
            </w:rPr>
            <w:t xml:space="preserve"> </w:t>
          </w:r>
          <w:r>
            <w:tab/>
          </w:r>
          <w:hyperlink w:anchor="bookmark23" w:history="1">
            <w:r>
              <w:rPr>
                <w:rFonts w:ascii="Times New Roman" w:eastAsia="Times New Roman" w:hAnsi="Times New Roman" w:cs="Times New Roman"/>
                <w:spacing w:val="-8"/>
              </w:rPr>
              <w:t>12</w:t>
            </w:r>
          </w:hyperlink>
        </w:p>
        <w:p>
          <w:pPr>
            <w:pStyle w:val="BodyText"/>
            <w:tabs>
              <w:tab w:val="right" w:leader="dot" w:pos="8225"/>
            </w:tabs>
            <w:spacing w:before="307" w:line="219" w:lineRule="auto"/>
            <w:ind w:left="3"/>
            <w:rPr>
              <w:rFonts w:ascii="Times New Roman" w:eastAsia="Times New Roman" w:hAnsi="Times New Roman" w:cs="Times New Roman"/>
            </w:rPr>
          </w:pPr>
          <w:r>
            <w:rPr>
              <w:rFonts w:ascii="Times New Roman" w:eastAsia="Times New Roman" w:hAnsi="Times New Roman" w:cs="Times New Roman"/>
              <w:spacing w:val="-9"/>
            </w:rPr>
            <w:t>5.</w:t>
          </w:r>
          <w:r>
            <w:rPr>
              <w:rFonts w:ascii="Times New Roman" w:eastAsia="Times New Roman" w:hAnsi="Times New Roman" w:cs="Times New Roman"/>
              <w:spacing w:val="-12"/>
            </w:rPr>
            <w:t xml:space="preserve"> </w:t>
          </w:r>
          <w:r>
            <w:rPr>
              <w:spacing w:val="-9"/>
            </w:rPr>
            <w:t>湖</w:t>
          </w:r>
          <w:r>
            <w:rPr>
              <w:spacing w:val="-55"/>
            </w:rPr>
            <w:t xml:space="preserve"> </w:t>
          </w:r>
          <w:r>
            <w:rPr>
              <w:spacing w:val="-9"/>
            </w:rPr>
            <w:t>南</w:t>
          </w:r>
          <w:r>
            <w:rPr>
              <w:spacing w:val="-52"/>
            </w:rPr>
            <w:t xml:space="preserve"> </w:t>
          </w:r>
          <w:r>
            <w:rPr>
              <w:spacing w:val="-9"/>
            </w:rPr>
            <w:t>酒</w:t>
          </w:r>
          <w:r>
            <w:rPr>
              <w:spacing w:val="-57"/>
            </w:rPr>
            <w:t xml:space="preserve"> </w:t>
          </w:r>
          <w:r>
            <w:rPr>
              <w:spacing w:val="-9"/>
            </w:rPr>
            <w:t>鬼</w:t>
          </w:r>
          <w:r>
            <w:rPr>
              <w:spacing w:val="-53"/>
            </w:rPr>
            <w:t xml:space="preserve"> </w:t>
          </w:r>
          <w:r>
            <w:rPr>
              <w:spacing w:val="-9"/>
            </w:rPr>
            <w:t>酒</w:t>
          </w:r>
          <w:r>
            <w:rPr>
              <w:spacing w:val="-52"/>
            </w:rPr>
            <w:t xml:space="preserve"> </w:t>
          </w:r>
          <w:r>
            <w:rPr>
              <w:spacing w:val="-9"/>
            </w:rPr>
            <w:t>关</w:t>
          </w:r>
          <w:r>
            <w:rPr>
              <w:spacing w:val="-62"/>
            </w:rPr>
            <w:t xml:space="preserve"> </w:t>
          </w:r>
          <w:r>
            <w:rPr>
              <w:spacing w:val="-9"/>
            </w:rPr>
            <w:t>于</w:t>
          </w:r>
          <w:r>
            <w:rPr>
              <w:spacing w:val="-53"/>
            </w:rPr>
            <w:t xml:space="preserve"> </w:t>
          </w:r>
          <w:r>
            <w:rPr>
              <w:spacing w:val="-9"/>
            </w:rPr>
            <w:t>财</w:t>
          </w:r>
          <w:r>
            <w:rPr>
              <w:spacing w:val="-60"/>
            </w:rPr>
            <w:t xml:space="preserve"> </w:t>
          </w:r>
          <w:r>
            <w:rPr>
              <w:spacing w:val="-9"/>
            </w:rPr>
            <w:t>务</w:t>
          </w:r>
          <w:r>
            <w:rPr>
              <w:spacing w:val="-54"/>
            </w:rPr>
            <w:t xml:space="preserve"> </w:t>
          </w:r>
          <w:r>
            <w:rPr>
              <w:spacing w:val="-9"/>
            </w:rPr>
            <w:t>风</w:t>
          </w:r>
          <w:r>
            <w:rPr>
              <w:spacing w:val="-44"/>
            </w:rPr>
            <w:t xml:space="preserve"> </w:t>
          </w:r>
          <w:r>
            <w:rPr>
              <w:spacing w:val="-9"/>
            </w:rPr>
            <w:t>险</w:t>
          </w:r>
          <w:r>
            <w:rPr>
              <w:spacing w:val="-46"/>
            </w:rPr>
            <w:t xml:space="preserve"> </w:t>
          </w:r>
          <w:r>
            <w:rPr>
              <w:spacing w:val="-9"/>
            </w:rPr>
            <w:t>防</w:t>
          </w:r>
          <w:r>
            <w:rPr>
              <w:spacing w:val="-54"/>
            </w:rPr>
            <w:t xml:space="preserve"> </w:t>
          </w:r>
          <w:r>
            <w:rPr>
              <w:spacing w:val="-9"/>
            </w:rPr>
            <w:t>范</w:t>
          </w:r>
          <w:r>
            <w:rPr>
              <w:spacing w:val="-51"/>
            </w:rPr>
            <w:t xml:space="preserve"> </w:t>
          </w:r>
          <w:r>
            <w:rPr>
              <w:spacing w:val="-9"/>
            </w:rPr>
            <w:t>与</w:t>
          </w:r>
          <w:r>
            <w:rPr>
              <w:spacing w:val="-49"/>
            </w:rPr>
            <w:t xml:space="preserve"> </w:t>
          </w:r>
          <w:r>
            <w:rPr>
              <w:spacing w:val="-9"/>
            </w:rPr>
            <w:t>管</w:t>
          </w:r>
          <w:r>
            <w:rPr>
              <w:spacing w:val="-60"/>
            </w:rPr>
            <w:t xml:space="preserve"> </w:t>
          </w:r>
          <w:r>
            <w:rPr>
              <w:spacing w:val="-9"/>
            </w:rPr>
            <w:t>理</w:t>
          </w:r>
          <w:r>
            <w:rPr>
              <w:spacing w:val="-42"/>
            </w:rPr>
            <w:t xml:space="preserve"> </w:t>
          </w:r>
          <w:r>
            <w:rPr>
              <w:spacing w:val="-9"/>
            </w:rPr>
            <w:t>的</w:t>
          </w:r>
          <w:r>
            <w:rPr>
              <w:spacing w:val="-53"/>
            </w:rPr>
            <w:t xml:space="preserve"> </w:t>
          </w:r>
          <w:r>
            <w:rPr>
              <w:spacing w:val="-9"/>
            </w:rPr>
            <w:t>建</w:t>
          </w:r>
          <w:r>
            <w:rPr>
              <w:spacing w:val="-56"/>
            </w:rPr>
            <w:t xml:space="preserve"> </w:t>
          </w:r>
          <w:r>
            <w:rPr>
              <w:spacing w:val="-9"/>
            </w:rPr>
            <w:t>议</w:t>
          </w:r>
          <w:r>
            <w:rPr>
              <w:spacing w:val="-92"/>
            </w:rPr>
            <w:t xml:space="preserve"> </w:t>
          </w:r>
          <w:r>
            <w:tab/>
          </w:r>
          <w:hyperlink w:anchor="bookmark24" w:history="1">
            <w:r>
              <w:rPr>
                <w:rFonts w:ascii="Times New Roman" w:eastAsia="Times New Roman" w:hAnsi="Times New Roman" w:cs="Times New Roman"/>
                <w:spacing w:val="-6"/>
              </w:rPr>
              <w:t>13</w:t>
            </w:r>
          </w:hyperlink>
        </w:p>
        <w:p>
          <w:pPr>
            <w:pStyle w:val="BodyText"/>
            <w:tabs>
              <w:tab w:val="right" w:leader="dot" w:pos="8275"/>
            </w:tabs>
            <w:spacing w:before="247" w:line="219" w:lineRule="auto"/>
            <w:ind w:left="403"/>
            <w:rPr>
              <w:rFonts w:ascii="Times New Roman" w:eastAsia="Times New Roman" w:hAnsi="Times New Roman" w:cs="Times New Roman"/>
            </w:rPr>
          </w:pPr>
          <w:r>
            <w:rPr>
              <w:rFonts w:ascii="Times New Roman" w:eastAsia="Times New Roman" w:hAnsi="Times New Roman" w:cs="Times New Roman"/>
              <w:spacing w:val="7"/>
            </w:rPr>
            <w:t>5.1</w:t>
          </w:r>
          <w:r>
            <w:rPr>
              <w:rFonts w:ascii="Times New Roman" w:eastAsia="Times New Roman" w:hAnsi="Times New Roman" w:cs="Times New Roman"/>
              <w:spacing w:val="50"/>
              <w:w w:val="101"/>
            </w:rPr>
            <w:t xml:space="preserve"> </w:t>
          </w:r>
          <w:r>
            <w:rPr>
              <w:spacing w:val="7"/>
            </w:rPr>
            <w:t>正确看待财务风险</w:t>
          </w:r>
          <w:r>
            <w:rPr>
              <w:spacing w:val="-89"/>
            </w:rPr>
            <w:t xml:space="preserve"> </w:t>
          </w:r>
          <w:r>
            <w:tab/>
          </w:r>
          <w:r>
            <w:rPr>
              <w:spacing w:val="-49"/>
            </w:rPr>
            <w:t xml:space="preserve"> </w:t>
          </w:r>
          <w:hyperlink w:anchor="bookmark25" w:history="1">
            <w:r>
              <w:rPr>
                <w:rFonts w:ascii="Times New Roman" w:eastAsia="Times New Roman" w:hAnsi="Times New Roman" w:cs="Times New Roman"/>
                <w:spacing w:val="-7"/>
              </w:rPr>
              <w:t>13</w:t>
            </w:r>
          </w:hyperlink>
        </w:p>
      </w:sdtContent>
    </w:sdt>
    <w:p>
      <w:pPr>
        <w:spacing w:line="219" w:lineRule="auto"/>
        <w:rPr>
          <w:rFonts w:ascii="Times New Roman" w:eastAsia="Times New Roman" w:hAnsi="Times New Roman" w:cs="Times New Roman"/>
        </w:rPr>
        <w:sectPr>
          <w:pgSz w:w="11910" w:h="16840"/>
          <w:pgMar w:top="1431" w:right="1786" w:bottom="0" w:left="1786" w:header="0" w:footer="0" w:gutter="0"/>
          <w:cols w:space="708"/>
        </w:sectPr>
      </w:pPr>
    </w:p>
    <w:sdt>
      <w:sdtPr>
        <w:rPr>
          <w:rFonts w:ascii="Times New Roman" w:eastAsia="Times New Roman" w:hAnsi="Times New Roman" w:cs="Times New Roman"/>
          <w:sz w:val="23"/>
          <w:szCs w:val="23"/>
        </w:rPr>
        <w:id w:val="2129558045"/>
        <w:docPartObj>
          <w:docPartGallery w:val="Table of Contents"/>
          <w:docPartUnique/>
        </w:docPartObj>
      </w:sdtPr>
      <w:sdtEndPr>
        <w:rPr>
          <w:rFonts w:ascii="Times New Roman" w:eastAsia="Times New Roman" w:hAnsi="Times New Roman" w:cs="Times New Roman"/>
          <w:sz w:val="23"/>
          <w:szCs w:val="23"/>
        </w:rPr>
      </w:sdtEndPr>
      <w:sdtContent>
        <w:p>
          <w:pPr>
            <w:pStyle w:val="BodyText"/>
            <w:tabs>
              <w:tab w:val="right" w:leader="dot" w:pos="8275"/>
            </w:tabs>
            <w:spacing w:before="118" w:line="219" w:lineRule="auto"/>
            <w:ind w:left="433"/>
            <w:rPr>
              <w:rFonts w:ascii="Times New Roman" w:eastAsia="Times New Roman" w:hAnsi="Times New Roman" w:cs="Times New Roman"/>
            </w:rPr>
          </w:pPr>
          <w:r>
            <w:rPr>
              <w:rFonts w:ascii="Times New Roman" w:eastAsia="Times New Roman" w:hAnsi="Times New Roman" w:cs="Times New Roman"/>
              <w:spacing w:val="6"/>
            </w:rPr>
            <w:t xml:space="preserve">5.2  </w:t>
          </w:r>
          <w:r>
            <w:rPr>
              <w:spacing w:val="6"/>
            </w:rPr>
            <w:t>了解财务风险的成因</w:t>
          </w:r>
          <w:r>
            <w:rPr>
              <w:spacing w:val="-93"/>
            </w:rPr>
            <w:t xml:space="preserve"> </w:t>
          </w:r>
          <w:r>
            <w:tab/>
          </w:r>
          <w:hyperlink w:anchor="bookmark26" w:history="1">
            <w:r>
              <w:rPr>
                <w:rFonts w:ascii="Times New Roman" w:eastAsia="Times New Roman" w:hAnsi="Times New Roman" w:cs="Times New Roman"/>
                <w:spacing w:val="-1"/>
              </w:rPr>
              <w:t>13</w:t>
            </w:r>
          </w:hyperlink>
        </w:p>
        <w:p>
          <w:pPr>
            <w:pStyle w:val="BodyText"/>
            <w:tabs>
              <w:tab w:val="right" w:leader="dot" w:pos="8275"/>
            </w:tabs>
            <w:spacing w:before="217" w:line="219" w:lineRule="auto"/>
            <w:ind w:left="433"/>
            <w:rPr>
              <w:rFonts w:ascii="Times New Roman" w:eastAsia="Times New Roman" w:hAnsi="Times New Roman" w:cs="Times New Roman"/>
            </w:rPr>
          </w:pPr>
          <w:r>
            <w:rPr>
              <w:rFonts w:ascii="Times New Roman" w:eastAsia="Times New Roman" w:hAnsi="Times New Roman" w:cs="Times New Roman"/>
              <w:spacing w:val="8"/>
            </w:rPr>
            <w:t>5.3</w:t>
          </w:r>
          <w:r>
            <w:rPr>
              <w:rFonts w:ascii="Times New Roman" w:eastAsia="Times New Roman" w:hAnsi="Times New Roman" w:cs="Times New Roman"/>
              <w:spacing w:val="62"/>
              <w:w w:val="101"/>
            </w:rPr>
            <w:t xml:space="preserve"> </w:t>
          </w:r>
          <w:r>
            <w:rPr>
              <w:spacing w:val="8"/>
            </w:rPr>
            <w:t>湖南酒鬼酒公司培养财务风险相关人才</w:t>
          </w:r>
          <w:r>
            <w:rPr>
              <w:spacing w:val="-94"/>
            </w:rPr>
            <w:t xml:space="preserve"> </w:t>
          </w:r>
          <w:r>
            <w:tab/>
          </w:r>
          <w:hyperlink w:anchor="bookmark27" w:history="1">
            <w:r>
              <w:rPr>
                <w:rFonts w:ascii="Times New Roman" w:eastAsia="Times New Roman" w:hAnsi="Times New Roman" w:cs="Times New Roman"/>
                <w:spacing w:val="-6"/>
              </w:rPr>
              <w:t>14</w:t>
            </w:r>
          </w:hyperlink>
        </w:p>
        <w:p>
          <w:pPr>
            <w:pStyle w:val="BodyText"/>
            <w:tabs>
              <w:tab w:val="right" w:leader="dot" w:pos="8275"/>
            </w:tabs>
            <w:spacing w:before="197" w:line="219" w:lineRule="auto"/>
            <w:ind w:left="433"/>
            <w:rPr>
              <w:rFonts w:ascii="Times New Roman" w:eastAsia="Times New Roman" w:hAnsi="Times New Roman" w:cs="Times New Roman"/>
            </w:rPr>
          </w:pPr>
          <w:r>
            <w:rPr>
              <w:rFonts w:ascii="Times New Roman" w:eastAsia="Times New Roman" w:hAnsi="Times New Roman" w:cs="Times New Roman"/>
              <w:spacing w:val="9"/>
            </w:rPr>
            <w:t>5.4</w:t>
          </w:r>
          <w:r>
            <w:rPr>
              <w:rFonts w:ascii="Times New Roman" w:eastAsia="Times New Roman" w:hAnsi="Times New Roman" w:cs="Times New Roman"/>
              <w:spacing w:val="37"/>
            </w:rPr>
            <w:t xml:space="preserve"> </w:t>
          </w:r>
          <w:r>
            <w:rPr>
              <w:spacing w:val="9"/>
            </w:rPr>
            <w:t>财务风险分析与管理机制的建立和完善</w:t>
          </w:r>
          <w:r>
            <w:rPr>
              <w:spacing w:val="-89"/>
            </w:rPr>
            <w:t xml:space="preserve"> </w:t>
          </w:r>
          <w:r>
            <w:tab/>
          </w:r>
          <w:hyperlink w:anchor="bookmark28" w:history="1">
            <w:r>
              <w:rPr>
                <w:rFonts w:ascii="Times New Roman" w:eastAsia="Times New Roman" w:hAnsi="Times New Roman" w:cs="Times New Roman"/>
                <w:spacing w:val="-6"/>
              </w:rPr>
              <w:t>14</w:t>
            </w:r>
          </w:hyperlink>
        </w:p>
        <w:p>
          <w:pPr>
            <w:pStyle w:val="BodyText"/>
            <w:tabs>
              <w:tab w:val="right" w:leader="dot" w:pos="8255"/>
            </w:tabs>
            <w:spacing w:before="207" w:line="219" w:lineRule="auto"/>
            <w:ind w:left="433"/>
            <w:rPr>
              <w:rFonts w:ascii="Times New Roman" w:eastAsia="Times New Roman" w:hAnsi="Times New Roman" w:cs="Times New Roman"/>
            </w:rPr>
          </w:pPr>
          <w:r>
            <w:rPr>
              <w:rFonts w:ascii="Times New Roman" w:eastAsia="Times New Roman" w:hAnsi="Times New Roman" w:cs="Times New Roman"/>
              <w:spacing w:val="9"/>
            </w:rPr>
            <w:t>5.5</w:t>
          </w:r>
          <w:r>
            <w:rPr>
              <w:rFonts w:ascii="Times New Roman" w:eastAsia="Times New Roman" w:hAnsi="Times New Roman" w:cs="Times New Roman"/>
              <w:spacing w:val="39"/>
              <w:w w:val="101"/>
            </w:rPr>
            <w:t xml:space="preserve"> </w:t>
          </w:r>
          <w:r>
            <w:rPr>
              <w:spacing w:val="9"/>
            </w:rPr>
            <w:t>制定有效的财务风险预警机制</w:t>
          </w:r>
          <w:r>
            <w:rPr>
              <w:spacing w:val="-105"/>
            </w:rPr>
            <w:t xml:space="preserve"> </w:t>
          </w:r>
          <w:r>
            <w:tab/>
          </w:r>
          <w:hyperlink w:anchor="bookmark29" w:history="1">
            <w:r>
              <w:rPr>
                <w:rFonts w:ascii="Times New Roman" w:eastAsia="Times New Roman" w:hAnsi="Times New Roman" w:cs="Times New Roman"/>
                <w:spacing w:val="-6"/>
              </w:rPr>
              <w:t>14</w:t>
            </w:r>
          </w:hyperlink>
        </w:p>
        <w:p>
          <w:pPr>
            <w:pStyle w:val="BodyText"/>
            <w:tabs>
              <w:tab w:val="right" w:leader="dot" w:pos="8225"/>
            </w:tabs>
            <w:spacing w:before="294" w:line="225" w:lineRule="auto"/>
            <w:ind w:left="13"/>
            <w:rPr>
              <w:rFonts w:ascii="Times New Roman" w:eastAsia="Times New Roman" w:hAnsi="Times New Roman" w:cs="Times New Roman"/>
            </w:rPr>
          </w:pPr>
          <w:r>
            <w:rPr>
              <w:rFonts w:ascii="Times New Roman" w:eastAsia="Times New Roman" w:hAnsi="Times New Roman" w:cs="Times New Roman"/>
              <w:spacing w:val="-4"/>
            </w:rPr>
            <w:t>6.</w:t>
          </w:r>
          <w:r>
            <w:rPr>
              <w:rFonts w:ascii="Times New Roman" w:eastAsia="Times New Roman" w:hAnsi="Times New Roman" w:cs="Times New Roman"/>
              <w:spacing w:val="-21"/>
            </w:rPr>
            <w:t xml:space="preserve"> </w:t>
          </w:r>
          <w:r>
            <w:rPr>
              <w:spacing w:val="-4"/>
            </w:rPr>
            <w:t>结</w:t>
          </w:r>
          <w:r>
            <w:rPr>
              <w:spacing w:val="-4"/>
            </w:rPr>
            <w:t xml:space="preserve"> </w:t>
          </w:r>
          <w:r>
            <w:rPr>
              <w:spacing w:val="-4"/>
            </w:rPr>
            <w:t>论</w:t>
          </w:r>
          <w:r>
            <w:rPr>
              <w:spacing w:val="-91"/>
            </w:rPr>
            <w:t xml:space="preserve"> </w:t>
          </w:r>
          <w:r>
            <w:tab/>
          </w:r>
          <w:hyperlink w:anchor="bookmark30" w:history="1">
            <w:r>
              <w:rPr>
                <w:rFonts w:ascii="Times New Roman" w:eastAsia="Times New Roman" w:hAnsi="Times New Roman" w:cs="Times New Roman"/>
                <w:spacing w:val="-6"/>
              </w:rPr>
              <w:t>16</w:t>
            </w:r>
          </w:hyperlink>
        </w:p>
        <w:p>
          <w:pPr>
            <w:spacing w:line="272" w:lineRule="auto"/>
            <w:rPr>
              <w:rFonts w:ascii="Arial"/>
              <w:sz w:val="21"/>
            </w:rPr>
          </w:pPr>
        </w:p>
        <w:p>
          <w:pPr>
            <w:pStyle w:val="BodyText"/>
            <w:tabs>
              <w:tab w:val="right" w:leader="dot" w:pos="8135"/>
            </w:tabs>
            <w:spacing w:before="75" w:line="216" w:lineRule="auto"/>
            <w:ind w:left="13"/>
            <w:rPr>
              <w:rFonts w:ascii="Times New Roman" w:eastAsia="Times New Roman" w:hAnsi="Times New Roman" w:cs="Times New Roman"/>
            </w:rPr>
          </w:pPr>
          <w:r>
            <w:rPr>
              <w:spacing w:val="-3"/>
            </w:rPr>
            <w:t>参</w:t>
          </w:r>
          <w:r>
            <w:rPr>
              <w:spacing w:val="70"/>
            </w:rPr>
            <w:t xml:space="preserve"> </w:t>
          </w:r>
          <w:r>
            <w:rPr>
              <w:spacing w:val="-3"/>
            </w:rPr>
            <w:t>考</w:t>
          </w:r>
          <w:r>
            <w:rPr>
              <w:spacing w:val="63"/>
            </w:rPr>
            <w:t xml:space="preserve"> </w:t>
          </w:r>
          <w:r>
            <w:rPr>
              <w:spacing w:val="-3"/>
            </w:rPr>
            <w:t>文</w:t>
          </w:r>
          <w:r>
            <w:rPr>
              <w:spacing w:val="66"/>
            </w:rPr>
            <w:t xml:space="preserve"> </w:t>
          </w:r>
          <w:r>
            <w:rPr>
              <w:spacing w:val="-3"/>
            </w:rPr>
            <w:t>献</w:t>
          </w:r>
          <w:r>
            <w:rPr>
              <w:spacing w:val="-88"/>
            </w:rPr>
            <w:t xml:space="preserve"> </w:t>
          </w:r>
          <w:r>
            <w:tab/>
          </w:r>
          <w:hyperlink w:anchor="bookmark31" w:history="1">
            <w:r>
              <w:rPr>
                <w:rFonts w:ascii="Times New Roman" w:eastAsia="Times New Roman" w:hAnsi="Times New Roman" w:cs="Times New Roman"/>
                <w:spacing w:val="-1"/>
              </w:rPr>
              <w:t>16</w:t>
            </w:r>
          </w:hyperlink>
        </w:p>
        <w:p>
          <w:pPr>
            <w:spacing w:line="245" w:lineRule="auto"/>
            <w:rPr>
              <w:rFonts w:ascii="Arial"/>
              <w:sz w:val="21"/>
            </w:rPr>
          </w:pPr>
        </w:p>
        <w:p>
          <w:pPr>
            <w:pStyle w:val="BodyText"/>
            <w:tabs>
              <w:tab w:val="right" w:leader="dot" w:pos="8160"/>
            </w:tabs>
            <w:spacing w:before="91" w:line="224" w:lineRule="auto"/>
            <w:ind w:left="13"/>
            <w:rPr>
              <w:rFonts w:ascii="SimSun" w:eastAsia="SimSun" w:hAnsi="SimSun" w:cs="SimSun"/>
              <w:sz w:val="28"/>
              <w:szCs w:val="28"/>
            </w:rPr>
          </w:pPr>
          <w:r>
            <w:rPr>
              <w:spacing w:val="-6"/>
              <w:sz w:val="28"/>
              <w:szCs w:val="28"/>
            </w:rPr>
            <w:t>致</w:t>
          </w:r>
          <w:r>
            <w:rPr>
              <w:spacing w:val="32"/>
              <w:sz w:val="28"/>
              <w:szCs w:val="28"/>
            </w:rPr>
            <w:t xml:space="preserve">  </w:t>
          </w:r>
          <w:r>
            <w:rPr>
              <w:spacing w:val="-6"/>
              <w:sz w:val="28"/>
              <w:szCs w:val="28"/>
            </w:rPr>
            <w:t>谢</w:t>
          </w:r>
          <w:r>
            <w:rPr>
              <w:sz w:val="28"/>
              <w:szCs w:val="28"/>
            </w:rPr>
            <w:tab/>
          </w:r>
          <w:r>
            <w:rPr>
              <w:rFonts w:ascii="SimSun" w:eastAsia="SimSun" w:hAnsi="SimSun" w:cs="SimSun"/>
              <w:spacing w:val="-3"/>
              <w:sz w:val="28"/>
              <w:szCs w:val="28"/>
            </w:rPr>
            <w:t>错误!未定义书签。</w:t>
          </w:r>
        </w:p>
        <w:p>
          <w:pPr>
            <w:spacing w:line="255" w:lineRule="auto"/>
            <w:rPr>
              <w:rFonts w:ascii="Arial"/>
              <w:sz w:val="21"/>
            </w:rPr>
          </w:pPr>
        </w:p>
        <w:p>
          <w:pPr>
            <w:pStyle w:val="BodyText"/>
            <w:tabs>
              <w:tab w:val="right" w:leader="dot" w:pos="8225"/>
            </w:tabs>
            <w:spacing w:before="74" w:line="224" w:lineRule="auto"/>
            <w:ind w:left="13"/>
            <w:rPr>
              <w:rFonts w:ascii="Times New Roman" w:eastAsia="Times New Roman" w:hAnsi="Times New Roman" w:cs="Times New Roman"/>
            </w:rPr>
          </w:pPr>
          <w:r>
            <w:rPr>
              <w:spacing w:val="-9"/>
              <w:w w:val="98"/>
            </w:rPr>
            <w:t>附</w:t>
          </w:r>
          <w:r>
            <w:rPr>
              <w:spacing w:val="4"/>
            </w:rPr>
            <w:t xml:space="preserve"> </w:t>
          </w:r>
          <w:r>
            <w:rPr>
              <w:spacing w:val="-9"/>
              <w:w w:val="98"/>
            </w:rPr>
            <w:t>录</w:t>
          </w:r>
          <w:r>
            <w:rPr>
              <w:spacing w:val="-88"/>
            </w:rPr>
            <w:t xml:space="preserve"> </w:t>
          </w:r>
          <w:r>
            <w:tab/>
          </w:r>
          <w:r>
            <w:rPr>
              <w:spacing w:val="-19"/>
            </w:rPr>
            <w:t xml:space="preserve"> </w:t>
          </w:r>
          <w:hyperlink w:anchor="bookmark32" w:history="1">
            <w:r>
              <w:rPr>
                <w:rFonts w:ascii="Times New Roman" w:eastAsia="Times New Roman" w:hAnsi="Times New Roman" w:cs="Times New Roman"/>
                <w:spacing w:val="-7"/>
              </w:rPr>
              <w:t>18</w:t>
            </w:r>
          </w:hyperlink>
        </w:p>
        <w:p>
          <w:pPr>
            <w:pStyle w:val="BodyText"/>
            <w:tabs>
              <w:tab w:val="right" w:leader="dot" w:pos="8295"/>
            </w:tabs>
            <w:spacing w:before="247" w:line="212" w:lineRule="auto"/>
            <w:ind w:left="433"/>
            <w:rPr>
              <w:rFonts w:ascii="Times New Roman" w:eastAsia="Times New Roman" w:hAnsi="Times New Roman" w:cs="Times New Roman"/>
            </w:rPr>
          </w:pPr>
          <w:r>
            <w:rPr>
              <w:spacing w:val="16"/>
            </w:rPr>
            <w:t>附录1湖南酒鬼酒公司2020-2022年资产负债表</w:t>
          </w:r>
          <w:r>
            <w:rPr>
              <w:spacing w:val="-87"/>
            </w:rPr>
            <w:t xml:space="preserve"> </w:t>
          </w:r>
          <w:r>
            <w:tab/>
          </w:r>
          <w:hyperlink w:anchor="bookmark33" w:history="1">
            <w:r>
              <w:rPr>
                <w:rFonts w:ascii="Times New Roman" w:eastAsia="Times New Roman" w:hAnsi="Times New Roman" w:cs="Times New Roman"/>
                <w:spacing w:val="-6"/>
              </w:rPr>
              <w:t>18</w:t>
            </w:r>
          </w:hyperlink>
        </w:p>
        <w:p>
          <w:pPr>
            <w:pStyle w:val="BodyText"/>
            <w:tabs>
              <w:tab w:val="right" w:leader="dot" w:pos="8265"/>
            </w:tabs>
            <w:spacing w:before="206" w:line="212" w:lineRule="auto"/>
            <w:ind w:left="433"/>
            <w:rPr>
              <w:rFonts w:ascii="Times New Roman" w:eastAsia="Times New Roman" w:hAnsi="Times New Roman" w:cs="Times New Roman"/>
            </w:rPr>
          </w:pPr>
          <w:r>
            <w:rPr>
              <w:spacing w:val="17"/>
            </w:rPr>
            <w:t>附录2湖南酒鬼酒公司2020-2022年利</w:t>
          </w:r>
          <w:r>
            <w:rPr>
              <w:spacing w:val="16"/>
            </w:rPr>
            <w:t>润表</w:t>
          </w:r>
          <w:r>
            <w:rPr>
              <w:spacing w:val="-96"/>
            </w:rPr>
            <w:t xml:space="preserve"> </w:t>
          </w:r>
          <w:r>
            <w:tab/>
          </w:r>
          <w:hyperlink w:anchor="bookmark34" w:history="1">
            <w:r>
              <w:rPr>
                <w:rFonts w:ascii="Times New Roman" w:eastAsia="Times New Roman" w:hAnsi="Times New Roman" w:cs="Times New Roman"/>
                <w:spacing w:val="-6"/>
              </w:rPr>
              <w:t>19</w:t>
            </w:r>
          </w:hyperlink>
        </w:p>
        <w:p>
          <w:pPr>
            <w:pStyle w:val="BodyText"/>
            <w:tabs>
              <w:tab w:val="right" w:leader="dot" w:pos="8257"/>
            </w:tabs>
            <w:spacing w:before="206" w:line="212" w:lineRule="auto"/>
            <w:ind w:left="433"/>
            <w:rPr>
              <w:rFonts w:ascii="Times New Roman" w:eastAsia="Times New Roman" w:hAnsi="Times New Roman" w:cs="Times New Roman"/>
            </w:rPr>
          </w:pPr>
          <w:r>
            <w:rPr>
              <w:spacing w:val="16"/>
            </w:rPr>
            <w:t>附录3湖南酒鬼酒公司2020-2022年现金流量表</w:t>
          </w:r>
          <w:r>
            <w:rPr>
              <w:spacing w:val="-87"/>
            </w:rPr>
            <w:t xml:space="preserve"> </w:t>
          </w:r>
          <w:r>
            <w:tab/>
          </w:r>
          <w:r>
            <w:rPr>
              <w:spacing w:val="-48"/>
            </w:rPr>
            <w:t xml:space="preserve"> </w:t>
          </w:r>
          <w:hyperlink w:anchor="bookmark35" w:history="1">
            <w:r>
              <w:rPr>
                <w:rFonts w:ascii="Times New Roman" w:eastAsia="Times New Roman" w:hAnsi="Times New Roman" w:cs="Times New Roman"/>
                <w:spacing w:val="-2"/>
              </w:rPr>
              <w:t>20</w:t>
            </w:r>
          </w:hyperlink>
        </w:p>
        <w:p>
          <w:pPr>
            <w:pStyle w:val="BodyText"/>
            <w:tabs>
              <w:tab w:val="right" w:leader="dot" w:pos="8297"/>
            </w:tabs>
            <w:spacing w:before="226" w:line="212" w:lineRule="auto"/>
            <w:ind w:left="433"/>
            <w:rPr>
              <w:rFonts w:ascii="Times New Roman" w:eastAsia="Times New Roman" w:hAnsi="Times New Roman" w:cs="Times New Roman"/>
            </w:rPr>
          </w:pPr>
          <w:r>
            <w:rPr>
              <w:spacing w:val="16"/>
            </w:rPr>
            <w:t>附录4湖南酒鬼酒公司2020-2022年财务报表摘要</w:t>
          </w:r>
          <w:r>
            <w:rPr>
              <w:spacing w:val="-83"/>
            </w:rPr>
            <w:t xml:space="preserve"> </w:t>
          </w:r>
          <w:r>
            <w:tab/>
          </w:r>
          <w:r>
            <w:rPr>
              <w:spacing w:val="-28"/>
            </w:rPr>
            <w:t xml:space="preserve"> </w:t>
          </w:r>
          <w:hyperlink w:anchor="bookmark36" w:history="1">
            <w:r>
              <w:rPr>
                <w:rFonts w:ascii="Times New Roman" w:eastAsia="Times New Roman" w:hAnsi="Times New Roman" w:cs="Times New Roman"/>
                <w:spacing w:val="-2"/>
              </w:rPr>
              <w:t>21</w:t>
            </w:r>
          </w:hyperlink>
        </w:p>
      </w:sdtContent>
    </w:sdt>
    <w:p>
      <w:pPr>
        <w:spacing w:line="212" w:lineRule="auto"/>
        <w:rPr>
          <w:rFonts w:ascii="Times New Roman" w:eastAsia="Times New Roman" w:hAnsi="Times New Roman" w:cs="Times New Roman"/>
        </w:rPr>
        <w:sectPr>
          <w:pgSz w:w="11910" w:h="16840"/>
          <w:pgMar w:top="1431" w:right="1786" w:bottom="0" w:left="1786" w:header="0" w:footer="0" w:gutter="0"/>
          <w:pgNumType w:start="2"/>
          <w:cols w:space="708"/>
        </w:sectPr>
      </w:pPr>
    </w:p>
    <w:p>
      <w:pPr>
        <w:pStyle w:val="BodyText"/>
        <w:spacing w:before="166" w:line="224" w:lineRule="auto"/>
        <w:ind w:left="17"/>
        <w:rPr>
          <w:sz w:val="31"/>
          <w:szCs w:val="31"/>
        </w:rPr>
      </w:pPr>
      <w:bookmarkStart w:id="0" w:name="bookmark1"/>
      <w:bookmarkEnd w:id="0"/>
      <w:bookmarkStart w:id="1" w:name="bookmark2"/>
      <w:bookmarkEnd w:id="1"/>
      <w:bookmarkStart w:id="2" w:name="bookmark3"/>
      <w:bookmarkEnd w:id="2"/>
      <w:bookmarkStart w:id="3" w:name="bookmark4"/>
      <w:bookmarkEnd w:id="3"/>
      <w:r>
        <w:rPr>
          <w:b/>
          <w:bCs/>
          <w:spacing w:val="-12"/>
          <w:sz w:val="31"/>
          <w:szCs w:val="31"/>
        </w:rPr>
        <w:t>1</w:t>
      </w:r>
      <w:r>
        <w:rPr>
          <w:spacing w:val="-12"/>
          <w:sz w:val="31"/>
          <w:szCs w:val="31"/>
        </w:rPr>
        <w:t xml:space="preserve"> </w:t>
      </w:r>
      <w:r>
        <w:rPr>
          <w:b/>
          <w:bCs/>
          <w:spacing w:val="-12"/>
          <w:sz w:val="31"/>
          <w:szCs w:val="31"/>
        </w:rPr>
        <w:t>引言</w:t>
      </w:r>
    </w:p>
    <w:p>
      <w:pPr>
        <w:pStyle w:val="BodyText"/>
        <w:spacing w:before="191" w:line="362" w:lineRule="auto"/>
        <w:ind w:left="13" w:right="101" w:firstLine="470"/>
        <w:jc w:val="both"/>
        <w:rPr>
          <w:sz w:val="24"/>
          <w:szCs w:val="24"/>
        </w:rPr>
      </w:pPr>
      <w:r>
        <w:rPr>
          <w:spacing w:val="-4"/>
          <w:sz w:val="24"/>
          <w:szCs w:val="24"/>
        </w:rPr>
        <w:t>随着后新冠时代的来临，加之全球贸易保护主义、单边主义的盛行，全球经</w:t>
      </w:r>
      <w:r>
        <w:rPr>
          <w:spacing w:val="18"/>
          <w:sz w:val="24"/>
          <w:szCs w:val="24"/>
        </w:rPr>
        <w:t xml:space="preserve"> </w:t>
      </w:r>
      <w:r>
        <w:rPr>
          <w:spacing w:val="-3"/>
          <w:sz w:val="24"/>
          <w:szCs w:val="24"/>
        </w:rPr>
        <w:t>济环境一步步恶化，不复昔日荣光，企业的决策、管理和风险</w:t>
      </w:r>
      <w:r>
        <w:rPr>
          <w:spacing w:val="-4"/>
          <w:sz w:val="24"/>
          <w:szCs w:val="24"/>
        </w:rPr>
        <w:t>控制都会变得更加</w:t>
      </w:r>
      <w:r>
        <w:rPr>
          <w:sz w:val="24"/>
          <w:szCs w:val="24"/>
        </w:rPr>
        <w:t xml:space="preserve"> </w:t>
      </w:r>
      <w:r>
        <w:rPr>
          <w:spacing w:val="-4"/>
          <w:sz w:val="24"/>
          <w:szCs w:val="24"/>
        </w:rPr>
        <w:t>复杂。对于馥郁香酒企业而言，现代馥郁香酒企业若想能够得到长期稳定地生存</w:t>
      </w:r>
      <w:r>
        <w:rPr>
          <w:spacing w:val="12"/>
          <w:sz w:val="24"/>
          <w:szCs w:val="24"/>
        </w:rPr>
        <w:t xml:space="preserve"> </w:t>
      </w:r>
      <w:r>
        <w:rPr>
          <w:spacing w:val="-4"/>
          <w:sz w:val="24"/>
          <w:szCs w:val="24"/>
        </w:rPr>
        <w:t>与发展，就必须进一步更新理念，实现企业风险财务管理工作的系统化和科学性</w:t>
      </w:r>
      <w:r>
        <w:rPr>
          <w:spacing w:val="14"/>
          <w:sz w:val="24"/>
          <w:szCs w:val="24"/>
        </w:rPr>
        <w:t xml:space="preserve"> </w:t>
      </w:r>
      <w:r>
        <w:rPr>
          <w:spacing w:val="-9"/>
          <w:sz w:val="24"/>
          <w:szCs w:val="24"/>
        </w:rPr>
        <w:t>(安妍婷，白子晴，2022)。公司首先应从增强风险监测和预警的意识角</w:t>
      </w:r>
      <w:r>
        <w:rPr>
          <w:spacing w:val="-10"/>
          <w:sz w:val="24"/>
          <w:szCs w:val="24"/>
        </w:rPr>
        <w:t>度入手，收</w:t>
      </w:r>
    </w:p>
    <w:p>
      <w:pPr>
        <w:pStyle w:val="BodyText"/>
        <w:spacing w:line="219" w:lineRule="auto"/>
        <w:ind w:left="13"/>
        <w:rPr>
          <w:sz w:val="24"/>
          <w:szCs w:val="24"/>
        </w:rPr>
      </w:pPr>
      <w:r>
        <w:rPr>
          <w:spacing w:val="-4"/>
          <w:sz w:val="24"/>
          <w:szCs w:val="24"/>
        </w:rPr>
        <w:t>集到相关财务的信息，选取恰当的风险监测指标，形成有效防范风险、化解财务</w:t>
      </w:r>
    </w:p>
    <w:p>
      <w:pPr>
        <w:pStyle w:val="BodyText"/>
        <w:spacing w:before="187" w:line="385" w:lineRule="auto"/>
        <w:ind w:left="13" w:right="109"/>
        <w:jc w:val="both"/>
        <w:rPr>
          <w:sz w:val="24"/>
          <w:szCs w:val="24"/>
        </w:rPr>
      </w:pPr>
      <w:r>
        <w:rPr>
          <w:spacing w:val="-3"/>
          <w:sz w:val="24"/>
          <w:szCs w:val="24"/>
        </w:rPr>
        <w:t>危机的战略性对策，更好地实现公司的长期战</w:t>
      </w:r>
      <w:r>
        <w:rPr>
          <w:spacing w:val="-4"/>
          <w:sz w:val="24"/>
          <w:szCs w:val="24"/>
        </w:rPr>
        <w:t>略目标，可以帮助管理者及时发现</w:t>
      </w:r>
      <w:r>
        <w:rPr>
          <w:sz w:val="24"/>
          <w:szCs w:val="24"/>
        </w:rPr>
        <w:t xml:space="preserve"> </w:t>
      </w:r>
      <w:r>
        <w:rPr>
          <w:spacing w:val="18"/>
          <w:sz w:val="24"/>
          <w:szCs w:val="24"/>
        </w:rPr>
        <w:t>财务系统中隐藏的经营问题，从而提高财务管理水平(陈以欣,戴宛</w:t>
      </w:r>
      <w:r>
        <w:rPr>
          <w:spacing w:val="17"/>
          <w:sz w:val="24"/>
          <w:szCs w:val="24"/>
        </w:rPr>
        <w:t>妮，邓</w:t>
      </w:r>
    </w:p>
    <w:p>
      <w:pPr>
        <w:pStyle w:val="BodyText"/>
        <w:spacing w:line="222" w:lineRule="auto"/>
        <w:ind w:left="13"/>
        <w:rPr>
          <w:sz w:val="24"/>
          <w:szCs w:val="24"/>
        </w:rPr>
      </w:pPr>
      <w:r>
        <w:rPr>
          <w:spacing w:val="-25"/>
          <w:w w:val="97"/>
          <w:sz w:val="24"/>
          <w:szCs w:val="24"/>
        </w:rPr>
        <w:t>紫，2021)。</w:t>
      </w:r>
    </w:p>
    <w:p>
      <w:pPr>
        <w:pStyle w:val="BodyText"/>
        <w:spacing w:before="169" w:line="367" w:lineRule="auto"/>
        <w:ind w:left="13" w:firstLine="470"/>
        <w:jc w:val="both"/>
        <w:rPr>
          <w:sz w:val="24"/>
          <w:szCs w:val="24"/>
        </w:rPr>
      </w:pPr>
      <w:r>
        <w:rPr>
          <w:spacing w:val="-4"/>
          <w:sz w:val="24"/>
          <w:szCs w:val="24"/>
        </w:rPr>
        <w:t>本文收集了湖南酒鬼酒公司四年来的财务统计资料，基于内部控制，进行财</w:t>
      </w:r>
      <w:r>
        <w:rPr>
          <w:spacing w:val="8"/>
          <w:sz w:val="24"/>
          <w:szCs w:val="24"/>
        </w:rPr>
        <w:t xml:space="preserve">  </w:t>
      </w:r>
      <w:r>
        <w:rPr>
          <w:spacing w:val="-3"/>
          <w:sz w:val="24"/>
          <w:szCs w:val="24"/>
        </w:rPr>
        <w:t>务分析，研究其中可能会发生的财务风险以及</w:t>
      </w:r>
      <w:r>
        <w:rPr>
          <w:spacing w:val="-4"/>
          <w:sz w:val="24"/>
          <w:szCs w:val="24"/>
        </w:rPr>
        <w:t>有效的风险防范措施。这有利于帮</w:t>
      </w:r>
      <w:r>
        <w:rPr>
          <w:sz w:val="24"/>
          <w:szCs w:val="24"/>
        </w:rPr>
        <w:t xml:space="preserve">  </w:t>
      </w:r>
      <w:r>
        <w:rPr>
          <w:spacing w:val="-4"/>
          <w:sz w:val="24"/>
          <w:szCs w:val="24"/>
        </w:rPr>
        <w:t>助我们了解和预测湖南酒鬼酒馥郁香酒公司转型的现状和未来，能够为湖南酒鬼</w:t>
      </w:r>
      <w:r>
        <w:rPr>
          <w:spacing w:val="9"/>
          <w:sz w:val="24"/>
          <w:szCs w:val="24"/>
        </w:rPr>
        <w:t xml:space="preserve">  </w:t>
      </w:r>
      <w:r>
        <w:rPr>
          <w:spacing w:val="-4"/>
          <w:sz w:val="24"/>
          <w:szCs w:val="24"/>
        </w:rPr>
        <w:t>酒的决策者管理者提供有价值的信息，有效降低财务风险，同时更有助于公司经</w:t>
      </w:r>
      <w:r>
        <w:rPr>
          <w:spacing w:val="8"/>
          <w:sz w:val="24"/>
          <w:szCs w:val="24"/>
        </w:rPr>
        <w:t xml:space="preserve">  </w:t>
      </w:r>
      <w:r>
        <w:rPr>
          <w:spacing w:val="-3"/>
          <w:sz w:val="24"/>
          <w:szCs w:val="24"/>
        </w:rPr>
        <w:t>营者在明确外部市场环境的基础上，发现问题和不足，并采取有效</w:t>
      </w:r>
      <w:r>
        <w:rPr>
          <w:spacing w:val="-4"/>
          <w:sz w:val="24"/>
          <w:szCs w:val="24"/>
        </w:rPr>
        <w:t>措施，科学制</w:t>
      </w:r>
      <w:r>
        <w:rPr>
          <w:sz w:val="24"/>
          <w:szCs w:val="24"/>
        </w:rPr>
        <w:t xml:space="preserve"> </w:t>
      </w:r>
      <w:r>
        <w:rPr>
          <w:spacing w:val="3"/>
          <w:sz w:val="24"/>
          <w:szCs w:val="24"/>
        </w:rPr>
        <w:t>定战略，及时调整，从而促进湖南酒鬼酒企业取得长远的进步和发展(方忆敏，</w:t>
      </w:r>
    </w:p>
    <w:p>
      <w:pPr>
        <w:pStyle w:val="BodyText"/>
        <w:spacing w:line="222" w:lineRule="auto"/>
        <w:ind w:left="13"/>
        <w:rPr>
          <w:sz w:val="24"/>
          <w:szCs w:val="24"/>
        </w:rPr>
      </w:pPr>
      <w:r>
        <w:rPr>
          <w:spacing w:val="-24"/>
          <w:sz w:val="24"/>
          <w:szCs w:val="24"/>
        </w:rPr>
        <w:t>冯雅玲，2021)。</w:t>
      </w:r>
    </w:p>
    <w:p>
      <w:pPr>
        <w:pStyle w:val="BodyText"/>
        <w:spacing w:before="244" w:line="642" w:lineRule="exact"/>
        <w:ind w:left="13"/>
        <w:rPr>
          <w:sz w:val="31"/>
          <w:szCs w:val="31"/>
        </w:rPr>
      </w:pPr>
      <w:r>
        <w:rPr>
          <w:spacing w:val="5"/>
          <w:position w:val="25"/>
          <w:sz w:val="31"/>
          <w:szCs w:val="31"/>
        </w:rPr>
        <w:t>2</w:t>
      </w:r>
      <w:r>
        <w:rPr>
          <w:spacing w:val="5"/>
          <w:position w:val="25"/>
          <w:sz w:val="31"/>
          <w:szCs w:val="31"/>
        </w:rPr>
        <w:t xml:space="preserve"> </w:t>
      </w:r>
      <w:r>
        <w:rPr>
          <w:spacing w:val="5"/>
          <w:position w:val="25"/>
          <w:sz w:val="31"/>
          <w:szCs w:val="31"/>
        </w:rPr>
        <w:t>财务风险与财务危机理论概述</w:t>
      </w:r>
    </w:p>
    <w:p>
      <w:pPr>
        <w:pStyle w:val="BodyText"/>
        <w:spacing w:line="219" w:lineRule="auto"/>
        <w:ind w:left="13"/>
        <w:rPr>
          <w:sz w:val="28"/>
          <w:szCs w:val="28"/>
        </w:rPr>
      </w:pPr>
      <w:r>
        <w:rPr>
          <w:spacing w:val="-10"/>
          <w:sz w:val="28"/>
          <w:szCs w:val="28"/>
        </w:rPr>
        <w:t>2.1</w:t>
      </w:r>
      <w:r>
        <w:rPr>
          <w:spacing w:val="-10"/>
          <w:sz w:val="28"/>
          <w:szCs w:val="28"/>
        </w:rPr>
        <w:t xml:space="preserve"> </w:t>
      </w:r>
      <w:r>
        <w:rPr>
          <w:spacing w:val="-10"/>
          <w:sz w:val="28"/>
          <w:szCs w:val="28"/>
        </w:rPr>
        <w:t>财务风险的概念</w:t>
      </w:r>
    </w:p>
    <w:p>
      <w:pPr>
        <w:pStyle w:val="BodyText"/>
        <w:spacing w:before="232" w:line="364" w:lineRule="auto"/>
        <w:ind w:left="13" w:right="101" w:firstLine="470"/>
        <w:jc w:val="both"/>
        <w:rPr>
          <w:sz w:val="24"/>
          <w:szCs w:val="24"/>
        </w:rPr>
      </w:pPr>
      <w:r>
        <w:rPr>
          <w:spacing w:val="-4"/>
          <w:sz w:val="24"/>
          <w:szCs w:val="24"/>
        </w:rPr>
        <w:t>企业财务风险贯穿于生产经营的整个过程中，财务风险主要指的是企业筹集</w:t>
      </w:r>
      <w:r>
        <w:rPr>
          <w:spacing w:val="18"/>
          <w:sz w:val="24"/>
          <w:szCs w:val="24"/>
        </w:rPr>
        <w:t xml:space="preserve"> </w:t>
      </w:r>
      <w:r>
        <w:rPr>
          <w:spacing w:val="-3"/>
          <w:sz w:val="24"/>
          <w:szCs w:val="24"/>
        </w:rPr>
        <w:t>资金不顺利，运营过程出现问题等原因导致公司资金流通不顺</w:t>
      </w:r>
      <w:r>
        <w:rPr>
          <w:spacing w:val="-4"/>
          <w:sz w:val="24"/>
          <w:szCs w:val="24"/>
        </w:rPr>
        <w:t>利，筹集资金和归</w:t>
      </w:r>
      <w:r>
        <w:rPr>
          <w:sz w:val="24"/>
          <w:szCs w:val="24"/>
        </w:rPr>
        <w:t xml:space="preserve"> </w:t>
      </w:r>
      <w:r>
        <w:rPr>
          <w:spacing w:val="-9"/>
          <w:sz w:val="24"/>
          <w:szCs w:val="24"/>
        </w:rPr>
        <w:t>还贷款比较艰难，亏损严重的风险(高思萌，韩灵</w:t>
      </w:r>
      <w:r>
        <w:rPr>
          <w:spacing w:val="-10"/>
          <w:sz w:val="24"/>
          <w:szCs w:val="24"/>
        </w:rPr>
        <w:t>芸，黄静，2020)。公司财务风险</w:t>
      </w:r>
      <w:r>
        <w:rPr>
          <w:sz w:val="24"/>
          <w:szCs w:val="24"/>
        </w:rPr>
        <w:t xml:space="preserve"> </w:t>
      </w:r>
      <w:r>
        <w:rPr>
          <w:spacing w:val="3"/>
          <w:sz w:val="24"/>
          <w:szCs w:val="24"/>
        </w:rPr>
        <w:t>涉及到股东们可能取得的回报有较大的相对偏离，这主要与损益的不确定性有</w:t>
      </w:r>
    </w:p>
    <w:p>
      <w:pPr>
        <w:pStyle w:val="BodyText"/>
        <w:spacing w:before="1" w:line="230" w:lineRule="auto"/>
        <w:ind w:left="13"/>
        <w:rPr>
          <w:sz w:val="24"/>
          <w:szCs w:val="24"/>
        </w:rPr>
      </w:pPr>
      <w:r>
        <w:rPr>
          <w:spacing w:val="-12"/>
          <w:sz w:val="24"/>
          <w:szCs w:val="24"/>
        </w:rPr>
        <w:t>关。</w:t>
      </w:r>
    </w:p>
    <w:p>
      <w:pPr>
        <w:pStyle w:val="BodyText"/>
        <w:spacing w:before="253" w:line="219" w:lineRule="auto"/>
        <w:ind w:left="13"/>
        <w:rPr>
          <w:sz w:val="28"/>
          <w:szCs w:val="28"/>
        </w:rPr>
        <w:sectPr>
          <w:footerReference w:type="default" r:id="rId4"/>
          <w:pgSz w:w="11910" w:h="16840"/>
          <w:pgMar w:top="1431" w:right="1719" w:bottom="1138" w:left="1786" w:header="0" w:footer="999" w:gutter="0"/>
          <w:pgNumType w:start="3"/>
          <w:cols w:space="708"/>
        </w:sectPr>
      </w:pPr>
      <w:r>
        <w:rPr>
          <w:spacing w:val="-11"/>
          <w:sz w:val="28"/>
          <w:szCs w:val="28"/>
        </w:rPr>
        <w:t>2.2</w:t>
      </w:r>
      <w:r>
        <w:rPr>
          <w:spacing w:val="-11"/>
          <w:sz w:val="28"/>
          <w:szCs w:val="28"/>
        </w:rPr>
        <w:t xml:space="preserve"> </w:t>
      </w:r>
      <w:r>
        <w:rPr>
          <w:spacing w:val="-11"/>
          <w:sz w:val="28"/>
          <w:szCs w:val="28"/>
        </w:rPr>
        <w:t>财务风险的特征</w:t>
      </w:r>
    </w:p>
    <w:p>
      <w:pPr>
        <w:pStyle w:val="BodyText"/>
        <w:spacing w:before="255" w:line="464" w:lineRule="exact"/>
        <w:ind w:left="483"/>
        <w:rPr>
          <w:sz w:val="24"/>
          <w:szCs w:val="24"/>
        </w:rPr>
      </w:pPr>
      <w:r>
        <w:rPr>
          <w:spacing w:val="-5"/>
          <w:position w:val="16"/>
          <w:sz w:val="24"/>
          <w:szCs w:val="24"/>
        </w:rPr>
        <w:t>(1)共存性：这是指风险与收益保持一致且紧密联系。</w:t>
      </w:r>
    </w:p>
    <w:p>
      <w:pPr>
        <w:pStyle w:val="BodyText"/>
        <w:spacing w:before="1" w:line="219" w:lineRule="auto"/>
        <w:ind w:left="483"/>
        <w:rPr>
          <w:sz w:val="24"/>
          <w:szCs w:val="24"/>
        </w:rPr>
      </w:pPr>
      <w:r>
        <w:rPr>
          <w:spacing w:val="-7"/>
          <w:sz w:val="24"/>
          <w:szCs w:val="24"/>
        </w:rPr>
        <w:t>(2)不确定性：这意味着发生的时间是不确定的。</w:t>
      </w:r>
    </w:p>
    <w:p>
      <w:pPr>
        <w:pStyle w:val="BodyText"/>
        <w:spacing w:before="196" w:line="221" w:lineRule="auto"/>
        <w:ind w:right="25"/>
        <w:jc w:val="right"/>
        <w:rPr>
          <w:sz w:val="24"/>
          <w:szCs w:val="24"/>
        </w:rPr>
      </w:pPr>
      <w:r>
        <w:rPr>
          <w:spacing w:val="-4"/>
          <w:sz w:val="24"/>
          <w:szCs w:val="24"/>
        </w:rPr>
        <w:t>(3)双重性：这意味着将损失和收入的不确定性相结合，并且</w:t>
      </w:r>
      <w:r>
        <w:rPr>
          <w:spacing w:val="-5"/>
          <w:sz w:val="24"/>
          <w:szCs w:val="24"/>
        </w:rPr>
        <w:t>是不可分割的。</w:t>
      </w:r>
    </w:p>
    <w:p>
      <w:pPr>
        <w:spacing w:line="221" w:lineRule="auto"/>
        <w:rPr>
          <w:sz w:val="24"/>
          <w:szCs w:val="24"/>
        </w:rPr>
        <w:sectPr>
          <w:footerReference w:type="default" r:id="rId5"/>
          <w:type w:val="nextPage"/>
          <w:pgSz w:w="11910" w:h="16840"/>
          <w:pgMar w:top="1431" w:right="1719" w:bottom="1138" w:left="1786" w:header="0" w:footer="999" w:gutter="0"/>
          <w:pgNumType w:start="4"/>
          <w:cols w:space="708"/>
          <w:titlePg w:val="0"/>
        </w:sectPr>
      </w:pPr>
    </w:p>
    <w:p>
      <w:pPr>
        <w:pStyle w:val="BodyText"/>
        <w:spacing w:before="108" w:line="212" w:lineRule="auto"/>
        <w:ind w:left="483"/>
        <w:rPr>
          <w:sz w:val="24"/>
          <w:szCs w:val="24"/>
        </w:rPr>
      </w:pPr>
      <w:bookmarkStart w:id="4" w:name="bookmark5"/>
      <w:bookmarkEnd w:id="4"/>
      <w:bookmarkStart w:id="5" w:name="bookmark6"/>
      <w:bookmarkEnd w:id="5"/>
      <w:bookmarkStart w:id="6" w:name="bookmark7"/>
      <w:bookmarkEnd w:id="6"/>
      <w:bookmarkStart w:id="7" w:name="bookmark8"/>
      <w:bookmarkEnd w:id="7"/>
      <w:bookmarkStart w:id="8" w:name="bookmark9"/>
      <w:bookmarkEnd w:id="8"/>
      <w:r>
        <w:rPr>
          <w:spacing w:val="-7"/>
          <w:sz w:val="24"/>
          <w:szCs w:val="24"/>
        </w:rPr>
        <w:t>(4)客观性：这代表着任何人都不能随意改变。</w:t>
      </w:r>
    </w:p>
    <w:p>
      <w:pPr>
        <w:pStyle w:val="BodyText"/>
        <w:spacing w:before="215" w:line="468" w:lineRule="exact"/>
        <w:ind w:left="483"/>
        <w:rPr>
          <w:sz w:val="24"/>
          <w:szCs w:val="24"/>
        </w:rPr>
      </w:pPr>
      <w:r>
        <w:rPr>
          <w:position w:val="17"/>
          <w:sz w:val="24"/>
          <w:szCs w:val="24"/>
        </w:rPr>
        <w:t>(5)全面性：这是指可能发生在在企业的任何活动中且只能减少但不能完全</w:t>
      </w:r>
    </w:p>
    <w:p>
      <w:pPr>
        <w:pStyle w:val="BodyText"/>
        <w:spacing w:line="226" w:lineRule="auto"/>
        <w:ind w:left="13"/>
        <w:rPr>
          <w:sz w:val="24"/>
          <w:szCs w:val="24"/>
        </w:rPr>
      </w:pPr>
      <w:r>
        <w:rPr>
          <w:spacing w:val="-11"/>
          <w:sz w:val="24"/>
          <w:szCs w:val="24"/>
        </w:rPr>
        <w:t>消除。</w:t>
      </w:r>
    </w:p>
    <w:p>
      <w:pPr>
        <w:pStyle w:val="BodyText"/>
        <w:spacing w:before="234" w:line="219" w:lineRule="auto"/>
        <w:ind w:left="13"/>
        <w:rPr>
          <w:sz w:val="28"/>
          <w:szCs w:val="28"/>
        </w:rPr>
      </w:pPr>
      <w:r>
        <w:rPr>
          <w:rFonts w:ascii="Times New Roman" w:eastAsia="Times New Roman" w:hAnsi="Times New Roman" w:cs="Times New Roman"/>
          <w:spacing w:val="-2"/>
          <w:sz w:val="28"/>
          <w:szCs w:val="28"/>
        </w:rPr>
        <w:t>2.3</w:t>
      </w:r>
      <w:r>
        <w:rPr>
          <w:rFonts w:ascii="Times New Roman" w:eastAsia="Times New Roman" w:hAnsi="Times New Roman" w:cs="Times New Roman"/>
          <w:spacing w:val="59"/>
          <w:w w:val="101"/>
          <w:sz w:val="28"/>
          <w:szCs w:val="28"/>
        </w:rPr>
        <w:t xml:space="preserve"> </w:t>
      </w:r>
      <w:r>
        <w:rPr>
          <w:spacing w:val="-2"/>
          <w:sz w:val="28"/>
          <w:szCs w:val="28"/>
        </w:rPr>
        <w:t>财务风险的危害</w:t>
      </w:r>
    </w:p>
    <w:p>
      <w:pPr>
        <w:pStyle w:val="BodyText"/>
        <w:spacing w:before="238" w:line="362" w:lineRule="auto"/>
        <w:ind w:left="13" w:right="40" w:firstLine="470"/>
        <w:jc w:val="both"/>
        <w:rPr>
          <w:sz w:val="24"/>
          <w:szCs w:val="24"/>
        </w:rPr>
      </w:pPr>
      <w:r>
        <w:rPr>
          <w:spacing w:val="-4"/>
          <w:sz w:val="24"/>
          <w:szCs w:val="24"/>
        </w:rPr>
        <w:t>财务风险管理在企业发展过程中的重要性不言自明，如果缺少对于财务风险</w:t>
      </w:r>
      <w:r>
        <w:rPr>
          <w:spacing w:val="14"/>
          <w:sz w:val="24"/>
          <w:szCs w:val="24"/>
        </w:rPr>
        <w:t xml:space="preserve"> </w:t>
      </w:r>
      <w:r>
        <w:rPr>
          <w:spacing w:val="-4"/>
          <w:sz w:val="24"/>
          <w:szCs w:val="24"/>
        </w:rPr>
        <w:t>的警惕性，那么势必将危害到企业的发展。企业自身资金链的紧张、断裂都会导</w:t>
      </w:r>
      <w:r>
        <w:rPr>
          <w:spacing w:val="12"/>
          <w:sz w:val="24"/>
          <w:szCs w:val="24"/>
        </w:rPr>
        <w:t xml:space="preserve"> </w:t>
      </w:r>
      <w:r>
        <w:rPr>
          <w:spacing w:val="-3"/>
          <w:sz w:val="24"/>
          <w:szCs w:val="24"/>
        </w:rPr>
        <w:t>致其休克、破产倒闭(蒋靖雨,柯微悦，2020);资金成本</w:t>
      </w:r>
      <w:r>
        <w:rPr>
          <w:spacing w:val="-4"/>
          <w:sz w:val="24"/>
          <w:szCs w:val="24"/>
        </w:rPr>
        <w:t>过大也会导致企业发展步</w:t>
      </w:r>
      <w:r>
        <w:rPr>
          <w:sz w:val="24"/>
          <w:szCs w:val="24"/>
        </w:rPr>
        <w:t xml:space="preserve"> </w:t>
      </w:r>
      <w:r>
        <w:rPr>
          <w:spacing w:val="-8"/>
          <w:sz w:val="24"/>
          <w:szCs w:val="24"/>
        </w:rPr>
        <w:t>履维艰。在我国进行了社会主义市场经济化后，民营企业如雨后春笋般冒了</w:t>
      </w:r>
      <w:r>
        <w:rPr>
          <w:spacing w:val="-9"/>
          <w:sz w:val="24"/>
          <w:szCs w:val="24"/>
        </w:rPr>
        <w:t>出来，</w:t>
      </w:r>
      <w:r>
        <w:rPr>
          <w:sz w:val="24"/>
          <w:szCs w:val="24"/>
        </w:rPr>
        <w:t xml:space="preserve"> </w:t>
      </w:r>
      <w:r>
        <w:rPr>
          <w:spacing w:val="-4"/>
          <w:sz w:val="24"/>
          <w:szCs w:val="24"/>
        </w:rPr>
        <w:t>数量激增。然而因为财务风险问题而倒闭、关门的企业却也数不胜数，存在财务</w:t>
      </w:r>
      <w:r>
        <w:rPr>
          <w:spacing w:val="12"/>
          <w:sz w:val="24"/>
          <w:szCs w:val="24"/>
        </w:rPr>
        <w:t xml:space="preserve"> </w:t>
      </w:r>
      <w:r>
        <w:rPr>
          <w:spacing w:val="-3"/>
          <w:sz w:val="24"/>
          <w:szCs w:val="24"/>
        </w:rPr>
        <w:t>风险的企业在倒闭之后，危害得不仅仅是这家公司本身，更因</w:t>
      </w:r>
      <w:r>
        <w:rPr>
          <w:spacing w:val="-4"/>
          <w:sz w:val="24"/>
          <w:szCs w:val="24"/>
        </w:rPr>
        <w:t>为它的坏账或遗留</w:t>
      </w:r>
      <w:r>
        <w:rPr>
          <w:sz w:val="24"/>
          <w:szCs w:val="24"/>
        </w:rPr>
        <w:t xml:space="preserve"> </w:t>
      </w:r>
      <w:r>
        <w:rPr>
          <w:spacing w:val="-4"/>
          <w:sz w:val="24"/>
          <w:szCs w:val="24"/>
        </w:rPr>
        <w:t>问题的出现，危害了整个市场经济的运行。为此，我们要加强对财务风险的防控</w:t>
      </w:r>
    </w:p>
    <w:p>
      <w:pPr>
        <w:pStyle w:val="BodyText"/>
        <w:spacing w:line="222" w:lineRule="auto"/>
        <w:ind w:left="13"/>
        <w:rPr>
          <w:sz w:val="24"/>
          <w:szCs w:val="24"/>
        </w:rPr>
      </w:pPr>
      <w:r>
        <w:rPr>
          <w:spacing w:val="-18"/>
          <w:w w:val="96"/>
          <w:sz w:val="24"/>
          <w:szCs w:val="24"/>
        </w:rPr>
        <w:t>(孔舒涵，李琪倩，刘晗丽，2018)。</w:t>
      </w:r>
    </w:p>
    <w:p>
      <w:pPr>
        <w:pStyle w:val="BodyText"/>
        <w:spacing w:before="274" w:line="656" w:lineRule="exact"/>
        <w:ind w:left="13"/>
        <w:rPr>
          <w:sz w:val="32"/>
          <w:szCs w:val="32"/>
        </w:rPr>
      </w:pPr>
      <w:r>
        <w:rPr>
          <w:spacing w:val="-8"/>
          <w:position w:val="25"/>
          <w:sz w:val="32"/>
          <w:szCs w:val="32"/>
        </w:rPr>
        <w:t>3.湖南酒鬼酒公司发展状况</w:t>
      </w:r>
    </w:p>
    <w:p>
      <w:pPr>
        <w:pStyle w:val="BodyText"/>
        <w:spacing w:before="1" w:line="222" w:lineRule="auto"/>
        <w:ind w:left="13"/>
        <w:rPr>
          <w:sz w:val="28"/>
          <w:szCs w:val="28"/>
        </w:rPr>
      </w:pPr>
      <w:r>
        <w:rPr>
          <w:spacing w:val="-9"/>
          <w:sz w:val="28"/>
          <w:szCs w:val="28"/>
        </w:rPr>
        <w:t>3.1</w:t>
      </w:r>
      <w:r>
        <w:rPr>
          <w:spacing w:val="-9"/>
          <w:sz w:val="28"/>
          <w:szCs w:val="28"/>
        </w:rPr>
        <w:t xml:space="preserve"> </w:t>
      </w:r>
      <w:r>
        <w:rPr>
          <w:spacing w:val="-9"/>
          <w:sz w:val="28"/>
          <w:szCs w:val="28"/>
        </w:rPr>
        <w:t>湖南酒鬼酒公司基本情况</w:t>
      </w:r>
    </w:p>
    <w:p>
      <w:pPr>
        <w:pStyle w:val="BodyText"/>
        <w:spacing w:before="244" w:line="222" w:lineRule="auto"/>
        <w:ind w:left="413"/>
        <w:rPr>
          <w:sz w:val="24"/>
          <w:szCs w:val="24"/>
        </w:rPr>
      </w:pPr>
      <w:r>
        <w:rPr>
          <w:spacing w:val="-9"/>
          <w:sz w:val="24"/>
          <w:szCs w:val="24"/>
        </w:rPr>
        <w:t>3.1.1</w:t>
      </w:r>
      <w:r>
        <w:rPr>
          <w:spacing w:val="-9"/>
          <w:sz w:val="24"/>
          <w:szCs w:val="24"/>
        </w:rPr>
        <w:t xml:space="preserve"> </w:t>
      </w:r>
      <w:r>
        <w:rPr>
          <w:spacing w:val="-9"/>
          <w:sz w:val="24"/>
          <w:szCs w:val="24"/>
        </w:rPr>
        <w:t>湖南酒鬼酒公司简介及基本情况</w:t>
      </w:r>
    </w:p>
    <w:p>
      <w:pPr>
        <w:pStyle w:val="BodyText"/>
        <w:spacing w:before="144" w:line="363" w:lineRule="auto"/>
        <w:ind w:left="13" w:right="92" w:firstLine="470"/>
        <w:jc w:val="both"/>
        <w:rPr>
          <w:sz w:val="24"/>
          <w:szCs w:val="24"/>
        </w:rPr>
      </w:pPr>
      <w:r>
        <w:rPr>
          <w:spacing w:val="4"/>
          <w:sz w:val="24"/>
          <w:szCs w:val="24"/>
        </w:rPr>
        <w:t>湖南酒鬼酒公司是我国馥郁香酒行业的代表性企业，深耕馥郁香酒领域多</w:t>
      </w:r>
      <w:r>
        <w:rPr>
          <w:spacing w:val="18"/>
          <w:sz w:val="24"/>
          <w:szCs w:val="24"/>
        </w:rPr>
        <w:t xml:space="preserve"> </w:t>
      </w:r>
      <w:r>
        <w:rPr>
          <w:sz w:val="24"/>
          <w:szCs w:val="24"/>
        </w:rPr>
        <w:t>年，湖南酒鬼酒在曾经在2018-2020年三年连续获得我</w:t>
      </w:r>
      <w:r>
        <w:rPr>
          <w:spacing w:val="-1"/>
          <w:sz w:val="24"/>
          <w:szCs w:val="24"/>
        </w:rPr>
        <w:t>国“国家馥郁香酒企业荣</w:t>
      </w:r>
      <w:r>
        <w:rPr>
          <w:sz w:val="24"/>
          <w:szCs w:val="24"/>
        </w:rPr>
        <w:t xml:space="preserve"> </w:t>
      </w:r>
      <w:r>
        <w:rPr>
          <w:spacing w:val="-7"/>
          <w:sz w:val="24"/>
          <w:szCs w:val="24"/>
        </w:rPr>
        <w:t>誉金奖</w:t>
      </w:r>
      <w:r>
        <w:rPr>
          <w:rFonts w:ascii="Times New Roman" w:eastAsia="Times New Roman" w:hAnsi="Times New Roman" w:cs="Times New Roman"/>
          <w:spacing w:val="-7"/>
          <w:sz w:val="24"/>
          <w:szCs w:val="24"/>
        </w:rPr>
        <w:t>”</w:t>
      </w:r>
      <w:r>
        <w:rPr>
          <w:rFonts w:ascii="SimSun" w:eastAsia="SimSun" w:hAnsi="SimSun" w:cs="SimSun"/>
          <w:spacing w:val="-7"/>
          <w:sz w:val="24"/>
          <w:szCs w:val="24"/>
        </w:rPr>
        <w:t>、</w:t>
      </w:r>
      <w:r>
        <w:rPr>
          <w:spacing w:val="-7"/>
          <w:sz w:val="24"/>
          <w:szCs w:val="24"/>
        </w:rPr>
        <w:t>“国家优质纳税企业”以及入围了华润排行榜排出的“全球优质馥郁香</w:t>
      </w:r>
      <w:r>
        <w:rPr>
          <w:spacing w:val="18"/>
          <w:sz w:val="24"/>
          <w:szCs w:val="24"/>
        </w:rPr>
        <w:t xml:space="preserve"> </w:t>
      </w:r>
      <w:r>
        <w:rPr>
          <w:sz w:val="24"/>
          <w:szCs w:val="24"/>
        </w:rPr>
        <w:t>酒企业500强”。湖南酒鬼酒的发展是我国馥郁香酒企业改革创新的缩影，因此</w:t>
      </w:r>
      <w:r>
        <w:rPr>
          <w:spacing w:val="14"/>
          <w:sz w:val="24"/>
          <w:szCs w:val="24"/>
        </w:rPr>
        <w:t xml:space="preserve"> </w:t>
      </w:r>
      <w:r>
        <w:rPr>
          <w:spacing w:val="-4"/>
          <w:sz w:val="24"/>
          <w:szCs w:val="24"/>
        </w:rPr>
        <w:t>能够在很大程度上代表着我国馥郁香酒企业的发展状况。公司秉承“实干创造未</w:t>
      </w:r>
      <w:r>
        <w:rPr>
          <w:spacing w:val="14"/>
          <w:sz w:val="24"/>
          <w:szCs w:val="24"/>
        </w:rPr>
        <w:t xml:space="preserve"> </w:t>
      </w:r>
      <w:r>
        <w:rPr>
          <w:spacing w:val="-3"/>
          <w:sz w:val="24"/>
          <w:szCs w:val="24"/>
        </w:rPr>
        <w:t>来”的企业精神，坚持“以市场为导向，以客户为中</w:t>
      </w:r>
      <w:r>
        <w:rPr>
          <w:spacing w:val="-4"/>
          <w:sz w:val="24"/>
          <w:szCs w:val="24"/>
        </w:rPr>
        <w:t>心”的经营理念，坚持做出</w:t>
      </w:r>
      <w:r>
        <w:rPr>
          <w:sz w:val="24"/>
          <w:szCs w:val="24"/>
        </w:rPr>
        <w:t xml:space="preserve"> </w:t>
      </w:r>
      <w:r>
        <w:rPr>
          <w:sz w:val="24"/>
          <w:szCs w:val="24"/>
        </w:rPr>
        <w:t>高品质产品，本着“追求、质量、技术、精神”8字宗旨，</w:t>
      </w:r>
      <w:r>
        <w:rPr>
          <w:spacing w:val="-1"/>
          <w:sz w:val="24"/>
          <w:szCs w:val="24"/>
        </w:rPr>
        <w:t>基于馥郁香酒市场需</w:t>
      </w:r>
    </w:p>
    <w:p>
      <w:pPr>
        <w:pStyle w:val="BodyText"/>
        <w:spacing w:before="1" w:line="219" w:lineRule="auto"/>
        <w:ind w:left="13"/>
        <w:rPr>
          <w:sz w:val="24"/>
          <w:szCs w:val="24"/>
        </w:rPr>
      </w:pPr>
      <w:r>
        <w:rPr>
          <w:spacing w:val="-8"/>
          <w:sz w:val="24"/>
          <w:szCs w:val="24"/>
        </w:rPr>
        <w:t>求进行不断创新，使公司始终处于馥郁香酒行业前沿，引领馥郁香酒行业的发展。</w:t>
      </w:r>
    </w:p>
    <w:p>
      <w:pPr>
        <w:pStyle w:val="BodyText"/>
        <w:spacing w:before="254" w:line="469" w:lineRule="exact"/>
        <w:ind w:left="413"/>
        <w:rPr>
          <w:sz w:val="24"/>
          <w:szCs w:val="24"/>
        </w:rPr>
      </w:pPr>
      <w:r>
        <w:rPr>
          <w:spacing w:val="-12"/>
          <w:position w:val="17"/>
          <w:sz w:val="24"/>
          <w:szCs w:val="24"/>
        </w:rPr>
        <w:t>3.1.2</w:t>
      </w:r>
      <w:r>
        <w:rPr>
          <w:spacing w:val="-12"/>
          <w:position w:val="17"/>
          <w:sz w:val="24"/>
          <w:szCs w:val="24"/>
        </w:rPr>
        <w:t xml:space="preserve"> </w:t>
      </w:r>
      <w:r>
        <w:rPr>
          <w:spacing w:val="-12"/>
          <w:position w:val="17"/>
          <w:sz w:val="24"/>
          <w:szCs w:val="24"/>
        </w:rPr>
        <w:t>馥郁香酒行业特点</w:t>
      </w:r>
    </w:p>
    <w:p>
      <w:pPr>
        <w:pStyle w:val="BodyText"/>
        <w:spacing w:before="1" w:line="217" w:lineRule="auto"/>
        <w:ind w:left="483"/>
        <w:rPr>
          <w:sz w:val="24"/>
          <w:szCs w:val="24"/>
        </w:rPr>
        <w:sectPr>
          <w:footerReference w:type="default" r:id="rId6"/>
          <w:pgSz w:w="11910" w:h="16840"/>
          <w:pgMar w:top="1431" w:right="1719" w:bottom="1138" w:left="1786" w:header="0" w:footer="999" w:gutter="0"/>
          <w:pgNumType w:start="5"/>
          <w:cols w:space="708"/>
        </w:sectPr>
      </w:pPr>
      <w:r>
        <w:rPr>
          <w:spacing w:val="-9"/>
          <w:sz w:val="24"/>
          <w:szCs w:val="24"/>
        </w:rPr>
        <w:t>(1)市场竞争相对激烈</w:t>
      </w:r>
    </w:p>
    <w:p>
      <w:pPr>
        <w:pStyle w:val="BodyText"/>
        <w:spacing w:before="198" w:line="361" w:lineRule="auto"/>
        <w:ind w:left="13" w:right="110" w:firstLine="470"/>
        <w:rPr>
          <w:sz w:val="24"/>
          <w:szCs w:val="24"/>
        </w:rPr>
      </w:pPr>
      <w:r>
        <w:rPr>
          <w:spacing w:val="2"/>
          <w:sz w:val="24"/>
          <w:szCs w:val="24"/>
        </w:rPr>
        <w:t>在经过20多年的无序竞争之后，馥郁香酒行业的集中程度正在不断提高，</w:t>
      </w:r>
      <w:r>
        <w:rPr>
          <w:spacing w:val="2"/>
          <w:sz w:val="24"/>
          <w:szCs w:val="24"/>
        </w:rPr>
        <w:t xml:space="preserve"> </w:t>
      </w:r>
      <w:r>
        <w:rPr>
          <w:spacing w:val="-4"/>
          <w:sz w:val="24"/>
          <w:szCs w:val="24"/>
        </w:rPr>
        <w:t>大批量的中小馥郁香酒企业在这场残酷的角逐中被淘汰。留下来的企业想要占据</w:t>
      </w:r>
    </w:p>
    <w:p>
      <w:pPr>
        <w:pStyle w:val="BodyText"/>
        <w:spacing w:before="1" w:line="217" w:lineRule="auto"/>
        <w:jc w:val="right"/>
        <w:rPr>
          <w:sz w:val="24"/>
          <w:szCs w:val="24"/>
        </w:rPr>
      </w:pPr>
      <w:r>
        <w:rPr>
          <w:sz w:val="24"/>
          <w:szCs w:val="24"/>
        </w:rPr>
        <w:t>市场，他们的方法也只有并购以及去侵占其它竞争对手的</w:t>
      </w:r>
      <w:r>
        <w:rPr>
          <w:spacing w:val="-1"/>
          <w:sz w:val="24"/>
          <w:szCs w:val="24"/>
        </w:rPr>
        <w:t>市场(龙婉琳,卢映雪，</w:t>
      </w:r>
    </w:p>
    <w:p>
      <w:pPr>
        <w:spacing w:line="217" w:lineRule="auto"/>
        <w:rPr>
          <w:sz w:val="24"/>
          <w:szCs w:val="24"/>
        </w:rPr>
        <w:sectPr>
          <w:footerReference w:type="default" r:id="rId7"/>
          <w:type w:val="nextPage"/>
          <w:pgSz w:w="11910" w:h="16840"/>
          <w:pgMar w:top="1431" w:right="1719" w:bottom="1138" w:left="1786" w:header="0" w:footer="999" w:gutter="0"/>
          <w:pgNumType w:start="6"/>
          <w:cols w:space="708"/>
          <w:titlePg w:val="0"/>
        </w:sectPr>
      </w:pPr>
    </w:p>
    <w:p>
      <w:pPr>
        <w:pStyle w:val="BodyText"/>
        <w:spacing w:before="103" w:line="500" w:lineRule="exact"/>
        <w:ind w:left="3"/>
        <w:rPr>
          <w:sz w:val="24"/>
          <w:szCs w:val="24"/>
        </w:rPr>
      </w:pPr>
      <w:bookmarkStart w:id="9" w:name="bookmark10"/>
      <w:bookmarkEnd w:id="9"/>
      <w:bookmarkStart w:id="10" w:name="bookmark11"/>
      <w:bookmarkEnd w:id="10"/>
      <w:r>
        <w:rPr>
          <w:spacing w:val="-6"/>
          <w:position w:val="20"/>
          <w:sz w:val="24"/>
          <w:szCs w:val="24"/>
        </w:rPr>
        <w:t>毛语，2022)。而存活下来的馥郁香酒企业大都具有一定的实力与底蕴，想</w:t>
      </w:r>
      <w:r>
        <w:rPr>
          <w:spacing w:val="-7"/>
          <w:position w:val="20"/>
          <w:sz w:val="24"/>
          <w:szCs w:val="24"/>
        </w:rPr>
        <w:t>要直接</w:t>
      </w:r>
    </w:p>
    <w:p>
      <w:pPr>
        <w:pStyle w:val="BodyText"/>
        <w:spacing w:line="223" w:lineRule="auto"/>
        <w:ind w:left="3"/>
        <w:rPr>
          <w:sz w:val="24"/>
          <w:szCs w:val="24"/>
        </w:rPr>
      </w:pPr>
      <w:r>
        <w:rPr>
          <w:spacing w:val="-7"/>
          <w:sz w:val="24"/>
          <w:szCs w:val="24"/>
        </w:rPr>
        <w:t>吞噬也是举步维艰。</w:t>
      </w:r>
    </w:p>
    <w:p>
      <w:pPr>
        <w:pStyle w:val="BodyText"/>
        <w:spacing w:before="178" w:line="224" w:lineRule="auto"/>
        <w:ind w:left="493"/>
        <w:rPr>
          <w:sz w:val="24"/>
          <w:szCs w:val="24"/>
        </w:rPr>
      </w:pPr>
      <w:r>
        <w:rPr>
          <w:spacing w:val="-10"/>
          <w:sz w:val="24"/>
          <w:szCs w:val="24"/>
        </w:rPr>
        <w:t>(2)产品生存周期短暂</w:t>
      </w:r>
    </w:p>
    <w:p>
      <w:pPr>
        <w:pStyle w:val="BodyText"/>
        <w:spacing w:before="169" w:line="362" w:lineRule="auto"/>
        <w:ind w:left="3" w:right="104" w:firstLine="490"/>
        <w:rPr>
          <w:sz w:val="24"/>
          <w:szCs w:val="24"/>
        </w:rPr>
      </w:pPr>
      <w:r>
        <w:rPr>
          <w:spacing w:val="-4"/>
          <w:sz w:val="24"/>
          <w:szCs w:val="24"/>
        </w:rPr>
        <w:t>产品生存周期短暂这也是市场竞争所带来的影响，每一家企业都在不断更新</w:t>
      </w:r>
      <w:r>
        <w:rPr>
          <w:spacing w:val="4"/>
          <w:sz w:val="24"/>
          <w:szCs w:val="24"/>
        </w:rPr>
        <w:t xml:space="preserve"> </w:t>
      </w:r>
      <w:r>
        <w:rPr>
          <w:spacing w:val="-4"/>
          <w:sz w:val="24"/>
          <w:szCs w:val="24"/>
        </w:rPr>
        <w:t>自己的产品，投入更多资金与精力在技术的创新与改造上。这一切都源于他们想</w:t>
      </w:r>
      <w:r>
        <w:rPr>
          <w:spacing w:val="2"/>
          <w:sz w:val="24"/>
          <w:szCs w:val="24"/>
        </w:rPr>
        <w:t xml:space="preserve"> </w:t>
      </w:r>
      <w:r>
        <w:rPr>
          <w:spacing w:val="-9"/>
          <w:sz w:val="24"/>
          <w:szCs w:val="24"/>
        </w:rPr>
        <w:t>要占据更多的市场份额，将竞争对手挤出馥郁香酒行业。在产品不断更新的同时，</w:t>
      </w:r>
      <w:r>
        <w:rPr>
          <w:spacing w:val="13"/>
          <w:sz w:val="24"/>
          <w:szCs w:val="24"/>
        </w:rPr>
        <w:t xml:space="preserve"> </w:t>
      </w:r>
      <w:r>
        <w:rPr>
          <w:spacing w:val="-3"/>
          <w:sz w:val="24"/>
          <w:szCs w:val="24"/>
        </w:rPr>
        <w:t>产品也开始不断的更新换代，各大馥郁香酒企业只能依靠技术不断开发出新的产</w:t>
      </w:r>
    </w:p>
    <w:p>
      <w:pPr>
        <w:pStyle w:val="BodyText"/>
        <w:spacing w:before="1" w:line="217" w:lineRule="auto"/>
        <w:ind w:left="3"/>
        <w:rPr>
          <w:sz w:val="24"/>
          <w:szCs w:val="24"/>
        </w:rPr>
      </w:pPr>
      <w:r>
        <w:rPr>
          <w:spacing w:val="-4"/>
          <w:sz w:val="24"/>
          <w:szCs w:val="24"/>
        </w:rPr>
        <w:t>品，以求在市场中以新取胜，谋取较高的利润(牛晶莹,欧倩瑶)。</w:t>
      </w:r>
    </w:p>
    <w:p>
      <w:pPr>
        <w:pStyle w:val="BodyText"/>
        <w:spacing w:before="234" w:line="224" w:lineRule="auto"/>
        <w:ind w:left="493"/>
        <w:rPr>
          <w:sz w:val="24"/>
          <w:szCs w:val="24"/>
        </w:rPr>
      </w:pPr>
      <w:r>
        <w:rPr>
          <w:spacing w:val="-10"/>
          <w:sz w:val="24"/>
          <w:szCs w:val="24"/>
        </w:rPr>
        <w:t>(3)生产大批量、专业化</w:t>
      </w:r>
    </w:p>
    <w:p>
      <w:pPr>
        <w:pStyle w:val="BodyText"/>
        <w:spacing w:before="174" w:line="369" w:lineRule="auto"/>
        <w:ind w:left="3" w:right="149" w:firstLine="490"/>
        <w:rPr>
          <w:sz w:val="24"/>
          <w:szCs w:val="24"/>
        </w:rPr>
      </w:pPr>
      <w:r>
        <w:rPr>
          <w:spacing w:val="-4"/>
          <w:sz w:val="24"/>
          <w:szCs w:val="24"/>
        </w:rPr>
        <w:t>馥郁香酒生产的过程是材料、工艺、批量生产相结合而进行的一种产品组合</w:t>
      </w:r>
      <w:r>
        <w:rPr>
          <w:spacing w:val="6"/>
          <w:sz w:val="24"/>
          <w:szCs w:val="24"/>
        </w:rPr>
        <w:t xml:space="preserve"> </w:t>
      </w:r>
      <w:r>
        <w:rPr>
          <w:spacing w:val="-4"/>
          <w:sz w:val="24"/>
          <w:szCs w:val="24"/>
        </w:rPr>
        <w:t>的过程，湖南酒鬼酒公司需要在产品的原材料上实行精细化、专业化生产。但是</w:t>
      </w:r>
      <w:r>
        <w:rPr>
          <w:sz w:val="24"/>
          <w:szCs w:val="24"/>
        </w:rPr>
        <w:t xml:space="preserve"> </w:t>
      </w:r>
      <w:r>
        <w:rPr>
          <w:spacing w:val="-4"/>
          <w:sz w:val="24"/>
          <w:szCs w:val="24"/>
        </w:rPr>
        <w:t>由于市场需求量大，而这就要求各大公司进行大批量的生产，生产车间人均生产</w:t>
      </w:r>
    </w:p>
    <w:p>
      <w:pPr>
        <w:pStyle w:val="BodyText"/>
        <w:spacing w:before="1" w:line="219" w:lineRule="auto"/>
        <w:ind w:left="3"/>
        <w:rPr>
          <w:sz w:val="24"/>
          <w:szCs w:val="24"/>
        </w:rPr>
      </w:pPr>
      <w:r>
        <w:rPr>
          <w:spacing w:val="-12"/>
          <w:sz w:val="24"/>
          <w:szCs w:val="24"/>
        </w:rPr>
        <w:t>率相对要高，从而导致大部分企业重量不重质(彭珊然，齐思萱，钱欣，2021</w:t>
      </w:r>
      <w:r>
        <w:rPr>
          <w:spacing w:val="-13"/>
          <w:sz w:val="24"/>
          <w:szCs w:val="24"/>
        </w:rPr>
        <w:t>)。</w:t>
      </w:r>
    </w:p>
    <w:p>
      <w:pPr>
        <w:pStyle w:val="BodyText"/>
        <w:spacing w:before="275" w:line="219" w:lineRule="auto"/>
        <w:ind w:left="3"/>
        <w:rPr>
          <w:sz w:val="24"/>
          <w:szCs w:val="24"/>
        </w:rPr>
      </w:pPr>
      <w:r>
        <w:rPr>
          <w:spacing w:val="28"/>
          <w:sz w:val="24"/>
          <w:szCs w:val="24"/>
        </w:rPr>
        <w:t>3</w:t>
      </w:r>
      <w:r>
        <w:rPr>
          <w:spacing w:val="-52"/>
          <w:sz w:val="24"/>
          <w:szCs w:val="24"/>
        </w:rPr>
        <w:t xml:space="preserve"> </w:t>
      </w:r>
      <w:r>
        <w:rPr>
          <w:spacing w:val="28"/>
          <w:sz w:val="24"/>
          <w:szCs w:val="24"/>
        </w:rPr>
        <w:t>.</w:t>
      </w:r>
      <w:r>
        <w:rPr>
          <w:spacing w:val="-68"/>
          <w:sz w:val="24"/>
          <w:szCs w:val="24"/>
        </w:rPr>
        <w:t xml:space="preserve"> </w:t>
      </w:r>
      <w:r>
        <w:rPr>
          <w:spacing w:val="28"/>
          <w:sz w:val="24"/>
          <w:szCs w:val="24"/>
        </w:rPr>
        <w:t>2湖南酒鬼酒公司财务现状</w:t>
      </w:r>
    </w:p>
    <w:p>
      <w:pPr>
        <w:pStyle w:val="BodyText"/>
        <w:spacing w:before="246" w:line="363" w:lineRule="auto"/>
        <w:ind w:left="3" w:right="130" w:firstLine="490"/>
        <w:jc w:val="both"/>
        <w:rPr>
          <w:sz w:val="24"/>
          <w:szCs w:val="24"/>
        </w:rPr>
      </w:pPr>
      <w:r>
        <w:rPr>
          <w:spacing w:val="7"/>
          <w:sz w:val="24"/>
          <w:szCs w:val="24"/>
        </w:rPr>
        <w:t>本文将从湖南酒鬼酒公司的三个重要年份(2020-2022)的历</w:t>
      </w:r>
      <w:r>
        <w:rPr>
          <w:spacing w:val="6"/>
          <w:sz w:val="24"/>
          <w:szCs w:val="24"/>
        </w:rPr>
        <w:t>年财务报表中</w:t>
      </w:r>
      <w:r>
        <w:rPr>
          <w:sz w:val="24"/>
          <w:szCs w:val="24"/>
        </w:rPr>
        <w:t xml:space="preserve"> </w:t>
      </w:r>
      <w:r>
        <w:rPr>
          <w:spacing w:val="3"/>
          <w:sz w:val="24"/>
          <w:szCs w:val="24"/>
        </w:rPr>
        <w:t>拿出来对湖南酒鬼酒公司的历年财务报表情况进行展开一个深入的统计分析和</w:t>
      </w:r>
      <w:r>
        <w:rPr>
          <w:spacing w:val="6"/>
          <w:sz w:val="24"/>
          <w:szCs w:val="24"/>
        </w:rPr>
        <w:t xml:space="preserve"> </w:t>
      </w:r>
      <w:r>
        <w:rPr>
          <w:spacing w:val="-3"/>
          <w:sz w:val="24"/>
          <w:szCs w:val="24"/>
        </w:rPr>
        <w:t>深入研究。接下来，我们将从财务结构、偿债能力、营运能力、盈利能力、</w:t>
      </w:r>
      <w:r>
        <w:rPr>
          <w:spacing w:val="-4"/>
          <w:sz w:val="24"/>
          <w:szCs w:val="24"/>
        </w:rPr>
        <w:t>成长</w:t>
      </w:r>
    </w:p>
    <w:p>
      <w:pPr>
        <w:pStyle w:val="BodyText"/>
        <w:spacing w:line="216" w:lineRule="auto"/>
        <w:ind w:left="3"/>
        <w:rPr>
          <w:sz w:val="24"/>
          <w:szCs w:val="24"/>
        </w:rPr>
      </w:pPr>
      <w:r>
        <w:rPr>
          <w:spacing w:val="-3"/>
          <w:sz w:val="24"/>
          <w:szCs w:val="24"/>
        </w:rPr>
        <w:t>能力、现金流等方面分析湖南酒鬼酒转型中存在的</w:t>
      </w:r>
      <w:r>
        <w:rPr>
          <w:spacing w:val="-4"/>
          <w:sz w:val="24"/>
          <w:szCs w:val="24"/>
        </w:rPr>
        <w:t>问题。</w:t>
      </w:r>
    </w:p>
    <w:p>
      <w:pPr>
        <w:pStyle w:val="BodyText"/>
        <w:spacing w:before="212" w:line="488" w:lineRule="exact"/>
        <w:ind w:left="423"/>
        <w:rPr>
          <w:sz w:val="24"/>
          <w:szCs w:val="24"/>
        </w:rPr>
      </w:pPr>
      <w:r>
        <w:rPr>
          <w:spacing w:val="-11"/>
          <w:position w:val="18"/>
          <w:sz w:val="24"/>
          <w:szCs w:val="24"/>
        </w:rPr>
        <w:t>3.2.1</w:t>
      </w:r>
      <w:r>
        <w:rPr>
          <w:spacing w:val="-11"/>
          <w:position w:val="18"/>
          <w:sz w:val="24"/>
          <w:szCs w:val="24"/>
        </w:rPr>
        <w:t xml:space="preserve"> </w:t>
      </w:r>
      <w:r>
        <w:rPr>
          <w:spacing w:val="-11"/>
          <w:position w:val="18"/>
          <w:sz w:val="24"/>
          <w:szCs w:val="24"/>
        </w:rPr>
        <w:t>湖南酒鬼酒公司财务结构</w:t>
      </w:r>
    </w:p>
    <w:p>
      <w:pPr>
        <w:pStyle w:val="BodyText"/>
        <w:spacing w:line="225" w:lineRule="auto"/>
        <w:ind w:left="643"/>
        <w:rPr>
          <w:sz w:val="24"/>
          <w:szCs w:val="24"/>
        </w:rPr>
      </w:pPr>
      <w:r>
        <w:rPr>
          <w:spacing w:val="2"/>
          <w:sz w:val="24"/>
          <w:szCs w:val="24"/>
        </w:rPr>
        <w:t>(1)湖南酒鬼酒资产负债率：</w:t>
      </w:r>
    </w:p>
    <w:p>
      <w:pPr>
        <w:spacing w:before="139" w:line="208" w:lineRule="auto"/>
        <w:ind w:left="2623"/>
        <w:rPr>
          <w:rFonts w:ascii="SimSun" w:eastAsia="SimSun" w:hAnsi="SimSun" w:cs="SimSun"/>
          <w:sz w:val="21"/>
          <w:szCs w:val="21"/>
        </w:rPr>
      </w:pPr>
      <w:r>
        <w:rPr>
          <w:rFonts w:ascii="SimSun" w:eastAsia="SimSun" w:hAnsi="SimSun" w:cs="SimSun"/>
          <w:spacing w:val="-1"/>
          <w:sz w:val="21"/>
          <w:szCs w:val="21"/>
        </w:rPr>
        <w:t>表3.1湖南酒鬼酒公司资产负债率</w:t>
      </w:r>
    </w:p>
    <w:tbl>
      <w:tblPr>
        <w:tblStyle w:val="TableNormal0"/>
        <w:tblW w:w="7910" w:type="dxa"/>
        <w:tblInd w:w="5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63"/>
        <w:gridCol w:w="2018"/>
        <w:gridCol w:w="2157"/>
        <w:gridCol w:w="2072"/>
      </w:tblGrid>
      <w:tr>
        <w:tblPrEx>
          <w:tblW w:w="7910" w:type="dxa"/>
          <w:tblInd w:w="5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22"/>
        </w:trPr>
        <w:tc>
          <w:tcPr>
            <w:tcW w:w="1663" w:type="dxa"/>
            <w:vAlign w:val="top"/>
          </w:tcPr>
          <w:p>
            <w:pPr>
              <w:pStyle w:val="TableText"/>
              <w:spacing w:before="63" w:line="220" w:lineRule="auto"/>
              <w:ind w:left="105"/>
            </w:pPr>
            <w:r>
              <w:rPr>
                <w:spacing w:val="-6"/>
              </w:rPr>
              <w:t>项 目</w:t>
            </w:r>
          </w:p>
        </w:tc>
        <w:tc>
          <w:tcPr>
            <w:tcW w:w="2018" w:type="dxa"/>
            <w:vAlign w:val="top"/>
          </w:tcPr>
          <w:p>
            <w:pPr>
              <w:pStyle w:val="TableText"/>
              <w:spacing w:before="73" w:line="219" w:lineRule="auto"/>
              <w:ind w:left="132"/>
            </w:pPr>
            <w:r>
              <w:rPr>
                <w:spacing w:val="-2"/>
              </w:rPr>
              <w:t>2020年</w:t>
            </w:r>
          </w:p>
        </w:tc>
        <w:tc>
          <w:tcPr>
            <w:tcW w:w="2157" w:type="dxa"/>
            <w:vAlign w:val="top"/>
          </w:tcPr>
          <w:p>
            <w:pPr>
              <w:pStyle w:val="TableText"/>
              <w:spacing w:before="73" w:line="219" w:lineRule="auto"/>
              <w:ind w:left="124"/>
            </w:pPr>
            <w:r>
              <w:rPr>
                <w:spacing w:val="-2"/>
              </w:rPr>
              <w:t>2021年</w:t>
            </w:r>
          </w:p>
        </w:tc>
        <w:tc>
          <w:tcPr>
            <w:tcW w:w="2072" w:type="dxa"/>
            <w:vAlign w:val="top"/>
          </w:tcPr>
          <w:p>
            <w:pPr>
              <w:pStyle w:val="TableText"/>
              <w:spacing w:before="73" w:line="219" w:lineRule="auto"/>
              <w:ind w:left="127"/>
            </w:pPr>
            <w:r>
              <w:rPr>
                <w:spacing w:val="-2"/>
              </w:rPr>
              <w:t>2022年</w:t>
            </w:r>
          </w:p>
        </w:tc>
      </w:tr>
      <w:tr>
        <w:tblPrEx>
          <w:tblW w:w="7910" w:type="dxa"/>
          <w:tblInd w:w="523" w:type="dxa"/>
          <w:tblLayout w:type="fixed"/>
        </w:tblPrEx>
        <w:trPr>
          <w:trHeight w:val="727"/>
        </w:trPr>
        <w:tc>
          <w:tcPr>
            <w:tcW w:w="1663" w:type="dxa"/>
            <w:vAlign w:val="top"/>
          </w:tcPr>
          <w:p>
            <w:pPr>
              <w:pStyle w:val="TableText"/>
              <w:spacing w:before="81" w:line="219" w:lineRule="auto"/>
              <w:ind w:left="105"/>
            </w:pPr>
            <w:r>
              <w:rPr>
                <w:spacing w:val="7"/>
              </w:rPr>
              <w:t>总负债(元)</w:t>
            </w:r>
          </w:p>
        </w:tc>
        <w:tc>
          <w:tcPr>
            <w:tcW w:w="2018" w:type="dxa"/>
            <w:vAlign w:val="top"/>
          </w:tcPr>
          <w:p>
            <w:pPr>
              <w:pStyle w:val="TableText"/>
              <w:spacing w:before="298" w:line="184" w:lineRule="auto"/>
              <w:ind w:left="132"/>
            </w:pPr>
            <w:r>
              <w:rPr>
                <w:spacing w:val="-1"/>
              </w:rPr>
              <w:t>363,515,000.00</w:t>
            </w:r>
          </w:p>
        </w:tc>
        <w:tc>
          <w:tcPr>
            <w:tcW w:w="2157" w:type="dxa"/>
            <w:vAlign w:val="top"/>
          </w:tcPr>
          <w:p>
            <w:pPr>
              <w:pStyle w:val="TableText"/>
              <w:spacing w:before="298" w:line="184" w:lineRule="auto"/>
              <w:ind w:left="124"/>
            </w:pPr>
            <w:r>
              <w:rPr>
                <w:spacing w:val="-1"/>
              </w:rPr>
              <w:t>420,019,000.00</w:t>
            </w:r>
          </w:p>
        </w:tc>
        <w:tc>
          <w:tcPr>
            <w:tcW w:w="2072" w:type="dxa"/>
            <w:vAlign w:val="top"/>
          </w:tcPr>
          <w:p>
            <w:pPr>
              <w:pStyle w:val="TableText"/>
              <w:spacing w:before="299" w:line="183" w:lineRule="auto"/>
              <w:ind w:left="127"/>
            </w:pPr>
            <w:r>
              <w:rPr>
                <w:spacing w:val="-1"/>
              </w:rPr>
              <w:t>635,667,000.00</w:t>
            </w:r>
          </w:p>
        </w:tc>
      </w:tr>
      <w:tr>
        <w:tblPrEx>
          <w:tblW w:w="7910" w:type="dxa"/>
          <w:tblInd w:w="523" w:type="dxa"/>
          <w:tblLayout w:type="fixed"/>
        </w:tblPrEx>
        <w:trPr>
          <w:trHeight w:val="718"/>
        </w:trPr>
        <w:tc>
          <w:tcPr>
            <w:tcW w:w="1663" w:type="dxa"/>
            <w:vAlign w:val="top"/>
          </w:tcPr>
          <w:p>
            <w:pPr>
              <w:pStyle w:val="TableText"/>
              <w:spacing w:before="94" w:line="219" w:lineRule="auto"/>
              <w:ind w:left="105"/>
            </w:pPr>
            <w:r>
              <w:rPr>
                <w:spacing w:val="7"/>
              </w:rPr>
              <w:t>总资产(元)</w:t>
            </w:r>
          </w:p>
        </w:tc>
        <w:tc>
          <w:tcPr>
            <w:tcW w:w="2018" w:type="dxa"/>
            <w:vAlign w:val="top"/>
          </w:tcPr>
          <w:p>
            <w:pPr>
              <w:pStyle w:val="TableText"/>
              <w:spacing w:before="291" w:line="184" w:lineRule="auto"/>
              <w:ind w:left="132"/>
            </w:pPr>
            <w:r>
              <w:rPr>
                <w:spacing w:val="-2"/>
              </w:rPr>
              <w:t>1,025,457,000.00</w:t>
            </w:r>
          </w:p>
        </w:tc>
        <w:tc>
          <w:tcPr>
            <w:tcW w:w="2157" w:type="dxa"/>
            <w:vAlign w:val="top"/>
          </w:tcPr>
          <w:p>
            <w:pPr>
              <w:pStyle w:val="TableText"/>
              <w:spacing w:before="292" w:line="183" w:lineRule="auto"/>
              <w:ind w:left="124"/>
            </w:pPr>
            <w:r>
              <w:rPr>
                <w:spacing w:val="-1"/>
              </w:rPr>
              <w:t>994,807,000.00</w:t>
            </w:r>
          </w:p>
        </w:tc>
        <w:tc>
          <w:tcPr>
            <w:tcW w:w="2072" w:type="dxa"/>
            <w:vAlign w:val="top"/>
          </w:tcPr>
          <w:p>
            <w:pPr>
              <w:pStyle w:val="TableText"/>
              <w:spacing w:before="291" w:line="184" w:lineRule="auto"/>
              <w:ind w:left="127"/>
            </w:pPr>
            <w:r>
              <w:rPr>
                <w:spacing w:val="-2"/>
              </w:rPr>
              <w:t>1,242,891,000.00</w:t>
            </w:r>
          </w:p>
        </w:tc>
      </w:tr>
    </w:tbl>
    <w:p>
      <w:pPr>
        <w:sectPr>
          <w:footerReference w:type="default" r:id="rId8"/>
          <w:pgSz w:w="11910" w:h="16840"/>
          <w:pgMar w:top="1431" w:right="1685" w:bottom="1137" w:left="1786" w:header="0" w:footer="999" w:gutter="0"/>
          <w:pgNumType w:start="7"/>
          <w:cols w:space="708"/>
        </w:sectPr>
      </w:pPr>
    </w:p>
    <w:tbl>
      <w:tblPr>
        <w:tblStyle w:val="TableNormal1"/>
        <w:tblW w:w="7910" w:type="dxa"/>
        <w:tblInd w:w="5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63"/>
        <w:gridCol w:w="2018"/>
        <w:gridCol w:w="2157"/>
        <w:gridCol w:w="2072"/>
      </w:tblGrid>
      <w:tr>
        <w:tblPrEx>
          <w:tblW w:w="7910" w:type="dxa"/>
          <w:tblInd w:w="5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52"/>
        </w:trPr>
        <w:tc>
          <w:tcPr>
            <w:tcW w:w="1663" w:type="dxa"/>
            <w:vAlign w:val="top"/>
          </w:tcPr>
          <w:p>
            <w:pPr>
              <w:pStyle w:val="TableText"/>
              <w:spacing w:before="76" w:line="219" w:lineRule="auto"/>
              <w:ind w:left="105"/>
            </w:pPr>
            <w:r>
              <w:rPr>
                <w:spacing w:val="5"/>
              </w:rPr>
              <w:t>资产负债率(%)</w:t>
            </w:r>
          </w:p>
        </w:tc>
        <w:tc>
          <w:tcPr>
            <w:tcW w:w="2018" w:type="dxa"/>
            <w:vAlign w:val="top"/>
          </w:tcPr>
          <w:p>
            <w:pPr>
              <w:spacing w:line="271" w:lineRule="auto"/>
              <w:rPr>
                <w:rFonts w:ascii="Arial"/>
                <w:sz w:val="21"/>
              </w:rPr>
            </w:pPr>
          </w:p>
          <w:p>
            <w:pPr>
              <w:pStyle w:val="TableText"/>
              <w:spacing w:before="65" w:line="183" w:lineRule="auto"/>
              <w:ind w:left="132"/>
            </w:pPr>
            <w:r>
              <w:rPr>
                <w:spacing w:val="-2"/>
              </w:rPr>
              <w:t>35.45</w:t>
            </w:r>
          </w:p>
        </w:tc>
        <w:tc>
          <w:tcPr>
            <w:tcW w:w="2157" w:type="dxa"/>
            <w:vAlign w:val="top"/>
          </w:tcPr>
          <w:p>
            <w:pPr>
              <w:spacing w:line="271" w:lineRule="auto"/>
              <w:rPr>
                <w:rFonts w:ascii="Arial"/>
                <w:sz w:val="21"/>
              </w:rPr>
            </w:pPr>
          </w:p>
          <w:p>
            <w:pPr>
              <w:pStyle w:val="TableText"/>
              <w:spacing w:before="65" w:line="183" w:lineRule="auto"/>
              <w:ind w:left="124"/>
            </w:pPr>
            <w:r>
              <w:rPr>
                <w:spacing w:val="-2"/>
              </w:rPr>
              <w:t>42.22</w:t>
            </w:r>
          </w:p>
        </w:tc>
        <w:tc>
          <w:tcPr>
            <w:tcW w:w="2072" w:type="dxa"/>
            <w:vAlign w:val="top"/>
          </w:tcPr>
          <w:p>
            <w:pPr>
              <w:spacing w:line="270" w:lineRule="auto"/>
              <w:rPr>
                <w:rFonts w:ascii="Arial"/>
                <w:sz w:val="21"/>
              </w:rPr>
            </w:pPr>
          </w:p>
          <w:p>
            <w:pPr>
              <w:pStyle w:val="TableText"/>
              <w:spacing w:before="65" w:line="184" w:lineRule="auto"/>
              <w:ind w:left="127"/>
            </w:pPr>
            <w:r>
              <w:rPr>
                <w:spacing w:val="-2"/>
              </w:rPr>
              <w:t>51.14</w:t>
            </w:r>
          </w:p>
        </w:tc>
      </w:tr>
    </w:tbl>
    <w:p>
      <w:pPr>
        <w:spacing w:line="435" w:lineRule="auto"/>
        <w:rPr>
          <w:rFonts w:ascii="Arial"/>
          <w:sz w:val="21"/>
        </w:rPr>
      </w:pPr>
    </w:p>
    <w:p>
      <w:pPr>
        <w:pStyle w:val="BodyText"/>
        <w:spacing w:before="78" w:line="221" w:lineRule="auto"/>
        <w:ind w:left="3"/>
        <w:rPr>
          <w:sz w:val="24"/>
          <w:szCs w:val="24"/>
        </w:rPr>
      </w:pPr>
      <w:r>
        <w:rPr>
          <w:rFonts w:ascii="Times New Roman" w:eastAsia="Times New Roman" w:hAnsi="Times New Roman" w:cs="Times New Roman"/>
          <w:spacing w:val="5"/>
          <w:sz w:val="24"/>
          <w:szCs w:val="24"/>
        </w:rPr>
        <w:t xml:space="preserve">2020  </w:t>
      </w:r>
      <w:r>
        <w:rPr>
          <w:spacing w:val="5"/>
          <w:sz w:val="24"/>
          <w:szCs w:val="24"/>
        </w:rPr>
        <w:t>年湖南酒鬼酒公司的资产负债率=363,515,000.00/1,025,457,000.00×</w:t>
      </w:r>
    </w:p>
    <w:p>
      <w:pPr>
        <w:spacing w:line="221" w:lineRule="auto"/>
        <w:rPr>
          <w:sz w:val="24"/>
          <w:szCs w:val="24"/>
        </w:rPr>
        <w:sectPr>
          <w:footerReference w:type="default" r:id="rId9"/>
          <w:type w:val="nextPage"/>
          <w:pgSz w:w="11910" w:h="16840"/>
          <w:pgMar w:top="1431" w:right="1685" w:bottom="1137" w:left="1786" w:header="0" w:footer="999" w:gutter="0"/>
          <w:pgNumType w:start="8"/>
          <w:cols w:space="708"/>
          <w:titlePg w:val="0"/>
        </w:sectPr>
      </w:pPr>
    </w:p>
    <w:p>
      <w:pPr>
        <w:spacing w:before="159" w:line="184" w:lineRule="auto"/>
        <w:ind w:left="13"/>
        <w:rPr>
          <w:rFonts w:ascii="SimSun" w:eastAsia="SimSun" w:hAnsi="SimSun" w:cs="SimSun"/>
          <w:sz w:val="24"/>
          <w:szCs w:val="24"/>
        </w:rPr>
      </w:pPr>
      <w:bookmarkStart w:id="11" w:name="bookmark12"/>
      <w:bookmarkEnd w:id="11"/>
      <w:r>
        <w:rPr>
          <w:rFonts w:ascii="SimSun" w:eastAsia="SimSun" w:hAnsi="SimSun" w:cs="SimSun"/>
          <w:spacing w:val="-3"/>
          <w:sz w:val="24"/>
          <w:szCs w:val="24"/>
        </w:rPr>
        <w:t>100%=35.45%</w:t>
      </w:r>
    </w:p>
    <w:p>
      <w:pPr>
        <w:pStyle w:val="BodyText"/>
        <w:spacing w:before="201" w:line="510" w:lineRule="exact"/>
        <w:ind w:left="13"/>
        <w:rPr>
          <w:sz w:val="24"/>
          <w:szCs w:val="24"/>
        </w:rPr>
      </w:pPr>
      <w:r>
        <w:rPr>
          <w:spacing w:val="9"/>
          <w:position w:val="20"/>
          <w:sz w:val="24"/>
          <w:szCs w:val="24"/>
        </w:rPr>
        <w:t>2021</w:t>
      </w:r>
      <w:r>
        <w:rPr>
          <w:spacing w:val="56"/>
          <w:position w:val="20"/>
          <w:sz w:val="24"/>
          <w:szCs w:val="24"/>
        </w:rPr>
        <w:t xml:space="preserve"> </w:t>
      </w:r>
      <w:r>
        <w:rPr>
          <w:spacing w:val="9"/>
          <w:position w:val="20"/>
          <w:sz w:val="24"/>
          <w:szCs w:val="24"/>
        </w:rPr>
        <w:t>年湖南酒鬼酒公司的资产负债率=420,019,000.00/994,807,000.00×</w:t>
      </w:r>
    </w:p>
    <w:p>
      <w:pPr>
        <w:spacing w:before="1" w:line="183" w:lineRule="auto"/>
        <w:ind w:left="13"/>
        <w:rPr>
          <w:rFonts w:ascii="SimSun" w:eastAsia="SimSun" w:hAnsi="SimSun" w:cs="SimSun"/>
          <w:sz w:val="24"/>
          <w:szCs w:val="24"/>
        </w:rPr>
      </w:pPr>
      <w:r>
        <w:rPr>
          <w:rFonts w:ascii="SimSun" w:eastAsia="SimSun" w:hAnsi="SimSun" w:cs="SimSun"/>
          <w:spacing w:val="-3"/>
          <w:sz w:val="24"/>
          <w:szCs w:val="24"/>
        </w:rPr>
        <w:t>100%=42.22%</w:t>
      </w:r>
    </w:p>
    <w:p>
      <w:pPr>
        <w:pStyle w:val="BodyText"/>
        <w:spacing w:before="201" w:line="519" w:lineRule="exact"/>
        <w:ind w:left="13"/>
        <w:rPr>
          <w:sz w:val="24"/>
          <w:szCs w:val="24"/>
        </w:rPr>
      </w:pPr>
      <w:r>
        <w:rPr>
          <w:spacing w:val="5"/>
          <w:position w:val="21"/>
          <w:sz w:val="24"/>
          <w:szCs w:val="24"/>
        </w:rPr>
        <w:t>2022</w:t>
      </w:r>
      <w:r>
        <w:rPr>
          <w:spacing w:val="5"/>
          <w:position w:val="21"/>
          <w:sz w:val="24"/>
          <w:szCs w:val="24"/>
        </w:rPr>
        <w:t xml:space="preserve"> </w:t>
      </w:r>
      <w:r>
        <w:rPr>
          <w:spacing w:val="5"/>
          <w:position w:val="21"/>
          <w:sz w:val="24"/>
          <w:szCs w:val="24"/>
        </w:rPr>
        <w:t>年湖南酒鬼酒公司的资产负债率=635,667,000.00/1,242,891,000.</w:t>
      </w:r>
      <w:r>
        <w:rPr>
          <w:spacing w:val="4"/>
          <w:position w:val="21"/>
          <w:sz w:val="24"/>
          <w:szCs w:val="24"/>
        </w:rPr>
        <w:t>00×</w:t>
      </w:r>
    </w:p>
    <w:p>
      <w:pPr>
        <w:spacing w:before="1" w:line="183" w:lineRule="auto"/>
        <w:ind w:left="13"/>
        <w:rPr>
          <w:rFonts w:ascii="SimSun" w:eastAsia="SimSun" w:hAnsi="SimSun" w:cs="SimSun"/>
          <w:sz w:val="24"/>
          <w:szCs w:val="24"/>
        </w:rPr>
      </w:pPr>
      <w:r>
        <w:rPr>
          <w:rFonts w:ascii="SimSun" w:eastAsia="SimSun" w:hAnsi="SimSun" w:cs="SimSun"/>
          <w:spacing w:val="-3"/>
          <w:sz w:val="24"/>
          <w:szCs w:val="24"/>
        </w:rPr>
        <w:t>100%=51.14%</w:t>
      </w:r>
    </w:p>
    <w:p>
      <w:pPr>
        <w:pStyle w:val="BodyText"/>
        <w:spacing w:before="180" w:line="212" w:lineRule="auto"/>
        <w:ind w:left="493"/>
        <w:rPr>
          <w:sz w:val="24"/>
          <w:szCs w:val="24"/>
        </w:rPr>
      </w:pPr>
      <w:r>
        <w:rPr>
          <w:spacing w:val="-3"/>
          <w:sz w:val="24"/>
          <w:szCs w:val="24"/>
        </w:rPr>
        <w:t>数据来源：湖南酒鬼酒公司财务报表</w:t>
      </w:r>
    </w:p>
    <w:p>
      <w:pPr>
        <w:pStyle w:val="BodyText"/>
        <w:spacing w:before="184" w:line="370" w:lineRule="auto"/>
        <w:ind w:left="13" w:right="126" w:firstLine="480"/>
        <w:rPr>
          <w:sz w:val="24"/>
          <w:szCs w:val="24"/>
        </w:rPr>
      </w:pPr>
      <w:r>
        <w:rPr>
          <w:sz w:val="24"/>
          <w:szCs w:val="24"/>
        </w:rPr>
        <w:t>资产负债率反映了借款在企业总资产中所占比重</w:t>
      </w:r>
      <w:r>
        <w:rPr>
          <w:spacing w:val="-1"/>
          <w:sz w:val="24"/>
          <w:szCs w:val="24"/>
        </w:rPr>
        <w:t>的大小，从表3.1可以明显</w:t>
      </w:r>
      <w:r>
        <w:rPr>
          <w:sz w:val="24"/>
          <w:szCs w:val="24"/>
        </w:rPr>
        <w:t xml:space="preserve"> </w:t>
      </w:r>
      <w:r>
        <w:rPr>
          <w:spacing w:val="-3"/>
          <w:sz w:val="24"/>
          <w:szCs w:val="24"/>
        </w:rPr>
        <w:t>地看出，近年来湖南酒鬼酒的负债率逐年上升，财务风险相对</w:t>
      </w:r>
      <w:r>
        <w:rPr>
          <w:spacing w:val="-4"/>
          <w:sz w:val="24"/>
          <w:szCs w:val="24"/>
        </w:rPr>
        <w:t>较高，可能带来湖</w:t>
      </w:r>
      <w:r>
        <w:rPr>
          <w:sz w:val="24"/>
          <w:szCs w:val="24"/>
        </w:rPr>
        <w:t xml:space="preserve"> </w:t>
      </w:r>
      <w:r>
        <w:rPr>
          <w:spacing w:val="-10"/>
          <w:sz w:val="24"/>
          <w:szCs w:val="24"/>
        </w:rPr>
        <w:t>南酒鬼酒现金流不足时，资金链断裂，从而导致酒鬼酒企业破产的情况(邱佳娜,任</w:t>
      </w:r>
    </w:p>
    <w:p>
      <w:pPr>
        <w:pStyle w:val="BodyText"/>
        <w:spacing w:line="222" w:lineRule="auto"/>
        <w:ind w:left="13"/>
        <w:rPr>
          <w:sz w:val="24"/>
          <w:szCs w:val="24"/>
        </w:rPr>
      </w:pPr>
      <w:r>
        <w:rPr>
          <w:spacing w:val="-20"/>
          <w:w w:val="95"/>
          <w:sz w:val="24"/>
          <w:szCs w:val="24"/>
        </w:rPr>
        <w:t>雅静，2023)。</w:t>
      </w:r>
    </w:p>
    <w:p>
      <w:pPr>
        <w:pStyle w:val="BodyText"/>
        <w:spacing w:before="165" w:line="225" w:lineRule="auto"/>
        <w:ind w:left="643"/>
        <w:rPr>
          <w:sz w:val="24"/>
          <w:szCs w:val="24"/>
        </w:rPr>
      </w:pPr>
      <w:r>
        <w:rPr>
          <w:spacing w:val="2"/>
          <w:sz w:val="24"/>
          <w:szCs w:val="24"/>
        </w:rPr>
        <w:t>(2)湖南酒鬼酒产权比率：</w:t>
      </w:r>
    </w:p>
    <w:p>
      <w:pPr>
        <w:spacing w:line="428" w:lineRule="auto"/>
        <w:rPr>
          <w:rFonts w:ascii="Arial"/>
          <w:sz w:val="21"/>
        </w:rPr>
      </w:pPr>
    </w:p>
    <w:p>
      <w:pPr>
        <w:spacing w:before="68" w:line="199" w:lineRule="auto"/>
        <w:ind w:left="2723"/>
        <w:rPr>
          <w:rFonts w:ascii="SimSun" w:eastAsia="SimSun" w:hAnsi="SimSun" w:cs="SimSun"/>
          <w:sz w:val="21"/>
          <w:szCs w:val="21"/>
        </w:rPr>
      </w:pPr>
      <w:r>
        <w:rPr>
          <w:rFonts w:ascii="SimSun" w:eastAsia="SimSun" w:hAnsi="SimSun" w:cs="SimSun"/>
          <w:spacing w:val="-1"/>
          <w:sz w:val="21"/>
          <w:szCs w:val="21"/>
        </w:rPr>
        <w:t>表3.2湖南酒鬼酒公司产权比率</w:t>
      </w:r>
    </w:p>
    <w:tbl>
      <w:tblPr>
        <w:tblStyle w:val="TableNormal2"/>
        <w:tblW w:w="8120" w:type="dxa"/>
        <w:tblInd w:w="3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03"/>
        <w:gridCol w:w="2147"/>
        <w:gridCol w:w="2128"/>
        <w:gridCol w:w="2142"/>
      </w:tblGrid>
      <w:tr>
        <w:tblPrEx>
          <w:tblW w:w="8120" w:type="dxa"/>
          <w:tblInd w:w="3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32"/>
        </w:trPr>
        <w:tc>
          <w:tcPr>
            <w:tcW w:w="1703" w:type="dxa"/>
            <w:vAlign w:val="top"/>
          </w:tcPr>
          <w:p>
            <w:pPr>
              <w:pStyle w:val="TableText"/>
              <w:spacing w:before="83" w:line="220" w:lineRule="auto"/>
              <w:ind w:left="125"/>
            </w:pPr>
            <w:r>
              <w:rPr>
                <w:spacing w:val="-6"/>
              </w:rPr>
              <w:t>项 目</w:t>
            </w:r>
          </w:p>
        </w:tc>
        <w:tc>
          <w:tcPr>
            <w:tcW w:w="2147" w:type="dxa"/>
            <w:vAlign w:val="top"/>
          </w:tcPr>
          <w:p>
            <w:pPr>
              <w:pStyle w:val="TableText"/>
              <w:spacing w:before="83" w:line="219" w:lineRule="auto"/>
              <w:ind w:left="122"/>
            </w:pPr>
            <w:r>
              <w:rPr>
                <w:spacing w:val="-2"/>
              </w:rPr>
              <w:t>2020年</w:t>
            </w:r>
          </w:p>
        </w:tc>
        <w:tc>
          <w:tcPr>
            <w:tcW w:w="2128" w:type="dxa"/>
            <w:vAlign w:val="top"/>
          </w:tcPr>
          <w:p>
            <w:pPr>
              <w:pStyle w:val="TableText"/>
              <w:spacing w:before="83" w:line="219" w:lineRule="auto"/>
              <w:ind w:left="105"/>
            </w:pPr>
            <w:r>
              <w:rPr>
                <w:spacing w:val="-2"/>
              </w:rPr>
              <w:t>2021年</w:t>
            </w:r>
          </w:p>
        </w:tc>
        <w:tc>
          <w:tcPr>
            <w:tcW w:w="2142" w:type="dxa"/>
            <w:vAlign w:val="top"/>
          </w:tcPr>
          <w:p>
            <w:pPr>
              <w:pStyle w:val="TableText"/>
              <w:spacing w:before="83" w:line="219" w:lineRule="auto"/>
              <w:ind w:left="127"/>
            </w:pPr>
            <w:r>
              <w:rPr>
                <w:spacing w:val="-2"/>
              </w:rPr>
              <w:t>2022年</w:t>
            </w:r>
          </w:p>
        </w:tc>
      </w:tr>
      <w:tr>
        <w:tblPrEx>
          <w:tblW w:w="8120" w:type="dxa"/>
          <w:tblInd w:w="303" w:type="dxa"/>
          <w:tblLayout w:type="fixed"/>
        </w:tblPrEx>
        <w:trPr>
          <w:trHeight w:val="628"/>
        </w:trPr>
        <w:tc>
          <w:tcPr>
            <w:tcW w:w="1703" w:type="dxa"/>
            <w:vAlign w:val="top"/>
          </w:tcPr>
          <w:p>
            <w:pPr>
              <w:pStyle w:val="TableText"/>
              <w:spacing w:before="91" w:line="219" w:lineRule="auto"/>
              <w:ind w:left="125"/>
            </w:pPr>
            <w:r>
              <w:rPr>
                <w:spacing w:val="6"/>
              </w:rPr>
              <w:t>负债总额(元)</w:t>
            </w:r>
          </w:p>
        </w:tc>
        <w:tc>
          <w:tcPr>
            <w:tcW w:w="2147" w:type="dxa"/>
            <w:vAlign w:val="top"/>
          </w:tcPr>
          <w:p>
            <w:pPr>
              <w:pStyle w:val="TableText"/>
              <w:spacing w:before="248" w:line="184" w:lineRule="auto"/>
              <w:ind w:left="122"/>
            </w:pPr>
            <w:r>
              <w:rPr>
                <w:spacing w:val="-1"/>
              </w:rPr>
              <w:t>363,515,000.00</w:t>
            </w:r>
          </w:p>
        </w:tc>
        <w:tc>
          <w:tcPr>
            <w:tcW w:w="2128" w:type="dxa"/>
            <w:vAlign w:val="top"/>
          </w:tcPr>
          <w:p>
            <w:pPr>
              <w:pStyle w:val="TableText"/>
              <w:spacing w:before="248" w:line="184" w:lineRule="auto"/>
              <w:ind w:left="105"/>
            </w:pPr>
            <w:r>
              <w:rPr>
                <w:spacing w:val="-1"/>
              </w:rPr>
              <w:t>420,019,000.00</w:t>
            </w:r>
          </w:p>
        </w:tc>
        <w:tc>
          <w:tcPr>
            <w:tcW w:w="2142" w:type="dxa"/>
            <w:vAlign w:val="top"/>
          </w:tcPr>
          <w:p>
            <w:pPr>
              <w:pStyle w:val="TableText"/>
              <w:spacing w:before="249" w:line="183" w:lineRule="auto"/>
              <w:ind w:left="127"/>
            </w:pPr>
            <w:r>
              <w:rPr>
                <w:spacing w:val="-1"/>
              </w:rPr>
              <w:t>635,667,000.00</w:t>
            </w:r>
          </w:p>
        </w:tc>
      </w:tr>
      <w:tr>
        <w:tblPrEx>
          <w:tblW w:w="8120" w:type="dxa"/>
          <w:tblInd w:w="303" w:type="dxa"/>
          <w:tblLayout w:type="fixed"/>
        </w:tblPrEx>
        <w:trPr>
          <w:trHeight w:val="627"/>
        </w:trPr>
        <w:tc>
          <w:tcPr>
            <w:tcW w:w="1703" w:type="dxa"/>
            <w:vAlign w:val="top"/>
          </w:tcPr>
          <w:p>
            <w:pPr>
              <w:pStyle w:val="TableText"/>
              <w:spacing w:before="83" w:line="219" w:lineRule="auto"/>
              <w:ind w:left="125"/>
            </w:pPr>
            <w:r>
              <w:rPr>
                <w:spacing w:val="6"/>
              </w:rPr>
              <w:t>股东权益(元)</w:t>
            </w:r>
          </w:p>
        </w:tc>
        <w:tc>
          <w:tcPr>
            <w:tcW w:w="2147" w:type="dxa"/>
            <w:vAlign w:val="top"/>
          </w:tcPr>
          <w:p>
            <w:pPr>
              <w:pStyle w:val="TableText"/>
              <w:spacing w:before="250" w:line="184" w:lineRule="auto"/>
              <w:ind w:left="122"/>
            </w:pPr>
            <w:r>
              <w:rPr>
                <w:spacing w:val="-1"/>
              </w:rPr>
              <w:t>661,942,000.00</w:t>
            </w:r>
          </w:p>
        </w:tc>
        <w:tc>
          <w:tcPr>
            <w:tcW w:w="2128" w:type="dxa"/>
            <w:vAlign w:val="top"/>
          </w:tcPr>
          <w:p>
            <w:pPr>
              <w:pStyle w:val="TableText"/>
              <w:spacing w:before="251" w:line="183" w:lineRule="auto"/>
              <w:ind w:left="105"/>
            </w:pPr>
            <w:r>
              <w:rPr>
                <w:spacing w:val="-1"/>
              </w:rPr>
              <w:t>574,788,000.00</w:t>
            </w:r>
          </w:p>
        </w:tc>
        <w:tc>
          <w:tcPr>
            <w:tcW w:w="2142" w:type="dxa"/>
            <w:vAlign w:val="top"/>
          </w:tcPr>
          <w:p>
            <w:pPr>
              <w:pStyle w:val="TableText"/>
              <w:spacing w:before="251" w:line="183" w:lineRule="auto"/>
              <w:ind w:left="127"/>
            </w:pPr>
            <w:r>
              <w:rPr>
                <w:spacing w:val="-1"/>
              </w:rPr>
              <w:t>607,224,000.00</w:t>
            </w:r>
          </w:p>
        </w:tc>
      </w:tr>
      <w:tr>
        <w:tblPrEx>
          <w:tblW w:w="8120" w:type="dxa"/>
          <w:tblInd w:w="303" w:type="dxa"/>
          <w:tblLayout w:type="fixed"/>
        </w:tblPrEx>
        <w:trPr>
          <w:trHeight w:val="633"/>
        </w:trPr>
        <w:tc>
          <w:tcPr>
            <w:tcW w:w="1703" w:type="dxa"/>
            <w:vAlign w:val="top"/>
          </w:tcPr>
          <w:p>
            <w:pPr>
              <w:pStyle w:val="TableText"/>
              <w:spacing w:before="86" w:line="219" w:lineRule="auto"/>
              <w:ind w:left="125"/>
            </w:pPr>
            <w:r>
              <w:rPr>
                <w:spacing w:val="4"/>
              </w:rPr>
              <w:t>产权比例</w:t>
            </w:r>
          </w:p>
        </w:tc>
        <w:tc>
          <w:tcPr>
            <w:tcW w:w="2147" w:type="dxa"/>
            <w:vAlign w:val="top"/>
          </w:tcPr>
          <w:p>
            <w:pPr>
              <w:pStyle w:val="TableText"/>
              <w:spacing w:before="277" w:line="183" w:lineRule="auto"/>
              <w:ind w:left="122"/>
            </w:pPr>
            <w:r>
              <w:rPr>
                <w:spacing w:val="-2"/>
              </w:rPr>
              <w:t>0.55</w:t>
            </w:r>
          </w:p>
        </w:tc>
        <w:tc>
          <w:tcPr>
            <w:tcW w:w="2128" w:type="dxa"/>
            <w:vAlign w:val="top"/>
          </w:tcPr>
          <w:p>
            <w:pPr>
              <w:pStyle w:val="TableText"/>
              <w:spacing w:before="277" w:line="183" w:lineRule="auto"/>
              <w:ind w:left="105"/>
            </w:pPr>
            <w:r>
              <w:rPr>
                <w:spacing w:val="-2"/>
              </w:rPr>
              <w:t>0.74</w:t>
            </w:r>
          </w:p>
        </w:tc>
        <w:tc>
          <w:tcPr>
            <w:tcW w:w="2142" w:type="dxa"/>
            <w:vAlign w:val="top"/>
          </w:tcPr>
          <w:p>
            <w:pPr>
              <w:pStyle w:val="TableText"/>
              <w:spacing w:before="276" w:line="184" w:lineRule="auto"/>
              <w:ind w:left="127"/>
            </w:pPr>
            <w:r>
              <w:rPr>
                <w:spacing w:val="-5"/>
              </w:rPr>
              <w:t>1.05</w:t>
            </w:r>
          </w:p>
        </w:tc>
      </w:tr>
    </w:tbl>
    <w:p>
      <w:pPr>
        <w:spacing w:line="416" w:lineRule="auto"/>
        <w:rPr>
          <w:rFonts w:ascii="Arial"/>
          <w:sz w:val="21"/>
        </w:rPr>
      </w:pPr>
    </w:p>
    <w:p>
      <w:pPr>
        <w:pStyle w:val="BodyText"/>
        <w:spacing w:before="79" w:line="366" w:lineRule="auto"/>
        <w:ind w:left="493" w:right="530"/>
        <w:jc w:val="both"/>
        <w:rPr>
          <w:rFonts w:ascii="SimSun" w:eastAsia="SimSun" w:hAnsi="SimSun" w:cs="SimSun"/>
          <w:sz w:val="24"/>
          <w:szCs w:val="24"/>
        </w:rPr>
      </w:pPr>
      <w:r>
        <w:rPr>
          <w:spacing w:val="-7"/>
          <w:sz w:val="24"/>
          <w:szCs w:val="24"/>
        </w:rPr>
        <w:t>2020年湖南酒鬼酒公司的产权比例=3</w:t>
      </w:r>
      <w:r>
        <w:rPr>
          <w:spacing w:val="-8"/>
          <w:sz w:val="24"/>
          <w:szCs w:val="24"/>
        </w:rPr>
        <w:t>63,515,000.00/661,942,000.00=0.55</w:t>
      </w:r>
      <w:r>
        <w:rPr>
          <w:sz w:val="24"/>
          <w:szCs w:val="24"/>
        </w:rPr>
        <w:t xml:space="preserve"> </w:t>
      </w:r>
      <w:r>
        <w:rPr>
          <w:spacing w:val="-8"/>
          <w:sz w:val="24"/>
          <w:szCs w:val="24"/>
        </w:rPr>
        <w:t>2021年湖南酒鬼酒公司的产权比例=420,019,000.00/574,788,000</w:t>
      </w:r>
      <w:r>
        <w:rPr>
          <w:spacing w:val="-9"/>
          <w:sz w:val="24"/>
          <w:szCs w:val="24"/>
        </w:rPr>
        <w:t>.00=0.74</w:t>
      </w:r>
      <w:r>
        <w:rPr>
          <w:sz w:val="24"/>
          <w:szCs w:val="24"/>
        </w:rPr>
        <w:t xml:space="preserve"> </w:t>
      </w:r>
      <w:r>
        <w:rPr>
          <w:rFonts w:ascii="SimSun" w:eastAsia="SimSun" w:hAnsi="SimSun" w:cs="SimSun"/>
          <w:spacing w:val="-8"/>
          <w:sz w:val="24"/>
          <w:szCs w:val="24"/>
        </w:rPr>
        <w:t>2022年湖南酒鬼酒公司的产权比例=635,667,000.00/607,224,000.00=1.05</w:t>
      </w:r>
    </w:p>
    <w:p>
      <w:pPr>
        <w:pStyle w:val="BodyText"/>
        <w:spacing w:line="212" w:lineRule="auto"/>
        <w:ind w:left="493"/>
        <w:rPr>
          <w:sz w:val="24"/>
          <w:szCs w:val="24"/>
        </w:rPr>
      </w:pPr>
      <w:r>
        <w:rPr>
          <w:spacing w:val="-1"/>
          <w:sz w:val="24"/>
          <w:szCs w:val="24"/>
        </w:rPr>
        <w:t>数据来源：湖南酒鬼酒公司财务报表</w:t>
      </w:r>
    </w:p>
    <w:p>
      <w:pPr>
        <w:pStyle w:val="BodyText"/>
        <w:spacing w:before="204" w:line="364" w:lineRule="auto"/>
        <w:ind w:left="13" w:right="132" w:firstLine="480"/>
        <w:jc w:val="both"/>
        <w:rPr>
          <w:sz w:val="24"/>
          <w:szCs w:val="24"/>
        </w:rPr>
      </w:pPr>
      <w:r>
        <w:rPr>
          <w:spacing w:val="6"/>
          <w:sz w:val="24"/>
          <w:szCs w:val="24"/>
        </w:rPr>
        <w:t>从表3.2可以看出酒鬼酒馥郁香酒产权比率越来越高，由2020年的0.55升</w:t>
      </w:r>
      <w:r>
        <w:rPr>
          <w:spacing w:val="12"/>
          <w:sz w:val="24"/>
          <w:szCs w:val="24"/>
        </w:rPr>
        <w:t xml:space="preserve"> </w:t>
      </w:r>
      <w:r>
        <w:rPr>
          <w:spacing w:val="6"/>
          <w:sz w:val="24"/>
          <w:szCs w:val="24"/>
        </w:rPr>
        <w:t>高到了2022年的1.05,甚至在2022年时负债总额超过了股东权益，说明湖南酒</w:t>
      </w:r>
    </w:p>
    <w:p>
      <w:pPr>
        <w:pStyle w:val="BodyText"/>
        <w:spacing w:line="216" w:lineRule="auto"/>
        <w:ind w:left="13"/>
        <w:rPr>
          <w:sz w:val="24"/>
          <w:szCs w:val="24"/>
        </w:rPr>
      </w:pPr>
      <w:r>
        <w:rPr>
          <w:spacing w:val="-5"/>
          <w:sz w:val="24"/>
          <w:szCs w:val="24"/>
        </w:rPr>
        <w:t>鬼酒企业偿还长期债务的能力变弱。</w:t>
      </w:r>
    </w:p>
    <w:p>
      <w:pPr>
        <w:pStyle w:val="BodyText"/>
        <w:spacing w:before="199" w:line="216" w:lineRule="auto"/>
        <w:ind w:left="423"/>
        <w:rPr>
          <w:sz w:val="24"/>
          <w:szCs w:val="24"/>
        </w:rPr>
        <w:sectPr>
          <w:footerReference w:type="default" r:id="rId10"/>
          <w:pgSz w:w="11910" w:h="16840"/>
          <w:pgMar w:top="1431" w:right="1695" w:bottom="1138" w:left="1786" w:header="0" w:footer="999" w:gutter="0"/>
          <w:pgNumType w:start="9"/>
          <w:cols w:space="708"/>
        </w:sectPr>
      </w:pPr>
      <w:r>
        <w:rPr>
          <w:spacing w:val="-10"/>
          <w:sz w:val="24"/>
          <w:szCs w:val="24"/>
        </w:rPr>
        <w:t>3.2.2</w:t>
      </w:r>
      <w:r>
        <w:rPr>
          <w:spacing w:val="-10"/>
          <w:sz w:val="24"/>
          <w:szCs w:val="24"/>
        </w:rPr>
        <w:t xml:space="preserve"> </w:t>
      </w:r>
      <w:r>
        <w:rPr>
          <w:spacing w:val="-10"/>
          <w:sz w:val="24"/>
          <w:szCs w:val="24"/>
        </w:rPr>
        <w:t>湖南酒鬼酒公司偿债能力</w:t>
      </w:r>
    </w:p>
    <w:p>
      <w:pPr>
        <w:pStyle w:val="BodyText"/>
        <w:spacing w:before="197" w:line="222" w:lineRule="auto"/>
        <w:ind w:left="633"/>
        <w:rPr>
          <w:sz w:val="24"/>
          <w:szCs w:val="24"/>
        </w:rPr>
      </w:pPr>
      <w:r>
        <w:rPr>
          <w:spacing w:val="7"/>
          <w:sz w:val="24"/>
          <w:szCs w:val="24"/>
        </w:rPr>
        <w:t>(1)流动比率：</w:t>
      </w:r>
    </w:p>
    <w:p>
      <w:pPr>
        <w:pStyle w:val="BodyText"/>
        <w:spacing w:before="18" w:line="212" w:lineRule="auto"/>
        <w:ind w:left="2623"/>
        <w:rPr>
          <w:sz w:val="24"/>
          <w:szCs w:val="24"/>
        </w:rPr>
      </w:pPr>
      <w:r>
        <w:rPr>
          <w:spacing w:val="-13"/>
          <w:w w:val="93"/>
          <w:sz w:val="24"/>
          <w:szCs w:val="24"/>
        </w:rPr>
        <w:t>表3.3</w:t>
      </w:r>
      <w:r>
        <w:rPr>
          <w:spacing w:val="-25"/>
          <w:sz w:val="24"/>
          <w:szCs w:val="24"/>
        </w:rPr>
        <w:t xml:space="preserve"> </w:t>
      </w:r>
      <w:r>
        <w:rPr>
          <w:spacing w:val="-13"/>
          <w:w w:val="93"/>
          <w:sz w:val="24"/>
          <w:szCs w:val="24"/>
        </w:rPr>
        <w:t>湖南酒鬼酒公司流动比率值</w:t>
      </w:r>
    </w:p>
    <w:p>
      <w:pPr>
        <w:spacing w:line="212" w:lineRule="auto"/>
        <w:rPr>
          <w:sz w:val="24"/>
          <w:szCs w:val="24"/>
        </w:rPr>
        <w:sectPr>
          <w:footerReference w:type="default" r:id="rId11"/>
          <w:type w:val="nextPage"/>
          <w:pgSz w:w="11910" w:h="16840"/>
          <w:pgMar w:top="1431" w:right="1695" w:bottom="1138" w:left="1786" w:header="0" w:footer="999" w:gutter="0"/>
          <w:pgNumType w:start="10"/>
          <w:cols w:space="708"/>
          <w:titlePg w:val="0"/>
        </w:sectPr>
      </w:pPr>
    </w:p>
    <w:p>
      <w:pPr>
        <w:spacing w:line="37" w:lineRule="auto"/>
        <w:rPr>
          <w:rFonts w:ascii="Arial"/>
          <w:sz w:val="2"/>
        </w:rPr>
      </w:pPr>
    </w:p>
    <w:tbl>
      <w:tblPr>
        <w:tblStyle w:val="TableNormal3"/>
        <w:tblW w:w="7959" w:type="dxa"/>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63"/>
        <w:gridCol w:w="2127"/>
        <w:gridCol w:w="2137"/>
        <w:gridCol w:w="2132"/>
      </w:tblGrid>
      <w:tr>
        <w:tblPrEx>
          <w:tblW w:w="7959" w:type="dxa"/>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12"/>
        </w:trPr>
        <w:tc>
          <w:tcPr>
            <w:tcW w:w="1563" w:type="dxa"/>
            <w:vAlign w:val="top"/>
          </w:tcPr>
          <w:p>
            <w:pPr>
              <w:pStyle w:val="TableText"/>
              <w:spacing w:before="53" w:line="220" w:lineRule="auto"/>
              <w:ind w:left="575"/>
            </w:pPr>
            <w:r>
              <w:rPr>
                <w:spacing w:val="-6"/>
              </w:rPr>
              <w:t>项 目</w:t>
            </w:r>
          </w:p>
        </w:tc>
        <w:tc>
          <w:tcPr>
            <w:tcW w:w="2127" w:type="dxa"/>
            <w:vAlign w:val="top"/>
          </w:tcPr>
          <w:p>
            <w:pPr>
              <w:pStyle w:val="TableText"/>
              <w:spacing w:before="83" w:line="219" w:lineRule="auto"/>
              <w:ind w:left="751"/>
            </w:pPr>
            <w:r>
              <w:rPr>
                <w:spacing w:val="-2"/>
              </w:rPr>
              <w:t>2020年</w:t>
            </w:r>
          </w:p>
        </w:tc>
        <w:tc>
          <w:tcPr>
            <w:tcW w:w="2137" w:type="dxa"/>
            <w:vAlign w:val="top"/>
          </w:tcPr>
          <w:p>
            <w:pPr>
              <w:pStyle w:val="TableText"/>
              <w:spacing w:before="63" w:line="219" w:lineRule="auto"/>
              <w:ind w:left="764"/>
            </w:pPr>
            <w:r>
              <w:rPr>
                <w:spacing w:val="-2"/>
              </w:rPr>
              <w:t>2021年</w:t>
            </w:r>
          </w:p>
        </w:tc>
        <w:tc>
          <w:tcPr>
            <w:tcW w:w="2132" w:type="dxa"/>
            <w:vAlign w:val="top"/>
          </w:tcPr>
          <w:p>
            <w:pPr>
              <w:pStyle w:val="TableText"/>
              <w:spacing w:before="83" w:line="219" w:lineRule="auto"/>
              <w:ind w:left="757"/>
            </w:pPr>
            <w:r>
              <w:rPr>
                <w:spacing w:val="-2"/>
              </w:rPr>
              <w:t>2022年</w:t>
            </w:r>
          </w:p>
        </w:tc>
      </w:tr>
      <w:tr>
        <w:tblPrEx>
          <w:tblW w:w="7959" w:type="dxa"/>
          <w:tblInd w:w="463" w:type="dxa"/>
          <w:tblLayout w:type="fixed"/>
        </w:tblPrEx>
        <w:trPr>
          <w:trHeight w:val="667"/>
        </w:trPr>
        <w:tc>
          <w:tcPr>
            <w:tcW w:w="1563" w:type="dxa"/>
            <w:vAlign w:val="top"/>
          </w:tcPr>
          <w:p>
            <w:pPr>
              <w:pStyle w:val="TableText"/>
              <w:spacing w:before="81" w:line="219" w:lineRule="auto"/>
              <w:ind w:left="174"/>
            </w:pPr>
            <w:r>
              <w:rPr>
                <w:spacing w:val="6"/>
              </w:rPr>
              <w:t>流动资产(元)</w:t>
            </w:r>
          </w:p>
        </w:tc>
        <w:tc>
          <w:tcPr>
            <w:tcW w:w="2127" w:type="dxa"/>
            <w:vAlign w:val="top"/>
          </w:tcPr>
          <w:p>
            <w:pPr>
              <w:pStyle w:val="TableText"/>
              <w:spacing w:before="269" w:line="183" w:lineRule="auto"/>
              <w:ind w:left="352"/>
            </w:pPr>
            <w:r>
              <w:rPr>
                <w:spacing w:val="-1"/>
              </w:rPr>
              <w:t>884,678,000.00</w:t>
            </w:r>
          </w:p>
        </w:tc>
        <w:tc>
          <w:tcPr>
            <w:tcW w:w="2137" w:type="dxa"/>
            <w:vAlign w:val="top"/>
          </w:tcPr>
          <w:p>
            <w:pPr>
              <w:pStyle w:val="TableText"/>
              <w:spacing w:before="269" w:line="183" w:lineRule="auto"/>
              <w:ind w:left="364"/>
            </w:pPr>
            <w:r>
              <w:rPr>
                <w:spacing w:val="-1"/>
              </w:rPr>
              <w:t>847,928,000.00</w:t>
            </w:r>
          </w:p>
        </w:tc>
        <w:tc>
          <w:tcPr>
            <w:tcW w:w="2132" w:type="dxa"/>
            <w:vAlign w:val="top"/>
          </w:tcPr>
          <w:p>
            <w:pPr>
              <w:pStyle w:val="TableText"/>
              <w:spacing w:before="268" w:line="184" w:lineRule="auto"/>
              <w:ind w:left="257"/>
            </w:pPr>
            <w:r>
              <w:rPr>
                <w:spacing w:val="-2"/>
              </w:rPr>
              <w:t>1,042,618,000.00</w:t>
            </w:r>
          </w:p>
        </w:tc>
      </w:tr>
      <w:tr>
        <w:tblPrEx>
          <w:tblW w:w="7959" w:type="dxa"/>
          <w:tblInd w:w="463" w:type="dxa"/>
          <w:tblLayout w:type="fixed"/>
        </w:tblPrEx>
        <w:trPr>
          <w:trHeight w:val="597"/>
        </w:trPr>
        <w:tc>
          <w:tcPr>
            <w:tcW w:w="1563" w:type="dxa"/>
            <w:vAlign w:val="top"/>
          </w:tcPr>
          <w:p>
            <w:pPr>
              <w:pStyle w:val="TableText"/>
              <w:spacing w:before="94" w:line="219" w:lineRule="auto"/>
              <w:ind w:left="174"/>
            </w:pPr>
            <w:r>
              <w:rPr>
                <w:spacing w:val="6"/>
              </w:rPr>
              <w:t>流动负债(元)</w:t>
            </w:r>
          </w:p>
        </w:tc>
        <w:tc>
          <w:tcPr>
            <w:tcW w:w="2127" w:type="dxa"/>
            <w:vAlign w:val="top"/>
          </w:tcPr>
          <w:p>
            <w:pPr>
              <w:pStyle w:val="TableText"/>
              <w:spacing w:before="231" w:line="184" w:lineRule="auto"/>
              <w:ind w:left="352"/>
            </w:pPr>
            <w:r>
              <w:rPr>
                <w:spacing w:val="-1"/>
              </w:rPr>
              <w:t>351,232,000.00</w:t>
            </w:r>
          </w:p>
        </w:tc>
        <w:tc>
          <w:tcPr>
            <w:tcW w:w="2137" w:type="dxa"/>
            <w:vAlign w:val="top"/>
          </w:tcPr>
          <w:p>
            <w:pPr>
              <w:pStyle w:val="TableText"/>
              <w:spacing w:before="231" w:line="184" w:lineRule="auto"/>
              <w:ind w:left="364"/>
            </w:pPr>
            <w:r>
              <w:rPr>
                <w:spacing w:val="-1"/>
              </w:rPr>
              <w:t>401,920,000.00</w:t>
            </w:r>
          </w:p>
        </w:tc>
        <w:tc>
          <w:tcPr>
            <w:tcW w:w="2132" w:type="dxa"/>
            <w:vAlign w:val="top"/>
          </w:tcPr>
          <w:p>
            <w:pPr>
              <w:pStyle w:val="TableText"/>
              <w:spacing w:before="232" w:line="183" w:lineRule="auto"/>
              <w:ind w:left="357"/>
            </w:pPr>
            <w:r>
              <w:rPr>
                <w:spacing w:val="-1"/>
              </w:rPr>
              <w:t>620,568,000.00</w:t>
            </w:r>
          </w:p>
        </w:tc>
      </w:tr>
      <w:tr>
        <w:tblPrEx>
          <w:tblW w:w="7959" w:type="dxa"/>
          <w:tblInd w:w="463" w:type="dxa"/>
          <w:tblLayout w:type="fixed"/>
        </w:tblPrEx>
        <w:trPr>
          <w:trHeight w:val="473"/>
        </w:trPr>
        <w:tc>
          <w:tcPr>
            <w:tcW w:w="1563" w:type="dxa"/>
            <w:vAlign w:val="top"/>
          </w:tcPr>
          <w:p>
            <w:pPr>
              <w:pStyle w:val="TableText"/>
              <w:spacing w:before="87" w:line="219" w:lineRule="auto"/>
              <w:ind w:left="374"/>
            </w:pPr>
            <w:r>
              <w:rPr>
                <w:spacing w:val="-2"/>
              </w:rPr>
              <w:t>流动比率</w:t>
            </w:r>
          </w:p>
        </w:tc>
        <w:tc>
          <w:tcPr>
            <w:tcW w:w="2127" w:type="dxa"/>
            <w:vAlign w:val="top"/>
          </w:tcPr>
          <w:p>
            <w:pPr>
              <w:pStyle w:val="TableText"/>
              <w:spacing w:before="138" w:line="183" w:lineRule="auto"/>
              <w:ind w:left="851"/>
            </w:pPr>
            <w:r>
              <w:rPr>
                <w:spacing w:val="-2"/>
              </w:rPr>
              <w:t>2.52</w:t>
            </w:r>
          </w:p>
        </w:tc>
        <w:tc>
          <w:tcPr>
            <w:tcW w:w="2137" w:type="dxa"/>
            <w:vAlign w:val="top"/>
          </w:tcPr>
          <w:p>
            <w:pPr>
              <w:pStyle w:val="TableText"/>
              <w:spacing w:before="137" w:line="184" w:lineRule="auto"/>
              <w:ind w:left="864"/>
            </w:pPr>
            <w:r>
              <w:rPr>
                <w:spacing w:val="-2"/>
              </w:rPr>
              <w:t>2.11</w:t>
            </w:r>
          </w:p>
        </w:tc>
        <w:tc>
          <w:tcPr>
            <w:tcW w:w="2132" w:type="dxa"/>
            <w:vAlign w:val="top"/>
          </w:tcPr>
          <w:p>
            <w:pPr>
              <w:pStyle w:val="TableText"/>
              <w:spacing w:before="137" w:line="184" w:lineRule="auto"/>
              <w:ind w:left="857"/>
            </w:pPr>
            <w:r>
              <w:rPr>
                <w:spacing w:val="-5"/>
              </w:rPr>
              <w:t>1.68</w:t>
            </w:r>
          </w:p>
        </w:tc>
      </w:tr>
    </w:tbl>
    <w:p>
      <w:pPr>
        <w:spacing w:line="405" w:lineRule="auto"/>
        <w:rPr>
          <w:rFonts w:ascii="Arial"/>
          <w:sz w:val="21"/>
        </w:rPr>
      </w:pPr>
    </w:p>
    <w:p>
      <w:pPr>
        <w:pStyle w:val="BodyText"/>
        <w:spacing w:before="78" w:line="369" w:lineRule="auto"/>
        <w:ind w:left="483" w:right="542"/>
        <w:rPr>
          <w:rFonts w:ascii="Times New Roman" w:eastAsia="Times New Roman" w:hAnsi="Times New Roman" w:cs="Times New Roman"/>
          <w:sz w:val="24"/>
          <w:szCs w:val="24"/>
        </w:rPr>
      </w:pPr>
      <w:r>
        <w:rPr>
          <w:spacing w:val="1"/>
          <w:sz w:val="24"/>
          <w:szCs w:val="24"/>
        </w:rPr>
        <w:t>2020年湖南酒鬼酒公司的流动比率</w:t>
      </w:r>
      <w:r>
        <w:rPr>
          <w:rFonts w:ascii="Times New Roman" w:eastAsia="Times New Roman" w:hAnsi="Times New Roman" w:cs="Times New Roman"/>
          <w:spacing w:val="1"/>
          <w:sz w:val="24"/>
          <w:szCs w:val="24"/>
        </w:rPr>
        <w:t>=884,678,000.00/351,232,00</w:t>
      </w:r>
      <w:r>
        <w:rPr>
          <w:rFonts w:ascii="Times New Roman" w:eastAsia="Times New Roman" w:hAnsi="Times New Roman" w:cs="Times New Roman"/>
          <w:sz w:val="24"/>
          <w:szCs w:val="24"/>
        </w:rPr>
        <w:t xml:space="preserve">0.00=2.52 </w:t>
      </w:r>
      <w:r>
        <w:rPr>
          <w:spacing w:val="1"/>
          <w:sz w:val="24"/>
          <w:szCs w:val="24"/>
        </w:rPr>
        <w:t>2021年湖南酒鬼酒公司的流动比率</w:t>
      </w:r>
      <w:r>
        <w:rPr>
          <w:rFonts w:ascii="Times New Roman" w:eastAsia="Times New Roman" w:hAnsi="Times New Roman" w:cs="Times New Roman"/>
          <w:spacing w:val="1"/>
          <w:sz w:val="24"/>
          <w:szCs w:val="24"/>
        </w:rPr>
        <w:t>=847,928,000.00/</w:t>
      </w:r>
      <w:r>
        <w:rPr>
          <w:rFonts w:ascii="Times New Roman" w:eastAsia="Times New Roman" w:hAnsi="Times New Roman" w:cs="Times New Roman"/>
          <w:sz w:val="24"/>
          <w:szCs w:val="24"/>
        </w:rPr>
        <w:t>401,920,000.00=2.11</w:t>
      </w:r>
    </w:p>
    <w:p>
      <w:pPr>
        <w:pStyle w:val="BodyText"/>
        <w:spacing w:before="1" w:line="220" w:lineRule="auto"/>
        <w:ind w:left="483"/>
        <w:rPr>
          <w:rFonts w:ascii="Times New Roman" w:eastAsia="Times New Roman" w:hAnsi="Times New Roman" w:cs="Times New Roman"/>
          <w:sz w:val="24"/>
          <w:szCs w:val="24"/>
        </w:rPr>
      </w:pPr>
      <w:r>
        <w:rPr>
          <w:spacing w:val="1"/>
          <w:sz w:val="24"/>
          <w:szCs w:val="24"/>
        </w:rPr>
        <w:t>2022年湖南酒鬼酒公司的流动比率=</w:t>
      </w:r>
      <w:r>
        <w:rPr>
          <w:rFonts w:ascii="Times New Roman" w:eastAsia="Times New Roman" w:hAnsi="Times New Roman" w:cs="Times New Roman"/>
          <w:spacing w:val="1"/>
          <w:sz w:val="24"/>
          <w:szCs w:val="24"/>
        </w:rPr>
        <w:t>1,042,618,000.00/620,568,000.00=1.68</w:t>
      </w:r>
    </w:p>
    <w:p>
      <w:pPr>
        <w:pStyle w:val="BodyText"/>
        <w:spacing w:before="181" w:line="493" w:lineRule="exact"/>
        <w:ind w:left="483"/>
        <w:rPr>
          <w:sz w:val="24"/>
          <w:szCs w:val="24"/>
        </w:rPr>
      </w:pPr>
      <w:r>
        <w:rPr>
          <w:spacing w:val="-3"/>
          <w:position w:val="19"/>
          <w:sz w:val="24"/>
          <w:szCs w:val="24"/>
        </w:rPr>
        <w:t>数据来源：湖南酒鬼酒公司财务报表</w:t>
      </w:r>
    </w:p>
    <w:p>
      <w:pPr>
        <w:pStyle w:val="BodyText"/>
        <w:spacing w:line="222" w:lineRule="auto"/>
        <w:ind w:left="633"/>
        <w:rPr>
          <w:sz w:val="24"/>
          <w:szCs w:val="24"/>
        </w:rPr>
      </w:pPr>
      <w:r>
        <w:rPr>
          <w:spacing w:val="3"/>
          <w:sz w:val="24"/>
          <w:szCs w:val="24"/>
        </w:rPr>
        <w:t>(2)湖南酒鬼酒速动比率：</w:t>
      </w:r>
    </w:p>
    <w:p>
      <w:pPr>
        <w:spacing w:before="76" w:line="217" w:lineRule="auto"/>
        <w:ind w:left="2943"/>
        <w:rPr>
          <w:rFonts w:ascii="SimSun" w:eastAsia="SimSun" w:hAnsi="SimSun" w:cs="SimSun"/>
          <w:sz w:val="21"/>
          <w:szCs w:val="21"/>
        </w:rPr>
      </w:pPr>
      <w:r>
        <w:rPr>
          <w:rFonts w:ascii="SimSun" w:eastAsia="SimSun" w:hAnsi="SimSun" w:cs="SimSun"/>
          <w:spacing w:val="-1"/>
          <w:sz w:val="21"/>
          <w:szCs w:val="21"/>
        </w:rPr>
        <w:t>表3.4湖南酒鬼酒公司比率</w:t>
      </w:r>
    </w:p>
    <w:tbl>
      <w:tblPr>
        <w:tblStyle w:val="TableNormal3"/>
        <w:tblW w:w="7760" w:type="dxa"/>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53"/>
        <w:gridCol w:w="1977"/>
        <w:gridCol w:w="1967"/>
        <w:gridCol w:w="1963"/>
      </w:tblGrid>
      <w:tr>
        <w:tblPrEx>
          <w:tblW w:w="7760" w:type="dxa"/>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23"/>
        </w:trPr>
        <w:tc>
          <w:tcPr>
            <w:tcW w:w="1853" w:type="dxa"/>
            <w:vAlign w:val="top"/>
          </w:tcPr>
          <w:p>
            <w:pPr>
              <w:pStyle w:val="TableText"/>
              <w:spacing w:before="63" w:line="220" w:lineRule="auto"/>
              <w:ind w:left="715"/>
            </w:pPr>
            <w:r>
              <w:rPr>
                <w:spacing w:val="-6"/>
              </w:rPr>
              <w:t>项 目</w:t>
            </w:r>
          </w:p>
        </w:tc>
        <w:tc>
          <w:tcPr>
            <w:tcW w:w="1977" w:type="dxa"/>
            <w:vAlign w:val="top"/>
          </w:tcPr>
          <w:p>
            <w:pPr>
              <w:pStyle w:val="TableText"/>
              <w:spacing w:before="73" w:line="219" w:lineRule="auto"/>
              <w:ind w:left="682"/>
            </w:pPr>
            <w:r>
              <w:rPr>
                <w:spacing w:val="-2"/>
              </w:rPr>
              <w:t>2020年</w:t>
            </w:r>
          </w:p>
        </w:tc>
        <w:tc>
          <w:tcPr>
            <w:tcW w:w="1967" w:type="dxa"/>
            <w:vAlign w:val="top"/>
          </w:tcPr>
          <w:p>
            <w:pPr>
              <w:pStyle w:val="TableText"/>
              <w:spacing w:before="73" w:line="219" w:lineRule="auto"/>
              <w:ind w:left="675"/>
            </w:pPr>
            <w:r>
              <w:rPr>
                <w:spacing w:val="-2"/>
              </w:rPr>
              <w:t>2021年</w:t>
            </w:r>
          </w:p>
        </w:tc>
        <w:tc>
          <w:tcPr>
            <w:tcW w:w="1963" w:type="dxa"/>
            <w:vAlign w:val="top"/>
          </w:tcPr>
          <w:p>
            <w:pPr>
              <w:pStyle w:val="TableText"/>
              <w:spacing w:before="73" w:line="219" w:lineRule="auto"/>
              <w:ind w:left="677"/>
            </w:pPr>
            <w:r>
              <w:rPr>
                <w:spacing w:val="-2"/>
              </w:rPr>
              <w:t>2022年</w:t>
            </w:r>
          </w:p>
        </w:tc>
      </w:tr>
      <w:tr>
        <w:tblPrEx>
          <w:tblW w:w="7760" w:type="dxa"/>
          <w:tblInd w:w="283" w:type="dxa"/>
          <w:tblLayout w:type="fixed"/>
        </w:tblPrEx>
        <w:trPr>
          <w:trHeight w:val="509"/>
        </w:trPr>
        <w:tc>
          <w:tcPr>
            <w:tcW w:w="1853" w:type="dxa"/>
            <w:vAlign w:val="top"/>
          </w:tcPr>
          <w:p>
            <w:pPr>
              <w:pStyle w:val="TableText"/>
              <w:spacing w:before="80" w:line="219" w:lineRule="auto"/>
              <w:ind w:left="215"/>
            </w:pPr>
            <w:r>
              <w:rPr>
                <w:spacing w:val="5"/>
              </w:rPr>
              <w:t>流动资产(万元)</w:t>
            </w:r>
          </w:p>
        </w:tc>
        <w:tc>
          <w:tcPr>
            <w:tcW w:w="1977" w:type="dxa"/>
            <w:vAlign w:val="top"/>
          </w:tcPr>
          <w:p>
            <w:pPr>
              <w:pStyle w:val="TableText"/>
              <w:spacing w:before="118" w:line="183" w:lineRule="auto"/>
              <w:ind w:left="281"/>
            </w:pPr>
            <w:r>
              <w:rPr>
                <w:spacing w:val="-1"/>
              </w:rPr>
              <w:t>884,678,000.00</w:t>
            </w:r>
          </w:p>
        </w:tc>
        <w:tc>
          <w:tcPr>
            <w:tcW w:w="1967" w:type="dxa"/>
            <w:vAlign w:val="top"/>
          </w:tcPr>
          <w:p>
            <w:pPr>
              <w:pStyle w:val="TableText"/>
              <w:spacing w:before="118" w:line="183" w:lineRule="auto"/>
              <w:ind w:left="275"/>
            </w:pPr>
            <w:r>
              <w:rPr>
                <w:spacing w:val="-1"/>
              </w:rPr>
              <w:t>847,928,000.00</w:t>
            </w:r>
          </w:p>
        </w:tc>
        <w:tc>
          <w:tcPr>
            <w:tcW w:w="1963" w:type="dxa"/>
            <w:vAlign w:val="top"/>
          </w:tcPr>
          <w:p>
            <w:pPr>
              <w:pStyle w:val="TableText"/>
              <w:spacing w:before="107" w:line="184" w:lineRule="auto"/>
              <w:ind w:left="178"/>
            </w:pPr>
            <w:r>
              <w:rPr>
                <w:spacing w:val="-2"/>
              </w:rPr>
              <w:t>1,042,618,000.00</w:t>
            </w:r>
          </w:p>
        </w:tc>
      </w:tr>
      <w:tr>
        <w:tblPrEx>
          <w:tblW w:w="7760" w:type="dxa"/>
          <w:tblInd w:w="283" w:type="dxa"/>
          <w:tblLayout w:type="fixed"/>
        </w:tblPrEx>
        <w:trPr>
          <w:trHeight w:val="549"/>
        </w:trPr>
        <w:tc>
          <w:tcPr>
            <w:tcW w:w="1853" w:type="dxa"/>
            <w:vAlign w:val="top"/>
          </w:tcPr>
          <w:p>
            <w:pPr>
              <w:pStyle w:val="TableText"/>
              <w:spacing w:before="81" w:line="219" w:lineRule="auto"/>
              <w:ind w:left="215"/>
            </w:pPr>
            <w:r>
              <w:rPr>
                <w:spacing w:val="5"/>
              </w:rPr>
              <w:t>预付款项(万元)</w:t>
            </w:r>
          </w:p>
        </w:tc>
        <w:tc>
          <w:tcPr>
            <w:tcW w:w="1977" w:type="dxa"/>
            <w:vAlign w:val="top"/>
          </w:tcPr>
          <w:p>
            <w:pPr>
              <w:pStyle w:val="TableText"/>
              <w:spacing w:before="208" w:line="184" w:lineRule="auto"/>
              <w:ind w:left="541"/>
            </w:pPr>
            <w:r>
              <w:rPr>
                <w:spacing w:val="-1"/>
              </w:rPr>
              <w:t>6,941,000.00</w:t>
            </w:r>
          </w:p>
        </w:tc>
        <w:tc>
          <w:tcPr>
            <w:tcW w:w="1967" w:type="dxa"/>
            <w:vAlign w:val="top"/>
          </w:tcPr>
          <w:p>
            <w:pPr>
              <w:pStyle w:val="TableText"/>
              <w:spacing w:before="209" w:line="183" w:lineRule="auto"/>
              <w:ind w:left="375"/>
            </w:pPr>
            <w:r>
              <w:rPr>
                <w:spacing w:val="-1"/>
              </w:rPr>
              <w:t>6,268,000.00</w:t>
            </w:r>
          </w:p>
        </w:tc>
        <w:tc>
          <w:tcPr>
            <w:tcW w:w="1963" w:type="dxa"/>
            <w:vAlign w:val="top"/>
          </w:tcPr>
          <w:p>
            <w:pPr>
              <w:pStyle w:val="TableText"/>
              <w:spacing w:before="209" w:line="183" w:lineRule="auto"/>
              <w:ind w:left="378"/>
            </w:pPr>
            <w:r>
              <w:rPr>
                <w:spacing w:val="-1"/>
              </w:rPr>
              <w:t>8,254,000.00</w:t>
            </w:r>
          </w:p>
        </w:tc>
      </w:tr>
      <w:tr>
        <w:tblPrEx>
          <w:tblW w:w="7760" w:type="dxa"/>
          <w:tblInd w:w="283" w:type="dxa"/>
          <w:tblLayout w:type="fixed"/>
        </w:tblPrEx>
        <w:trPr>
          <w:trHeight w:val="399"/>
        </w:trPr>
        <w:tc>
          <w:tcPr>
            <w:tcW w:w="1853" w:type="dxa"/>
            <w:vAlign w:val="top"/>
          </w:tcPr>
          <w:p>
            <w:pPr>
              <w:pStyle w:val="TableText"/>
              <w:spacing w:before="101" w:line="219" w:lineRule="auto"/>
              <w:ind w:left="415"/>
            </w:pPr>
            <w:r>
              <w:rPr>
                <w:spacing w:val="7"/>
              </w:rPr>
              <w:t>存货(万元)</w:t>
            </w:r>
          </w:p>
        </w:tc>
        <w:tc>
          <w:tcPr>
            <w:tcW w:w="1977" w:type="dxa"/>
            <w:vAlign w:val="top"/>
          </w:tcPr>
          <w:p>
            <w:pPr>
              <w:pStyle w:val="TableText"/>
              <w:spacing w:before="129" w:line="184" w:lineRule="auto"/>
              <w:ind w:left="332"/>
            </w:pPr>
            <w:r>
              <w:rPr>
                <w:spacing w:val="-1"/>
              </w:rPr>
              <w:t>68,511,000.00</w:t>
            </w:r>
          </w:p>
        </w:tc>
        <w:tc>
          <w:tcPr>
            <w:tcW w:w="1967" w:type="dxa"/>
            <w:vAlign w:val="top"/>
          </w:tcPr>
          <w:p>
            <w:pPr>
              <w:pStyle w:val="TableText"/>
              <w:spacing w:before="130" w:line="183" w:lineRule="auto"/>
              <w:ind w:left="325"/>
            </w:pPr>
            <w:r>
              <w:rPr>
                <w:spacing w:val="-1"/>
              </w:rPr>
              <w:t>74,820,000.00</w:t>
            </w:r>
          </w:p>
        </w:tc>
        <w:tc>
          <w:tcPr>
            <w:tcW w:w="1963" w:type="dxa"/>
            <w:vAlign w:val="top"/>
          </w:tcPr>
          <w:p>
            <w:pPr>
              <w:pStyle w:val="TableText"/>
              <w:spacing w:before="129" w:line="184" w:lineRule="auto"/>
              <w:ind w:left="278"/>
            </w:pPr>
            <w:r>
              <w:rPr>
                <w:spacing w:val="-2"/>
              </w:rPr>
              <w:t>1248,58,000.00</w:t>
            </w:r>
          </w:p>
        </w:tc>
      </w:tr>
      <w:tr>
        <w:tblPrEx>
          <w:tblW w:w="7760" w:type="dxa"/>
          <w:tblInd w:w="283" w:type="dxa"/>
          <w:tblLayout w:type="fixed"/>
        </w:tblPrEx>
        <w:trPr>
          <w:trHeight w:val="648"/>
        </w:trPr>
        <w:tc>
          <w:tcPr>
            <w:tcW w:w="1853" w:type="dxa"/>
            <w:vAlign w:val="top"/>
          </w:tcPr>
          <w:p>
            <w:pPr>
              <w:pStyle w:val="TableText"/>
              <w:spacing w:before="93" w:line="219" w:lineRule="auto"/>
              <w:ind w:left="165"/>
            </w:pPr>
            <w:r>
              <w:rPr>
                <w:spacing w:val="1"/>
              </w:rPr>
              <w:t>其他流动资产(万</w:t>
            </w:r>
          </w:p>
          <w:p>
            <w:pPr>
              <w:pStyle w:val="TableText"/>
              <w:spacing w:before="63" w:line="220" w:lineRule="auto"/>
              <w:ind w:left="765"/>
            </w:pPr>
            <w:r>
              <w:rPr>
                <w:spacing w:val="-5"/>
              </w:rPr>
              <w:t>元</w:t>
            </w:r>
            <w:r>
              <w:rPr>
                <w:spacing w:val="-39"/>
              </w:rPr>
              <w:t xml:space="preserve"> </w:t>
            </w:r>
            <w:r>
              <w:rPr>
                <w:spacing w:val="-5"/>
              </w:rPr>
              <w:t>)</w:t>
            </w:r>
          </w:p>
        </w:tc>
        <w:tc>
          <w:tcPr>
            <w:tcW w:w="1977" w:type="dxa"/>
            <w:vAlign w:val="top"/>
          </w:tcPr>
          <w:p>
            <w:pPr>
              <w:pStyle w:val="TableText"/>
              <w:spacing w:before="260" w:line="184" w:lineRule="auto"/>
              <w:ind w:left="382"/>
            </w:pPr>
            <w:r>
              <w:rPr>
                <w:spacing w:val="-2"/>
              </w:rPr>
              <w:t>1,544,000.00</w:t>
            </w:r>
          </w:p>
        </w:tc>
        <w:tc>
          <w:tcPr>
            <w:tcW w:w="1967" w:type="dxa"/>
            <w:vAlign w:val="top"/>
          </w:tcPr>
          <w:p>
            <w:pPr>
              <w:pStyle w:val="TableText"/>
              <w:spacing w:before="284" w:line="183" w:lineRule="auto"/>
              <w:ind w:left="474"/>
            </w:pPr>
            <w:r>
              <w:rPr>
                <w:spacing w:val="-1"/>
              </w:rPr>
              <w:t>6234000.00</w:t>
            </w:r>
          </w:p>
        </w:tc>
        <w:tc>
          <w:tcPr>
            <w:tcW w:w="1963" w:type="dxa"/>
            <w:vAlign w:val="top"/>
          </w:tcPr>
          <w:p>
            <w:pPr>
              <w:rPr>
                <w:rFonts w:ascii="Arial"/>
                <w:sz w:val="21"/>
              </w:rPr>
            </w:pPr>
          </w:p>
        </w:tc>
      </w:tr>
      <w:tr>
        <w:tblPrEx>
          <w:tblW w:w="7760" w:type="dxa"/>
          <w:tblInd w:w="283" w:type="dxa"/>
          <w:tblLayout w:type="fixed"/>
        </w:tblPrEx>
        <w:trPr>
          <w:trHeight w:val="329"/>
        </w:trPr>
        <w:tc>
          <w:tcPr>
            <w:tcW w:w="1853" w:type="dxa"/>
            <w:vAlign w:val="top"/>
          </w:tcPr>
          <w:p>
            <w:pPr>
              <w:pStyle w:val="TableText"/>
              <w:spacing w:before="75" w:line="219" w:lineRule="auto"/>
              <w:ind w:left="215"/>
            </w:pPr>
            <w:r>
              <w:rPr>
                <w:spacing w:val="5"/>
              </w:rPr>
              <w:t>速动资产(万元)</w:t>
            </w:r>
          </w:p>
        </w:tc>
        <w:tc>
          <w:tcPr>
            <w:tcW w:w="1977" w:type="dxa"/>
            <w:vAlign w:val="top"/>
          </w:tcPr>
          <w:p>
            <w:pPr>
              <w:pStyle w:val="TableText"/>
              <w:spacing w:before="103" w:line="183" w:lineRule="auto"/>
              <w:ind w:left="281"/>
            </w:pPr>
            <w:r>
              <w:rPr>
                <w:spacing w:val="-1"/>
              </w:rPr>
              <w:t>807,682,000.00</w:t>
            </w:r>
          </w:p>
        </w:tc>
        <w:tc>
          <w:tcPr>
            <w:tcW w:w="1967" w:type="dxa"/>
            <w:vAlign w:val="top"/>
          </w:tcPr>
          <w:p>
            <w:pPr>
              <w:pStyle w:val="TableText"/>
              <w:spacing w:before="103" w:line="183" w:lineRule="auto"/>
              <w:ind w:left="275"/>
            </w:pPr>
            <w:r>
              <w:rPr>
                <w:spacing w:val="-1"/>
              </w:rPr>
              <w:t>827,944,000.00</w:t>
            </w:r>
          </w:p>
        </w:tc>
        <w:tc>
          <w:tcPr>
            <w:tcW w:w="1963" w:type="dxa"/>
            <w:vAlign w:val="top"/>
          </w:tcPr>
          <w:p>
            <w:pPr>
              <w:pStyle w:val="TableText"/>
              <w:spacing w:before="103" w:line="183" w:lineRule="auto"/>
              <w:ind w:left="278"/>
            </w:pPr>
            <w:r>
              <w:rPr>
                <w:spacing w:val="-1"/>
              </w:rPr>
              <w:t>909,506,000.00</w:t>
            </w:r>
          </w:p>
        </w:tc>
      </w:tr>
      <w:tr>
        <w:tblPrEx>
          <w:tblW w:w="7760" w:type="dxa"/>
          <w:tblInd w:w="283" w:type="dxa"/>
          <w:tblLayout w:type="fixed"/>
        </w:tblPrEx>
        <w:trPr>
          <w:trHeight w:val="449"/>
        </w:trPr>
        <w:tc>
          <w:tcPr>
            <w:tcW w:w="1853" w:type="dxa"/>
            <w:vAlign w:val="top"/>
          </w:tcPr>
          <w:p>
            <w:pPr>
              <w:pStyle w:val="TableText"/>
              <w:spacing w:before="136" w:line="219" w:lineRule="auto"/>
              <w:ind w:left="215"/>
            </w:pPr>
            <w:r>
              <w:rPr>
                <w:spacing w:val="5"/>
              </w:rPr>
              <w:t>流动负债(万元)</w:t>
            </w:r>
          </w:p>
        </w:tc>
        <w:tc>
          <w:tcPr>
            <w:tcW w:w="1977" w:type="dxa"/>
            <w:vAlign w:val="top"/>
          </w:tcPr>
          <w:p>
            <w:pPr>
              <w:pStyle w:val="TableText"/>
              <w:spacing w:before="163" w:line="184" w:lineRule="auto"/>
              <w:ind w:left="281"/>
            </w:pPr>
            <w:r>
              <w:rPr>
                <w:spacing w:val="-1"/>
              </w:rPr>
              <w:t>351,232,000.00</w:t>
            </w:r>
          </w:p>
        </w:tc>
        <w:tc>
          <w:tcPr>
            <w:tcW w:w="1967" w:type="dxa"/>
            <w:vAlign w:val="top"/>
          </w:tcPr>
          <w:p>
            <w:pPr>
              <w:pStyle w:val="TableText"/>
              <w:spacing w:before="163" w:line="184" w:lineRule="auto"/>
              <w:ind w:left="275"/>
            </w:pPr>
            <w:r>
              <w:rPr>
                <w:spacing w:val="-1"/>
              </w:rPr>
              <w:t>401,920,000.00</w:t>
            </w:r>
          </w:p>
        </w:tc>
        <w:tc>
          <w:tcPr>
            <w:tcW w:w="1963" w:type="dxa"/>
            <w:vAlign w:val="top"/>
          </w:tcPr>
          <w:p>
            <w:pPr>
              <w:pStyle w:val="TableText"/>
              <w:spacing w:before="164" w:line="183" w:lineRule="auto"/>
              <w:ind w:left="278"/>
            </w:pPr>
            <w:r>
              <w:rPr>
                <w:spacing w:val="-1"/>
              </w:rPr>
              <w:t>620,568,000.00</w:t>
            </w:r>
          </w:p>
        </w:tc>
      </w:tr>
      <w:tr>
        <w:tblPrEx>
          <w:tblW w:w="7760" w:type="dxa"/>
          <w:tblInd w:w="283" w:type="dxa"/>
          <w:tblLayout w:type="fixed"/>
        </w:tblPrEx>
        <w:trPr>
          <w:trHeight w:val="574"/>
        </w:trPr>
        <w:tc>
          <w:tcPr>
            <w:tcW w:w="1853" w:type="dxa"/>
            <w:vAlign w:val="top"/>
          </w:tcPr>
          <w:p>
            <w:pPr>
              <w:pStyle w:val="TableText"/>
              <w:spacing w:before="67" w:line="219" w:lineRule="auto"/>
              <w:ind w:left="514"/>
            </w:pPr>
            <w:r>
              <w:rPr>
                <w:spacing w:val="-2"/>
              </w:rPr>
              <w:t>速动比率</w:t>
            </w:r>
          </w:p>
        </w:tc>
        <w:tc>
          <w:tcPr>
            <w:tcW w:w="1977" w:type="dxa"/>
            <w:vAlign w:val="top"/>
          </w:tcPr>
          <w:p>
            <w:pPr>
              <w:pStyle w:val="TableText"/>
              <w:spacing w:before="158" w:line="183" w:lineRule="auto"/>
              <w:ind w:left="782"/>
            </w:pPr>
            <w:r>
              <w:rPr>
                <w:spacing w:val="-2"/>
              </w:rPr>
              <w:t>2.30</w:t>
            </w:r>
          </w:p>
        </w:tc>
        <w:tc>
          <w:tcPr>
            <w:tcW w:w="1967" w:type="dxa"/>
            <w:vAlign w:val="top"/>
          </w:tcPr>
          <w:p>
            <w:pPr>
              <w:pStyle w:val="TableText"/>
              <w:spacing w:before="158" w:line="183" w:lineRule="auto"/>
              <w:ind w:left="775"/>
            </w:pPr>
            <w:r>
              <w:rPr>
                <w:spacing w:val="-2"/>
              </w:rPr>
              <w:t>2.06</w:t>
            </w:r>
          </w:p>
        </w:tc>
        <w:tc>
          <w:tcPr>
            <w:tcW w:w="1963" w:type="dxa"/>
            <w:vAlign w:val="top"/>
          </w:tcPr>
          <w:p>
            <w:pPr>
              <w:pStyle w:val="TableText"/>
              <w:spacing w:before="147" w:line="184" w:lineRule="auto"/>
              <w:ind w:left="778"/>
            </w:pPr>
            <w:r>
              <w:rPr>
                <w:spacing w:val="-5"/>
              </w:rPr>
              <w:t>1.47</w:t>
            </w:r>
          </w:p>
        </w:tc>
      </w:tr>
    </w:tbl>
    <w:p>
      <w:pPr>
        <w:spacing w:line="415" w:lineRule="auto"/>
        <w:rPr>
          <w:rFonts w:ascii="Arial"/>
          <w:sz w:val="21"/>
        </w:rPr>
      </w:pPr>
    </w:p>
    <w:p>
      <w:pPr>
        <w:pStyle w:val="BodyText"/>
        <w:spacing w:before="78" w:line="221" w:lineRule="auto"/>
        <w:ind w:left="483"/>
        <w:rPr>
          <w:sz w:val="24"/>
          <w:szCs w:val="24"/>
        </w:rPr>
      </w:pPr>
      <w:r>
        <w:rPr>
          <w:spacing w:val="-7"/>
          <w:sz w:val="24"/>
          <w:szCs w:val="24"/>
        </w:rPr>
        <w:t>2020年湖南酒鬼酒集团的流动比率=807,682,000/351,232,000.</w:t>
      </w:r>
      <w:r>
        <w:rPr>
          <w:spacing w:val="-8"/>
          <w:sz w:val="24"/>
          <w:szCs w:val="24"/>
        </w:rPr>
        <w:t>00=2.3</w:t>
      </w:r>
    </w:p>
    <w:p>
      <w:pPr>
        <w:pStyle w:val="BodyText"/>
        <w:spacing w:before="193" w:line="365" w:lineRule="auto"/>
        <w:ind w:left="483" w:right="561"/>
        <w:rPr>
          <w:rFonts w:ascii="Times New Roman" w:eastAsia="Times New Roman" w:hAnsi="Times New Roman" w:cs="Times New Roman"/>
          <w:sz w:val="24"/>
          <w:szCs w:val="24"/>
        </w:rPr>
        <w:sectPr>
          <w:footerReference w:type="default" r:id="rId12"/>
          <w:pgSz w:w="11910" w:h="16840"/>
          <w:pgMar w:top="1431" w:right="1695" w:bottom="1137" w:left="1786" w:header="0" w:footer="999" w:gutter="0"/>
          <w:pgNumType w:start="11"/>
          <w:cols w:space="708"/>
        </w:sectPr>
      </w:pPr>
      <w:r>
        <w:rPr>
          <w:spacing w:val="-1"/>
          <w:sz w:val="24"/>
          <w:szCs w:val="24"/>
        </w:rPr>
        <w:t>2021年湖南酒鬼酒集团的流动比率=827,9</w:t>
      </w:r>
      <w:r>
        <w:rPr>
          <w:spacing w:val="-2"/>
          <w:sz w:val="24"/>
          <w:szCs w:val="24"/>
        </w:rPr>
        <w:t>44,</w:t>
      </w:r>
      <w:r>
        <w:rPr>
          <w:rFonts w:ascii="Times New Roman" w:eastAsia="Times New Roman" w:hAnsi="Times New Roman" w:cs="Times New Roman"/>
          <w:spacing w:val="-2"/>
          <w:sz w:val="24"/>
          <w:szCs w:val="24"/>
        </w:rPr>
        <w:t>000.00/401,920,000.00=2.06</w:t>
      </w:r>
      <w:r>
        <w:rPr>
          <w:rFonts w:ascii="Times New Roman" w:eastAsia="Times New Roman" w:hAnsi="Times New Roman" w:cs="Times New Roman"/>
          <w:sz w:val="24"/>
          <w:szCs w:val="24"/>
        </w:rPr>
        <w:t xml:space="preserve"> </w:t>
      </w:r>
      <w:r>
        <w:rPr>
          <w:spacing w:val="1"/>
          <w:sz w:val="24"/>
          <w:szCs w:val="24"/>
        </w:rPr>
        <w:t>2022年湖南酒鬼酒集团的流动比率=</w:t>
      </w:r>
      <w:r>
        <w:rPr>
          <w:rFonts w:ascii="Times New Roman" w:eastAsia="Times New Roman" w:hAnsi="Times New Roman" w:cs="Times New Roman"/>
          <w:spacing w:val="1"/>
          <w:sz w:val="24"/>
          <w:szCs w:val="24"/>
        </w:rPr>
        <w:t>909,506,000.00/620,5</w:t>
      </w:r>
      <w:r>
        <w:rPr>
          <w:rFonts w:ascii="Times New Roman" w:eastAsia="Times New Roman" w:hAnsi="Times New Roman" w:cs="Times New Roman"/>
          <w:sz w:val="24"/>
          <w:szCs w:val="24"/>
        </w:rPr>
        <w:t>68,000.00=1.47</w:t>
      </w:r>
    </w:p>
    <w:p>
      <w:pPr>
        <w:pStyle w:val="BodyText"/>
        <w:spacing w:line="212" w:lineRule="auto"/>
        <w:ind w:left="483"/>
        <w:rPr>
          <w:sz w:val="24"/>
          <w:szCs w:val="24"/>
        </w:rPr>
      </w:pPr>
      <w:r>
        <w:rPr>
          <w:spacing w:val="-3"/>
          <w:sz w:val="24"/>
          <w:szCs w:val="24"/>
        </w:rPr>
        <w:t>数据来源：湖南酒鬼酒公司财务报表</w:t>
      </w:r>
    </w:p>
    <w:p>
      <w:pPr>
        <w:pStyle w:val="BodyText"/>
        <w:spacing w:before="210" w:line="360" w:lineRule="auto"/>
        <w:ind w:left="13" w:right="101" w:firstLine="470"/>
        <w:jc w:val="both"/>
        <w:rPr>
          <w:sz w:val="24"/>
          <w:szCs w:val="24"/>
        </w:rPr>
      </w:pPr>
      <w:r>
        <w:rPr>
          <w:spacing w:val="-3"/>
          <w:sz w:val="24"/>
          <w:szCs w:val="24"/>
        </w:rPr>
        <w:t>流动比率直接反映了该馥郁香酒公司短期快速偿债</w:t>
      </w:r>
      <w:r>
        <w:rPr>
          <w:spacing w:val="-4"/>
          <w:sz w:val="24"/>
          <w:szCs w:val="24"/>
        </w:rPr>
        <w:t>的流动能力；而这个速动</w:t>
      </w:r>
      <w:r>
        <w:rPr>
          <w:sz w:val="24"/>
          <w:szCs w:val="24"/>
        </w:rPr>
        <w:t xml:space="preserve"> </w:t>
      </w:r>
      <w:r>
        <w:rPr>
          <w:spacing w:val="3"/>
          <w:sz w:val="24"/>
          <w:szCs w:val="24"/>
        </w:rPr>
        <w:t>负债比率本身就是一个馥郁香酒企业中具有速动性的负债资产比例占具有流动</w:t>
      </w:r>
      <w:r>
        <w:rPr>
          <w:spacing w:val="18"/>
          <w:sz w:val="24"/>
          <w:szCs w:val="24"/>
        </w:rPr>
        <w:t xml:space="preserve"> </w:t>
      </w:r>
      <w:r>
        <w:rPr>
          <w:spacing w:val="-3"/>
          <w:sz w:val="24"/>
          <w:szCs w:val="24"/>
        </w:rPr>
        <w:t>性的负债资产比例中的百分比，它直接就是反映了湖南酒鬼酒实现速动的最快短</w:t>
      </w:r>
    </w:p>
    <w:p>
      <w:pPr>
        <w:pStyle w:val="BodyText"/>
        <w:spacing w:before="1" w:line="212" w:lineRule="auto"/>
        <w:ind w:left="13"/>
        <w:rPr>
          <w:sz w:val="24"/>
          <w:szCs w:val="24"/>
        </w:rPr>
      </w:pPr>
      <w:r>
        <w:rPr>
          <w:spacing w:val="-5"/>
          <w:sz w:val="24"/>
          <w:szCs w:val="24"/>
        </w:rPr>
        <w:t>期偿债率的能力(沈若柔,盛睿婷，2022)。从表3.3和表3.4中我们已经可</w:t>
      </w:r>
      <w:r>
        <w:rPr>
          <w:spacing w:val="-6"/>
          <w:sz w:val="24"/>
          <w:szCs w:val="24"/>
        </w:rPr>
        <w:t>以清楚地</w:t>
      </w:r>
    </w:p>
    <w:p>
      <w:pPr>
        <w:spacing w:line="212" w:lineRule="auto"/>
        <w:rPr>
          <w:sz w:val="24"/>
          <w:szCs w:val="24"/>
        </w:rPr>
        <w:sectPr>
          <w:footerReference w:type="default" r:id="rId13"/>
          <w:type w:val="nextPage"/>
          <w:pgSz w:w="11910" w:h="16840"/>
          <w:pgMar w:top="1431" w:right="1695" w:bottom="1137" w:left="1786" w:header="0" w:footer="999" w:gutter="0"/>
          <w:pgNumType w:start="12"/>
          <w:cols w:space="708"/>
          <w:titlePg w:val="0"/>
        </w:sectPr>
      </w:pPr>
    </w:p>
    <w:p>
      <w:pPr>
        <w:pStyle w:val="BodyText"/>
        <w:spacing w:before="117" w:line="360" w:lineRule="auto"/>
        <w:ind w:left="144" w:right="131"/>
        <w:jc w:val="both"/>
        <w:rPr>
          <w:sz w:val="24"/>
          <w:szCs w:val="24"/>
        </w:rPr>
      </w:pPr>
      <w:bookmarkStart w:id="12" w:name="bookmark13"/>
      <w:bookmarkEnd w:id="12"/>
      <w:r>
        <w:rPr>
          <w:spacing w:val="-2"/>
          <w:sz w:val="24"/>
          <w:szCs w:val="24"/>
        </w:rPr>
        <w:t>看出，湖南酒鬼酒流动比率由2.52下降到了1.68,速动比率由2.3</w:t>
      </w:r>
      <w:r>
        <w:rPr>
          <w:spacing w:val="-3"/>
          <w:sz w:val="24"/>
          <w:szCs w:val="24"/>
        </w:rPr>
        <w:t>0下降到了1.47,</w:t>
      </w:r>
      <w:r>
        <w:rPr>
          <w:sz w:val="24"/>
          <w:szCs w:val="24"/>
        </w:rPr>
        <w:t xml:space="preserve"> </w:t>
      </w:r>
      <w:r>
        <w:rPr>
          <w:spacing w:val="-3"/>
          <w:sz w:val="24"/>
          <w:szCs w:val="24"/>
        </w:rPr>
        <w:t>近年来湖南酒鬼酒资产流动比率、速动偿债比率均在逐年有所明显下降，说明了</w:t>
      </w:r>
    </w:p>
    <w:p>
      <w:pPr>
        <w:pStyle w:val="BodyText"/>
        <w:spacing w:line="216" w:lineRule="auto"/>
        <w:ind w:left="144"/>
        <w:rPr>
          <w:sz w:val="24"/>
          <w:szCs w:val="24"/>
        </w:rPr>
      </w:pPr>
      <w:r>
        <w:rPr>
          <w:spacing w:val="-3"/>
          <w:sz w:val="24"/>
          <w:szCs w:val="24"/>
        </w:rPr>
        <w:t>酒鬼酒公司的资产偿债运营能力正在恶化。</w:t>
      </w:r>
    </w:p>
    <w:p>
      <w:pPr>
        <w:pStyle w:val="BodyText"/>
        <w:spacing w:before="209" w:line="216" w:lineRule="auto"/>
        <w:ind w:left="555"/>
        <w:rPr>
          <w:sz w:val="24"/>
          <w:szCs w:val="24"/>
        </w:rPr>
      </w:pPr>
      <w:r>
        <w:rPr>
          <w:spacing w:val="-10"/>
          <w:sz w:val="24"/>
          <w:szCs w:val="24"/>
        </w:rPr>
        <w:t>3.2.3</w:t>
      </w:r>
      <w:r>
        <w:rPr>
          <w:spacing w:val="-10"/>
          <w:sz w:val="24"/>
          <w:szCs w:val="24"/>
        </w:rPr>
        <w:t xml:space="preserve"> </w:t>
      </w:r>
      <w:r>
        <w:rPr>
          <w:spacing w:val="-10"/>
          <w:sz w:val="24"/>
          <w:szCs w:val="24"/>
        </w:rPr>
        <w:t>湖南酒鬼酒公司营运能力</w:t>
      </w:r>
    </w:p>
    <w:p>
      <w:pPr>
        <w:spacing w:before="171" w:line="208" w:lineRule="auto"/>
        <w:ind w:left="2854"/>
        <w:rPr>
          <w:rFonts w:ascii="SimSun" w:eastAsia="SimSun" w:hAnsi="SimSun" w:cs="SimSun"/>
          <w:sz w:val="21"/>
          <w:szCs w:val="21"/>
        </w:rPr>
      </w:pPr>
      <w:r>
        <w:rPr>
          <w:rFonts w:ascii="SimSun" w:eastAsia="SimSun" w:hAnsi="SimSun" w:cs="SimSun"/>
          <w:sz w:val="21"/>
          <w:szCs w:val="21"/>
        </w:rPr>
        <w:t>表3.5湖南酒鬼酒公司营运能力</w:t>
      </w:r>
    </w:p>
    <w:tbl>
      <w:tblPr>
        <w:tblStyle w:val="TableNormal4"/>
        <w:tblW w:w="85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22"/>
        <w:gridCol w:w="2027"/>
        <w:gridCol w:w="2157"/>
        <w:gridCol w:w="1863"/>
      </w:tblGrid>
      <w:tr>
        <w:tblPrEx>
          <w:tblW w:w="85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5"/>
        </w:trPr>
        <w:tc>
          <w:tcPr>
            <w:tcW w:w="2522" w:type="dxa"/>
            <w:vAlign w:val="top"/>
          </w:tcPr>
          <w:p>
            <w:pPr>
              <w:pStyle w:val="TableText"/>
              <w:spacing w:before="63" w:line="219" w:lineRule="auto"/>
              <w:ind w:left="124"/>
            </w:pPr>
            <w:r>
              <w:t>营运能力：</w:t>
            </w:r>
          </w:p>
        </w:tc>
        <w:tc>
          <w:tcPr>
            <w:tcW w:w="2027" w:type="dxa"/>
            <w:vAlign w:val="top"/>
          </w:tcPr>
          <w:p>
            <w:pPr>
              <w:pStyle w:val="TableText"/>
              <w:spacing w:before="63" w:line="219" w:lineRule="auto"/>
              <w:ind w:left="122"/>
            </w:pPr>
            <w:r>
              <w:rPr>
                <w:spacing w:val="-2"/>
              </w:rPr>
              <w:t>2020年</w:t>
            </w:r>
          </w:p>
        </w:tc>
        <w:tc>
          <w:tcPr>
            <w:tcW w:w="2157" w:type="dxa"/>
            <w:vAlign w:val="top"/>
          </w:tcPr>
          <w:p>
            <w:pPr>
              <w:pStyle w:val="TableText"/>
              <w:spacing w:before="63" w:line="219" w:lineRule="auto"/>
              <w:ind w:left="106"/>
            </w:pPr>
            <w:r>
              <w:rPr>
                <w:spacing w:val="-2"/>
              </w:rPr>
              <w:t>2021年</w:t>
            </w:r>
          </w:p>
        </w:tc>
        <w:tc>
          <w:tcPr>
            <w:tcW w:w="1863" w:type="dxa"/>
            <w:vAlign w:val="top"/>
          </w:tcPr>
          <w:p>
            <w:pPr>
              <w:pStyle w:val="TableText"/>
              <w:spacing w:before="63" w:line="219" w:lineRule="auto"/>
              <w:ind w:left="139"/>
            </w:pPr>
            <w:r>
              <w:rPr>
                <w:spacing w:val="-2"/>
              </w:rPr>
              <w:t>2022年</w:t>
            </w:r>
          </w:p>
        </w:tc>
      </w:tr>
      <w:tr>
        <w:tblPrEx>
          <w:tblW w:w="8569" w:type="dxa"/>
          <w:tblInd w:w="5" w:type="dxa"/>
          <w:tblLayout w:type="fixed"/>
        </w:tblPrEx>
        <w:trPr>
          <w:trHeight w:val="340"/>
        </w:trPr>
        <w:tc>
          <w:tcPr>
            <w:tcW w:w="2522" w:type="dxa"/>
            <w:vAlign w:val="top"/>
          </w:tcPr>
          <w:p>
            <w:pPr>
              <w:pStyle w:val="TableText"/>
              <w:spacing w:before="66" w:line="219" w:lineRule="auto"/>
              <w:ind w:left="124"/>
            </w:pPr>
            <w:r>
              <w:rPr>
                <w:spacing w:val="6"/>
              </w:rPr>
              <w:t>销售成本(元)</w:t>
            </w:r>
          </w:p>
        </w:tc>
        <w:tc>
          <w:tcPr>
            <w:tcW w:w="2027" w:type="dxa"/>
            <w:vAlign w:val="top"/>
          </w:tcPr>
          <w:p>
            <w:pPr>
              <w:pStyle w:val="TableText"/>
              <w:spacing w:before="95" w:line="184" w:lineRule="auto"/>
              <w:ind w:left="122"/>
            </w:pPr>
            <w:r>
              <w:rPr>
                <w:spacing w:val="-1"/>
              </w:rPr>
              <w:t>542,361,000.00</w:t>
            </w:r>
          </w:p>
        </w:tc>
        <w:tc>
          <w:tcPr>
            <w:tcW w:w="2157" w:type="dxa"/>
            <w:vAlign w:val="top"/>
          </w:tcPr>
          <w:p>
            <w:pPr>
              <w:pStyle w:val="TableText"/>
              <w:spacing w:before="96" w:line="183" w:lineRule="auto"/>
              <w:ind w:left="106"/>
            </w:pPr>
            <w:r>
              <w:rPr>
                <w:spacing w:val="-1"/>
              </w:rPr>
              <w:t>652,732,000.00</w:t>
            </w:r>
          </w:p>
        </w:tc>
        <w:tc>
          <w:tcPr>
            <w:tcW w:w="1863" w:type="dxa"/>
            <w:vAlign w:val="top"/>
          </w:tcPr>
          <w:p>
            <w:pPr>
              <w:pStyle w:val="TableText"/>
              <w:spacing w:before="96" w:line="183" w:lineRule="auto"/>
              <w:ind w:left="139"/>
            </w:pPr>
            <w:r>
              <w:rPr>
                <w:spacing w:val="-1"/>
              </w:rPr>
              <w:t>943,562,000.00</w:t>
            </w:r>
          </w:p>
        </w:tc>
      </w:tr>
      <w:tr>
        <w:tblPrEx>
          <w:tblW w:w="8569" w:type="dxa"/>
          <w:tblInd w:w="5" w:type="dxa"/>
          <w:tblLayout w:type="fixed"/>
        </w:tblPrEx>
        <w:trPr>
          <w:trHeight w:val="350"/>
        </w:trPr>
        <w:tc>
          <w:tcPr>
            <w:tcW w:w="2522" w:type="dxa"/>
            <w:vAlign w:val="top"/>
          </w:tcPr>
          <w:p>
            <w:pPr>
              <w:pStyle w:val="TableText"/>
              <w:spacing w:before="77" w:line="219" w:lineRule="auto"/>
              <w:ind w:left="124"/>
            </w:pPr>
            <w:r>
              <w:rPr>
                <w:spacing w:val="4"/>
              </w:rPr>
              <w:t>期初存货余额(元)</w:t>
            </w:r>
          </w:p>
        </w:tc>
        <w:tc>
          <w:tcPr>
            <w:tcW w:w="2027" w:type="dxa"/>
            <w:vAlign w:val="top"/>
          </w:tcPr>
          <w:p>
            <w:pPr>
              <w:pStyle w:val="TableText"/>
              <w:spacing w:before="105" w:line="184" w:lineRule="auto"/>
              <w:ind w:left="122"/>
            </w:pPr>
            <w:r>
              <w:rPr>
                <w:spacing w:val="-1"/>
              </w:rPr>
              <w:t>41,428,000.00</w:t>
            </w:r>
          </w:p>
        </w:tc>
        <w:tc>
          <w:tcPr>
            <w:tcW w:w="2157" w:type="dxa"/>
            <w:vAlign w:val="top"/>
          </w:tcPr>
          <w:p>
            <w:pPr>
              <w:pStyle w:val="TableText"/>
              <w:spacing w:before="105" w:line="184" w:lineRule="auto"/>
              <w:ind w:left="106"/>
            </w:pPr>
            <w:r>
              <w:rPr>
                <w:spacing w:val="-1"/>
              </w:rPr>
              <w:t>68,511,000.00</w:t>
            </w:r>
          </w:p>
        </w:tc>
        <w:tc>
          <w:tcPr>
            <w:tcW w:w="1863" w:type="dxa"/>
            <w:vAlign w:val="top"/>
          </w:tcPr>
          <w:p>
            <w:pPr>
              <w:pStyle w:val="TableText"/>
              <w:spacing w:before="106" w:line="183" w:lineRule="auto"/>
              <w:ind w:left="139"/>
            </w:pPr>
            <w:r>
              <w:rPr>
                <w:spacing w:val="-1"/>
              </w:rPr>
              <w:t>74,820,000.00</w:t>
            </w:r>
          </w:p>
        </w:tc>
      </w:tr>
      <w:tr>
        <w:tblPrEx>
          <w:tblW w:w="8569" w:type="dxa"/>
          <w:tblInd w:w="5" w:type="dxa"/>
          <w:tblLayout w:type="fixed"/>
        </w:tblPrEx>
        <w:trPr>
          <w:trHeight w:val="330"/>
        </w:trPr>
        <w:tc>
          <w:tcPr>
            <w:tcW w:w="2522" w:type="dxa"/>
            <w:vAlign w:val="top"/>
          </w:tcPr>
          <w:p>
            <w:pPr>
              <w:pStyle w:val="TableText"/>
              <w:spacing w:before="66" w:line="219" w:lineRule="auto"/>
              <w:ind w:left="124"/>
            </w:pPr>
            <w:r>
              <w:rPr>
                <w:spacing w:val="4"/>
              </w:rPr>
              <w:t>期未存货余额(元)</w:t>
            </w:r>
          </w:p>
        </w:tc>
        <w:tc>
          <w:tcPr>
            <w:tcW w:w="2027" w:type="dxa"/>
            <w:vAlign w:val="top"/>
          </w:tcPr>
          <w:p>
            <w:pPr>
              <w:pStyle w:val="TableText"/>
              <w:spacing w:before="95" w:line="184" w:lineRule="auto"/>
              <w:ind w:left="122"/>
            </w:pPr>
            <w:r>
              <w:rPr>
                <w:spacing w:val="-1"/>
              </w:rPr>
              <w:t>68,511,000.00</w:t>
            </w:r>
          </w:p>
        </w:tc>
        <w:tc>
          <w:tcPr>
            <w:tcW w:w="2157" w:type="dxa"/>
            <w:vAlign w:val="top"/>
          </w:tcPr>
          <w:p>
            <w:pPr>
              <w:pStyle w:val="TableText"/>
              <w:spacing w:before="96" w:line="183" w:lineRule="auto"/>
              <w:ind w:left="106"/>
            </w:pPr>
            <w:r>
              <w:rPr>
                <w:spacing w:val="-1"/>
              </w:rPr>
              <w:t>74,820,000.00</w:t>
            </w:r>
          </w:p>
        </w:tc>
        <w:tc>
          <w:tcPr>
            <w:tcW w:w="1863" w:type="dxa"/>
            <w:vAlign w:val="top"/>
          </w:tcPr>
          <w:p>
            <w:pPr>
              <w:pStyle w:val="TableText"/>
              <w:spacing w:before="95" w:line="184" w:lineRule="auto"/>
              <w:ind w:left="139"/>
            </w:pPr>
            <w:r>
              <w:rPr>
                <w:spacing w:val="-2"/>
              </w:rPr>
              <w:t>124,858,000.00</w:t>
            </w:r>
          </w:p>
        </w:tc>
      </w:tr>
      <w:tr>
        <w:tblPrEx>
          <w:tblW w:w="8569" w:type="dxa"/>
          <w:tblInd w:w="5" w:type="dxa"/>
          <w:tblLayout w:type="fixed"/>
        </w:tblPrEx>
        <w:trPr>
          <w:trHeight w:val="330"/>
        </w:trPr>
        <w:tc>
          <w:tcPr>
            <w:tcW w:w="2522" w:type="dxa"/>
            <w:vAlign w:val="top"/>
          </w:tcPr>
          <w:p>
            <w:pPr>
              <w:pStyle w:val="TableText"/>
              <w:spacing w:before="66" w:line="219" w:lineRule="auto"/>
              <w:ind w:left="124"/>
            </w:pPr>
            <w:r>
              <w:rPr>
                <w:spacing w:val="4"/>
              </w:rPr>
              <w:t>平均存货余额(元)</w:t>
            </w:r>
          </w:p>
        </w:tc>
        <w:tc>
          <w:tcPr>
            <w:tcW w:w="2027" w:type="dxa"/>
            <w:vAlign w:val="top"/>
          </w:tcPr>
          <w:p>
            <w:pPr>
              <w:pStyle w:val="TableText"/>
              <w:spacing w:before="96" w:line="183" w:lineRule="auto"/>
              <w:ind w:left="122"/>
            </w:pPr>
            <w:r>
              <w:rPr>
                <w:spacing w:val="-1"/>
              </w:rPr>
              <w:t>54,969,500.00</w:t>
            </w:r>
          </w:p>
        </w:tc>
        <w:tc>
          <w:tcPr>
            <w:tcW w:w="2157" w:type="dxa"/>
            <w:vAlign w:val="top"/>
          </w:tcPr>
          <w:p>
            <w:pPr>
              <w:pStyle w:val="TableText"/>
              <w:spacing w:before="95" w:line="184" w:lineRule="auto"/>
              <w:ind w:left="106"/>
            </w:pPr>
            <w:r>
              <w:rPr>
                <w:spacing w:val="-1"/>
              </w:rPr>
              <w:t>71,665,500.00</w:t>
            </w:r>
          </w:p>
        </w:tc>
        <w:tc>
          <w:tcPr>
            <w:tcW w:w="1863" w:type="dxa"/>
            <w:vAlign w:val="top"/>
          </w:tcPr>
          <w:p>
            <w:pPr>
              <w:pStyle w:val="TableText"/>
              <w:spacing w:before="96" w:line="183" w:lineRule="auto"/>
              <w:ind w:left="139"/>
            </w:pPr>
            <w:r>
              <w:rPr>
                <w:spacing w:val="-1"/>
              </w:rPr>
              <w:t>99,839,000.00</w:t>
            </w:r>
          </w:p>
        </w:tc>
      </w:tr>
      <w:tr>
        <w:tblPrEx>
          <w:tblW w:w="8569" w:type="dxa"/>
          <w:tblInd w:w="5" w:type="dxa"/>
          <w:tblLayout w:type="fixed"/>
        </w:tblPrEx>
        <w:trPr>
          <w:trHeight w:val="669"/>
        </w:trPr>
        <w:tc>
          <w:tcPr>
            <w:tcW w:w="2522" w:type="dxa"/>
            <w:vAlign w:val="top"/>
          </w:tcPr>
          <w:p>
            <w:pPr>
              <w:pStyle w:val="TableText"/>
              <w:spacing w:before="77" w:line="219" w:lineRule="auto"/>
              <w:ind w:left="124"/>
            </w:pPr>
            <w:r>
              <w:rPr>
                <w:spacing w:val="-1"/>
              </w:rPr>
              <w:t>存货周转率(次</w:t>
            </w:r>
          </w:p>
          <w:p>
            <w:pPr>
              <w:pStyle w:val="TableText"/>
              <w:spacing w:before="112" w:line="214" w:lineRule="auto"/>
              <w:ind w:left="124"/>
            </w:pPr>
            <w:r>
              <w:rPr>
                <w:spacing w:val="-1"/>
              </w:rPr>
              <w:t>销售成本/平均存货余额</w:t>
            </w:r>
          </w:p>
        </w:tc>
        <w:tc>
          <w:tcPr>
            <w:tcW w:w="2027" w:type="dxa"/>
            <w:vAlign w:val="top"/>
          </w:tcPr>
          <w:p>
            <w:pPr>
              <w:pStyle w:val="TableText"/>
              <w:spacing w:before="289" w:line="183" w:lineRule="auto"/>
              <w:ind w:left="122"/>
            </w:pPr>
            <w:r>
              <w:rPr>
                <w:spacing w:val="-2"/>
              </w:rPr>
              <w:t>9.87</w:t>
            </w:r>
          </w:p>
        </w:tc>
        <w:tc>
          <w:tcPr>
            <w:tcW w:w="2157" w:type="dxa"/>
            <w:vAlign w:val="top"/>
          </w:tcPr>
          <w:p>
            <w:pPr>
              <w:pStyle w:val="TableText"/>
              <w:spacing w:before="288" w:line="184" w:lineRule="auto"/>
              <w:ind w:left="106"/>
            </w:pPr>
            <w:r>
              <w:rPr>
                <w:spacing w:val="-2"/>
              </w:rPr>
              <w:t>9.11</w:t>
            </w:r>
          </w:p>
        </w:tc>
        <w:tc>
          <w:tcPr>
            <w:tcW w:w="1863" w:type="dxa"/>
            <w:vAlign w:val="top"/>
          </w:tcPr>
          <w:p>
            <w:pPr>
              <w:pStyle w:val="TableText"/>
              <w:spacing w:before="289" w:line="183" w:lineRule="auto"/>
              <w:ind w:left="139"/>
            </w:pPr>
            <w:r>
              <w:rPr>
                <w:spacing w:val="-2"/>
              </w:rPr>
              <w:t>9.45</w:t>
            </w:r>
          </w:p>
        </w:tc>
      </w:tr>
      <w:tr>
        <w:tblPrEx>
          <w:tblW w:w="8569" w:type="dxa"/>
          <w:tblInd w:w="5" w:type="dxa"/>
          <w:tblLayout w:type="fixed"/>
        </w:tblPrEx>
        <w:trPr>
          <w:trHeight w:val="659"/>
        </w:trPr>
        <w:tc>
          <w:tcPr>
            <w:tcW w:w="2522" w:type="dxa"/>
            <w:vAlign w:val="top"/>
          </w:tcPr>
          <w:p>
            <w:pPr>
              <w:pStyle w:val="TableText"/>
              <w:spacing w:before="229" w:line="219" w:lineRule="auto"/>
              <w:ind w:left="124"/>
            </w:pPr>
            <w:r>
              <w:rPr>
                <w:spacing w:val="6"/>
              </w:rPr>
              <w:t>营业收入(元)</w:t>
            </w:r>
          </w:p>
        </w:tc>
        <w:tc>
          <w:tcPr>
            <w:tcW w:w="2027" w:type="dxa"/>
            <w:vAlign w:val="top"/>
          </w:tcPr>
          <w:p>
            <w:pPr>
              <w:pStyle w:val="TableText"/>
              <w:spacing w:before="256" w:line="184" w:lineRule="auto"/>
              <w:ind w:left="122"/>
            </w:pPr>
            <w:r>
              <w:rPr>
                <w:spacing w:val="-1"/>
              </w:rPr>
              <w:t>712,439,000.00</w:t>
            </w:r>
          </w:p>
        </w:tc>
        <w:tc>
          <w:tcPr>
            <w:tcW w:w="2157" w:type="dxa"/>
            <w:vAlign w:val="top"/>
          </w:tcPr>
          <w:p>
            <w:pPr>
              <w:pStyle w:val="TableText"/>
              <w:spacing w:before="257" w:line="183" w:lineRule="auto"/>
              <w:ind w:left="106"/>
            </w:pPr>
            <w:r>
              <w:rPr>
                <w:spacing w:val="-1"/>
              </w:rPr>
              <w:t>820,795,000.00</w:t>
            </w:r>
          </w:p>
        </w:tc>
        <w:tc>
          <w:tcPr>
            <w:tcW w:w="1863" w:type="dxa"/>
            <w:vAlign w:val="top"/>
          </w:tcPr>
          <w:p>
            <w:pPr>
              <w:pStyle w:val="TableText"/>
              <w:spacing w:before="256" w:line="184" w:lineRule="auto"/>
              <w:ind w:left="139"/>
            </w:pPr>
            <w:r>
              <w:rPr>
                <w:spacing w:val="-2"/>
              </w:rPr>
              <w:t>1,214,570,000.00</w:t>
            </w:r>
          </w:p>
        </w:tc>
      </w:tr>
      <w:tr>
        <w:tblPrEx>
          <w:tblW w:w="8569" w:type="dxa"/>
          <w:tblInd w:w="5" w:type="dxa"/>
          <w:tblLayout w:type="fixed"/>
        </w:tblPrEx>
        <w:trPr>
          <w:trHeight w:val="350"/>
        </w:trPr>
        <w:tc>
          <w:tcPr>
            <w:tcW w:w="2522" w:type="dxa"/>
            <w:vAlign w:val="top"/>
          </w:tcPr>
          <w:p>
            <w:pPr>
              <w:pStyle w:val="TableText"/>
              <w:spacing w:before="80" w:line="219" w:lineRule="auto"/>
              <w:ind w:left="124"/>
            </w:pPr>
            <w:r>
              <w:rPr>
                <w:spacing w:val="4"/>
              </w:rPr>
              <w:t>期初流动资产(元)</w:t>
            </w:r>
          </w:p>
        </w:tc>
        <w:tc>
          <w:tcPr>
            <w:tcW w:w="2027" w:type="dxa"/>
            <w:vAlign w:val="top"/>
          </w:tcPr>
          <w:p>
            <w:pPr>
              <w:pStyle w:val="TableText"/>
              <w:spacing w:before="107" w:line="184" w:lineRule="auto"/>
              <w:ind w:left="122"/>
            </w:pPr>
            <w:r>
              <w:rPr>
                <w:spacing w:val="-1"/>
              </w:rPr>
              <w:t>911,834,000.00</w:t>
            </w:r>
          </w:p>
        </w:tc>
        <w:tc>
          <w:tcPr>
            <w:tcW w:w="2157" w:type="dxa"/>
            <w:vAlign w:val="top"/>
          </w:tcPr>
          <w:p>
            <w:pPr>
              <w:pStyle w:val="TableText"/>
              <w:spacing w:before="108" w:line="183" w:lineRule="auto"/>
              <w:ind w:left="106"/>
            </w:pPr>
            <w:r>
              <w:rPr>
                <w:spacing w:val="-1"/>
              </w:rPr>
              <w:t>884,678,000.00</w:t>
            </w:r>
          </w:p>
        </w:tc>
        <w:tc>
          <w:tcPr>
            <w:tcW w:w="1863" w:type="dxa"/>
            <w:vAlign w:val="top"/>
          </w:tcPr>
          <w:p>
            <w:pPr>
              <w:pStyle w:val="TableText"/>
              <w:spacing w:before="108" w:line="183" w:lineRule="auto"/>
              <w:ind w:left="139"/>
            </w:pPr>
            <w:r>
              <w:rPr>
                <w:spacing w:val="-1"/>
              </w:rPr>
              <w:t>847,928,000.00</w:t>
            </w:r>
          </w:p>
        </w:tc>
      </w:tr>
      <w:tr>
        <w:tblPrEx>
          <w:tblW w:w="8569" w:type="dxa"/>
          <w:tblInd w:w="5" w:type="dxa"/>
          <w:tblLayout w:type="fixed"/>
        </w:tblPrEx>
        <w:trPr>
          <w:trHeight w:val="649"/>
        </w:trPr>
        <w:tc>
          <w:tcPr>
            <w:tcW w:w="2522" w:type="dxa"/>
            <w:vAlign w:val="top"/>
          </w:tcPr>
          <w:p>
            <w:pPr>
              <w:pStyle w:val="TableText"/>
              <w:spacing w:before="230" w:line="219" w:lineRule="auto"/>
              <w:ind w:left="124"/>
            </w:pPr>
            <w:r>
              <w:rPr>
                <w:spacing w:val="4"/>
              </w:rPr>
              <w:t>期末流动资产(元)</w:t>
            </w:r>
          </w:p>
        </w:tc>
        <w:tc>
          <w:tcPr>
            <w:tcW w:w="2027" w:type="dxa"/>
            <w:vAlign w:val="top"/>
          </w:tcPr>
          <w:p>
            <w:pPr>
              <w:pStyle w:val="TableText"/>
              <w:spacing w:before="258" w:line="183" w:lineRule="auto"/>
              <w:ind w:left="122"/>
            </w:pPr>
            <w:r>
              <w:rPr>
                <w:spacing w:val="-1"/>
              </w:rPr>
              <w:t>884,678,000.00</w:t>
            </w:r>
          </w:p>
        </w:tc>
        <w:tc>
          <w:tcPr>
            <w:tcW w:w="2157" w:type="dxa"/>
            <w:vAlign w:val="top"/>
          </w:tcPr>
          <w:p>
            <w:pPr>
              <w:pStyle w:val="TableText"/>
              <w:spacing w:before="258" w:line="183" w:lineRule="auto"/>
              <w:ind w:left="106"/>
            </w:pPr>
            <w:r>
              <w:rPr>
                <w:spacing w:val="-1"/>
              </w:rPr>
              <w:t>847,928,000.00</w:t>
            </w:r>
          </w:p>
        </w:tc>
        <w:tc>
          <w:tcPr>
            <w:tcW w:w="1863" w:type="dxa"/>
            <w:vAlign w:val="top"/>
          </w:tcPr>
          <w:p>
            <w:pPr>
              <w:pStyle w:val="TableText"/>
              <w:spacing w:before="257" w:line="184" w:lineRule="auto"/>
              <w:ind w:left="139"/>
            </w:pPr>
            <w:r>
              <w:rPr>
                <w:spacing w:val="-2"/>
              </w:rPr>
              <w:t>1,042,618,000.00</w:t>
            </w:r>
          </w:p>
        </w:tc>
      </w:tr>
      <w:tr>
        <w:tblPrEx>
          <w:tblW w:w="8569" w:type="dxa"/>
          <w:tblInd w:w="5" w:type="dxa"/>
          <w:tblLayout w:type="fixed"/>
        </w:tblPrEx>
        <w:trPr>
          <w:trHeight w:val="339"/>
        </w:trPr>
        <w:tc>
          <w:tcPr>
            <w:tcW w:w="2522" w:type="dxa"/>
            <w:vAlign w:val="top"/>
          </w:tcPr>
          <w:p>
            <w:pPr>
              <w:pStyle w:val="TableText"/>
              <w:spacing w:before="71" w:line="219" w:lineRule="auto"/>
              <w:ind w:left="124"/>
            </w:pPr>
            <w:r>
              <w:rPr>
                <w:spacing w:val="4"/>
              </w:rPr>
              <w:t>平均流动资产(元)</w:t>
            </w:r>
          </w:p>
        </w:tc>
        <w:tc>
          <w:tcPr>
            <w:tcW w:w="2027" w:type="dxa"/>
            <w:vAlign w:val="top"/>
          </w:tcPr>
          <w:p>
            <w:pPr>
              <w:pStyle w:val="TableText"/>
              <w:spacing w:before="99" w:line="183" w:lineRule="auto"/>
              <w:ind w:left="122"/>
            </w:pPr>
            <w:r>
              <w:rPr>
                <w:spacing w:val="-1"/>
              </w:rPr>
              <w:t>898,256,000.00</w:t>
            </w:r>
          </w:p>
        </w:tc>
        <w:tc>
          <w:tcPr>
            <w:tcW w:w="2157" w:type="dxa"/>
            <w:vAlign w:val="top"/>
          </w:tcPr>
          <w:p>
            <w:pPr>
              <w:pStyle w:val="TableText"/>
              <w:spacing w:before="99" w:line="183" w:lineRule="auto"/>
              <w:ind w:left="106"/>
            </w:pPr>
            <w:r>
              <w:rPr>
                <w:spacing w:val="-1"/>
              </w:rPr>
              <w:t>866,303,000.00</w:t>
            </w:r>
          </w:p>
        </w:tc>
        <w:tc>
          <w:tcPr>
            <w:tcW w:w="1863" w:type="dxa"/>
            <w:vAlign w:val="top"/>
          </w:tcPr>
          <w:p>
            <w:pPr>
              <w:pStyle w:val="TableText"/>
              <w:spacing w:before="99" w:line="183" w:lineRule="auto"/>
              <w:ind w:left="139"/>
            </w:pPr>
            <w:r>
              <w:rPr>
                <w:spacing w:val="-1"/>
              </w:rPr>
              <w:t>945,273,000.00</w:t>
            </w:r>
          </w:p>
        </w:tc>
      </w:tr>
      <w:tr>
        <w:tblPrEx>
          <w:tblW w:w="8569" w:type="dxa"/>
          <w:tblInd w:w="5" w:type="dxa"/>
          <w:tblLayout w:type="fixed"/>
        </w:tblPrEx>
        <w:trPr>
          <w:trHeight w:val="659"/>
        </w:trPr>
        <w:tc>
          <w:tcPr>
            <w:tcW w:w="2522" w:type="dxa"/>
            <w:vAlign w:val="top"/>
          </w:tcPr>
          <w:p>
            <w:pPr>
              <w:pStyle w:val="TableText"/>
              <w:spacing w:before="111" w:line="248" w:lineRule="auto"/>
              <w:ind w:left="124" w:right="373"/>
            </w:pPr>
            <w:r>
              <w:rPr>
                <w:spacing w:val="1"/>
              </w:rPr>
              <w:t xml:space="preserve">流动资产周转率(次)营 </w:t>
            </w:r>
            <w:r>
              <w:rPr>
                <w:spacing w:val="-1"/>
              </w:rPr>
              <w:t>业收入/平均流动资产</w:t>
            </w:r>
          </w:p>
        </w:tc>
        <w:tc>
          <w:tcPr>
            <w:tcW w:w="2027" w:type="dxa"/>
            <w:vAlign w:val="top"/>
          </w:tcPr>
          <w:p>
            <w:pPr>
              <w:pStyle w:val="TableText"/>
              <w:spacing w:before="283" w:line="183" w:lineRule="auto"/>
              <w:ind w:left="122"/>
            </w:pPr>
            <w:r>
              <w:rPr>
                <w:spacing w:val="-2"/>
              </w:rPr>
              <w:t>0.79</w:t>
            </w:r>
          </w:p>
        </w:tc>
        <w:tc>
          <w:tcPr>
            <w:tcW w:w="2157" w:type="dxa"/>
            <w:vAlign w:val="top"/>
          </w:tcPr>
          <w:p>
            <w:pPr>
              <w:pStyle w:val="TableText"/>
              <w:spacing w:before="283" w:line="183" w:lineRule="auto"/>
              <w:ind w:left="106"/>
            </w:pPr>
            <w:r>
              <w:rPr>
                <w:spacing w:val="-2"/>
              </w:rPr>
              <w:t>0.95</w:t>
            </w:r>
          </w:p>
        </w:tc>
        <w:tc>
          <w:tcPr>
            <w:tcW w:w="1863" w:type="dxa"/>
            <w:vAlign w:val="top"/>
          </w:tcPr>
          <w:p>
            <w:pPr>
              <w:pStyle w:val="TableText"/>
              <w:spacing w:before="282" w:line="184" w:lineRule="auto"/>
              <w:ind w:left="139"/>
            </w:pPr>
            <w:r>
              <w:rPr>
                <w:spacing w:val="-5"/>
              </w:rPr>
              <w:t>1.28</w:t>
            </w:r>
          </w:p>
        </w:tc>
      </w:tr>
      <w:tr>
        <w:tblPrEx>
          <w:tblW w:w="8569" w:type="dxa"/>
          <w:tblInd w:w="5" w:type="dxa"/>
          <w:tblLayout w:type="fixed"/>
        </w:tblPrEx>
        <w:trPr>
          <w:trHeight w:val="339"/>
        </w:trPr>
        <w:tc>
          <w:tcPr>
            <w:tcW w:w="2522" w:type="dxa"/>
            <w:vAlign w:val="top"/>
          </w:tcPr>
          <w:p>
            <w:pPr>
              <w:pStyle w:val="TableText"/>
              <w:spacing w:before="73" w:line="219" w:lineRule="auto"/>
              <w:ind w:left="124"/>
            </w:pPr>
            <w:r>
              <w:rPr>
                <w:spacing w:val="4"/>
              </w:rPr>
              <w:t>期初固定资产(元)</w:t>
            </w:r>
          </w:p>
        </w:tc>
        <w:tc>
          <w:tcPr>
            <w:tcW w:w="2027" w:type="dxa"/>
            <w:vAlign w:val="top"/>
          </w:tcPr>
          <w:p>
            <w:pPr>
              <w:pStyle w:val="TableText"/>
              <w:spacing w:before="100" w:line="184" w:lineRule="auto"/>
              <w:ind w:left="122"/>
            </w:pPr>
            <w:r>
              <w:rPr>
                <w:spacing w:val="-2"/>
              </w:rPr>
              <w:t>15,937,000.00</w:t>
            </w:r>
          </w:p>
        </w:tc>
        <w:tc>
          <w:tcPr>
            <w:tcW w:w="2157" w:type="dxa"/>
            <w:vAlign w:val="top"/>
          </w:tcPr>
          <w:p>
            <w:pPr>
              <w:pStyle w:val="TableText"/>
              <w:spacing w:before="100" w:line="184" w:lineRule="auto"/>
              <w:ind w:left="106"/>
            </w:pPr>
            <w:r>
              <w:rPr>
                <w:spacing w:val="-2"/>
              </w:rPr>
              <w:t>18,120,000.00</w:t>
            </w:r>
          </w:p>
        </w:tc>
        <w:tc>
          <w:tcPr>
            <w:tcW w:w="1863" w:type="dxa"/>
            <w:vAlign w:val="top"/>
          </w:tcPr>
          <w:p>
            <w:pPr>
              <w:pStyle w:val="TableText"/>
              <w:spacing w:before="101" w:line="183" w:lineRule="auto"/>
              <w:ind w:left="139"/>
            </w:pPr>
            <w:r>
              <w:rPr>
                <w:spacing w:val="-1"/>
              </w:rPr>
              <w:t>29,982,000.00</w:t>
            </w:r>
          </w:p>
        </w:tc>
      </w:tr>
      <w:tr>
        <w:tblPrEx>
          <w:tblW w:w="8569" w:type="dxa"/>
          <w:tblInd w:w="5" w:type="dxa"/>
          <w:tblLayout w:type="fixed"/>
        </w:tblPrEx>
        <w:trPr>
          <w:trHeight w:val="350"/>
        </w:trPr>
        <w:tc>
          <w:tcPr>
            <w:tcW w:w="2522" w:type="dxa"/>
            <w:vAlign w:val="top"/>
          </w:tcPr>
          <w:p>
            <w:pPr>
              <w:pStyle w:val="TableText"/>
              <w:spacing w:before="84" w:line="219" w:lineRule="auto"/>
              <w:ind w:left="124"/>
            </w:pPr>
            <w:r>
              <w:rPr>
                <w:spacing w:val="4"/>
              </w:rPr>
              <w:t>期末固定资产(元)</w:t>
            </w:r>
          </w:p>
        </w:tc>
        <w:tc>
          <w:tcPr>
            <w:tcW w:w="2027" w:type="dxa"/>
            <w:vAlign w:val="top"/>
          </w:tcPr>
          <w:p>
            <w:pPr>
              <w:pStyle w:val="TableText"/>
              <w:spacing w:before="111" w:line="184" w:lineRule="auto"/>
              <w:ind w:left="122"/>
            </w:pPr>
            <w:r>
              <w:rPr>
                <w:spacing w:val="-2"/>
              </w:rPr>
              <w:t>18,120,000.00</w:t>
            </w:r>
          </w:p>
        </w:tc>
        <w:tc>
          <w:tcPr>
            <w:tcW w:w="2157" w:type="dxa"/>
            <w:vAlign w:val="top"/>
          </w:tcPr>
          <w:p>
            <w:pPr>
              <w:pStyle w:val="TableText"/>
              <w:spacing w:before="112" w:line="183" w:lineRule="auto"/>
              <w:ind w:left="106"/>
            </w:pPr>
            <w:r>
              <w:rPr>
                <w:spacing w:val="-1"/>
              </w:rPr>
              <w:t>29,982,000.00</w:t>
            </w:r>
          </w:p>
        </w:tc>
        <w:tc>
          <w:tcPr>
            <w:tcW w:w="1863" w:type="dxa"/>
            <w:vAlign w:val="top"/>
          </w:tcPr>
          <w:p>
            <w:pPr>
              <w:pStyle w:val="TableText"/>
              <w:spacing w:before="112" w:line="183" w:lineRule="auto"/>
              <w:ind w:left="139"/>
            </w:pPr>
            <w:r>
              <w:rPr>
                <w:spacing w:val="-1"/>
              </w:rPr>
              <w:t>30,058,000.00</w:t>
            </w:r>
          </w:p>
        </w:tc>
      </w:tr>
      <w:tr>
        <w:tblPrEx>
          <w:tblW w:w="8569" w:type="dxa"/>
          <w:tblInd w:w="5" w:type="dxa"/>
          <w:tblLayout w:type="fixed"/>
        </w:tblPrEx>
        <w:trPr>
          <w:trHeight w:val="330"/>
        </w:trPr>
        <w:tc>
          <w:tcPr>
            <w:tcW w:w="2522" w:type="dxa"/>
            <w:vAlign w:val="top"/>
          </w:tcPr>
          <w:p>
            <w:pPr>
              <w:pStyle w:val="TableText"/>
              <w:spacing w:before="74" w:line="219" w:lineRule="auto"/>
              <w:ind w:left="124"/>
            </w:pPr>
            <w:r>
              <w:rPr>
                <w:spacing w:val="4"/>
              </w:rPr>
              <w:t>平均固定资产(元)</w:t>
            </w:r>
          </w:p>
        </w:tc>
        <w:tc>
          <w:tcPr>
            <w:tcW w:w="2027" w:type="dxa"/>
            <w:vAlign w:val="top"/>
          </w:tcPr>
          <w:p>
            <w:pPr>
              <w:pStyle w:val="TableText"/>
              <w:spacing w:before="101" w:line="184" w:lineRule="auto"/>
              <w:ind w:left="122"/>
            </w:pPr>
            <w:r>
              <w:rPr>
                <w:spacing w:val="-2"/>
              </w:rPr>
              <w:t>17,028,500.00</w:t>
            </w:r>
          </w:p>
        </w:tc>
        <w:tc>
          <w:tcPr>
            <w:tcW w:w="2157" w:type="dxa"/>
            <w:vAlign w:val="top"/>
          </w:tcPr>
          <w:p>
            <w:pPr>
              <w:pStyle w:val="TableText"/>
              <w:spacing w:before="101" w:line="184" w:lineRule="auto"/>
              <w:ind w:left="106"/>
            </w:pPr>
            <w:r>
              <w:rPr>
                <w:spacing w:val="-1"/>
              </w:rPr>
              <w:t>24,051,000.00</w:t>
            </w:r>
          </w:p>
        </w:tc>
        <w:tc>
          <w:tcPr>
            <w:tcW w:w="1863" w:type="dxa"/>
            <w:vAlign w:val="top"/>
          </w:tcPr>
          <w:p>
            <w:pPr>
              <w:pStyle w:val="TableText"/>
              <w:spacing w:before="102" w:line="183" w:lineRule="auto"/>
              <w:ind w:left="139"/>
            </w:pPr>
            <w:r>
              <w:rPr>
                <w:spacing w:val="-1"/>
              </w:rPr>
              <w:t>3,002,000.00</w:t>
            </w:r>
          </w:p>
        </w:tc>
      </w:tr>
      <w:tr>
        <w:tblPrEx>
          <w:tblW w:w="8569" w:type="dxa"/>
          <w:tblInd w:w="5" w:type="dxa"/>
          <w:tblLayout w:type="fixed"/>
        </w:tblPrEx>
        <w:trPr>
          <w:trHeight w:val="669"/>
        </w:trPr>
        <w:tc>
          <w:tcPr>
            <w:tcW w:w="2522" w:type="dxa"/>
            <w:vAlign w:val="top"/>
          </w:tcPr>
          <w:p>
            <w:pPr>
              <w:pStyle w:val="TableText"/>
              <w:spacing w:before="84" w:line="219" w:lineRule="auto"/>
              <w:ind w:left="124"/>
            </w:pPr>
            <w:r>
              <w:rPr>
                <w:spacing w:val="4"/>
              </w:rPr>
              <w:t>固定资产周转率(次)</w:t>
            </w:r>
          </w:p>
          <w:p>
            <w:pPr>
              <w:pStyle w:val="TableText"/>
              <w:spacing w:before="92" w:line="219" w:lineRule="auto"/>
              <w:ind w:left="124"/>
            </w:pPr>
            <w:r>
              <w:rPr>
                <w:spacing w:val="1"/>
              </w:rPr>
              <w:t>营业收入/平均固定资产</w:t>
            </w:r>
          </w:p>
        </w:tc>
        <w:tc>
          <w:tcPr>
            <w:tcW w:w="2027" w:type="dxa"/>
            <w:vAlign w:val="top"/>
          </w:tcPr>
          <w:p>
            <w:pPr>
              <w:pStyle w:val="TableText"/>
              <w:spacing w:before="294" w:line="184" w:lineRule="auto"/>
              <w:ind w:left="122"/>
            </w:pPr>
            <w:r>
              <w:rPr>
                <w:spacing w:val="-2"/>
              </w:rPr>
              <w:t>41.84</w:t>
            </w:r>
          </w:p>
        </w:tc>
        <w:tc>
          <w:tcPr>
            <w:tcW w:w="2157" w:type="dxa"/>
            <w:vAlign w:val="top"/>
          </w:tcPr>
          <w:p>
            <w:pPr>
              <w:pStyle w:val="TableText"/>
              <w:spacing w:before="294" w:line="184" w:lineRule="auto"/>
              <w:ind w:left="106"/>
            </w:pPr>
            <w:r>
              <w:rPr>
                <w:spacing w:val="-2"/>
              </w:rPr>
              <w:t>34.13</w:t>
            </w:r>
          </w:p>
        </w:tc>
        <w:tc>
          <w:tcPr>
            <w:tcW w:w="1863" w:type="dxa"/>
            <w:vAlign w:val="top"/>
          </w:tcPr>
          <w:p>
            <w:pPr>
              <w:pStyle w:val="TableText"/>
              <w:spacing w:before="295" w:line="183" w:lineRule="auto"/>
              <w:ind w:left="139"/>
            </w:pPr>
            <w:r>
              <w:rPr>
                <w:spacing w:val="-2"/>
              </w:rPr>
              <w:t>40.46</w:t>
            </w:r>
          </w:p>
        </w:tc>
      </w:tr>
      <w:tr>
        <w:tblPrEx>
          <w:tblW w:w="8569" w:type="dxa"/>
          <w:tblInd w:w="5" w:type="dxa"/>
          <w:tblLayout w:type="fixed"/>
        </w:tblPrEx>
        <w:trPr>
          <w:trHeight w:val="330"/>
        </w:trPr>
        <w:tc>
          <w:tcPr>
            <w:tcW w:w="2522" w:type="dxa"/>
            <w:vAlign w:val="top"/>
          </w:tcPr>
          <w:p>
            <w:pPr>
              <w:pStyle w:val="TableText"/>
              <w:spacing w:before="75" w:line="219" w:lineRule="auto"/>
              <w:ind w:left="124"/>
            </w:pPr>
            <w:r>
              <w:rPr>
                <w:spacing w:val="5"/>
              </w:rPr>
              <w:t>期初总资产(元)</w:t>
            </w:r>
          </w:p>
        </w:tc>
        <w:tc>
          <w:tcPr>
            <w:tcW w:w="2027" w:type="dxa"/>
            <w:vAlign w:val="top"/>
          </w:tcPr>
          <w:p>
            <w:pPr>
              <w:pStyle w:val="TableText"/>
              <w:spacing w:before="102" w:line="184" w:lineRule="auto"/>
              <w:ind w:left="122"/>
            </w:pPr>
            <w:r>
              <w:rPr>
                <w:spacing w:val="-2"/>
              </w:rPr>
              <w:t>1,005,263.000.00</w:t>
            </w:r>
          </w:p>
        </w:tc>
        <w:tc>
          <w:tcPr>
            <w:tcW w:w="2157" w:type="dxa"/>
            <w:vAlign w:val="top"/>
          </w:tcPr>
          <w:p>
            <w:pPr>
              <w:pStyle w:val="TableText"/>
              <w:spacing w:before="102" w:line="184" w:lineRule="auto"/>
              <w:ind w:left="106"/>
            </w:pPr>
            <w:r>
              <w:rPr>
                <w:spacing w:val="-2"/>
              </w:rPr>
              <w:t>1,025,457,000.00</w:t>
            </w:r>
          </w:p>
        </w:tc>
        <w:tc>
          <w:tcPr>
            <w:tcW w:w="1863" w:type="dxa"/>
            <w:vAlign w:val="top"/>
          </w:tcPr>
          <w:p>
            <w:pPr>
              <w:pStyle w:val="TableText"/>
              <w:spacing w:before="103" w:line="183" w:lineRule="auto"/>
              <w:ind w:left="139"/>
            </w:pPr>
            <w:r>
              <w:rPr>
                <w:spacing w:val="-1"/>
              </w:rPr>
              <w:t>994,807,000.00</w:t>
            </w:r>
          </w:p>
        </w:tc>
      </w:tr>
      <w:tr>
        <w:tblPrEx>
          <w:tblW w:w="8569" w:type="dxa"/>
          <w:tblInd w:w="5" w:type="dxa"/>
          <w:tblLayout w:type="fixed"/>
        </w:tblPrEx>
        <w:trPr>
          <w:trHeight w:val="659"/>
        </w:trPr>
        <w:tc>
          <w:tcPr>
            <w:tcW w:w="2522" w:type="dxa"/>
            <w:vAlign w:val="top"/>
          </w:tcPr>
          <w:p>
            <w:pPr>
              <w:pStyle w:val="TableText"/>
              <w:spacing w:before="235" w:line="219" w:lineRule="auto"/>
              <w:ind w:left="124"/>
            </w:pPr>
            <w:r>
              <w:rPr>
                <w:spacing w:val="5"/>
              </w:rPr>
              <w:t>期末总资产(元)</w:t>
            </w:r>
          </w:p>
        </w:tc>
        <w:tc>
          <w:tcPr>
            <w:tcW w:w="2027" w:type="dxa"/>
            <w:vAlign w:val="top"/>
          </w:tcPr>
          <w:p>
            <w:pPr>
              <w:pStyle w:val="TableText"/>
              <w:spacing w:before="262" w:line="184" w:lineRule="auto"/>
              <w:ind w:left="122"/>
            </w:pPr>
            <w:r>
              <w:rPr>
                <w:spacing w:val="-2"/>
              </w:rPr>
              <w:t>1,025,457,000.00</w:t>
            </w:r>
          </w:p>
        </w:tc>
        <w:tc>
          <w:tcPr>
            <w:tcW w:w="2157" w:type="dxa"/>
            <w:vAlign w:val="top"/>
          </w:tcPr>
          <w:p>
            <w:pPr>
              <w:pStyle w:val="TableText"/>
              <w:spacing w:before="263" w:line="183" w:lineRule="auto"/>
              <w:ind w:left="106"/>
            </w:pPr>
            <w:r>
              <w:rPr>
                <w:spacing w:val="-1"/>
              </w:rPr>
              <w:t>994,807,000.00</w:t>
            </w:r>
          </w:p>
        </w:tc>
        <w:tc>
          <w:tcPr>
            <w:tcW w:w="1863" w:type="dxa"/>
            <w:vAlign w:val="top"/>
          </w:tcPr>
          <w:p>
            <w:pPr>
              <w:pStyle w:val="TableText"/>
              <w:spacing w:before="262" w:line="184" w:lineRule="auto"/>
              <w:ind w:left="139"/>
            </w:pPr>
            <w:r>
              <w:rPr>
                <w:spacing w:val="-2"/>
              </w:rPr>
              <w:t>1,242,891,000.00</w:t>
            </w:r>
          </w:p>
        </w:tc>
      </w:tr>
      <w:tr>
        <w:tblPrEx>
          <w:tblW w:w="8569" w:type="dxa"/>
          <w:tblInd w:w="5" w:type="dxa"/>
          <w:tblLayout w:type="fixed"/>
        </w:tblPrEx>
        <w:trPr>
          <w:trHeight w:val="669"/>
        </w:trPr>
        <w:tc>
          <w:tcPr>
            <w:tcW w:w="2522" w:type="dxa"/>
            <w:vAlign w:val="top"/>
          </w:tcPr>
          <w:p>
            <w:pPr>
              <w:pStyle w:val="TableText"/>
              <w:spacing w:before="246" w:line="219" w:lineRule="auto"/>
              <w:ind w:left="124"/>
            </w:pPr>
            <w:r>
              <w:rPr>
                <w:spacing w:val="6"/>
              </w:rPr>
              <w:t>平均资产(元)</w:t>
            </w:r>
          </w:p>
        </w:tc>
        <w:tc>
          <w:tcPr>
            <w:tcW w:w="2027" w:type="dxa"/>
            <w:vAlign w:val="top"/>
          </w:tcPr>
          <w:p>
            <w:pPr>
              <w:pStyle w:val="TableText"/>
              <w:spacing w:before="273" w:line="184" w:lineRule="auto"/>
              <w:ind w:left="122"/>
            </w:pPr>
            <w:r>
              <w:rPr>
                <w:spacing w:val="-2"/>
              </w:rPr>
              <w:t>1,015,360,000.00</w:t>
            </w:r>
          </w:p>
        </w:tc>
        <w:tc>
          <w:tcPr>
            <w:tcW w:w="2157" w:type="dxa"/>
            <w:vAlign w:val="top"/>
          </w:tcPr>
          <w:p>
            <w:pPr>
              <w:pStyle w:val="TableText"/>
              <w:spacing w:before="273" w:line="184" w:lineRule="auto"/>
              <w:ind w:left="106"/>
            </w:pPr>
            <w:r>
              <w:rPr>
                <w:spacing w:val="-2"/>
              </w:rPr>
              <w:t>1,010,132,000.00</w:t>
            </w:r>
          </w:p>
        </w:tc>
        <w:tc>
          <w:tcPr>
            <w:tcW w:w="1863" w:type="dxa"/>
            <w:vAlign w:val="top"/>
          </w:tcPr>
          <w:p>
            <w:pPr>
              <w:pStyle w:val="TableText"/>
              <w:spacing w:before="273" w:line="184" w:lineRule="auto"/>
              <w:ind w:left="139"/>
            </w:pPr>
            <w:r>
              <w:rPr>
                <w:spacing w:val="-2"/>
              </w:rPr>
              <w:t>1,118.849.000.00</w:t>
            </w:r>
          </w:p>
        </w:tc>
      </w:tr>
      <w:tr>
        <w:tblPrEx>
          <w:tblW w:w="8569" w:type="dxa"/>
          <w:tblInd w:w="5" w:type="dxa"/>
          <w:tblLayout w:type="fixed"/>
        </w:tblPrEx>
        <w:trPr>
          <w:trHeight w:val="674"/>
        </w:trPr>
        <w:tc>
          <w:tcPr>
            <w:tcW w:w="2522" w:type="dxa"/>
            <w:vAlign w:val="top"/>
          </w:tcPr>
          <w:p>
            <w:pPr>
              <w:pStyle w:val="TableText"/>
              <w:spacing w:before="116" w:line="311" w:lineRule="exact"/>
              <w:ind w:left="124"/>
            </w:pPr>
            <w:r>
              <w:rPr>
                <w:spacing w:val="4"/>
                <w:position w:val="8"/>
              </w:rPr>
              <w:t>总资产周转率(次)</w:t>
            </w:r>
          </w:p>
          <w:p>
            <w:pPr>
              <w:pStyle w:val="TableText"/>
              <w:spacing w:line="218" w:lineRule="auto"/>
              <w:ind w:left="124"/>
            </w:pPr>
            <w:r>
              <w:rPr>
                <w:spacing w:val="1"/>
              </w:rPr>
              <w:t>营业收入/平均资产</w:t>
            </w:r>
          </w:p>
        </w:tc>
        <w:tc>
          <w:tcPr>
            <w:tcW w:w="2027" w:type="dxa"/>
            <w:vAlign w:val="top"/>
          </w:tcPr>
          <w:p>
            <w:pPr>
              <w:pStyle w:val="TableText"/>
              <w:spacing w:before="298" w:line="183" w:lineRule="auto"/>
              <w:ind w:left="122"/>
            </w:pPr>
            <w:r>
              <w:rPr>
                <w:spacing w:val="-2"/>
              </w:rPr>
              <w:t>0.70</w:t>
            </w:r>
          </w:p>
        </w:tc>
        <w:tc>
          <w:tcPr>
            <w:tcW w:w="2157" w:type="dxa"/>
            <w:vAlign w:val="top"/>
          </w:tcPr>
          <w:p>
            <w:pPr>
              <w:pStyle w:val="TableText"/>
              <w:spacing w:before="297" w:line="184" w:lineRule="auto"/>
              <w:ind w:left="106"/>
            </w:pPr>
            <w:r>
              <w:rPr>
                <w:spacing w:val="-2"/>
              </w:rPr>
              <w:t>0.81</w:t>
            </w:r>
          </w:p>
        </w:tc>
        <w:tc>
          <w:tcPr>
            <w:tcW w:w="1863" w:type="dxa"/>
            <w:vAlign w:val="top"/>
          </w:tcPr>
          <w:p>
            <w:pPr>
              <w:pStyle w:val="TableText"/>
              <w:spacing w:before="297" w:line="184" w:lineRule="auto"/>
              <w:ind w:left="139"/>
            </w:pPr>
            <w:r>
              <w:rPr>
                <w:spacing w:val="-5"/>
              </w:rPr>
              <w:t>1.09</w:t>
            </w:r>
          </w:p>
        </w:tc>
      </w:tr>
    </w:tbl>
    <w:p>
      <w:pPr>
        <w:sectPr>
          <w:footerReference w:type="default" r:id="rId14"/>
          <w:pgSz w:w="11910" w:h="16840"/>
          <w:pgMar w:top="1431" w:right="1675" w:bottom="1138" w:left="1655" w:header="0" w:footer="999" w:gutter="0"/>
          <w:pgNumType w:start="13"/>
          <w:cols w:space="708"/>
        </w:sectPr>
      </w:pPr>
    </w:p>
    <w:p>
      <w:pPr>
        <w:spacing w:line="424" w:lineRule="auto"/>
        <w:rPr>
          <w:rFonts w:ascii="Arial"/>
          <w:sz w:val="21"/>
        </w:rPr>
      </w:pPr>
    </w:p>
    <w:p>
      <w:pPr>
        <w:pStyle w:val="BodyText"/>
        <w:spacing w:before="78" w:line="212" w:lineRule="auto"/>
        <w:ind w:left="625"/>
        <w:rPr>
          <w:sz w:val="24"/>
          <w:szCs w:val="24"/>
        </w:rPr>
      </w:pPr>
      <w:r>
        <w:rPr>
          <w:spacing w:val="-2"/>
          <w:sz w:val="24"/>
          <w:szCs w:val="24"/>
        </w:rPr>
        <w:t>数据来源：湖南酒鬼酒公司财务报表</w:t>
      </w:r>
    </w:p>
    <w:p>
      <w:pPr>
        <w:pStyle w:val="BodyText"/>
        <w:spacing w:before="205" w:line="369" w:lineRule="auto"/>
        <w:ind w:left="144" w:right="143" w:firstLine="490"/>
        <w:rPr>
          <w:sz w:val="24"/>
          <w:szCs w:val="24"/>
        </w:rPr>
      </w:pPr>
      <w:r>
        <w:rPr>
          <w:spacing w:val="3"/>
          <w:sz w:val="24"/>
          <w:szCs w:val="24"/>
        </w:rPr>
        <w:t>从表3.5可以看出：2020-2022年度湖南酒鬼酒公司的存货周</w:t>
      </w:r>
      <w:r>
        <w:rPr>
          <w:spacing w:val="2"/>
          <w:sz w:val="24"/>
          <w:szCs w:val="24"/>
        </w:rPr>
        <w:t>转率由9.87降</w:t>
      </w:r>
      <w:r>
        <w:rPr>
          <w:sz w:val="24"/>
          <w:szCs w:val="24"/>
        </w:rPr>
        <w:t xml:space="preserve"> </w:t>
      </w:r>
      <w:r>
        <w:rPr>
          <w:spacing w:val="6"/>
          <w:sz w:val="24"/>
          <w:szCs w:val="24"/>
        </w:rPr>
        <w:t>到9.11但后续又升高到9.45但始终低于10,湖南酒鬼酒固定资产的周转率也是</w:t>
      </w:r>
    </w:p>
    <w:p>
      <w:pPr>
        <w:pStyle w:val="BodyText"/>
        <w:spacing w:line="212" w:lineRule="auto"/>
        <w:ind w:left="144"/>
        <w:rPr>
          <w:sz w:val="24"/>
          <w:szCs w:val="24"/>
        </w:rPr>
      </w:pPr>
      <w:r>
        <w:rPr>
          <w:spacing w:val="-2"/>
          <w:sz w:val="24"/>
          <w:szCs w:val="24"/>
        </w:rPr>
        <w:t>先降低后上升，表明湖南酒鬼酒企业产品销售</w:t>
      </w:r>
      <w:r>
        <w:rPr>
          <w:spacing w:val="-3"/>
          <w:sz w:val="24"/>
          <w:szCs w:val="24"/>
        </w:rPr>
        <w:t>的数量先降低后提高，公司经营状</w:t>
      </w:r>
    </w:p>
    <w:p>
      <w:pPr>
        <w:spacing w:line="212" w:lineRule="auto"/>
        <w:rPr>
          <w:sz w:val="24"/>
          <w:szCs w:val="24"/>
        </w:rPr>
        <w:sectPr>
          <w:footerReference w:type="default" r:id="rId15"/>
          <w:type w:val="nextPage"/>
          <w:pgSz w:w="11910" w:h="16840"/>
          <w:pgMar w:top="1431" w:right="1675" w:bottom="1138" w:left="1655" w:header="0" w:footer="999" w:gutter="0"/>
          <w:pgNumType w:start="14"/>
          <w:cols w:space="708"/>
          <w:titlePg w:val="0"/>
        </w:sectPr>
      </w:pPr>
    </w:p>
    <w:p>
      <w:pPr>
        <w:pStyle w:val="BodyText"/>
        <w:spacing w:before="117" w:line="364" w:lineRule="auto"/>
        <w:ind w:left="74" w:right="44"/>
        <w:jc w:val="both"/>
        <w:rPr>
          <w:sz w:val="24"/>
          <w:szCs w:val="24"/>
        </w:rPr>
      </w:pPr>
      <w:bookmarkStart w:id="13" w:name="bookmark14"/>
      <w:bookmarkEnd w:id="13"/>
      <w:r>
        <w:rPr>
          <w:spacing w:val="-2"/>
          <w:sz w:val="24"/>
          <w:szCs w:val="24"/>
        </w:rPr>
        <w:t>况在改善(石晓璇，司淑芬，苏雁兰)。流动资产的周转率由0.79上</w:t>
      </w:r>
      <w:r>
        <w:rPr>
          <w:spacing w:val="-3"/>
          <w:sz w:val="24"/>
          <w:szCs w:val="24"/>
        </w:rPr>
        <w:t>升到了1.28,</w:t>
      </w:r>
      <w:r>
        <w:rPr>
          <w:sz w:val="24"/>
          <w:szCs w:val="24"/>
        </w:rPr>
        <w:t xml:space="preserve">  </w:t>
      </w:r>
      <w:r>
        <w:rPr>
          <w:spacing w:val="2"/>
          <w:sz w:val="24"/>
          <w:szCs w:val="24"/>
        </w:rPr>
        <w:t>总资产周转率由0.70上升到了1.09,这说明湖南酒鬼酒企业</w:t>
      </w:r>
      <w:r>
        <w:rPr>
          <w:spacing w:val="1"/>
          <w:sz w:val="24"/>
          <w:szCs w:val="24"/>
        </w:rPr>
        <w:t>利用资产的效果好，</w:t>
      </w:r>
    </w:p>
    <w:p>
      <w:pPr>
        <w:pStyle w:val="BodyText"/>
        <w:spacing w:line="216" w:lineRule="auto"/>
        <w:ind w:left="74"/>
        <w:rPr>
          <w:sz w:val="24"/>
          <w:szCs w:val="24"/>
        </w:rPr>
      </w:pPr>
      <w:r>
        <w:rPr>
          <w:spacing w:val="-2"/>
          <w:sz w:val="24"/>
          <w:szCs w:val="24"/>
        </w:rPr>
        <w:t>利用全部资产进行经营的效率高，酒鬼酒企业的</w:t>
      </w:r>
      <w:r>
        <w:rPr>
          <w:spacing w:val="-3"/>
          <w:sz w:val="24"/>
          <w:szCs w:val="24"/>
        </w:rPr>
        <w:t>获利能力逐步提高。</w:t>
      </w:r>
    </w:p>
    <w:p>
      <w:pPr>
        <w:pStyle w:val="BodyText"/>
        <w:spacing w:before="199" w:line="216" w:lineRule="auto"/>
        <w:ind w:left="494"/>
        <w:rPr>
          <w:sz w:val="24"/>
          <w:szCs w:val="24"/>
        </w:rPr>
      </w:pPr>
      <w:r>
        <w:rPr>
          <w:spacing w:val="-10"/>
          <w:sz w:val="24"/>
          <w:szCs w:val="24"/>
        </w:rPr>
        <w:t>3.2.4</w:t>
      </w:r>
      <w:r>
        <w:rPr>
          <w:spacing w:val="-10"/>
          <w:sz w:val="24"/>
          <w:szCs w:val="24"/>
        </w:rPr>
        <w:t xml:space="preserve"> </w:t>
      </w:r>
      <w:r>
        <w:rPr>
          <w:spacing w:val="-10"/>
          <w:sz w:val="24"/>
          <w:szCs w:val="24"/>
        </w:rPr>
        <w:t>湖南酒鬼酒公司盈利能力</w:t>
      </w:r>
    </w:p>
    <w:p>
      <w:pPr>
        <w:pStyle w:val="BodyText"/>
        <w:spacing w:before="125" w:line="212" w:lineRule="auto"/>
        <w:ind w:left="2764"/>
        <w:rPr>
          <w:sz w:val="21"/>
          <w:szCs w:val="21"/>
        </w:rPr>
      </w:pPr>
      <w:r>
        <w:rPr>
          <w:spacing w:val="-1"/>
          <w:sz w:val="21"/>
          <w:szCs w:val="21"/>
        </w:rPr>
        <w:t>表3.6</w:t>
      </w:r>
      <w:r>
        <w:rPr>
          <w:spacing w:val="-1"/>
          <w:sz w:val="21"/>
          <w:szCs w:val="21"/>
        </w:rPr>
        <w:t xml:space="preserve"> </w:t>
      </w:r>
      <w:r>
        <w:rPr>
          <w:spacing w:val="-1"/>
          <w:sz w:val="21"/>
          <w:szCs w:val="21"/>
        </w:rPr>
        <w:t>湖南酒鬼酒公司盈利能力</w:t>
      </w:r>
    </w:p>
    <w:p>
      <w:pPr>
        <w:spacing w:line="41" w:lineRule="exact"/>
      </w:pPr>
    </w:p>
    <w:tbl>
      <w:tblPr>
        <w:tblStyle w:val="TableNormal5"/>
        <w:tblW w:w="84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82"/>
        <w:gridCol w:w="1828"/>
        <w:gridCol w:w="1997"/>
        <w:gridCol w:w="1952"/>
      </w:tblGrid>
      <w:tr>
        <w:tblPrEx>
          <w:tblW w:w="84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4"/>
        </w:trPr>
        <w:tc>
          <w:tcPr>
            <w:tcW w:w="2682" w:type="dxa"/>
            <w:vAlign w:val="top"/>
          </w:tcPr>
          <w:p>
            <w:pPr>
              <w:pStyle w:val="TableText"/>
              <w:spacing w:before="103" w:line="219" w:lineRule="auto"/>
              <w:ind w:left="104"/>
            </w:pPr>
            <w:r>
              <w:rPr>
                <w:spacing w:val="4"/>
              </w:rPr>
              <w:t>盈利能力</w:t>
            </w:r>
          </w:p>
        </w:tc>
        <w:tc>
          <w:tcPr>
            <w:tcW w:w="1828" w:type="dxa"/>
            <w:vAlign w:val="top"/>
          </w:tcPr>
          <w:p>
            <w:pPr>
              <w:pStyle w:val="TableText"/>
              <w:spacing w:before="103" w:line="219" w:lineRule="auto"/>
              <w:ind w:left="112"/>
            </w:pPr>
            <w:r>
              <w:rPr>
                <w:spacing w:val="-2"/>
              </w:rPr>
              <w:t>2020年</w:t>
            </w:r>
          </w:p>
        </w:tc>
        <w:tc>
          <w:tcPr>
            <w:tcW w:w="1997" w:type="dxa"/>
            <w:vAlign w:val="top"/>
          </w:tcPr>
          <w:p>
            <w:pPr>
              <w:pStyle w:val="TableText"/>
              <w:spacing w:before="103" w:line="219" w:lineRule="auto"/>
              <w:ind w:left="115"/>
            </w:pPr>
            <w:r>
              <w:rPr>
                <w:spacing w:val="-2"/>
              </w:rPr>
              <w:t>2021年</w:t>
            </w:r>
          </w:p>
        </w:tc>
        <w:tc>
          <w:tcPr>
            <w:tcW w:w="1952" w:type="dxa"/>
            <w:vAlign w:val="top"/>
          </w:tcPr>
          <w:p>
            <w:pPr>
              <w:pStyle w:val="TableText"/>
              <w:spacing w:before="103" w:line="219" w:lineRule="auto"/>
              <w:ind w:left="117"/>
            </w:pPr>
            <w:r>
              <w:rPr>
                <w:spacing w:val="-2"/>
              </w:rPr>
              <w:t>2022年</w:t>
            </w:r>
          </w:p>
        </w:tc>
      </w:tr>
      <w:tr>
        <w:tblPrEx>
          <w:tblW w:w="8459" w:type="dxa"/>
          <w:tblInd w:w="5" w:type="dxa"/>
          <w:tblLayout w:type="fixed"/>
        </w:tblPrEx>
        <w:trPr>
          <w:trHeight w:val="419"/>
        </w:trPr>
        <w:tc>
          <w:tcPr>
            <w:tcW w:w="2682" w:type="dxa"/>
            <w:vAlign w:val="top"/>
          </w:tcPr>
          <w:p>
            <w:pPr>
              <w:pStyle w:val="TableText"/>
              <w:spacing w:before="112" w:line="221" w:lineRule="auto"/>
              <w:ind w:left="104"/>
            </w:pPr>
            <w:r>
              <w:rPr>
                <w:spacing w:val="7"/>
              </w:rPr>
              <w:t>毛利</w:t>
            </w:r>
          </w:p>
        </w:tc>
        <w:tc>
          <w:tcPr>
            <w:tcW w:w="1828" w:type="dxa"/>
            <w:vAlign w:val="top"/>
          </w:tcPr>
          <w:p>
            <w:pPr>
              <w:pStyle w:val="TableText"/>
              <w:spacing w:before="136" w:line="184" w:lineRule="auto"/>
              <w:ind w:left="112"/>
            </w:pPr>
            <w:r>
              <w:rPr>
                <w:spacing w:val="-2"/>
              </w:rPr>
              <w:t>170,078,000.00</w:t>
            </w:r>
          </w:p>
        </w:tc>
        <w:tc>
          <w:tcPr>
            <w:tcW w:w="1997" w:type="dxa"/>
            <w:vAlign w:val="top"/>
          </w:tcPr>
          <w:p>
            <w:pPr>
              <w:pStyle w:val="TableText"/>
              <w:spacing w:before="136" w:line="184" w:lineRule="auto"/>
              <w:ind w:left="115"/>
            </w:pPr>
            <w:r>
              <w:rPr>
                <w:spacing w:val="-2"/>
              </w:rPr>
              <w:t>168,063,000.00</w:t>
            </w:r>
          </w:p>
        </w:tc>
        <w:tc>
          <w:tcPr>
            <w:tcW w:w="1952" w:type="dxa"/>
            <w:vAlign w:val="top"/>
          </w:tcPr>
          <w:p>
            <w:pPr>
              <w:pStyle w:val="TableText"/>
              <w:spacing w:before="136" w:line="184" w:lineRule="auto"/>
              <w:ind w:left="117"/>
            </w:pPr>
            <w:r>
              <w:rPr>
                <w:spacing w:val="-1"/>
              </w:rPr>
              <w:t>271,008,000.00</w:t>
            </w:r>
          </w:p>
        </w:tc>
      </w:tr>
      <w:tr>
        <w:tblPrEx>
          <w:tblW w:w="8459" w:type="dxa"/>
          <w:tblInd w:w="5" w:type="dxa"/>
          <w:tblLayout w:type="fixed"/>
        </w:tblPrEx>
        <w:trPr>
          <w:trHeight w:val="420"/>
        </w:trPr>
        <w:tc>
          <w:tcPr>
            <w:tcW w:w="2682" w:type="dxa"/>
            <w:vAlign w:val="top"/>
          </w:tcPr>
          <w:p>
            <w:pPr>
              <w:pStyle w:val="TableText"/>
              <w:spacing w:before="110" w:line="219" w:lineRule="auto"/>
              <w:ind w:left="104"/>
            </w:pPr>
            <w:r>
              <w:rPr>
                <w:spacing w:val="-2"/>
              </w:rPr>
              <w:t>主营业务收入</w:t>
            </w:r>
          </w:p>
        </w:tc>
        <w:tc>
          <w:tcPr>
            <w:tcW w:w="1828" w:type="dxa"/>
            <w:vAlign w:val="top"/>
          </w:tcPr>
          <w:p>
            <w:pPr>
              <w:pStyle w:val="TableText"/>
              <w:spacing w:before="137" w:line="184" w:lineRule="auto"/>
              <w:ind w:left="112"/>
            </w:pPr>
            <w:r>
              <w:rPr>
                <w:spacing w:val="-1"/>
              </w:rPr>
              <w:t>712,439,000.00</w:t>
            </w:r>
          </w:p>
        </w:tc>
        <w:tc>
          <w:tcPr>
            <w:tcW w:w="1997" w:type="dxa"/>
            <w:vAlign w:val="top"/>
          </w:tcPr>
          <w:p>
            <w:pPr>
              <w:pStyle w:val="TableText"/>
              <w:spacing w:before="138" w:line="183" w:lineRule="auto"/>
              <w:ind w:left="115"/>
            </w:pPr>
            <w:r>
              <w:rPr>
                <w:spacing w:val="-1"/>
              </w:rPr>
              <w:t>820,795,000.00</w:t>
            </w:r>
          </w:p>
        </w:tc>
        <w:tc>
          <w:tcPr>
            <w:tcW w:w="1952" w:type="dxa"/>
            <w:vAlign w:val="top"/>
          </w:tcPr>
          <w:p>
            <w:pPr>
              <w:pStyle w:val="TableText"/>
              <w:spacing w:before="137" w:line="184" w:lineRule="auto"/>
              <w:ind w:left="117"/>
            </w:pPr>
            <w:r>
              <w:rPr>
                <w:spacing w:val="-2"/>
              </w:rPr>
              <w:t>1,214,570,000.00</w:t>
            </w:r>
          </w:p>
        </w:tc>
      </w:tr>
      <w:tr>
        <w:tblPrEx>
          <w:tblW w:w="8459" w:type="dxa"/>
          <w:tblInd w:w="5" w:type="dxa"/>
          <w:tblLayout w:type="fixed"/>
        </w:tblPrEx>
        <w:trPr>
          <w:trHeight w:val="789"/>
        </w:trPr>
        <w:tc>
          <w:tcPr>
            <w:tcW w:w="2682" w:type="dxa"/>
            <w:vAlign w:val="top"/>
          </w:tcPr>
          <w:p>
            <w:pPr>
              <w:pStyle w:val="TableText"/>
              <w:spacing w:before="170" w:line="300" w:lineRule="exact"/>
              <w:ind w:left="104"/>
            </w:pPr>
            <w:r>
              <w:rPr>
                <w:spacing w:val="5"/>
                <w:position w:val="7"/>
              </w:rPr>
              <w:t>销售毛利率(%)</w:t>
            </w:r>
          </w:p>
          <w:p>
            <w:pPr>
              <w:pStyle w:val="TableText"/>
              <w:spacing w:line="219" w:lineRule="auto"/>
              <w:ind w:left="104"/>
            </w:pPr>
            <w:r>
              <w:rPr>
                <w:spacing w:val="-2"/>
              </w:rPr>
              <w:t>毛利/收入</w:t>
            </w:r>
          </w:p>
        </w:tc>
        <w:tc>
          <w:tcPr>
            <w:tcW w:w="1828" w:type="dxa"/>
            <w:vAlign w:val="top"/>
          </w:tcPr>
          <w:p>
            <w:pPr>
              <w:spacing w:line="285" w:lineRule="auto"/>
              <w:rPr>
                <w:rFonts w:ascii="Arial"/>
                <w:sz w:val="21"/>
              </w:rPr>
            </w:pPr>
          </w:p>
          <w:p>
            <w:pPr>
              <w:pStyle w:val="TableText"/>
              <w:spacing w:before="65" w:line="183" w:lineRule="auto"/>
              <w:ind w:left="112"/>
            </w:pPr>
            <w:r>
              <w:rPr>
                <w:spacing w:val="-2"/>
              </w:rPr>
              <w:t>23.87</w:t>
            </w:r>
          </w:p>
        </w:tc>
        <w:tc>
          <w:tcPr>
            <w:tcW w:w="1997" w:type="dxa"/>
            <w:vAlign w:val="top"/>
          </w:tcPr>
          <w:p>
            <w:pPr>
              <w:spacing w:line="285" w:lineRule="auto"/>
              <w:rPr>
                <w:rFonts w:ascii="Arial"/>
                <w:sz w:val="21"/>
              </w:rPr>
            </w:pPr>
          </w:p>
          <w:p>
            <w:pPr>
              <w:pStyle w:val="TableText"/>
              <w:spacing w:before="65" w:line="183" w:lineRule="auto"/>
              <w:ind w:left="115"/>
            </w:pPr>
            <w:r>
              <w:rPr>
                <w:spacing w:val="-2"/>
              </w:rPr>
              <w:t>20.48</w:t>
            </w:r>
          </w:p>
        </w:tc>
        <w:tc>
          <w:tcPr>
            <w:tcW w:w="1952" w:type="dxa"/>
            <w:vAlign w:val="top"/>
          </w:tcPr>
          <w:p>
            <w:pPr>
              <w:spacing w:line="284" w:lineRule="auto"/>
              <w:rPr>
                <w:rFonts w:ascii="Arial"/>
                <w:sz w:val="21"/>
              </w:rPr>
            </w:pPr>
          </w:p>
          <w:p>
            <w:pPr>
              <w:pStyle w:val="TableText"/>
              <w:spacing w:before="65" w:line="184" w:lineRule="auto"/>
              <w:ind w:left="117"/>
            </w:pPr>
            <w:r>
              <w:rPr>
                <w:spacing w:val="-2"/>
              </w:rPr>
              <w:t>22.31</w:t>
            </w:r>
          </w:p>
        </w:tc>
      </w:tr>
      <w:tr>
        <w:tblPrEx>
          <w:tblW w:w="8459" w:type="dxa"/>
          <w:tblInd w:w="5" w:type="dxa"/>
          <w:tblLayout w:type="fixed"/>
        </w:tblPrEx>
        <w:trPr>
          <w:trHeight w:val="419"/>
        </w:trPr>
        <w:tc>
          <w:tcPr>
            <w:tcW w:w="2682" w:type="dxa"/>
            <w:vAlign w:val="top"/>
          </w:tcPr>
          <w:p>
            <w:pPr>
              <w:pStyle w:val="TableText"/>
              <w:spacing w:before="111" w:line="220" w:lineRule="auto"/>
              <w:ind w:left="104"/>
            </w:pPr>
            <w:r>
              <w:rPr>
                <w:spacing w:val="5"/>
              </w:rPr>
              <w:t>净利润</w:t>
            </w:r>
          </w:p>
        </w:tc>
        <w:tc>
          <w:tcPr>
            <w:tcW w:w="1828" w:type="dxa"/>
            <w:vAlign w:val="top"/>
          </w:tcPr>
          <w:p>
            <w:pPr>
              <w:pStyle w:val="TableText"/>
              <w:spacing w:before="139" w:line="183" w:lineRule="auto"/>
              <w:ind w:left="112"/>
            </w:pPr>
            <w:r>
              <w:rPr>
                <w:spacing w:val="-1"/>
              </w:rPr>
              <w:t>-97,908,000.00</w:t>
            </w:r>
          </w:p>
        </w:tc>
        <w:tc>
          <w:tcPr>
            <w:tcW w:w="1997" w:type="dxa"/>
            <w:vAlign w:val="top"/>
          </w:tcPr>
          <w:p>
            <w:pPr>
              <w:pStyle w:val="TableText"/>
              <w:spacing w:before="139" w:line="183" w:lineRule="auto"/>
              <w:ind w:left="115"/>
            </w:pPr>
            <w:r>
              <w:rPr>
                <w:spacing w:val="-1"/>
              </w:rPr>
              <w:t>-83,470,000.00</w:t>
            </w:r>
          </w:p>
        </w:tc>
        <w:tc>
          <w:tcPr>
            <w:tcW w:w="1952" w:type="dxa"/>
            <w:vAlign w:val="top"/>
          </w:tcPr>
          <w:p>
            <w:pPr>
              <w:pStyle w:val="TableText"/>
              <w:spacing w:before="139" w:line="183" w:lineRule="auto"/>
              <w:ind w:left="117"/>
            </w:pPr>
            <w:r>
              <w:rPr>
                <w:spacing w:val="-1"/>
              </w:rPr>
              <w:t>805,000.00</w:t>
            </w:r>
          </w:p>
        </w:tc>
      </w:tr>
      <w:tr>
        <w:tblPrEx>
          <w:tblW w:w="8459" w:type="dxa"/>
          <w:tblInd w:w="5" w:type="dxa"/>
          <w:tblLayout w:type="fixed"/>
        </w:tblPrEx>
        <w:trPr>
          <w:trHeight w:val="799"/>
        </w:trPr>
        <w:tc>
          <w:tcPr>
            <w:tcW w:w="2682" w:type="dxa"/>
            <w:vAlign w:val="top"/>
          </w:tcPr>
          <w:p>
            <w:pPr>
              <w:pStyle w:val="TableText"/>
              <w:spacing w:before="181" w:line="311" w:lineRule="exact"/>
              <w:ind w:left="104"/>
            </w:pPr>
            <w:r>
              <w:rPr>
                <w:spacing w:val="5"/>
                <w:position w:val="8"/>
              </w:rPr>
              <w:t>销售净利率(%)</w:t>
            </w:r>
          </w:p>
          <w:p>
            <w:pPr>
              <w:pStyle w:val="TableText"/>
              <w:spacing w:line="219" w:lineRule="auto"/>
              <w:ind w:left="104"/>
            </w:pPr>
            <w:r>
              <w:rPr>
                <w:spacing w:val="-2"/>
              </w:rPr>
              <w:t>净利润/收入</w:t>
            </w:r>
          </w:p>
        </w:tc>
        <w:tc>
          <w:tcPr>
            <w:tcW w:w="1828" w:type="dxa"/>
            <w:vAlign w:val="top"/>
          </w:tcPr>
          <w:p>
            <w:pPr>
              <w:spacing w:line="286" w:lineRule="auto"/>
              <w:rPr>
                <w:rFonts w:ascii="Arial"/>
                <w:sz w:val="21"/>
              </w:rPr>
            </w:pPr>
          </w:p>
          <w:p>
            <w:pPr>
              <w:pStyle w:val="TableText"/>
              <w:spacing w:before="65" w:line="184" w:lineRule="auto"/>
              <w:ind w:left="112"/>
            </w:pPr>
            <w:r>
              <w:rPr>
                <w:spacing w:val="-1"/>
              </w:rPr>
              <w:t>-13.74</w:t>
            </w:r>
          </w:p>
        </w:tc>
        <w:tc>
          <w:tcPr>
            <w:tcW w:w="1997" w:type="dxa"/>
            <w:vAlign w:val="top"/>
          </w:tcPr>
          <w:p>
            <w:pPr>
              <w:spacing w:line="286" w:lineRule="auto"/>
              <w:rPr>
                <w:rFonts w:ascii="Arial"/>
                <w:sz w:val="21"/>
              </w:rPr>
            </w:pPr>
          </w:p>
          <w:p>
            <w:pPr>
              <w:pStyle w:val="TableText"/>
              <w:spacing w:before="65" w:line="184" w:lineRule="auto"/>
              <w:ind w:left="115"/>
            </w:pPr>
            <w:r>
              <w:rPr>
                <w:spacing w:val="-1"/>
              </w:rPr>
              <w:t>-10.17</w:t>
            </w:r>
          </w:p>
        </w:tc>
        <w:tc>
          <w:tcPr>
            <w:tcW w:w="1952" w:type="dxa"/>
            <w:vAlign w:val="top"/>
          </w:tcPr>
          <w:p>
            <w:pPr>
              <w:spacing w:line="287" w:lineRule="auto"/>
              <w:rPr>
                <w:rFonts w:ascii="Arial"/>
                <w:sz w:val="21"/>
              </w:rPr>
            </w:pPr>
          </w:p>
          <w:p>
            <w:pPr>
              <w:pStyle w:val="TableText"/>
              <w:spacing w:before="65" w:line="183" w:lineRule="auto"/>
              <w:ind w:left="117"/>
            </w:pPr>
            <w:r>
              <w:rPr>
                <w:spacing w:val="-2"/>
              </w:rPr>
              <w:t>0.07</w:t>
            </w:r>
          </w:p>
        </w:tc>
      </w:tr>
      <w:tr>
        <w:tblPrEx>
          <w:tblW w:w="8459" w:type="dxa"/>
          <w:tblInd w:w="5" w:type="dxa"/>
          <w:tblLayout w:type="fixed"/>
        </w:tblPrEx>
        <w:trPr>
          <w:trHeight w:val="419"/>
        </w:trPr>
        <w:tc>
          <w:tcPr>
            <w:tcW w:w="2682" w:type="dxa"/>
            <w:vAlign w:val="top"/>
          </w:tcPr>
          <w:p>
            <w:pPr>
              <w:pStyle w:val="TableText"/>
              <w:spacing w:before="113" w:line="219" w:lineRule="auto"/>
              <w:ind w:left="104"/>
            </w:pPr>
            <w:r>
              <w:rPr>
                <w:spacing w:val="2"/>
              </w:rPr>
              <w:t>期初净资产</w:t>
            </w:r>
          </w:p>
        </w:tc>
        <w:tc>
          <w:tcPr>
            <w:tcW w:w="1828" w:type="dxa"/>
            <w:vAlign w:val="top"/>
          </w:tcPr>
          <w:p>
            <w:pPr>
              <w:pStyle w:val="TableText"/>
              <w:spacing w:before="141" w:line="183" w:lineRule="auto"/>
              <w:ind w:left="112"/>
            </w:pPr>
            <w:r>
              <w:rPr>
                <w:spacing w:val="-1"/>
              </w:rPr>
              <w:t>783,376,000.00</w:t>
            </w:r>
          </w:p>
        </w:tc>
        <w:tc>
          <w:tcPr>
            <w:tcW w:w="1997" w:type="dxa"/>
            <w:vAlign w:val="top"/>
          </w:tcPr>
          <w:p>
            <w:pPr>
              <w:pStyle w:val="TableText"/>
              <w:spacing w:before="140" w:line="184" w:lineRule="auto"/>
              <w:ind w:left="115"/>
            </w:pPr>
            <w:r>
              <w:rPr>
                <w:spacing w:val="-1"/>
              </w:rPr>
              <w:t>661,942,000.00</w:t>
            </w:r>
          </w:p>
        </w:tc>
        <w:tc>
          <w:tcPr>
            <w:tcW w:w="1952" w:type="dxa"/>
            <w:vAlign w:val="top"/>
          </w:tcPr>
          <w:p>
            <w:pPr>
              <w:pStyle w:val="TableText"/>
              <w:spacing w:before="141" w:line="183" w:lineRule="auto"/>
              <w:ind w:left="117"/>
            </w:pPr>
            <w:r>
              <w:rPr>
                <w:spacing w:val="-1"/>
              </w:rPr>
              <w:t>574,788,000.00</w:t>
            </w:r>
          </w:p>
        </w:tc>
      </w:tr>
      <w:tr>
        <w:tblPrEx>
          <w:tblW w:w="8459" w:type="dxa"/>
          <w:tblInd w:w="5" w:type="dxa"/>
          <w:tblLayout w:type="fixed"/>
        </w:tblPrEx>
        <w:trPr>
          <w:trHeight w:val="420"/>
        </w:trPr>
        <w:tc>
          <w:tcPr>
            <w:tcW w:w="2682" w:type="dxa"/>
            <w:vAlign w:val="top"/>
          </w:tcPr>
          <w:p>
            <w:pPr>
              <w:pStyle w:val="TableText"/>
              <w:spacing w:before="114" w:line="219" w:lineRule="auto"/>
              <w:ind w:left="104"/>
            </w:pPr>
            <w:r>
              <w:rPr>
                <w:spacing w:val="2"/>
              </w:rPr>
              <w:t>期末净资产</w:t>
            </w:r>
          </w:p>
        </w:tc>
        <w:tc>
          <w:tcPr>
            <w:tcW w:w="1828" w:type="dxa"/>
            <w:vAlign w:val="top"/>
          </w:tcPr>
          <w:p>
            <w:pPr>
              <w:pStyle w:val="TableText"/>
              <w:spacing w:before="141" w:line="184" w:lineRule="auto"/>
              <w:ind w:left="112"/>
            </w:pPr>
            <w:r>
              <w:rPr>
                <w:spacing w:val="-1"/>
              </w:rPr>
              <w:t>661,942,000.00</w:t>
            </w:r>
          </w:p>
        </w:tc>
        <w:tc>
          <w:tcPr>
            <w:tcW w:w="1997" w:type="dxa"/>
            <w:vAlign w:val="top"/>
          </w:tcPr>
          <w:p>
            <w:pPr>
              <w:pStyle w:val="TableText"/>
              <w:spacing w:before="142" w:line="183" w:lineRule="auto"/>
              <w:ind w:left="115"/>
            </w:pPr>
            <w:r>
              <w:rPr>
                <w:spacing w:val="-1"/>
              </w:rPr>
              <w:t>574,788,000.00</w:t>
            </w:r>
          </w:p>
        </w:tc>
        <w:tc>
          <w:tcPr>
            <w:tcW w:w="1952" w:type="dxa"/>
            <w:vAlign w:val="top"/>
          </w:tcPr>
          <w:p>
            <w:pPr>
              <w:pStyle w:val="TableText"/>
              <w:spacing w:before="142" w:line="183" w:lineRule="auto"/>
              <w:ind w:left="117"/>
            </w:pPr>
            <w:r>
              <w:rPr>
                <w:spacing w:val="-1"/>
              </w:rPr>
              <w:t>607,224,000.00</w:t>
            </w:r>
          </w:p>
        </w:tc>
      </w:tr>
      <w:tr>
        <w:tblPrEx>
          <w:tblW w:w="8459" w:type="dxa"/>
          <w:tblInd w:w="5" w:type="dxa"/>
          <w:tblLayout w:type="fixed"/>
        </w:tblPrEx>
        <w:trPr>
          <w:trHeight w:val="419"/>
        </w:trPr>
        <w:tc>
          <w:tcPr>
            <w:tcW w:w="2682" w:type="dxa"/>
            <w:vAlign w:val="top"/>
          </w:tcPr>
          <w:p>
            <w:pPr>
              <w:pStyle w:val="TableText"/>
              <w:spacing w:before="114" w:line="219" w:lineRule="auto"/>
              <w:ind w:left="104"/>
            </w:pPr>
            <w:r>
              <w:rPr>
                <w:spacing w:val="-2"/>
              </w:rPr>
              <w:t>平均净资产</w:t>
            </w:r>
          </w:p>
        </w:tc>
        <w:tc>
          <w:tcPr>
            <w:tcW w:w="1828" w:type="dxa"/>
            <w:vAlign w:val="top"/>
          </w:tcPr>
          <w:p>
            <w:pPr>
              <w:pStyle w:val="TableText"/>
              <w:spacing w:before="142" w:line="183" w:lineRule="auto"/>
              <w:ind w:left="112"/>
            </w:pPr>
            <w:r>
              <w:rPr>
                <w:spacing w:val="-1"/>
              </w:rPr>
              <w:t>722,659,000.00</w:t>
            </w:r>
          </w:p>
        </w:tc>
        <w:tc>
          <w:tcPr>
            <w:tcW w:w="1997" w:type="dxa"/>
            <w:vAlign w:val="top"/>
          </w:tcPr>
          <w:p>
            <w:pPr>
              <w:pStyle w:val="TableText"/>
              <w:spacing w:before="141" w:line="184" w:lineRule="auto"/>
              <w:ind w:left="115"/>
            </w:pPr>
            <w:r>
              <w:rPr>
                <w:spacing w:val="-1"/>
              </w:rPr>
              <w:t>618,365,000.00</w:t>
            </w:r>
          </w:p>
        </w:tc>
        <w:tc>
          <w:tcPr>
            <w:tcW w:w="1952" w:type="dxa"/>
            <w:vAlign w:val="top"/>
          </w:tcPr>
          <w:p>
            <w:pPr>
              <w:pStyle w:val="TableText"/>
              <w:spacing w:before="141" w:line="184" w:lineRule="auto"/>
              <w:ind w:left="117"/>
            </w:pPr>
            <w:r>
              <w:rPr>
                <w:spacing w:val="-1"/>
              </w:rPr>
              <w:t>591,006,000.00</w:t>
            </w:r>
          </w:p>
        </w:tc>
      </w:tr>
      <w:tr>
        <w:tblPrEx>
          <w:tblW w:w="8459" w:type="dxa"/>
          <w:tblInd w:w="5" w:type="dxa"/>
          <w:tblLayout w:type="fixed"/>
        </w:tblPrEx>
        <w:trPr>
          <w:trHeight w:val="789"/>
        </w:trPr>
        <w:tc>
          <w:tcPr>
            <w:tcW w:w="2682" w:type="dxa"/>
            <w:vAlign w:val="top"/>
          </w:tcPr>
          <w:p>
            <w:pPr>
              <w:pStyle w:val="TableText"/>
              <w:spacing w:before="174" w:line="311" w:lineRule="exact"/>
              <w:ind w:left="104"/>
            </w:pPr>
            <w:r>
              <w:rPr>
                <w:spacing w:val="3"/>
                <w:position w:val="8"/>
              </w:rPr>
              <w:t>净资产收益率平均(%)</w:t>
            </w:r>
          </w:p>
          <w:p>
            <w:pPr>
              <w:pStyle w:val="TableText"/>
              <w:spacing w:line="219" w:lineRule="auto"/>
              <w:ind w:left="104"/>
            </w:pPr>
            <w:r>
              <w:rPr>
                <w:spacing w:val="1"/>
              </w:rPr>
              <w:t>净利润/净资产平均</w:t>
            </w:r>
          </w:p>
        </w:tc>
        <w:tc>
          <w:tcPr>
            <w:tcW w:w="1828" w:type="dxa"/>
            <w:vAlign w:val="top"/>
          </w:tcPr>
          <w:p>
            <w:pPr>
              <w:spacing w:line="288" w:lineRule="auto"/>
              <w:rPr>
                <w:rFonts w:ascii="Arial"/>
                <w:sz w:val="21"/>
              </w:rPr>
            </w:pPr>
          </w:p>
          <w:p>
            <w:pPr>
              <w:pStyle w:val="TableText"/>
              <w:spacing w:before="65" w:line="184" w:lineRule="auto"/>
              <w:ind w:left="112"/>
            </w:pPr>
            <w:r>
              <w:rPr>
                <w:spacing w:val="-1"/>
              </w:rPr>
              <w:t>-13.55</w:t>
            </w:r>
          </w:p>
        </w:tc>
        <w:tc>
          <w:tcPr>
            <w:tcW w:w="1997" w:type="dxa"/>
            <w:vAlign w:val="top"/>
          </w:tcPr>
          <w:p>
            <w:pPr>
              <w:spacing w:line="288" w:lineRule="auto"/>
              <w:rPr>
                <w:rFonts w:ascii="Arial"/>
                <w:sz w:val="21"/>
              </w:rPr>
            </w:pPr>
          </w:p>
          <w:p>
            <w:pPr>
              <w:pStyle w:val="TableText"/>
              <w:spacing w:before="65" w:line="184" w:lineRule="auto"/>
              <w:ind w:left="115"/>
            </w:pPr>
            <w:r>
              <w:rPr>
                <w:spacing w:val="-1"/>
              </w:rPr>
              <w:t>-13.50</w:t>
            </w:r>
          </w:p>
        </w:tc>
        <w:tc>
          <w:tcPr>
            <w:tcW w:w="1952" w:type="dxa"/>
            <w:vAlign w:val="top"/>
          </w:tcPr>
          <w:p>
            <w:pPr>
              <w:spacing w:line="288" w:lineRule="auto"/>
              <w:rPr>
                <w:rFonts w:ascii="Arial"/>
                <w:sz w:val="21"/>
              </w:rPr>
            </w:pPr>
          </w:p>
          <w:p>
            <w:pPr>
              <w:pStyle w:val="TableText"/>
              <w:spacing w:before="65" w:line="184" w:lineRule="auto"/>
              <w:ind w:left="117"/>
            </w:pPr>
            <w:r>
              <w:rPr>
                <w:spacing w:val="-5"/>
              </w:rPr>
              <w:t>1.36</w:t>
            </w:r>
          </w:p>
        </w:tc>
      </w:tr>
      <w:tr>
        <w:tblPrEx>
          <w:tblW w:w="8459" w:type="dxa"/>
          <w:tblInd w:w="5" w:type="dxa"/>
          <w:tblLayout w:type="fixed"/>
        </w:tblPrEx>
        <w:trPr>
          <w:trHeight w:val="419"/>
        </w:trPr>
        <w:tc>
          <w:tcPr>
            <w:tcW w:w="2682" w:type="dxa"/>
            <w:vAlign w:val="top"/>
          </w:tcPr>
          <w:p>
            <w:pPr>
              <w:pStyle w:val="TableText"/>
              <w:spacing w:before="116" w:line="219" w:lineRule="auto"/>
              <w:ind w:left="104"/>
            </w:pPr>
            <w:r>
              <w:rPr>
                <w:spacing w:val="1"/>
              </w:rPr>
              <w:t>资产总额</w:t>
            </w:r>
          </w:p>
        </w:tc>
        <w:tc>
          <w:tcPr>
            <w:tcW w:w="1828" w:type="dxa"/>
            <w:vAlign w:val="top"/>
          </w:tcPr>
          <w:p>
            <w:pPr>
              <w:pStyle w:val="TableText"/>
              <w:spacing w:before="143" w:line="184" w:lineRule="auto"/>
              <w:ind w:left="112"/>
            </w:pPr>
            <w:r>
              <w:rPr>
                <w:spacing w:val="-2"/>
              </w:rPr>
              <w:t>1,025,457,000.00</w:t>
            </w:r>
          </w:p>
        </w:tc>
        <w:tc>
          <w:tcPr>
            <w:tcW w:w="1997" w:type="dxa"/>
            <w:vAlign w:val="top"/>
          </w:tcPr>
          <w:p>
            <w:pPr>
              <w:pStyle w:val="TableText"/>
              <w:spacing w:before="144" w:line="183" w:lineRule="auto"/>
              <w:ind w:left="115"/>
            </w:pPr>
            <w:r>
              <w:rPr>
                <w:spacing w:val="-1"/>
              </w:rPr>
              <w:t>994,807,000.00</w:t>
            </w:r>
          </w:p>
        </w:tc>
        <w:tc>
          <w:tcPr>
            <w:tcW w:w="1952" w:type="dxa"/>
            <w:vAlign w:val="top"/>
          </w:tcPr>
          <w:p>
            <w:pPr>
              <w:pStyle w:val="TableText"/>
              <w:spacing w:before="143" w:line="184" w:lineRule="auto"/>
              <w:ind w:left="117"/>
            </w:pPr>
            <w:r>
              <w:rPr>
                <w:spacing w:val="-2"/>
              </w:rPr>
              <w:t>1,242,891,000.00</w:t>
            </w:r>
          </w:p>
        </w:tc>
      </w:tr>
      <w:tr>
        <w:tblPrEx>
          <w:tblW w:w="8459" w:type="dxa"/>
          <w:tblInd w:w="5" w:type="dxa"/>
          <w:tblLayout w:type="fixed"/>
        </w:tblPrEx>
        <w:trPr>
          <w:trHeight w:val="844"/>
        </w:trPr>
        <w:tc>
          <w:tcPr>
            <w:tcW w:w="2682" w:type="dxa"/>
            <w:vAlign w:val="top"/>
          </w:tcPr>
          <w:p>
            <w:pPr>
              <w:pStyle w:val="TableText"/>
              <w:spacing w:before="197" w:line="310" w:lineRule="exact"/>
              <w:ind w:left="104"/>
            </w:pPr>
            <w:r>
              <w:rPr>
                <w:spacing w:val="4"/>
                <w:position w:val="8"/>
              </w:rPr>
              <w:t>总资产净利率(%)</w:t>
            </w:r>
          </w:p>
          <w:p>
            <w:pPr>
              <w:pStyle w:val="TableText"/>
              <w:spacing w:line="219" w:lineRule="auto"/>
              <w:ind w:left="104"/>
            </w:pPr>
            <w:r>
              <w:rPr>
                <w:spacing w:val="-2"/>
              </w:rPr>
              <w:t>净利润/资产总额</w:t>
            </w:r>
          </w:p>
        </w:tc>
        <w:tc>
          <w:tcPr>
            <w:tcW w:w="1828" w:type="dxa"/>
            <w:vAlign w:val="top"/>
          </w:tcPr>
          <w:p>
            <w:pPr>
              <w:spacing w:line="311" w:lineRule="auto"/>
              <w:rPr>
                <w:rFonts w:ascii="Arial"/>
                <w:sz w:val="21"/>
              </w:rPr>
            </w:pPr>
          </w:p>
          <w:p>
            <w:pPr>
              <w:pStyle w:val="TableText"/>
              <w:spacing w:before="65" w:line="183" w:lineRule="auto"/>
              <w:ind w:left="112"/>
            </w:pPr>
            <w:r>
              <w:rPr>
                <w:spacing w:val="-1"/>
              </w:rPr>
              <w:t>-9.55</w:t>
            </w:r>
          </w:p>
        </w:tc>
        <w:tc>
          <w:tcPr>
            <w:tcW w:w="1997" w:type="dxa"/>
            <w:vAlign w:val="top"/>
          </w:tcPr>
          <w:p>
            <w:pPr>
              <w:spacing w:line="311" w:lineRule="auto"/>
              <w:rPr>
                <w:rFonts w:ascii="Arial"/>
                <w:sz w:val="21"/>
              </w:rPr>
            </w:pPr>
          </w:p>
          <w:p>
            <w:pPr>
              <w:pStyle w:val="TableText"/>
              <w:spacing w:before="65" w:line="183" w:lineRule="auto"/>
              <w:ind w:left="115"/>
            </w:pPr>
            <w:r>
              <w:rPr>
                <w:spacing w:val="-1"/>
              </w:rPr>
              <w:t>-8.39</w:t>
            </w:r>
          </w:p>
        </w:tc>
        <w:tc>
          <w:tcPr>
            <w:tcW w:w="1952" w:type="dxa"/>
            <w:vAlign w:val="top"/>
          </w:tcPr>
          <w:p>
            <w:pPr>
              <w:spacing w:line="311" w:lineRule="auto"/>
              <w:rPr>
                <w:rFonts w:ascii="Arial"/>
                <w:sz w:val="21"/>
              </w:rPr>
            </w:pPr>
          </w:p>
          <w:p>
            <w:pPr>
              <w:pStyle w:val="TableText"/>
              <w:spacing w:before="65" w:line="183" w:lineRule="auto"/>
              <w:ind w:left="117"/>
            </w:pPr>
            <w:r>
              <w:rPr>
                <w:spacing w:val="-2"/>
              </w:rPr>
              <w:t>0.06</w:t>
            </w:r>
          </w:p>
        </w:tc>
      </w:tr>
    </w:tbl>
    <w:p>
      <w:pPr>
        <w:spacing w:line="424" w:lineRule="auto"/>
        <w:rPr>
          <w:rFonts w:ascii="Arial"/>
          <w:sz w:val="21"/>
        </w:rPr>
      </w:pPr>
    </w:p>
    <w:p>
      <w:pPr>
        <w:pStyle w:val="BodyText"/>
        <w:spacing w:before="78" w:line="212" w:lineRule="auto"/>
        <w:ind w:left="575"/>
        <w:rPr>
          <w:sz w:val="24"/>
          <w:szCs w:val="24"/>
        </w:rPr>
      </w:pPr>
      <w:r>
        <w:rPr>
          <w:spacing w:val="-1"/>
          <w:sz w:val="24"/>
          <w:szCs w:val="24"/>
        </w:rPr>
        <w:t>数据来源：湖南酒鬼酒公司财务报表</w:t>
      </w:r>
    </w:p>
    <w:p>
      <w:pPr>
        <w:pStyle w:val="BodyText"/>
        <w:spacing w:before="186" w:line="363" w:lineRule="auto"/>
        <w:ind w:left="74" w:right="45" w:firstLine="500"/>
        <w:rPr>
          <w:sz w:val="24"/>
          <w:szCs w:val="24"/>
        </w:rPr>
        <w:sectPr>
          <w:footerReference w:type="default" r:id="rId16"/>
          <w:pgSz w:w="11910" w:h="16840"/>
          <w:pgMar w:top="1431" w:right="1725" w:bottom="1138" w:left="1715" w:header="0" w:footer="999" w:gutter="0"/>
          <w:pgNumType w:start="15"/>
          <w:cols w:space="708"/>
        </w:sectPr>
      </w:pPr>
      <w:r>
        <w:rPr>
          <w:spacing w:val="10"/>
          <w:sz w:val="24"/>
          <w:szCs w:val="24"/>
        </w:rPr>
        <w:t>从表3.6可以得知：湖南酒鬼酒公司在2020-2022</w:t>
      </w:r>
      <w:r>
        <w:rPr>
          <w:spacing w:val="9"/>
          <w:sz w:val="24"/>
          <w:szCs w:val="24"/>
        </w:rPr>
        <w:t>年度的销售毛利率波动</w:t>
      </w:r>
      <w:r>
        <w:rPr>
          <w:sz w:val="24"/>
          <w:szCs w:val="24"/>
        </w:rPr>
        <w:t xml:space="preserve"> </w:t>
      </w:r>
      <w:r>
        <w:rPr>
          <w:spacing w:val="-1"/>
          <w:sz w:val="24"/>
          <w:szCs w:val="24"/>
        </w:rPr>
        <w:t>幅度不是太大，基本保持稳定，由2020年的基本23.87%降低到2022年的</w:t>
      </w:r>
      <w:r>
        <w:rPr>
          <w:spacing w:val="-2"/>
          <w:sz w:val="24"/>
          <w:szCs w:val="24"/>
        </w:rPr>
        <w:t>22.31%。</w:t>
      </w:r>
      <w:r>
        <w:rPr>
          <w:sz w:val="24"/>
          <w:szCs w:val="24"/>
        </w:rPr>
        <w:t xml:space="preserve"> </w:t>
      </w:r>
      <w:r>
        <w:rPr>
          <w:spacing w:val="3"/>
          <w:sz w:val="24"/>
          <w:szCs w:val="24"/>
        </w:rPr>
        <w:t>销售净利率，湖南酒鬼酒馥郁香酒净资产收益率以及总资产净利率均在2022年</w:t>
      </w:r>
      <w:r>
        <w:rPr>
          <w:spacing w:val="10"/>
          <w:sz w:val="24"/>
          <w:szCs w:val="24"/>
        </w:rPr>
        <w:t xml:space="preserve"> </w:t>
      </w:r>
    </w:p>
    <w:p>
      <w:pPr>
        <w:pStyle w:val="BodyText"/>
        <w:spacing w:before="186" w:line="363" w:lineRule="auto"/>
        <w:ind w:left="74" w:right="45" w:firstLine="500"/>
        <w:rPr>
          <w:sz w:val="24"/>
          <w:szCs w:val="24"/>
        </w:rPr>
      </w:pPr>
      <w:r>
        <w:rPr>
          <w:spacing w:val="3"/>
          <w:sz w:val="24"/>
          <w:szCs w:val="24"/>
        </w:rPr>
        <w:t>大幅度提升，由2021年的负利率升高到了2022年的正利率，这表明酒鬼酒馥郁</w:t>
      </w:r>
      <w:r>
        <w:rPr>
          <w:spacing w:val="8"/>
          <w:sz w:val="24"/>
          <w:szCs w:val="24"/>
        </w:rPr>
        <w:t xml:space="preserve"> </w:t>
      </w:r>
      <w:r>
        <w:rPr>
          <w:spacing w:val="-3"/>
          <w:sz w:val="24"/>
          <w:szCs w:val="24"/>
        </w:rPr>
        <w:t>香酒企业的盈利能力大幅度提高(唐香蕊,万梦洁,王滢，2022)。净资产收益率指</w:t>
      </w:r>
      <w:r>
        <w:rPr>
          <w:sz w:val="24"/>
          <w:szCs w:val="24"/>
        </w:rPr>
        <w:t xml:space="preserve"> </w:t>
      </w:r>
      <w:r>
        <w:rPr>
          <w:spacing w:val="-4"/>
          <w:sz w:val="24"/>
          <w:szCs w:val="24"/>
        </w:rPr>
        <w:t>标是馥郁香酒企业盈利能力指标的核心，更是投资者关注的重点，如果湖南酒鬼</w:t>
      </w:r>
      <w:r>
        <w:rPr>
          <w:spacing w:val="18"/>
          <w:sz w:val="24"/>
          <w:szCs w:val="24"/>
        </w:rPr>
        <w:t xml:space="preserve"> </w:t>
      </w:r>
      <w:r>
        <w:rPr>
          <w:spacing w:val="-4"/>
          <w:sz w:val="24"/>
          <w:szCs w:val="24"/>
        </w:rPr>
        <w:t>酒的净资产收益率在一段时期内持续增长，说明酒鬼酒公司资本盈利能力稳定上</w:t>
      </w:r>
    </w:p>
    <w:p>
      <w:pPr>
        <w:pStyle w:val="BodyText"/>
        <w:spacing w:before="1" w:line="223" w:lineRule="auto"/>
        <w:ind w:left="74"/>
        <w:rPr>
          <w:sz w:val="24"/>
          <w:szCs w:val="24"/>
        </w:rPr>
      </w:pPr>
      <w:r>
        <w:rPr>
          <w:spacing w:val="-12"/>
          <w:sz w:val="24"/>
          <w:szCs w:val="24"/>
        </w:rPr>
        <w:t>升。</w:t>
      </w:r>
    </w:p>
    <w:p>
      <w:pPr>
        <w:spacing w:line="223" w:lineRule="auto"/>
        <w:rPr>
          <w:sz w:val="24"/>
          <w:szCs w:val="24"/>
        </w:rPr>
        <w:sectPr>
          <w:footerReference w:type="default" r:id="rId17"/>
          <w:type w:val="nextPage"/>
          <w:pgSz w:w="11910" w:h="16840"/>
          <w:pgMar w:top="1431" w:right="1725" w:bottom="1138" w:left="1715" w:header="0" w:footer="999" w:gutter="0"/>
          <w:pgNumType w:start="16"/>
          <w:cols w:space="708"/>
          <w:titlePg w:val="0"/>
        </w:sectPr>
      </w:pPr>
    </w:p>
    <w:p>
      <w:pPr>
        <w:pStyle w:val="BodyText"/>
        <w:spacing w:before="114" w:line="216" w:lineRule="auto"/>
        <w:ind w:left="423"/>
        <w:rPr>
          <w:sz w:val="24"/>
          <w:szCs w:val="24"/>
        </w:rPr>
      </w:pPr>
      <w:bookmarkStart w:id="14" w:name="bookmark15"/>
      <w:bookmarkEnd w:id="14"/>
      <w:bookmarkStart w:id="15" w:name="bookmark16"/>
      <w:bookmarkEnd w:id="15"/>
      <w:r>
        <w:rPr>
          <w:spacing w:val="-10"/>
          <w:sz w:val="24"/>
          <w:szCs w:val="24"/>
        </w:rPr>
        <w:t>3.2.5</w:t>
      </w:r>
      <w:r>
        <w:rPr>
          <w:spacing w:val="-10"/>
          <w:sz w:val="24"/>
          <w:szCs w:val="24"/>
        </w:rPr>
        <w:t xml:space="preserve"> </w:t>
      </w:r>
      <w:r>
        <w:rPr>
          <w:spacing w:val="-10"/>
          <w:sz w:val="24"/>
          <w:szCs w:val="24"/>
        </w:rPr>
        <w:t>湖南酒鬼酒公司成长能力</w:t>
      </w:r>
    </w:p>
    <w:p>
      <w:pPr>
        <w:spacing w:before="171" w:line="199" w:lineRule="auto"/>
        <w:ind w:left="2733"/>
        <w:rPr>
          <w:rFonts w:ascii="SimSun" w:eastAsia="SimSun" w:hAnsi="SimSun" w:cs="SimSun"/>
          <w:sz w:val="21"/>
          <w:szCs w:val="21"/>
        </w:rPr>
      </w:pPr>
      <w:r>
        <w:rPr>
          <w:rFonts w:ascii="SimSun" w:eastAsia="SimSun" w:hAnsi="SimSun" w:cs="SimSun"/>
          <w:sz w:val="21"/>
          <w:szCs w:val="21"/>
        </w:rPr>
        <w:t>表3.7湖南酒鬼酒公司成长能力</w:t>
      </w:r>
    </w:p>
    <w:tbl>
      <w:tblPr>
        <w:tblStyle w:val="TableNormal6"/>
        <w:tblW w:w="8170" w:type="dxa"/>
        <w:tblInd w:w="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82"/>
        <w:gridCol w:w="1778"/>
        <w:gridCol w:w="2048"/>
        <w:gridCol w:w="2262"/>
      </w:tblGrid>
      <w:tr>
        <w:tblPrEx>
          <w:tblW w:w="8170" w:type="dxa"/>
          <w:tblInd w:w="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2082" w:type="dxa"/>
            <w:vAlign w:val="top"/>
          </w:tcPr>
          <w:p>
            <w:pPr>
              <w:pStyle w:val="TableText"/>
              <w:spacing w:before="63" w:line="219" w:lineRule="auto"/>
              <w:ind w:left="835"/>
            </w:pPr>
            <w:r>
              <w:rPr>
                <w:spacing w:val="-3"/>
              </w:rPr>
              <w:t>年份</w:t>
            </w:r>
          </w:p>
        </w:tc>
        <w:tc>
          <w:tcPr>
            <w:tcW w:w="1778" w:type="dxa"/>
            <w:vAlign w:val="top"/>
          </w:tcPr>
          <w:p>
            <w:pPr>
              <w:pStyle w:val="TableText"/>
              <w:spacing w:before="63" w:line="219" w:lineRule="auto"/>
              <w:ind w:left="552"/>
            </w:pPr>
            <w:r>
              <w:rPr>
                <w:spacing w:val="-2"/>
              </w:rPr>
              <w:t>2020年</w:t>
            </w:r>
          </w:p>
        </w:tc>
        <w:tc>
          <w:tcPr>
            <w:tcW w:w="2048" w:type="dxa"/>
            <w:vAlign w:val="top"/>
          </w:tcPr>
          <w:p>
            <w:pPr>
              <w:pStyle w:val="TableText"/>
              <w:spacing w:before="63" w:line="219" w:lineRule="auto"/>
              <w:ind w:left="704"/>
            </w:pPr>
            <w:r>
              <w:rPr>
                <w:spacing w:val="-2"/>
              </w:rPr>
              <w:t>2021年</w:t>
            </w:r>
          </w:p>
        </w:tc>
        <w:tc>
          <w:tcPr>
            <w:tcW w:w="2262" w:type="dxa"/>
            <w:vAlign w:val="top"/>
          </w:tcPr>
          <w:p>
            <w:pPr>
              <w:pStyle w:val="TableText"/>
              <w:spacing w:before="63" w:line="219" w:lineRule="auto"/>
              <w:ind w:left="806"/>
            </w:pPr>
            <w:r>
              <w:rPr>
                <w:spacing w:val="-2"/>
              </w:rPr>
              <w:t>2022年</w:t>
            </w:r>
          </w:p>
        </w:tc>
      </w:tr>
      <w:tr>
        <w:tblPrEx>
          <w:tblW w:w="8170" w:type="dxa"/>
          <w:tblInd w:w="73" w:type="dxa"/>
          <w:tblLayout w:type="fixed"/>
        </w:tblPrEx>
        <w:trPr>
          <w:trHeight w:val="319"/>
        </w:trPr>
        <w:tc>
          <w:tcPr>
            <w:tcW w:w="2082" w:type="dxa"/>
            <w:vAlign w:val="top"/>
          </w:tcPr>
          <w:p>
            <w:pPr>
              <w:pStyle w:val="TableText"/>
              <w:spacing w:before="59" w:line="219" w:lineRule="auto"/>
              <w:ind w:left="435"/>
            </w:pPr>
            <w:r>
              <w:rPr>
                <w:spacing w:val="-2"/>
              </w:rPr>
              <w:t>期初营业收入</w:t>
            </w:r>
          </w:p>
        </w:tc>
        <w:tc>
          <w:tcPr>
            <w:tcW w:w="1778" w:type="dxa"/>
            <w:vAlign w:val="top"/>
          </w:tcPr>
          <w:p>
            <w:pPr>
              <w:pStyle w:val="TableText"/>
              <w:spacing w:before="86" w:line="184" w:lineRule="auto"/>
              <w:ind w:left="183"/>
            </w:pPr>
            <w:r>
              <w:rPr>
                <w:spacing w:val="-1"/>
              </w:rPr>
              <w:t>517,937,000.00</w:t>
            </w:r>
          </w:p>
        </w:tc>
        <w:tc>
          <w:tcPr>
            <w:tcW w:w="2048" w:type="dxa"/>
            <w:vAlign w:val="top"/>
          </w:tcPr>
          <w:p>
            <w:pPr>
              <w:pStyle w:val="TableText"/>
              <w:spacing w:before="86" w:line="184" w:lineRule="auto"/>
              <w:ind w:left="94"/>
            </w:pPr>
            <w:r>
              <w:rPr>
                <w:spacing w:val="-1"/>
              </w:rPr>
              <w:t>712,439,000.00</w:t>
            </w:r>
          </w:p>
        </w:tc>
        <w:tc>
          <w:tcPr>
            <w:tcW w:w="2262" w:type="dxa"/>
            <w:vAlign w:val="top"/>
          </w:tcPr>
          <w:p>
            <w:pPr>
              <w:pStyle w:val="TableText"/>
              <w:spacing w:before="87" w:line="183" w:lineRule="auto"/>
              <w:ind w:left="107"/>
            </w:pPr>
            <w:r>
              <w:rPr>
                <w:spacing w:val="-1"/>
              </w:rPr>
              <w:t>820,795,000.00</w:t>
            </w:r>
          </w:p>
        </w:tc>
      </w:tr>
      <w:tr>
        <w:tblPrEx>
          <w:tblW w:w="8170" w:type="dxa"/>
          <w:tblInd w:w="73" w:type="dxa"/>
          <w:tblLayout w:type="fixed"/>
        </w:tblPrEx>
        <w:trPr>
          <w:trHeight w:val="309"/>
        </w:trPr>
        <w:tc>
          <w:tcPr>
            <w:tcW w:w="2082" w:type="dxa"/>
            <w:vAlign w:val="top"/>
          </w:tcPr>
          <w:p>
            <w:pPr>
              <w:pStyle w:val="TableText"/>
              <w:spacing w:before="60" w:line="219" w:lineRule="auto"/>
              <w:ind w:left="435"/>
            </w:pPr>
            <w:r>
              <w:rPr>
                <w:spacing w:val="-2"/>
              </w:rPr>
              <w:t>期末营业收入</w:t>
            </w:r>
          </w:p>
        </w:tc>
        <w:tc>
          <w:tcPr>
            <w:tcW w:w="1778" w:type="dxa"/>
            <w:vAlign w:val="top"/>
          </w:tcPr>
          <w:p>
            <w:pPr>
              <w:pStyle w:val="TableText"/>
              <w:spacing w:before="87" w:line="184" w:lineRule="auto"/>
              <w:ind w:left="183"/>
            </w:pPr>
            <w:r>
              <w:rPr>
                <w:spacing w:val="-1"/>
              </w:rPr>
              <w:t>712,439,000.00</w:t>
            </w:r>
          </w:p>
        </w:tc>
        <w:tc>
          <w:tcPr>
            <w:tcW w:w="2048" w:type="dxa"/>
            <w:vAlign w:val="top"/>
          </w:tcPr>
          <w:p>
            <w:pPr>
              <w:pStyle w:val="TableText"/>
              <w:spacing w:before="88" w:line="183" w:lineRule="auto"/>
              <w:ind w:left="94"/>
            </w:pPr>
            <w:r>
              <w:rPr>
                <w:spacing w:val="-1"/>
              </w:rPr>
              <w:t>820,795,000.00</w:t>
            </w:r>
          </w:p>
        </w:tc>
        <w:tc>
          <w:tcPr>
            <w:tcW w:w="2262" w:type="dxa"/>
            <w:vAlign w:val="top"/>
          </w:tcPr>
          <w:p>
            <w:pPr>
              <w:pStyle w:val="TableText"/>
              <w:spacing w:before="87" w:line="184" w:lineRule="auto"/>
              <w:ind w:left="107"/>
            </w:pPr>
            <w:r>
              <w:rPr>
                <w:spacing w:val="-2"/>
              </w:rPr>
              <w:t>1,214,570,000.00</w:t>
            </w:r>
          </w:p>
        </w:tc>
      </w:tr>
      <w:tr>
        <w:tblPrEx>
          <w:tblW w:w="8170" w:type="dxa"/>
          <w:tblInd w:w="73" w:type="dxa"/>
          <w:tblLayout w:type="fixed"/>
        </w:tblPrEx>
        <w:trPr>
          <w:trHeight w:val="319"/>
        </w:trPr>
        <w:tc>
          <w:tcPr>
            <w:tcW w:w="2082" w:type="dxa"/>
            <w:vAlign w:val="top"/>
          </w:tcPr>
          <w:p>
            <w:pPr>
              <w:pStyle w:val="TableText"/>
              <w:spacing w:before="61" w:line="219" w:lineRule="auto"/>
              <w:ind w:left="184"/>
            </w:pPr>
            <w:r>
              <w:rPr>
                <w:spacing w:val="4"/>
              </w:rPr>
              <w:t>营业收入增长率(%)</w:t>
            </w:r>
          </w:p>
        </w:tc>
        <w:tc>
          <w:tcPr>
            <w:tcW w:w="1778" w:type="dxa"/>
            <w:vAlign w:val="top"/>
          </w:tcPr>
          <w:p>
            <w:pPr>
              <w:pStyle w:val="TableText"/>
              <w:spacing w:before="112" w:line="181" w:lineRule="auto"/>
              <w:ind w:left="183"/>
            </w:pPr>
            <w:r>
              <w:rPr>
                <w:spacing w:val="-2"/>
              </w:rPr>
              <w:t>37.55</w:t>
            </w:r>
          </w:p>
        </w:tc>
        <w:tc>
          <w:tcPr>
            <w:tcW w:w="2048" w:type="dxa"/>
            <w:vAlign w:val="top"/>
          </w:tcPr>
          <w:p>
            <w:pPr>
              <w:pStyle w:val="TableText"/>
              <w:spacing w:before="111" w:line="182" w:lineRule="auto"/>
              <w:ind w:left="94"/>
            </w:pPr>
            <w:r>
              <w:rPr>
                <w:spacing w:val="-4"/>
              </w:rPr>
              <w:t>15.21</w:t>
            </w:r>
          </w:p>
        </w:tc>
        <w:tc>
          <w:tcPr>
            <w:tcW w:w="2262" w:type="dxa"/>
            <w:vAlign w:val="top"/>
          </w:tcPr>
          <w:p>
            <w:pPr>
              <w:pStyle w:val="TableText"/>
              <w:spacing w:before="112" w:line="181" w:lineRule="auto"/>
              <w:ind w:left="107"/>
            </w:pPr>
            <w:r>
              <w:rPr>
                <w:spacing w:val="-2"/>
              </w:rPr>
              <w:t>47.97</w:t>
            </w:r>
          </w:p>
        </w:tc>
      </w:tr>
      <w:tr>
        <w:tblPrEx>
          <w:tblW w:w="8170" w:type="dxa"/>
          <w:tblInd w:w="73" w:type="dxa"/>
          <w:tblLayout w:type="fixed"/>
        </w:tblPrEx>
        <w:trPr>
          <w:trHeight w:val="319"/>
        </w:trPr>
        <w:tc>
          <w:tcPr>
            <w:tcW w:w="2082" w:type="dxa"/>
            <w:vAlign w:val="top"/>
          </w:tcPr>
          <w:p>
            <w:pPr>
              <w:pStyle w:val="TableText"/>
              <w:spacing w:before="62" w:line="220" w:lineRule="auto"/>
              <w:ind w:left="435"/>
            </w:pPr>
            <w:r>
              <w:rPr>
                <w:spacing w:val="2"/>
              </w:rPr>
              <w:t>期初营业利润</w:t>
            </w:r>
          </w:p>
        </w:tc>
        <w:tc>
          <w:tcPr>
            <w:tcW w:w="1778" w:type="dxa"/>
            <w:vAlign w:val="top"/>
          </w:tcPr>
          <w:p>
            <w:pPr>
              <w:pStyle w:val="TableText"/>
              <w:spacing w:before="89" w:line="184" w:lineRule="auto"/>
              <w:ind w:left="183"/>
            </w:pPr>
            <w:r>
              <w:rPr>
                <w:spacing w:val="-1"/>
              </w:rPr>
              <w:t>-163,414,000.00</w:t>
            </w:r>
          </w:p>
        </w:tc>
        <w:tc>
          <w:tcPr>
            <w:tcW w:w="2048" w:type="dxa"/>
            <w:vAlign w:val="top"/>
          </w:tcPr>
          <w:p>
            <w:pPr>
              <w:pStyle w:val="TableText"/>
              <w:spacing w:before="90" w:line="183" w:lineRule="auto"/>
              <w:ind w:left="94"/>
            </w:pPr>
            <w:r>
              <w:rPr>
                <w:spacing w:val="-1"/>
              </w:rPr>
              <w:t>-99,598,000.00</w:t>
            </w:r>
          </w:p>
        </w:tc>
        <w:tc>
          <w:tcPr>
            <w:tcW w:w="2262" w:type="dxa"/>
            <w:vAlign w:val="top"/>
          </w:tcPr>
          <w:p>
            <w:pPr>
              <w:pStyle w:val="TableText"/>
              <w:spacing w:before="90" w:line="183" w:lineRule="auto"/>
              <w:ind w:left="107"/>
            </w:pPr>
            <w:r>
              <w:rPr>
                <w:spacing w:val="-1"/>
              </w:rPr>
              <w:t>-95,822,000.00</w:t>
            </w:r>
          </w:p>
        </w:tc>
      </w:tr>
      <w:tr>
        <w:tblPrEx>
          <w:tblW w:w="8170" w:type="dxa"/>
          <w:tblInd w:w="73" w:type="dxa"/>
          <w:tblLayout w:type="fixed"/>
        </w:tblPrEx>
        <w:trPr>
          <w:trHeight w:val="319"/>
        </w:trPr>
        <w:tc>
          <w:tcPr>
            <w:tcW w:w="2082" w:type="dxa"/>
            <w:vAlign w:val="top"/>
          </w:tcPr>
          <w:p>
            <w:pPr>
              <w:pStyle w:val="TableText"/>
              <w:spacing w:before="63" w:line="220" w:lineRule="auto"/>
              <w:ind w:left="435"/>
            </w:pPr>
            <w:r>
              <w:rPr>
                <w:spacing w:val="2"/>
              </w:rPr>
              <w:t>期末营业利润</w:t>
            </w:r>
          </w:p>
        </w:tc>
        <w:tc>
          <w:tcPr>
            <w:tcW w:w="1778" w:type="dxa"/>
            <w:vAlign w:val="top"/>
          </w:tcPr>
          <w:p>
            <w:pPr>
              <w:pStyle w:val="TableText"/>
              <w:spacing w:before="91" w:line="183" w:lineRule="auto"/>
              <w:ind w:left="183"/>
            </w:pPr>
            <w:r>
              <w:rPr>
                <w:spacing w:val="-1"/>
              </w:rPr>
              <w:t>-99,598,000.00</w:t>
            </w:r>
          </w:p>
        </w:tc>
        <w:tc>
          <w:tcPr>
            <w:tcW w:w="2048" w:type="dxa"/>
            <w:vAlign w:val="top"/>
          </w:tcPr>
          <w:p>
            <w:pPr>
              <w:pStyle w:val="TableText"/>
              <w:spacing w:before="91" w:line="183" w:lineRule="auto"/>
              <w:ind w:left="94"/>
            </w:pPr>
            <w:r>
              <w:rPr>
                <w:spacing w:val="-1"/>
              </w:rPr>
              <w:t>-95,822,000.00</w:t>
            </w:r>
          </w:p>
        </w:tc>
        <w:tc>
          <w:tcPr>
            <w:tcW w:w="2262" w:type="dxa"/>
            <w:vAlign w:val="top"/>
          </w:tcPr>
          <w:p>
            <w:pPr>
              <w:pStyle w:val="TableText"/>
              <w:spacing w:before="91" w:line="183" w:lineRule="auto"/>
              <w:ind w:left="107"/>
            </w:pPr>
            <w:r>
              <w:rPr>
                <w:spacing w:val="-1"/>
              </w:rPr>
              <w:t>-6,975,000.00</w:t>
            </w:r>
          </w:p>
        </w:tc>
      </w:tr>
      <w:tr>
        <w:tblPrEx>
          <w:tblW w:w="8170" w:type="dxa"/>
          <w:tblInd w:w="73" w:type="dxa"/>
          <w:tblLayout w:type="fixed"/>
        </w:tblPrEx>
        <w:trPr>
          <w:trHeight w:val="319"/>
        </w:trPr>
        <w:tc>
          <w:tcPr>
            <w:tcW w:w="2082" w:type="dxa"/>
            <w:vAlign w:val="top"/>
          </w:tcPr>
          <w:p>
            <w:pPr>
              <w:pStyle w:val="TableText"/>
              <w:spacing w:before="64" w:line="219" w:lineRule="auto"/>
              <w:ind w:left="184"/>
            </w:pPr>
            <w:r>
              <w:rPr>
                <w:spacing w:val="4"/>
              </w:rPr>
              <w:t>营业利润增长率(%)</w:t>
            </w:r>
          </w:p>
        </w:tc>
        <w:tc>
          <w:tcPr>
            <w:tcW w:w="1778" w:type="dxa"/>
            <w:vAlign w:val="top"/>
          </w:tcPr>
          <w:p>
            <w:pPr>
              <w:pStyle w:val="TableText"/>
              <w:spacing w:before="116" w:line="178" w:lineRule="auto"/>
              <w:ind w:left="183"/>
            </w:pPr>
            <w:r>
              <w:rPr>
                <w:spacing w:val="-2"/>
              </w:rPr>
              <w:t>39.05</w:t>
            </w:r>
          </w:p>
        </w:tc>
        <w:tc>
          <w:tcPr>
            <w:tcW w:w="2048" w:type="dxa"/>
            <w:vAlign w:val="top"/>
          </w:tcPr>
          <w:p>
            <w:pPr>
              <w:pStyle w:val="TableText"/>
              <w:spacing w:before="116" w:line="178" w:lineRule="auto"/>
              <w:ind w:left="94"/>
            </w:pPr>
            <w:r>
              <w:rPr>
                <w:spacing w:val="-3"/>
              </w:rPr>
              <w:t>3.79</w:t>
            </w:r>
          </w:p>
        </w:tc>
        <w:tc>
          <w:tcPr>
            <w:tcW w:w="2262" w:type="dxa"/>
            <w:vAlign w:val="top"/>
          </w:tcPr>
          <w:p>
            <w:pPr>
              <w:pStyle w:val="TableText"/>
              <w:spacing w:before="116" w:line="178" w:lineRule="auto"/>
              <w:ind w:left="107"/>
            </w:pPr>
            <w:r>
              <w:rPr>
                <w:spacing w:val="-2"/>
              </w:rPr>
              <w:t>92.72</w:t>
            </w:r>
          </w:p>
        </w:tc>
      </w:tr>
      <w:tr>
        <w:tblPrEx>
          <w:tblW w:w="8170" w:type="dxa"/>
          <w:tblInd w:w="73" w:type="dxa"/>
          <w:tblLayout w:type="fixed"/>
        </w:tblPrEx>
        <w:trPr>
          <w:trHeight w:val="309"/>
        </w:trPr>
        <w:tc>
          <w:tcPr>
            <w:tcW w:w="2082" w:type="dxa"/>
            <w:vAlign w:val="top"/>
          </w:tcPr>
          <w:p>
            <w:pPr>
              <w:pStyle w:val="TableText"/>
              <w:spacing w:before="65" w:line="216" w:lineRule="auto"/>
              <w:ind w:left="535"/>
            </w:pPr>
            <w:r>
              <w:rPr>
                <w:spacing w:val="2"/>
              </w:rPr>
              <w:t>期初净资产</w:t>
            </w:r>
          </w:p>
        </w:tc>
        <w:tc>
          <w:tcPr>
            <w:tcW w:w="1778" w:type="dxa"/>
            <w:vAlign w:val="top"/>
          </w:tcPr>
          <w:p>
            <w:pPr>
              <w:pStyle w:val="TableText"/>
              <w:spacing w:before="93" w:line="183" w:lineRule="auto"/>
              <w:ind w:left="183"/>
            </w:pPr>
            <w:r>
              <w:rPr>
                <w:spacing w:val="-1"/>
              </w:rPr>
              <w:t>783,376,000.00</w:t>
            </w:r>
          </w:p>
        </w:tc>
        <w:tc>
          <w:tcPr>
            <w:tcW w:w="2048" w:type="dxa"/>
            <w:vAlign w:val="top"/>
          </w:tcPr>
          <w:p>
            <w:pPr>
              <w:pStyle w:val="TableText"/>
              <w:spacing w:before="92" w:line="184" w:lineRule="auto"/>
              <w:ind w:left="94"/>
            </w:pPr>
            <w:r>
              <w:rPr>
                <w:spacing w:val="-1"/>
              </w:rPr>
              <w:t>661,942,000.00</w:t>
            </w:r>
          </w:p>
        </w:tc>
        <w:tc>
          <w:tcPr>
            <w:tcW w:w="2262" w:type="dxa"/>
            <w:vAlign w:val="top"/>
          </w:tcPr>
          <w:p>
            <w:pPr>
              <w:pStyle w:val="TableText"/>
              <w:spacing w:before="93" w:line="183" w:lineRule="auto"/>
              <w:ind w:left="107"/>
            </w:pPr>
            <w:r>
              <w:rPr>
                <w:spacing w:val="-1"/>
              </w:rPr>
              <w:t>574,788,000.00</w:t>
            </w:r>
          </w:p>
        </w:tc>
      </w:tr>
      <w:tr>
        <w:tblPrEx>
          <w:tblW w:w="8170" w:type="dxa"/>
          <w:tblInd w:w="73" w:type="dxa"/>
          <w:tblLayout w:type="fixed"/>
        </w:tblPrEx>
        <w:trPr>
          <w:trHeight w:val="320"/>
        </w:trPr>
        <w:tc>
          <w:tcPr>
            <w:tcW w:w="2082" w:type="dxa"/>
            <w:vAlign w:val="top"/>
          </w:tcPr>
          <w:p>
            <w:pPr>
              <w:pStyle w:val="TableText"/>
              <w:spacing w:before="66" w:line="219" w:lineRule="auto"/>
              <w:ind w:left="535"/>
            </w:pPr>
            <w:r>
              <w:rPr>
                <w:spacing w:val="2"/>
              </w:rPr>
              <w:t>期末净资产</w:t>
            </w:r>
          </w:p>
        </w:tc>
        <w:tc>
          <w:tcPr>
            <w:tcW w:w="1778" w:type="dxa"/>
            <w:vAlign w:val="top"/>
          </w:tcPr>
          <w:p>
            <w:pPr>
              <w:pStyle w:val="TableText"/>
              <w:spacing w:before="93" w:line="184" w:lineRule="auto"/>
              <w:ind w:left="183"/>
            </w:pPr>
            <w:r>
              <w:rPr>
                <w:spacing w:val="-1"/>
              </w:rPr>
              <w:t>661,942,000.00</w:t>
            </w:r>
          </w:p>
        </w:tc>
        <w:tc>
          <w:tcPr>
            <w:tcW w:w="2048" w:type="dxa"/>
            <w:vAlign w:val="top"/>
          </w:tcPr>
          <w:p>
            <w:pPr>
              <w:pStyle w:val="TableText"/>
              <w:spacing w:before="94" w:line="183" w:lineRule="auto"/>
              <w:ind w:left="94"/>
            </w:pPr>
            <w:r>
              <w:rPr>
                <w:spacing w:val="-1"/>
              </w:rPr>
              <w:t>574,788,000.00</w:t>
            </w:r>
          </w:p>
        </w:tc>
        <w:tc>
          <w:tcPr>
            <w:tcW w:w="2262" w:type="dxa"/>
            <w:vAlign w:val="top"/>
          </w:tcPr>
          <w:p>
            <w:pPr>
              <w:pStyle w:val="TableText"/>
              <w:spacing w:before="94" w:line="183" w:lineRule="auto"/>
              <w:ind w:left="107"/>
            </w:pPr>
            <w:r>
              <w:rPr>
                <w:spacing w:val="-1"/>
              </w:rPr>
              <w:t>607,224,000.00</w:t>
            </w:r>
          </w:p>
        </w:tc>
      </w:tr>
      <w:tr>
        <w:tblPrEx>
          <w:tblW w:w="8170" w:type="dxa"/>
          <w:tblInd w:w="73" w:type="dxa"/>
          <w:tblLayout w:type="fixed"/>
        </w:tblPrEx>
        <w:trPr>
          <w:trHeight w:val="319"/>
        </w:trPr>
        <w:tc>
          <w:tcPr>
            <w:tcW w:w="2082" w:type="dxa"/>
            <w:vAlign w:val="top"/>
          </w:tcPr>
          <w:p>
            <w:pPr>
              <w:pStyle w:val="TableText"/>
              <w:spacing w:before="66" w:line="219" w:lineRule="auto"/>
              <w:ind w:left="285"/>
            </w:pPr>
            <w:r>
              <w:rPr>
                <w:spacing w:val="4"/>
              </w:rPr>
              <w:t>净资产增长率(%)</w:t>
            </w:r>
          </w:p>
        </w:tc>
        <w:tc>
          <w:tcPr>
            <w:tcW w:w="1778" w:type="dxa"/>
            <w:vAlign w:val="top"/>
          </w:tcPr>
          <w:p>
            <w:pPr>
              <w:pStyle w:val="TableText"/>
              <w:spacing w:before="117" w:line="177" w:lineRule="auto"/>
              <w:ind w:left="183"/>
            </w:pPr>
            <w:r>
              <w:rPr>
                <w:spacing w:val="-1"/>
              </w:rPr>
              <w:t>-18.35</w:t>
            </w:r>
          </w:p>
        </w:tc>
        <w:tc>
          <w:tcPr>
            <w:tcW w:w="2048" w:type="dxa"/>
            <w:vAlign w:val="top"/>
          </w:tcPr>
          <w:p>
            <w:pPr>
              <w:pStyle w:val="TableText"/>
              <w:spacing w:before="117" w:line="177" w:lineRule="auto"/>
              <w:ind w:left="94"/>
            </w:pPr>
            <w:r>
              <w:rPr>
                <w:spacing w:val="-1"/>
              </w:rPr>
              <w:t>-15.16</w:t>
            </w:r>
          </w:p>
        </w:tc>
        <w:tc>
          <w:tcPr>
            <w:tcW w:w="2262" w:type="dxa"/>
            <w:vAlign w:val="top"/>
          </w:tcPr>
          <w:p>
            <w:pPr>
              <w:pStyle w:val="TableText"/>
              <w:spacing w:before="118" w:line="176" w:lineRule="auto"/>
              <w:ind w:left="107"/>
            </w:pPr>
            <w:r>
              <w:rPr>
                <w:spacing w:val="-3"/>
              </w:rPr>
              <w:t>5.34</w:t>
            </w:r>
          </w:p>
        </w:tc>
      </w:tr>
      <w:tr>
        <w:tblPrEx>
          <w:tblW w:w="8170" w:type="dxa"/>
          <w:tblInd w:w="73" w:type="dxa"/>
          <w:tblLayout w:type="fixed"/>
        </w:tblPrEx>
        <w:trPr>
          <w:trHeight w:val="334"/>
        </w:trPr>
        <w:tc>
          <w:tcPr>
            <w:tcW w:w="2082" w:type="dxa"/>
            <w:vAlign w:val="top"/>
          </w:tcPr>
          <w:p>
            <w:pPr>
              <w:pStyle w:val="TableText"/>
              <w:spacing w:before="77" w:line="219" w:lineRule="auto"/>
              <w:ind w:left="285"/>
            </w:pPr>
            <w:r>
              <w:rPr>
                <w:spacing w:val="4"/>
              </w:rPr>
              <w:t>总资产增长率(%)</w:t>
            </w:r>
          </w:p>
        </w:tc>
        <w:tc>
          <w:tcPr>
            <w:tcW w:w="1778" w:type="dxa"/>
            <w:vAlign w:val="top"/>
          </w:tcPr>
          <w:p>
            <w:pPr>
              <w:pStyle w:val="TableText"/>
              <w:spacing w:before="127" w:line="181" w:lineRule="auto"/>
              <w:ind w:left="183"/>
            </w:pPr>
            <w:r>
              <w:rPr>
                <w:spacing w:val="-2"/>
              </w:rPr>
              <w:t>2.01</w:t>
            </w:r>
          </w:p>
        </w:tc>
        <w:tc>
          <w:tcPr>
            <w:tcW w:w="2048" w:type="dxa"/>
            <w:vAlign w:val="top"/>
          </w:tcPr>
          <w:p>
            <w:pPr>
              <w:pStyle w:val="TableText"/>
              <w:spacing w:before="129" w:line="180" w:lineRule="auto"/>
              <w:ind w:left="94"/>
            </w:pPr>
            <w:r>
              <w:rPr>
                <w:spacing w:val="-1"/>
              </w:rPr>
              <w:t>-3.39</w:t>
            </w:r>
          </w:p>
        </w:tc>
        <w:tc>
          <w:tcPr>
            <w:tcW w:w="2262" w:type="dxa"/>
            <w:vAlign w:val="top"/>
          </w:tcPr>
          <w:p>
            <w:pPr>
              <w:pStyle w:val="TableText"/>
              <w:spacing w:before="129" w:line="180" w:lineRule="auto"/>
              <w:ind w:left="107"/>
            </w:pPr>
            <w:r>
              <w:rPr>
                <w:spacing w:val="-2"/>
              </w:rPr>
              <w:t>24.94</w:t>
            </w:r>
          </w:p>
        </w:tc>
      </w:tr>
    </w:tbl>
    <w:p>
      <w:pPr>
        <w:spacing w:line="424" w:lineRule="auto"/>
        <w:rPr>
          <w:rFonts w:ascii="Arial"/>
          <w:sz w:val="21"/>
        </w:rPr>
      </w:pPr>
    </w:p>
    <w:p>
      <w:pPr>
        <w:pStyle w:val="BodyText"/>
        <w:spacing w:before="78" w:line="212" w:lineRule="auto"/>
        <w:ind w:left="503"/>
        <w:rPr>
          <w:sz w:val="24"/>
          <w:szCs w:val="24"/>
        </w:rPr>
      </w:pPr>
      <w:r>
        <w:rPr>
          <w:spacing w:val="-1"/>
          <w:sz w:val="24"/>
          <w:szCs w:val="24"/>
        </w:rPr>
        <w:t>数据来源：湖南酒鬼酒公司财务报表</w:t>
      </w:r>
    </w:p>
    <w:p>
      <w:pPr>
        <w:pStyle w:val="BodyText"/>
        <w:spacing w:before="195" w:line="370" w:lineRule="auto"/>
        <w:ind w:left="13" w:firstLine="490"/>
        <w:rPr>
          <w:sz w:val="24"/>
          <w:szCs w:val="24"/>
        </w:rPr>
      </w:pPr>
      <w:r>
        <w:rPr>
          <w:spacing w:val="2"/>
          <w:sz w:val="24"/>
          <w:szCs w:val="24"/>
        </w:rPr>
        <w:t>从表3.7可以得知营业收入增长率先下降后上升，表明2022年市场需求大，</w:t>
      </w:r>
      <w:r>
        <w:rPr>
          <w:spacing w:val="7"/>
          <w:sz w:val="24"/>
          <w:szCs w:val="24"/>
        </w:rPr>
        <w:t xml:space="preserve"> </w:t>
      </w:r>
      <w:r>
        <w:rPr>
          <w:spacing w:val="5"/>
          <w:sz w:val="24"/>
          <w:szCs w:val="24"/>
        </w:rPr>
        <w:t>业务扩张能力强。营业利润增长率2020年由39.05%降低到3.79%又于2022年升</w:t>
      </w:r>
      <w:r>
        <w:rPr>
          <w:sz w:val="24"/>
          <w:szCs w:val="24"/>
        </w:rPr>
        <w:t xml:space="preserve">  </w:t>
      </w:r>
      <w:r>
        <w:rPr>
          <w:spacing w:val="6"/>
          <w:sz w:val="24"/>
          <w:szCs w:val="24"/>
        </w:rPr>
        <w:t>高到92.72%,这说明湖南酒鬼酒公司2022年销售商品所提供的营业利润增多，</w:t>
      </w:r>
      <w:r>
        <w:rPr>
          <w:spacing w:val="15"/>
          <w:sz w:val="24"/>
          <w:szCs w:val="24"/>
        </w:rPr>
        <w:t xml:space="preserve"> </w:t>
      </w:r>
      <w:r>
        <w:rPr>
          <w:sz w:val="24"/>
          <w:szCs w:val="24"/>
        </w:rPr>
        <w:t>企业的盈利能力有所增强。湖南酒鬼酒净资产收益率由2020年的</w:t>
      </w:r>
      <w:r>
        <w:rPr>
          <w:spacing w:val="-1"/>
          <w:sz w:val="24"/>
          <w:szCs w:val="24"/>
        </w:rPr>
        <w:t>-18.35%提高到</w:t>
      </w:r>
      <w:r>
        <w:rPr>
          <w:spacing w:val="-1"/>
          <w:sz w:val="24"/>
          <w:szCs w:val="24"/>
        </w:rPr>
        <w:t xml:space="preserve"> </w:t>
      </w:r>
      <w:r>
        <w:rPr>
          <w:spacing w:val="8"/>
          <w:sz w:val="24"/>
          <w:szCs w:val="24"/>
        </w:rPr>
        <w:t>2021年的-15.16%,并于2022年大幅度提升，上升到了5.34%,这代表酒鬼酒公</w:t>
      </w:r>
    </w:p>
    <w:p>
      <w:pPr>
        <w:pStyle w:val="BodyText"/>
        <w:spacing w:line="216" w:lineRule="auto"/>
        <w:ind w:left="13"/>
        <w:rPr>
          <w:sz w:val="24"/>
          <w:szCs w:val="24"/>
        </w:rPr>
      </w:pPr>
      <w:r>
        <w:rPr>
          <w:spacing w:val="-3"/>
          <w:sz w:val="24"/>
          <w:szCs w:val="24"/>
        </w:rPr>
        <w:t>司具有较强的生命力，企业开始进去稳步成长阶段。</w:t>
      </w:r>
    </w:p>
    <w:p>
      <w:pPr>
        <w:pStyle w:val="BodyText"/>
        <w:spacing w:before="197" w:line="224" w:lineRule="auto"/>
        <w:ind w:left="413"/>
        <w:rPr>
          <w:sz w:val="24"/>
          <w:szCs w:val="24"/>
        </w:rPr>
      </w:pPr>
      <w:r>
        <w:rPr>
          <w:spacing w:val="-10"/>
          <w:sz w:val="24"/>
          <w:szCs w:val="24"/>
        </w:rPr>
        <w:t>3.2.6</w:t>
      </w:r>
      <w:r>
        <w:rPr>
          <w:spacing w:val="-10"/>
          <w:sz w:val="24"/>
          <w:szCs w:val="24"/>
        </w:rPr>
        <w:t xml:space="preserve"> </w:t>
      </w:r>
      <w:r>
        <w:rPr>
          <w:spacing w:val="-10"/>
          <w:sz w:val="24"/>
          <w:szCs w:val="24"/>
        </w:rPr>
        <w:t>湖南酒鬼酒公司现金流量</w:t>
      </w:r>
    </w:p>
    <w:p>
      <w:pPr>
        <w:spacing w:before="143" w:line="217" w:lineRule="auto"/>
        <w:ind w:left="2733"/>
        <w:rPr>
          <w:rFonts w:ascii="SimSun" w:eastAsia="SimSun" w:hAnsi="SimSun" w:cs="SimSun"/>
          <w:sz w:val="21"/>
          <w:szCs w:val="21"/>
        </w:rPr>
      </w:pPr>
      <w:r>
        <w:rPr>
          <w:rFonts w:ascii="SimSun" w:eastAsia="SimSun" w:hAnsi="SimSun" w:cs="SimSun"/>
          <w:spacing w:val="-1"/>
          <w:sz w:val="21"/>
          <w:szCs w:val="21"/>
        </w:rPr>
        <w:t>表3.8湖南酒鬼酒公司现金流量</w:t>
      </w:r>
    </w:p>
    <w:tbl>
      <w:tblPr>
        <w:tblStyle w:val="TableNormal6"/>
        <w:tblW w:w="8079"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292"/>
        <w:gridCol w:w="1828"/>
        <w:gridCol w:w="1987"/>
        <w:gridCol w:w="1972"/>
      </w:tblGrid>
      <w:tr>
        <w:tblPrEx>
          <w:tblW w:w="8079"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3"/>
        </w:trPr>
        <w:tc>
          <w:tcPr>
            <w:tcW w:w="2292" w:type="dxa"/>
            <w:vAlign w:val="top"/>
          </w:tcPr>
          <w:p>
            <w:pPr>
              <w:pStyle w:val="TableText"/>
              <w:spacing w:before="103" w:line="219" w:lineRule="auto"/>
              <w:ind w:left="934"/>
            </w:pPr>
            <w:r>
              <w:rPr>
                <w:spacing w:val="-3"/>
              </w:rPr>
              <w:t>年份</w:t>
            </w:r>
          </w:p>
        </w:tc>
        <w:tc>
          <w:tcPr>
            <w:tcW w:w="1828" w:type="dxa"/>
            <w:vAlign w:val="top"/>
          </w:tcPr>
          <w:p>
            <w:pPr>
              <w:pStyle w:val="TableText"/>
              <w:spacing w:before="103" w:line="219" w:lineRule="auto"/>
              <w:ind w:left="602"/>
            </w:pPr>
            <w:r>
              <w:rPr>
                <w:spacing w:val="-2"/>
              </w:rPr>
              <w:t>2020年</w:t>
            </w:r>
          </w:p>
        </w:tc>
        <w:tc>
          <w:tcPr>
            <w:tcW w:w="1987" w:type="dxa"/>
            <w:vAlign w:val="top"/>
          </w:tcPr>
          <w:p>
            <w:pPr>
              <w:pStyle w:val="TableText"/>
              <w:spacing w:before="103" w:line="219" w:lineRule="auto"/>
              <w:ind w:left="684"/>
            </w:pPr>
            <w:r>
              <w:rPr>
                <w:spacing w:val="-2"/>
              </w:rPr>
              <w:t>2021年</w:t>
            </w:r>
          </w:p>
        </w:tc>
        <w:tc>
          <w:tcPr>
            <w:tcW w:w="1972" w:type="dxa"/>
            <w:vAlign w:val="top"/>
          </w:tcPr>
          <w:p>
            <w:pPr>
              <w:pStyle w:val="TableText"/>
              <w:spacing w:before="103" w:line="219" w:lineRule="auto"/>
              <w:ind w:left="678"/>
            </w:pPr>
            <w:r>
              <w:rPr>
                <w:spacing w:val="-2"/>
              </w:rPr>
              <w:t>2022年</w:t>
            </w:r>
          </w:p>
        </w:tc>
      </w:tr>
      <w:tr>
        <w:tblPrEx>
          <w:tblW w:w="8079" w:type="dxa"/>
          <w:tblInd w:w="123" w:type="dxa"/>
          <w:tblLayout w:type="fixed"/>
        </w:tblPrEx>
        <w:trPr>
          <w:trHeight w:val="636"/>
        </w:trPr>
        <w:tc>
          <w:tcPr>
            <w:tcW w:w="2292" w:type="dxa"/>
            <w:vAlign w:val="top"/>
          </w:tcPr>
          <w:p>
            <w:pPr>
              <w:pStyle w:val="TableText"/>
              <w:spacing w:before="90" w:line="247" w:lineRule="auto"/>
              <w:ind w:left="634" w:right="431" w:hanging="200"/>
            </w:pPr>
            <w:r>
              <w:rPr>
                <w:spacing w:val="2"/>
              </w:rPr>
              <w:t>经营活动产生的</w:t>
            </w:r>
            <w:r>
              <w:t xml:space="preserve"> </w:t>
            </w:r>
            <w:r>
              <w:rPr>
                <w:spacing w:val="-2"/>
              </w:rPr>
              <w:t>现金净流量</w:t>
            </w:r>
          </w:p>
        </w:tc>
        <w:tc>
          <w:tcPr>
            <w:tcW w:w="1828" w:type="dxa"/>
            <w:vAlign w:val="top"/>
          </w:tcPr>
          <w:p>
            <w:pPr>
              <w:pStyle w:val="TableText"/>
              <w:spacing w:before="248" w:line="183" w:lineRule="auto"/>
              <w:ind w:left="203"/>
            </w:pPr>
            <w:r>
              <w:rPr>
                <w:spacing w:val="-1"/>
              </w:rPr>
              <w:t>-38,448,000.00</w:t>
            </w:r>
          </w:p>
        </w:tc>
        <w:tc>
          <w:tcPr>
            <w:tcW w:w="1987" w:type="dxa"/>
            <w:vAlign w:val="top"/>
          </w:tcPr>
          <w:p>
            <w:pPr>
              <w:pStyle w:val="TableText"/>
              <w:spacing w:before="248" w:line="183" w:lineRule="auto"/>
              <w:ind w:left="285"/>
            </w:pPr>
            <w:r>
              <w:rPr>
                <w:spacing w:val="-1"/>
              </w:rPr>
              <w:t>-38,493,000.00</w:t>
            </w:r>
          </w:p>
        </w:tc>
        <w:tc>
          <w:tcPr>
            <w:tcW w:w="1972" w:type="dxa"/>
            <w:vAlign w:val="top"/>
          </w:tcPr>
          <w:p>
            <w:pPr>
              <w:pStyle w:val="TableText"/>
              <w:spacing w:before="247" w:line="184" w:lineRule="auto"/>
              <w:ind w:left="277"/>
            </w:pPr>
            <w:r>
              <w:rPr>
                <w:spacing w:val="-2"/>
              </w:rPr>
              <w:t>152,882,000.00</w:t>
            </w:r>
          </w:p>
        </w:tc>
      </w:tr>
      <w:tr>
        <w:tblPrEx>
          <w:tblW w:w="8079" w:type="dxa"/>
          <w:tblInd w:w="123" w:type="dxa"/>
          <w:tblLayout w:type="fixed"/>
        </w:tblPrEx>
        <w:trPr>
          <w:trHeight w:val="418"/>
        </w:trPr>
        <w:tc>
          <w:tcPr>
            <w:tcW w:w="2292" w:type="dxa"/>
            <w:vAlign w:val="top"/>
          </w:tcPr>
          <w:p>
            <w:pPr>
              <w:pStyle w:val="TableText"/>
              <w:spacing w:before="114" w:line="219" w:lineRule="auto"/>
              <w:ind w:left="535"/>
            </w:pPr>
            <w:r>
              <w:rPr>
                <w:spacing w:val="1"/>
              </w:rPr>
              <w:t>期末流动负债</w:t>
            </w:r>
          </w:p>
        </w:tc>
        <w:tc>
          <w:tcPr>
            <w:tcW w:w="1828" w:type="dxa"/>
            <w:vAlign w:val="top"/>
          </w:tcPr>
          <w:p>
            <w:pPr>
              <w:pStyle w:val="TableText"/>
              <w:spacing w:before="141" w:line="184" w:lineRule="auto"/>
              <w:ind w:left="203"/>
            </w:pPr>
            <w:r>
              <w:rPr>
                <w:spacing w:val="-1"/>
              </w:rPr>
              <w:t>351,232,000.00</w:t>
            </w:r>
          </w:p>
        </w:tc>
        <w:tc>
          <w:tcPr>
            <w:tcW w:w="1987" w:type="dxa"/>
            <w:vAlign w:val="top"/>
          </w:tcPr>
          <w:p>
            <w:pPr>
              <w:pStyle w:val="TableText"/>
              <w:spacing w:before="141" w:line="184" w:lineRule="auto"/>
              <w:ind w:left="285"/>
            </w:pPr>
            <w:r>
              <w:rPr>
                <w:spacing w:val="-1"/>
              </w:rPr>
              <w:t>401,920,000.00</w:t>
            </w:r>
          </w:p>
        </w:tc>
        <w:tc>
          <w:tcPr>
            <w:tcW w:w="1972" w:type="dxa"/>
            <w:vAlign w:val="top"/>
          </w:tcPr>
          <w:p>
            <w:pPr>
              <w:pStyle w:val="TableText"/>
              <w:spacing w:before="142" w:line="183" w:lineRule="auto"/>
              <w:ind w:left="277"/>
            </w:pPr>
            <w:r>
              <w:rPr>
                <w:spacing w:val="-1"/>
              </w:rPr>
              <w:t>620,568,000.00</w:t>
            </w:r>
          </w:p>
        </w:tc>
      </w:tr>
      <w:tr>
        <w:tblPrEx>
          <w:tblW w:w="8079" w:type="dxa"/>
          <w:tblInd w:w="123" w:type="dxa"/>
          <w:tblLayout w:type="fixed"/>
        </w:tblPrEx>
        <w:trPr>
          <w:trHeight w:val="433"/>
        </w:trPr>
        <w:tc>
          <w:tcPr>
            <w:tcW w:w="2292" w:type="dxa"/>
            <w:vAlign w:val="top"/>
          </w:tcPr>
          <w:p>
            <w:pPr>
              <w:pStyle w:val="TableText"/>
              <w:spacing w:before="56" w:line="219" w:lineRule="auto"/>
              <w:ind w:left="385"/>
            </w:pPr>
            <w:r>
              <w:rPr>
                <w:spacing w:val="4"/>
              </w:rPr>
              <w:t>现金流量比率(%)</w:t>
            </w:r>
          </w:p>
        </w:tc>
        <w:tc>
          <w:tcPr>
            <w:tcW w:w="1828" w:type="dxa"/>
            <w:vAlign w:val="top"/>
          </w:tcPr>
          <w:p>
            <w:pPr>
              <w:pStyle w:val="TableText"/>
              <w:spacing w:before="176" w:line="184" w:lineRule="auto"/>
              <w:ind w:left="602"/>
            </w:pPr>
            <w:r>
              <w:rPr>
                <w:spacing w:val="-1"/>
              </w:rPr>
              <w:t>-10.95</w:t>
            </w:r>
          </w:p>
        </w:tc>
        <w:tc>
          <w:tcPr>
            <w:tcW w:w="1987" w:type="dxa"/>
            <w:vAlign w:val="top"/>
          </w:tcPr>
          <w:p>
            <w:pPr>
              <w:pStyle w:val="TableText"/>
              <w:spacing w:before="146" w:line="184" w:lineRule="auto"/>
              <w:ind w:left="734"/>
            </w:pPr>
            <w:r>
              <w:rPr>
                <w:spacing w:val="-1"/>
              </w:rPr>
              <w:t>-9.41</w:t>
            </w:r>
          </w:p>
        </w:tc>
        <w:tc>
          <w:tcPr>
            <w:tcW w:w="1972" w:type="dxa"/>
            <w:vAlign w:val="top"/>
          </w:tcPr>
          <w:p>
            <w:pPr>
              <w:pStyle w:val="TableText"/>
              <w:spacing w:before="177" w:line="183" w:lineRule="auto"/>
              <w:ind w:left="728"/>
            </w:pPr>
            <w:r>
              <w:rPr>
                <w:spacing w:val="-2"/>
              </w:rPr>
              <w:t>24.64</w:t>
            </w:r>
          </w:p>
        </w:tc>
      </w:tr>
    </w:tbl>
    <w:p>
      <w:pPr>
        <w:spacing w:line="425" w:lineRule="auto"/>
        <w:rPr>
          <w:rFonts w:ascii="Arial"/>
          <w:sz w:val="21"/>
        </w:rPr>
        <w:sectPr>
          <w:footerReference w:type="default" r:id="rId18"/>
          <w:pgSz w:w="11910" w:h="16840"/>
          <w:pgMar w:top="1431" w:right="1739" w:bottom="1138" w:left="1786" w:header="0" w:footer="999" w:gutter="0"/>
          <w:pgNumType w:start="17"/>
          <w:cols w:space="708"/>
        </w:sectPr>
      </w:pPr>
    </w:p>
    <w:p>
      <w:pPr>
        <w:pStyle w:val="BodyText"/>
        <w:spacing w:before="78" w:line="530" w:lineRule="exact"/>
        <w:ind w:left="13"/>
        <w:rPr>
          <w:sz w:val="24"/>
          <w:szCs w:val="24"/>
        </w:rPr>
      </w:pPr>
      <w:r>
        <w:rPr>
          <w:spacing w:val="9"/>
          <w:position w:val="22"/>
          <w:sz w:val="24"/>
          <w:szCs w:val="24"/>
        </w:rPr>
        <w:t>2020</w:t>
      </w:r>
      <w:r>
        <w:rPr>
          <w:spacing w:val="45"/>
          <w:position w:val="22"/>
          <w:sz w:val="24"/>
          <w:szCs w:val="24"/>
        </w:rPr>
        <w:t xml:space="preserve"> </w:t>
      </w:r>
      <w:r>
        <w:rPr>
          <w:spacing w:val="9"/>
          <w:position w:val="22"/>
          <w:sz w:val="24"/>
          <w:szCs w:val="24"/>
        </w:rPr>
        <w:t>年湖南酒鬼酒集团现金流量比率=-38,448,000.00/351,232,000.00×</w:t>
      </w:r>
    </w:p>
    <w:p>
      <w:pPr>
        <w:spacing w:before="1" w:line="183" w:lineRule="auto"/>
        <w:ind w:left="13"/>
        <w:rPr>
          <w:rFonts w:ascii="SimSun" w:eastAsia="SimSun" w:hAnsi="SimSun" w:cs="SimSun"/>
          <w:sz w:val="24"/>
          <w:szCs w:val="24"/>
        </w:rPr>
      </w:pPr>
      <w:r>
        <w:rPr>
          <w:rFonts w:ascii="SimSun" w:eastAsia="SimSun" w:hAnsi="SimSun" w:cs="SimSun"/>
          <w:spacing w:val="-3"/>
          <w:sz w:val="24"/>
          <w:szCs w:val="24"/>
        </w:rPr>
        <w:t>100%=-10.95%</w:t>
      </w:r>
    </w:p>
    <w:p>
      <w:pPr>
        <w:pStyle w:val="BodyText"/>
        <w:spacing w:before="191" w:line="221" w:lineRule="auto"/>
        <w:ind w:left="13"/>
        <w:rPr>
          <w:sz w:val="24"/>
          <w:szCs w:val="24"/>
        </w:rPr>
      </w:pPr>
      <w:r>
        <w:rPr>
          <w:spacing w:val="7"/>
          <w:sz w:val="24"/>
          <w:szCs w:val="24"/>
        </w:rPr>
        <w:t>2021</w:t>
      </w:r>
      <w:r>
        <w:rPr>
          <w:spacing w:val="42"/>
          <w:sz w:val="24"/>
          <w:szCs w:val="24"/>
        </w:rPr>
        <w:t xml:space="preserve"> </w:t>
      </w:r>
      <w:r>
        <w:rPr>
          <w:spacing w:val="7"/>
          <w:sz w:val="24"/>
          <w:szCs w:val="24"/>
        </w:rPr>
        <w:t>年湖南酒鬼酒集团现金流量比率=-38,493,000.00/</w:t>
      </w:r>
      <w:r>
        <w:rPr>
          <w:spacing w:val="6"/>
          <w:sz w:val="24"/>
          <w:szCs w:val="24"/>
        </w:rPr>
        <w:t>401,920,000.00</w:t>
      </w:r>
      <w:r>
        <w:rPr>
          <w:spacing w:val="71"/>
          <w:sz w:val="24"/>
          <w:szCs w:val="24"/>
        </w:rPr>
        <w:t xml:space="preserve"> </w:t>
      </w:r>
      <w:r>
        <w:rPr>
          <w:spacing w:val="6"/>
          <w:sz w:val="24"/>
          <w:szCs w:val="24"/>
        </w:rPr>
        <w:t>×</w:t>
      </w:r>
    </w:p>
    <w:p>
      <w:pPr>
        <w:spacing w:before="302" w:line="184" w:lineRule="auto"/>
        <w:ind w:left="13"/>
        <w:rPr>
          <w:rFonts w:ascii="SimSun" w:eastAsia="SimSun" w:hAnsi="SimSun" w:cs="SimSun"/>
          <w:sz w:val="24"/>
          <w:szCs w:val="24"/>
        </w:rPr>
      </w:pPr>
      <w:r>
        <w:rPr>
          <w:rFonts w:ascii="SimSun" w:eastAsia="SimSun" w:hAnsi="SimSun" w:cs="SimSun"/>
          <w:spacing w:val="-3"/>
          <w:sz w:val="24"/>
          <w:szCs w:val="24"/>
        </w:rPr>
        <w:t>100%=-9.41%</w:t>
      </w:r>
    </w:p>
    <w:p>
      <w:pPr>
        <w:pStyle w:val="BodyText"/>
        <w:spacing w:before="121" w:line="221" w:lineRule="auto"/>
        <w:ind w:left="13"/>
        <w:rPr>
          <w:sz w:val="24"/>
          <w:szCs w:val="24"/>
        </w:rPr>
      </w:pPr>
      <w:r>
        <w:rPr>
          <w:spacing w:val="7"/>
          <w:sz w:val="24"/>
          <w:szCs w:val="24"/>
        </w:rPr>
        <w:t>2022</w:t>
      </w:r>
      <w:r>
        <w:rPr>
          <w:spacing w:val="42"/>
          <w:sz w:val="24"/>
          <w:szCs w:val="24"/>
        </w:rPr>
        <w:t xml:space="preserve"> </w:t>
      </w:r>
      <w:r>
        <w:rPr>
          <w:spacing w:val="7"/>
          <w:sz w:val="24"/>
          <w:szCs w:val="24"/>
        </w:rPr>
        <w:t>年湖南酒鬼酒集团现金流量比率=152,882,000.00/</w:t>
      </w:r>
      <w:r>
        <w:rPr>
          <w:spacing w:val="6"/>
          <w:sz w:val="24"/>
          <w:szCs w:val="24"/>
        </w:rPr>
        <w:t>620,568,000.00</w:t>
      </w:r>
      <w:r>
        <w:rPr>
          <w:spacing w:val="71"/>
          <w:sz w:val="24"/>
          <w:szCs w:val="24"/>
        </w:rPr>
        <w:t xml:space="preserve"> </w:t>
      </w:r>
      <w:r>
        <w:rPr>
          <w:spacing w:val="6"/>
          <w:sz w:val="24"/>
          <w:szCs w:val="24"/>
        </w:rPr>
        <w:t>×</w:t>
      </w:r>
    </w:p>
    <w:p>
      <w:pPr>
        <w:spacing w:line="221" w:lineRule="auto"/>
        <w:rPr>
          <w:sz w:val="24"/>
          <w:szCs w:val="24"/>
        </w:rPr>
      </w:pP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9" w:history="1">
        <w:r>
          <w:rPr>
            <w:rFonts w:ascii="SimSun" w:eastAsia="SimSun" w:hAnsi="SimSun" w:cs="SimSun"/>
            <w:b/>
            <w:bCs/>
            <w:noProof w:val="0"/>
            <w:snapToGrid/>
            <w:color w:val="0000EE"/>
            <w:kern w:val="0"/>
            <w:sz w:val="30"/>
            <w:szCs w:val="30"/>
            <w:u w:val="single" w:color="0000EE"/>
          </w:rPr>
          <w:t>https://d.book118.com/905230141334011043</w:t>
        </w:r>
      </w:hyperlink>
    </w:p>
    <w:p>
      <w:pPr>
        <w:spacing w:line="221" w:lineRule="auto"/>
        <w:rPr>
          <w:sz w:val="24"/>
          <w:szCs w:val="24"/>
        </w:rPr>
      </w:pPr>
    </w:p>
    <w:sectPr>
      <w:footerReference w:type="default" r:id="rId20"/>
      <w:type w:val="nextPage"/>
      <w:pgSz w:w="11910" w:h="16840"/>
      <w:pgMar w:top="1431" w:right="1739" w:bottom="1138" w:left="1786" w:header="0" w:footer="999" w:gutter="0"/>
      <w:pgNumType w:start="1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03"/>
      <w:rPr>
        <w:rFonts w:ascii="SimSun" w:eastAsia="SimSun" w:hAnsi="SimSun" w:cs="SimSun"/>
        <w:sz w:val="14"/>
        <w:szCs w:val="14"/>
      </w:rPr>
    </w:pPr>
    <w:r>
      <w:rPr>
        <w:rFonts w:ascii="SimSun" w:eastAsia="SimSun" w:hAnsi="SimSun" w:cs="SimSun"/>
        <w:sz w:val="14"/>
        <w:szCs w:val="14"/>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03"/>
      <w:rPr>
        <w:rFonts w:ascii="SimSun" w:eastAsia="SimSun" w:hAnsi="SimSun" w:cs="SimSun"/>
        <w:sz w:val="14"/>
        <w:szCs w:val="14"/>
      </w:rPr>
    </w:pPr>
    <w:r>
      <w:rPr>
        <w:rFonts w:ascii="SimSun" w:eastAsia="SimSun" w:hAnsi="SimSun" w:cs="SimSun"/>
        <w:sz w:val="14"/>
        <w:szCs w:val="14"/>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03"/>
      <w:rPr>
        <w:rFonts w:ascii="SimSun" w:eastAsia="SimSun" w:hAnsi="SimSun" w:cs="SimSun"/>
        <w:sz w:val="14"/>
        <w:szCs w:val="14"/>
      </w:rPr>
    </w:pPr>
    <w:r>
      <w:rPr>
        <w:rFonts w:ascii="SimSun" w:eastAsia="SimSun" w:hAnsi="SimSun" w:cs="SimSun"/>
        <w:sz w:val="14"/>
        <w:szCs w:val="14"/>
      </w:rP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03"/>
      <w:rPr>
        <w:rFonts w:ascii="SimSun" w:eastAsia="SimSun" w:hAnsi="SimSun" w:cs="SimSun"/>
        <w:sz w:val="14"/>
        <w:szCs w:val="14"/>
      </w:rPr>
    </w:pPr>
    <w:r>
      <w:rPr>
        <w:rFonts w:ascii="SimSun" w:eastAsia="SimSun" w:hAnsi="SimSun" w:cs="SimSun"/>
        <w:sz w:val="14"/>
        <w:szCs w:val="14"/>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03"/>
      <w:rPr>
        <w:rFonts w:ascii="SimSun" w:eastAsia="SimSun" w:hAnsi="SimSun" w:cs="SimSun"/>
        <w:sz w:val="14"/>
        <w:szCs w:val="14"/>
      </w:rPr>
    </w:pPr>
    <w:r>
      <w:rPr>
        <w:rFonts w:ascii="SimSun" w:eastAsia="SimSun" w:hAnsi="SimSun" w:cs="SimSun"/>
        <w:sz w:val="14"/>
        <w:szCs w:val="14"/>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03"/>
      <w:rPr>
        <w:rFonts w:ascii="SimSun" w:eastAsia="SimSun" w:hAnsi="SimSun" w:cs="SimSun"/>
        <w:sz w:val="14"/>
        <w:szCs w:val="14"/>
      </w:rPr>
    </w:pPr>
    <w:r>
      <w:rPr>
        <w:rFonts w:ascii="SimSun" w:eastAsia="SimSun" w:hAnsi="SimSun" w:cs="SimSun"/>
        <w:sz w:val="14"/>
        <w:szCs w:val="14"/>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03"/>
      <w:rPr>
        <w:rFonts w:ascii="SimSun" w:eastAsia="SimSun" w:hAnsi="SimSun" w:cs="SimSun"/>
        <w:sz w:val="14"/>
        <w:szCs w:val="14"/>
      </w:rPr>
    </w:pPr>
    <w:r>
      <w:rPr>
        <w:rFonts w:ascii="SimSun" w:eastAsia="SimSun" w:hAnsi="SimSun" w:cs="SimSun"/>
        <w:sz w:val="14"/>
        <w:szCs w:val="14"/>
      </w:rPr>
      <w:t>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03"/>
      <w:rPr>
        <w:rFonts w:ascii="SimSun" w:eastAsia="SimSun" w:hAnsi="SimSun" w:cs="SimSun"/>
        <w:sz w:val="14"/>
        <w:szCs w:val="14"/>
      </w:rPr>
    </w:pPr>
    <w:r>
      <w:rPr>
        <w:rFonts w:ascii="SimSun" w:eastAsia="SimSun" w:hAnsi="SimSun" w:cs="SimSun"/>
        <w:sz w:val="14"/>
        <w:szCs w:val="14"/>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03"/>
      <w:rPr>
        <w:rFonts w:ascii="SimSun" w:eastAsia="SimSun" w:hAnsi="SimSun" w:cs="SimSun"/>
        <w:sz w:val="14"/>
        <w:szCs w:val="14"/>
      </w:rPr>
    </w:pPr>
    <w:r>
      <w:rPr>
        <w:rFonts w:ascii="SimSun" w:eastAsia="SimSun" w:hAnsi="SimSun" w:cs="SimSun"/>
        <w:sz w:val="14"/>
        <w:szCs w:val="14"/>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03"/>
      <w:rPr>
        <w:rFonts w:ascii="SimSun" w:eastAsia="SimSun" w:hAnsi="SimSun" w:cs="SimSun"/>
        <w:sz w:val="14"/>
        <w:szCs w:val="14"/>
      </w:rPr>
    </w:pPr>
    <w:r>
      <w:rPr>
        <w:rFonts w:ascii="SimSun" w:eastAsia="SimSun" w:hAnsi="SimSun" w:cs="SimSun"/>
        <w:sz w:val="14"/>
        <w:szCs w:val="14"/>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234"/>
      <w:rPr>
        <w:rFonts w:ascii="SimSun" w:eastAsia="SimSun" w:hAnsi="SimSun" w:cs="SimSun"/>
        <w:sz w:val="14"/>
        <w:szCs w:val="14"/>
      </w:rPr>
    </w:pPr>
    <w:r>
      <w:rPr>
        <w:rFonts w:ascii="SimSun" w:eastAsia="SimSun" w:hAnsi="SimSun" w:cs="SimSun"/>
        <w:sz w:val="14"/>
        <w:szCs w:val="14"/>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234"/>
      <w:rPr>
        <w:rFonts w:ascii="SimSun" w:eastAsia="SimSun" w:hAnsi="SimSun" w:cs="SimSun"/>
        <w:sz w:val="14"/>
        <w:szCs w:val="14"/>
      </w:rPr>
    </w:pPr>
    <w:r>
      <w:rPr>
        <w:rFonts w:ascii="SimSun" w:eastAsia="SimSun" w:hAnsi="SimSun" w:cs="SimSun"/>
        <w:sz w:val="14"/>
        <w:szCs w:val="14"/>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74"/>
      <w:rPr>
        <w:rFonts w:ascii="SimSun" w:eastAsia="SimSun" w:hAnsi="SimSun" w:cs="SimSun"/>
        <w:sz w:val="14"/>
        <w:szCs w:val="14"/>
      </w:rPr>
    </w:pPr>
    <w:r>
      <w:rPr>
        <w:rFonts w:ascii="SimSun" w:eastAsia="SimSun" w:hAnsi="SimSun" w:cs="SimSun"/>
        <w:sz w:val="14"/>
        <w:szCs w:val="14"/>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74"/>
      <w:rPr>
        <w:rFonts w:ascii="SimSun" w:eastAsia="SimSun" w:hAnsi="SimSun" w:cs="SimSun"/>
        <w:sz w:val="14"/>
        <w:szCs w:val="14"/>
      </w:rPr>
    </w:pPr>
    <w:r>
      <w:rPr>
        <w:rFonts w:ascii="SimSun" w:eastAsia="SimSun" w:hAnsi="SimSun" w:cs="SimSun"/>
        <w:sz w:val="14"/>
        <w:szCs w:val="14"/>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73"/>
      <w:rPr>
        <w:rFonts w:ascii="SimSun" w:eastAsia="SimSun" w:hAnsi="SimSun" w:cs="SimSun"/>
        <w:sz w:val="14"/>
        <w:szCs w:val="14"/>
      </w:rPr>
    </w:pPr>
    <w:r>
      <w:rPr>
        <w:rFonts w:ascii="SimSun" w:eastAsia="SimSun" w:hAnsi="SimSun" w:cs="SimSun"/>
        <w:spacing w:val="-4"/>
        <w:sz w:val="14"/>
        <w:szCs w:val="14"/>
      </w:rPr>
      <w:t>10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73"/>
      <w:rPr>
        <w:rFonts w:ascii="SimSun" w:eastAsia="SimSun" w:hAnsi="SimSun" w:cs="SimSun"/>
        <w:sz w:val="14"/>
        <w:szCs w:val="14"/>
      </w:rPr>
    </w:pPr>
    <w:r>
      <w:rPr>
        <w:rFonts w:ascii="SimSun" w:eastAsia="SimSun" w:hAnsi="SimSun" w:cs="SimSun"/>
        <w:spacing w:val="-4"/>
        <w:sz w:val="14"/>
        <w:szCs w:val="14"/>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YouYuan" w:eastAsia="YouYuan" w:hAnsi="YouYuan" w:cs="YouYuan"/>
      <w:sz w:val="23"/>
      <w:szCs w:val="23"/>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hyperlink" Target="https://d.book118.com/905230141334011043" TargetMode="Externa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2024-01-18T20:49:36Z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2024-01-18T20:49:39Z</vt:filetime>
  </property>
  <property fmtid="{D5CDD505-2E9C-101B-9397-08002B2CF9AE}" pid="3" name="CRO">
    <vt:lpwstr>wqlLaW5nc29mdCBQREYgdG8gV1BTIDkw</vt:lpwstr>
  </property>
  <property fmtid="{D5CDD505-2E9C-101B-9397-08002B2CF9AE}" pid="4" name="UsrData">
    <vt:lpwstr>65a91e59b80a39001feac20ewl</vt:lpwstr>
  </property>
</Properties>
</file>