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pPr>
      <w:r>
        <w:rPr>
          <w:color w:val="151515"/>
        </w:rPr>
        <w:t>村级秸秆禁烧工作方案</w:t>
      </w:r>
    </w:p>
    <w:p>
      <w:pPr>
        <w:pStyle w:val="BodyText"/>
        <w:spacing w:before="497" w:line="676" w:lineRule="exact"/>
        <w:ind w:left="1220" w:firstLine="0"/>
      </w:pPr>
      <w:r>
        <w:rPr>
          <w:color w:val="151515"/>
        </w:rPr>
        <w:t>相关推举</w:t>
      </w:r>
    </w:p>
    <w:p>
      <w:pPr>
        <w:pStyle w:val="BodyText"/>
        <w:spacing w:line="654" w:lineRule="exact"/>
        <w:ind w:left="950" w:firstLine="0"/>
      </w:pPr>
      <w:r>
        <w:rPr>
          <w:color w:val="151515"/>
        </w:rPr>
        <w:t>村级秸秆禁烧工作方案〔</w:t>
      </w:r>
      <w:r>
        <w:rPr>
          <w:color w:val="151515"/>
          <w:spacing w:val="4"/>
        </w:rPr>
        <w:t xml:space="preserve">通用 </w:t>
      </w:r>
      <w:r>
        <w:rPr>
          <w:color w:val="151515"/>
        </w:rPr>
        <w:t>22</w:t>
      </w:r>
      <w:r>
        <w:rPr>
          <w:color w:val="151515"/>
          <w:spacing w:val="20"/>
        </w:rPr>
        <w:t xml:space="preserve"> 篇</w:t>
      </w:r>
      <w:r>
        <w:rPr>
          <w:color w:val="151515"/>
        </w:rPr>
        <w:t>〕</w:t>
      </w:r>
    </w:p>
    <w:p>
      <w:pPr>
        <w:pStyle w:val="BodyText"/>
        <w:spacing w:before="10" w:line="225" w:lineRule="auto"/>
        <w:ind w:right="409"/>
      </w:pPr>
      <w:r>
        <w:rPr>
          <w:color w:val="151515"/>
        </w:rPr>
        <w:t>运用调查争论和推测技术这两种科学方法能有效的写好工作方案。某个工程开展前，我们就要有针对性的做几份工作方案，信任大家又</w:t>
      </w:r>
      <w:r>
        <w:rPr>
          <w:color w:val="151515"/>
          <w:spacing w:val="93"/>
        </w:rPr>
        <w:t xml:space="preserve"> </w:t>
      </w:r>
      <w:r>
        <w:rPr>
          <w:color w:val="151515"/>
        </w:rPr>
        <w:t>在为写工作方案犯愁了吧！以下是我的村级秸秆禁烧工作</w:t>
      </w:r>
      <w:r>
        <w:rPr>
          <w:color w:val="151515"/>
          <w:spacing w:val="93"/>
        </w:rPr>
        <w:t xml:space="preserve"> </w:t>
      </w:r>
      <w:r>
        <w:rPr>
          <w:color w:val="151515"/>
        </w:rPr>
        <w:t>方案，仅供参考，期望能够帮助到大家。</w:t>
      </w:r>
    </w:p>
    <w:p>
      <w:pPr>
        <w:pStyle w:val="Heading1"/>
        <w:spacing w:line="692" w:lineRule="exact"/>
        <w:ind w:left="140"/>
      </w:pPr>
      <w:r>
        <w:rPr>
          <w:color w:val="151515"/>
          <w:spacing w:val="2"/>
        </w:rPr>
        <w:t xml:space="preserve">村级秸秆禁烧工作方案 篇 </w:t>
      </w:r>
      <w:r>
        <w:rPr>
          <w:color w:val="151515"/>
        </w:rPr>
        <w:t>1</w:t>
      </w:r>
    </w:p>
    <w:p>
      <w:pPr>
        <w:pStyle w:val="BodyText"/>
        <w:spacing w:line="695" w:lineRule="exact"/>
        <w:ind w:left="950" w:firstLine="0"/>
      </w:pPr>
      <w:r>
        <w:rPr>
          <w:color w:val="151515"/>
        </w:rPr>
        <w:t>为认真做好我市秸秆禁烧监管工作，特制定本方案。</w:t>
      </w:r>
    </w:p>
    <w:p>
      <w:pPr>
        <w:pStyle w:val="Heading1"/>
        <w:spacing w:line="695" w:lineRule="exact"/>
      </w:pPr>
      <w:r>
        <w:rPr>
          <w:color w:val="151515"/>
        </w:rPr>
        <w:t>一、工作目标</w:t>
      </w:r>
    </w:p>
    <w:p>
      <w:pPr>
        <w:pStyle w:val="BodyText"/>
        <w:spacing w:before="11" w:line="225" w:lineRule="auto"/>
        <w:ind w:right="812"/>
        <w:jc w:val="both"/>
      </w:pPr>
      <w:r>
        <w:rPr>
          <w:color w:val="151515"/>
        </w:rPr>
        <w:t>贯彻推动秸秆综合利用，留意标本兼治，坚持疏堵结合的原则，</w:t>
      </w:r>
      <w:r>
        <w:rPr>
          <w:color w:val="151515"/>
          <w:spacing w:val="1"/>
        </w:rPr>
        <w:t xml:space="preserve"> </w:t>
      </w:r>
      <w:r>
        <w:rPr>
          <w:color w:val="151515"/>
        </w:rPr>
        <w:t>突出重点，严格措施，落实责任，确保全市不因秸秆下河引起饮用水源污染事故，不因大面积燃烧秸秆引起大气污染事故。</w:t>
      </w:r>
    </w:p>
    <w:p>
      <w:pPr>
        <w:pStyle w:val="Heading1"/>
      </w:pPr>
      <w:r>
        <w:rPr>
          <w:color w:val="151515"/>
        </w:rPr>
        <w:t>二、工作重点</w:t>
      </w:r>
    </w:p>
    <w:p>
      <w:pPr>
        <w:pStyle w:val="BodyText"/>
        <w:spacing w:line="695" w:lineRule="exact"/>
        <w:ind w:left="950" w:firstLine="0"/>
      </w:pPr>
      <w:r>
        <w:rPr>
          <w:color w:val="151515"/>
        </w:rPr>
        <w:t>〔一〕重点时段</w:t>
      </w:r>
    </w:p>
    <w:p>
      <w:pPr>
        <w:pStyle w:val="BodyText"/>
        <w:spacing w:before="11" w:line="225" w:lineRule="auto"/>
        <w:ind w:right="816"/>
      </w:pPr>
      <w:r>
        <w:rPr>
          <w:color w:val="151515"/>
        </w:rPr>
        <w:t>夏收、夏种与秋收、秋种季节以及重大节日、重大活动等敏感时段。</w:t>
      </w:r>
    </w:p>
    <w:p>
      <w:pPr>
        <w:pStyle w:val="BodyText"/>
        <w:spacing w:line="688" w:lineRule="exact"/>
        <w:ind w:left="950" w:firstLine="0"/>
      </w:pPr>
      <w:r>
        <w:rPr>
          <w:color w:val="151515"/>
        </w:rPr>
        <w:t>〔二〕重点区域</w:t>
      </w:r>
    </w:p>
    <w:p>
      <w:pPr>
        <w:pStyle w:val="ListParagraph"/>
        <w:numPr>
          <w:ilvl w:val="0"/>
          <w:numId w:val="2"/>
        </w:numPr>
        <w:tabs>
          <w:tab w:val="left" w:pos="2003"/>
        </w:tabs>
        <w:spacing w:before="0" w:after="0" w:line="695" w:lineRule="exact"/>
        <w:ind w:left="2002" w:right="0" w:hanging="1053"/>
        <w:jc w:val="left"/>
        <w:rPr>
          <w:sz w:val="40"/>
        </w:rPr>
      </w:pPr>
      <w:r>
        <w:rPr>
          <w:color w:val="151515"/>
          <w:spacing w:val="1"/>
          <w:sz w:val="40"/>
        </w:rPr>
        <w:t xml:space="preserve">兴东机场周边 </w:t>
      </w:r>
      <w:r>
        <w:rPr>
          <w:color w:val="151515"/>
          <w:sz w:val="40"/>
        </w:rPr>
        <w:t>20</w:t>
      </w:r>
      <w:r>
        <w:rPr>
          <w:color w:val="151515"/>
          <w:spacing w:val="2"/>
          <w:sz w:val="40"/>
        </w:rPr>
        <w:t xml:space="preserve"> 公里范围内；</w:t>
      </w:r>
    </w:p>
    <w:p>
      <w:pPr>
        <w:pStyle w:val="ListParagraph"/>
        <w:numPr>
          <w:ilvl w:val="0"/>
          <w:numId w:val="2"/>
        </w:numPr>
        <w:tabs>
          <w:tab w:val="left" w:pos="2003"/>
        </w:tabs>
        <w:spacing w:before="10" w:after="0" w:line="225" w:lineRule="auto"/>
        <w:ind w:left="140" w:right="530" w:firstLine="809"/>
        <w:jc w:val="left"/>
        <w:rPr>
          <w:sz w:val="40"/>
        </w:rPr>
      </w:pPr>
      <w:r>
        <w:rPr>
          <w:color w:val="151515"/>
          <w:spacing w:val="6"/>
          <w:sz w:val="40"/>
        </w:rPr>
        <w:t>宁通、沿海高速大路及</w:t>
      </w:r>
      <w:r>
        <w:rPr>
          <w:color w:val="151515"/>
          <w:sz w:val="40"/>
        </w:rPr>
        <w:t>204</w:t>
      </w:r>
      <w:r>
        <w:rPr>
          <w:color w:val="151515"/>
          <w:spacing w:val="2"/>
          <w:sz w:val="40"/>
        </w:rPr>
        <w:t xml:space="preserve"> 国道、金通大路、金江大道、通</w:t>
      </w:r>
      <w:r>
        <w:rPr>
          <w:color w:val="151515"/>
          <w:spacing w:val="-3"/>
          <w:sz w:val="40"/>
        </w:rPr>
        <w:t xml:space="preserve">掘大路干线和长铁路通州段两侧 </w:t>
      </w:r>
      <w:r>
        <w:rPr>
          <w:color w:val="151515"/>
          <w:sz w:val="40"/>
        </w:rPr>
        <w:t>5</w:t>
      </w:r>
      <w:r>
        <w:rPr>
          <w:color w:val="151515"/>
          <w:spacing w:val="-4"/>
          <w:sz w:val="40"/>
        </w:rPr>
        <w:t xml:space="preserve"> 公里范围内；</w:t>
      </w:r>
    </w:p>
    <w:p>
      <w:pPr>
        <w:pStyle w:val="ListParagraph"/>
        <w:numPr>
          <w:ilvl w:val="0"/>
          <w:numId w:val="2"/>
        </w:numPr>
        <w:tabs>
          <w:tab w:val="left" w:pos="2003"/>
        </w:tabs>
        <w:spacing w:before="0" w:after="0" w:line="688" w:lineRule="exact"/>
        <w:ind w:left="2002" w:right="0" w:hanging="1053"/>
        <w:jc w:val="left"/>
        <w:rPr>
          <w:sz w:val="40"/>
        </w:rPr>
      </w:pPr>
      <w:r>
        <w:rPr>
          <w:color w:val="151515"/>
          <w:sz w:val="40"/>
        </w:rPr>
        <w:t>油库、加油站、粮库、通讯和电力设施等重点防火区域；</w:t>
      </w:r>
    </w:p>
    <w:p>
      <w:pPr>
        <w:pStyle w:val="Heading1"/>
        <w:spacing w:line="695" w:lineRule="exact"/>
      </w:pPr>
      <w:r>
        <w:rPr>
          <w:color w:val="151515"/>
        </w:rPr>
        <w:t>三、时间安排</w:t>
      </w:r>
    </w:p>
    <w:p>
      <w:pPr>
        <w:pStyle w:val="BodyText"/>
        <w:spacing w:line="693" w:lineRule="exact"/>
        <w:ind w:left="950" w:firstLine="0"/>
      </w:pPr>
      <w:r>
        <w:rPr>
          <w:color w:val="151515"/>
        </w:rPr>
        <w:t>〔一〕工作预备阶段〔4</w:t>
      </w:r>
      <w:r>
        <w:rPr>
          <w:color w:val="151515"/>
          <w:spacing w:val="-2"/>
        </w:rPr>
        <w:t xml:space="preserve"> 月底前</w:t>
      </w:r>
      <w:r>
        <w:rPr>
          <w:color w:val="151515"/>
        </w:rPr>
        <w:t>〕</w:t>
      </w:r>
    </w:p>
    <w:p>
      <w:pPr>
        <w:pStyle w:val="BodyText"/>
        <w:spacing w:line="693" w:lineRule="exact"/>
        <w:ind w:left="950" w:firstLine="0"/>
      </w:pPr>
      <w:r>
        <w:rPr>
          <w:color w:val="151515"/>
        </w:rPr>
        <w:t>1、组织召开座谈会，沟通各地做法，广泛听取意见建议。</w:t>
      </w:r>
    </w:p>
    <w:p>
      <w:pPr>
        <w:pStyle w:val="BodyText"/>
        <w:spacing w:line="695" w:lineRule="exact"/>
        <w:ind w:left="950" w:firstLine="0"/>
      </w:pPr>
      <w:r>
        <w:rPr>
          <w:color w:val="151515"/>
        </w:rPr>
        <w:t>2、制定年度秸秆禁烧工作方案，明确工作目标、措施要求。</w:t>
      </w:r>
    </w:p>
    <w:p>
      <w:pPr>
        <w:pStyle w:val="BodyText"/>
        <w:spacing w:before="10" w:line="225" w:lineRule="auto"/>
        <w:ind w:right="527"/>
      </w:pPr>
      <w:r>
        <w:rPr>
          <w:color w:val="151515"/>
        </w:rPr>
        <w:t>3</w:t>
      </w:r>
      <w:r>
        <w:rPr>
          <w:color w:val="151515"/>
          <w:spacing w:val="3"/>
        </w:rPr>
        <w:t xml:space="preserve">、指导各镇争论制订 </w:t>
      </w:r>
      <w:r>
        <w:rPr>
          <w:color w:val="151515"/>
        </w:rPr>
        <w:t>20xx 年秸秆禁烧工作方案和因燃烧秸秆引起烟霾天气的应急响应预案。</w:t>
      </w:r>
    </w:p>
    <w:p>
      <w:pPr>
        <w:pStyle w:val="BodyText"/>
        <w:spacing w:line="709" w:lineRule="exact"/>
        <w:ind w:left="950" w:firstLine="0"/>
      </w:pPr>
      <w:r>
        <w:rPr>
          <w:color w:val="151515"/>
        </w:rPr>
        <w:t>4、建立市、镇、村三级禁烧网络体系，层层签订责任状并落实工</w:t>
      </w:r>
    </w:p>
    <w:p>
      <w:pPr>
        <w:spacing w:after="0" w:line="709" w:lineRule="exact"/>
        <w:sectPr>
          <w:type w:val="continuous"/>
          <w:pgSz w:w="17860" w:h="25260"/>
          <w:pgMar w:top="1680" w:right="2140" w:bottom="280" w:left="2560" w:header="708" w:footer="708"/>
          <w:cols w:space="708"/>
        </w:sectPr>
      </w:pPr>
    </w:p>
    <w:p>
      <w:pPr>
        <w:pStyle w:val="BodyText"/>
        <w:spacing w:line="708" w:lineRule="exact"/>
        <w:ind w:firstLine="0"/>
      </w:pPr>
      <w:r>
        <w:rPr>
          <w:color w:val="151515"/>
        </w:rPr>
        <w:t>作责任。</w:t>
      </w:r>
    </w:p>
    <w:p>
      <w:pPr>
        <w:pStyle w:val="BodyText"/>
        <w:spacing w:before="10" w:line="225" w:lineRule="auto"/>
        <w:ind w:left="950" w:right="1253" w:firstLine="0"/>
      </w:pPr>
      <w:r>
        <w:rPr>
          <w:color w:val="151515"/>
        </w:rPr>
        <w:t>〔二〕全面禁烧阶段〔5 月底至 6 月初、10</w:t>
      </w:r>
      <w:r>
        <w:rPr>
          <w:color w:val="151515"/>
          <w:spacing w:val="1"/>
        </w:rPr>
        <w:t xml:space="preserve"> 月底至 </w:t>
      </w:r>
      <w:r>
        <w:rPr>
          <w:color w:val="151515"/>
        </w:rPr>
        <w:t>11</w:t>
      </w:r>
      <w:r>
        <w:rPr>
          <w:color w:val="151515"/>
          <w:spacing w:val="-1"/>
        </w:rPr>
        <w:t xml:space="preserve"> 月初</w:t>
      </w:r>
      <w:r>
        <w:rPr>
          <w:color w:val="151515"/>
        </w:rPr>
        <w:t>〕</w:t>
      </w:r>
      <w:r>
        <w:rPr>
          <w:color w:val="151515"/>
          <w:spacing w:val="-115"/>
        </w:rPr>
        <w:t xml:space="preserve"> </w:t>
      </w:r>
      <w:r>
        <w:rPr>
          <w:color w:val="151515"/>
        </w:rPr>
        <w:t>1、市秸秆禁烧现场组依据方案现场巡查。</w:t>
      </w:r>
    </w:p>
    <w:p>
      <w:pPr>
        <w:pStyle w:val="BodyText"/>
        <w:spacing w:before="4" w:line="225" w:lineRule="auto"/>
        <w:ind w:right="575"/>
      </w:pPr>
      <w:r>
        <w:rPr>
          <w:color w:val="151515"/>
        </w:rPr>
        <w:t>2、催促各镇加强值班力气、分片包干上路巡查，并催促村禁烧网络开展巡查和灭火工作。</w:t>
      </w:r>
    </w:p>
    <w:p>
      <w:pPr>
        <w:pStyle w:val="BodyText"/>
        <w:spacing w:before="3" w:line="225" w:lineRule="auto"/>
        <w:ind w:right="168"/>
      </w:pPr>
      <w:r>
        <w:rPr>
          <w:color w:val="151515"/>
        </w:rPr>
        <w:t>3、市环保部门组织开展城市空气质量监测，加强与市气象局合作，</w:t>
      </w:r>
      <w:r>
        <w:rPr>
          <w:color w:val="151515"/>
          <w:spacing w:val="1"/>
        </w:rPr>
        <w:t xml:space="preserve"> </w:t>
      </w:r>
      <w:r>
        <w:rPr>
          <w:color w:val="151515"/>
        </w:rPr>
        <w:t>推测预报空气集中条件较差的天气。</w:t>
      </w:r>
    </w:p>
    <w:p>
      <w:pPr>
        <w:pStyle w:val="BodyText"/>
        <w:spacing w:before="4" w:line="225" w:lineRule="auto"/>
        <w:ind w:right="575"/>
      </w:pPr>
      <w:r>
        <w:rPr>
          <w:color w:val="151515"/>
        </w:rPr>
        <w:t>4、市宣传部门加强舆论宣传引导，在主要闻媒体公布滚动宣传标语和口号。</w:t>
      </w:r>
    </w:p>
    <w:p>
      <w:pPr>
        <w:pStyle w:val="BodyText"/>
        <w:spacing w:line="689" w:lineRule="exact"/>
        <w:ind w:left="950" w:firstLine="0"/>
      </w:pPr>
      <w:r>
        <w:rPr>
          <w:color w:val="151515"/>
        </w:rPr>
        <w:t>〔三〕总结考核阶段〔11</w:t>
      </w:r>
      <w:r>
        <w:rPr>
          <w:color w:val="151515"/>
          <w:spacing w:val="-4"/>
        </w:rPr>
        <w:t xml:space="preserve"> 月 </w:t>
      </w:r>
      <w:r>
        <w:rPr>
          <w:color w:val="151515"/>
        </w:rPr>
        <w:t>30</w:t>
      </w:r>
      <w:r>
        <w:rPr>
          <w:color w:val="151515"/>
          <w:spacing w:val="-3"/>
        </w:rPr>
        <w:t xml:space="preserve"> 日前</w:t>
      </w:r>
      <w:r>
        <w:rPr>
          <w:color w:val="151515"/>
        </w:rPr>
        <w:t>〕</w:t>
      </w:r>
    </w:p>
    <w:p>
      <w:pPr>
        <w:pStyle w:val="BodyText"/>
        <w:spacing w:before="10" w:line="225" w:lineRule="auto"/>
        <w:ind w:right="575"/>
      </w:pPr>
      <w:r>
        <w:rPr>
          <w:color w:val="151515"/>
        </w:rPr>
        <w:t>1、认真总结年度秸秆禁烧工作，确定成效，分析缺乏，明确下一步措施。</w:t>
      </w:r>
    </w:p>
    <w:p>
      <w:pPr>
        <w:pStyle w:val="BodyText"/>
        <w:spacing w:before="4" w:line="225" w:lineRule="auto"/>
        <w:ind w:right="575"/>
      </w:pPr>
      <w:r>
        <w:rPr>
          <w:color w:val="151515"/>
        </w:rPr>
        <w:t>2、市环委会会同有关部门对各镇禁烧工作进展考核，适时召开总结表彰会议。</w:t>
      </w:r>
    </w:p>
    <w:p>
      <w:pPr>
        <w:pStyle w:val="BodyText"/>
        <w:spacing w:before="99"/>
        <w:ind w:left="950" w:firstLine="0"/>
        <w:rPr>
          <w:rFonts w:ascii="幼圆" w:eastAsia="幼圆" w:hint="eastAsia"/>
        </w:rPr>
      </w:pPr>
      <w:r>
        <w:rPr>
          <w:rFonts w:ascii="幼圆" w:eastAsia="幼圆" w:hint="eastAsia"/>
          <w:color w:val="151515"/>
        </w:rPr>
        <w:t>四、工作措施</w:t>
      </w:r>
    </w:p>
    <w:p>
      <w:pPr>
        <w:pStyle w:val="BodyText"/>
        <w:spacing w:before="86" w:line="225" w:lineRule="auto"/>
        <w:ind w:right="407"/>
      </w:pPr>
      <w:r>
        <w:rPr>
          <w:color w:val="151515"/>
        </w:rPr>
        <w:t>〔一〕加强组织领导。秸秆禁烧工作涉及面广、工作难度大，要</w:t>
      </w:r>
      <w:r>
        <w:rPr>
          <w:color w:val="151515"/>
          <w:spacing w:val="86"/>
        </w:rPr>
        <w:t xml:space="preserve"> </w:t>
      </w:r>
      <w:r>
        <w:rPr>
          <w:color w:val="151515"/>
        </w:rPr>
        <w:t>形成部门联动、齐抓共管的工作局面。为切实抓好秸秆禁烧监管工作，</w:t>
      </w:r>
      <w:r>
        <w:rPr>
          <w:color w:val="151515"/>
          <w:spacing w:val="1"/>
        </w:rPr>
        <w:t xml:space="preserve"> </w:t>
      </w:r>
      <w:r>
        <w:rPr>
          <w:color w:val="151515"/>
        </w:rPr>
        <w:t>成立环委会主任为组长、环委会副主任为副组长，环委会成员为组员</w:t>
      </w:r>
      <w:r>
        <w:rPr>
          <w:color w:val="151515"/>
          <w:spacing w:val="95"/>
        </w:rPr>
        <w:t xml:space="preserve"> </w:t>
      </w:r>
      <w:r>
        <w:rPr>
          <w:color w:val="151515"/>
        </w:rPr>
        <w:t>的市秸秆禁烧监管工作领导小组，办公室设在环境保护局。</w:t>
      </w:r>
    </w:p>
    <w:p>
      <w:pPr>
        <w:pStyle w:val="BodyText"/>
        <w:spacing w:before="4" w:line="225" w:lineRule="auto"/>
        <w:ind w:right="812"/>
        <w:jc w:val="both"/>
      </w:pPr>
      <w:r>
        <w:rPr>
          <w:color w:val="151515"/>
        </w:rPr>
        <w:t>〔二〕大力推动秸秆综合利用。农林、科技、财政部门要乐观协作有关部门争论出台秸秆综合利用工程相关财政补贴优待政策，大力进展和推广“超高茬麦田套稻”、“秸秆生物质发电”、“秸秆综合还田”、“秸秆压块制粒”等技术，加大综合利用力度，从根本上解决秸秆燃烧问题。</w:t>
      </w:r>
    </w:p>
    <w:p>
      <w:pPr>
        <w:pStyle w:val="BodyText"/>
        <w:spacing w:before="10" w:line="225" w:lineRule="auto"/>
        <w:ind w:right="812"/>
        <w:jc w:val="both"/>
      </w:pPr>
      <w:r>
        <w:rPr>
          <w:color w:val="151515"/>
        </w:rPr>
        <w:t>〔三〕严格落实责任。夏秋收割顶峰时段，各镇、村要充分发挥禁烧工作网络作用，群防群治，对重点地段和饮用水源地等敏感区域实行分片包干、专人负责、严防死守，坚决制止燃烧秸秆和秸秆抛河行为。</w:t>
      </w:r>
    </w:p>
    <w:p>
      <w:pPr>
        <w:pStyle w:val="BodyText"/>
        <w:spacing w:before="7" w:line="225" w:lineRule="auto"/>
        <w:ind w:right="812"/>
      </w:pPr>
      <w:r>
        <w:rPr>
          <w:color w:val="151515"/>
        </w:rPr>
        <w:t>〔四〕加大舆论宣传力度。宣传部门要准时制定秸秆燃烧宣传方案，充分发挥闻媒体的舆论导向与监视作用，充分利用农村电视、</w:t>
      </w:r>
    </w:p>
    <w:p>
      <w:pPr>
        <w:spacing w:after="0" w:line="225"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https://d.book118.com/906051224200010030</w:t>
        </w:r>
      </w:hyperlink>
    </w:p>
    <w:p>
      <w:pPr>
        <w:spacing w:after="0" w:line="225" w:lineRule="auto"/>
      </w:pPr>
    </w:p>
    <w:sectPr>
      <w:pgSz w:w="17860" w:h="25260"/>
      <w:pgMar w:top="1700" w:right="2140" w:bottom="280" w:left="2560" w:header="708" w:footer="708"/>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4BC04C"/>
    <w:multiLevelType w:val="hybridMultilevel"/>
    <w:tmpl w:val="00000000"/>
    <w:lvl w:ilvl="0">
      <w:start w:val="1"/>
      <w:numFmt w:val="decimal"/>
      <w:lvlText w:val="（%1）"/>
      <w:lvlJc w:val="left"/>
      <w:pPr>
        <w:ind w:left="2002" w:hanging="1053"/>
        <w:jc w:val="left"/>
      </w:pPr>
      <w:rPr>
        <w:rFonts w:ascii="微软雅黑" w:eastAsia="微软雅黑" w:hAnsi="微软雅黑" w:cs="微软雅黑" w:hint="default"/>
        <w:color w:val="151515"/>
        <w:spacing w:val="-1"/>
        <w:w w:val="101"/>
        <w:sz w:val="38"/>
        <w:szCs w:val="38"/>
      </w:rPr>
    </w:lvl>
    <w:lvl w:ilvl="1">
      <w:start w:val="0"/>
      <w:numFmt w:val="bullet"/>
      <w:lvlText w:val="•"/>
      <w:lvlJc w:val="left"/>
      <w:pPr>
        <w:ind w:left="3115" w:hanging="1053"/>
      </w:pPr>
      <w:rPr>
        <w:rFonts w:hint="default"/>
      </w:rPr>
    </w:lvl>
    <w:lvl w:ilvl="2">
      <w:start w:val="0"/>
      <w:numFmt w:val="bullet"/>
      <w:lvlText w:val="•"/>
      <w:lvlJc w:val="left"/>
      <w:pPr>
        <w:ind w:left="4231" w:hanging="1053"/>
      </w:pPr>
      <w:rPr>
        <w:rFonts w:hint="default"/>
      </w:rPr>
    </w:lvl>
    <w:lvl w:ilvl="3">
      <w:start w:val="0"/>
      <w:numFmt w:val="bullet"/>
      <w:lvlText w:val="•"/>
      <w:lvlJc w:val="left"/>
      <w:pPr>
        <w:ind w:left="5347" w:hanging="1053"/>
      </w:pPr>
      <w:rPr>
        <w:rFonts w:hint="default"/>
      </w:rPr>
    </w:lvl>
    <w:lvl w:ilvl="4">
      <w:start w:val="0"/>
      <w:numFmt w:val="bullet"/>
      <w:lvlText w:val="•"/>
      <w:lvlJc w:val="left"/>
      <w:pPr>
        <w:ind w:left="6463" w:hanging="1053"/>
      </w:pPr>
      <w:rPr>
        <w:rFonts w:hint="default"/>
      </w:rPr>
    </w:lvl>
    <w:lvl w:ilvl="5">
      <w:start w:val="0"/>
      <w:numFmt w:val="bullet"/>
      <w:lvlText w:val="•"/>
      <w:lvlJc w:val="left"/>
      <w:pPr>
        <w:ind w:left="7579" w:hanging="1053"/>
      </w:pPr>
      <w:rPr>
        <w:rFonts w:hint="default"/>
      </w:rPr>
    </w:lvl>
    <w:lvl w:ilvl="6">
      <w:start w:val="0"/>
      <w:numFmt w:val="bullet"/>
      <w:lvlText w:val="•"/>
      <w:lvlJc w:val="left"/>
      <w:pPr>
        <w:ind w:left="8695" w:hanging="1053"/>
      </w:pPr>
      <w:rPr>
        <w:rFonts w:hint="default"/>
      </w:rPr>
    </w:lvl>
    <w:lvl w:ilvl="7">
      <w:start w:val="0"/>
      <w:numFmt w:val="bullet"/>
      <w:lvlText w:val="•"/>
      <w:lvlJc w:val="left"/>
      <w:pPr>
        <w:ind w:left="9811" w:hanging="1053"/>
      </w:pPr>
      <w:rPr>
        <w:rFonts w:hint="default"/>
      </w:rPr>
    </w:lvl>
    <w:lvl w:ilvl="8">
      <w:start w:val="0"/>
      <w:numFmt w:val="bullet"/>
      <w:lvlText w:val="•"/>
      <w:lvlJc w:val="left"/>
      <w:pPr>
        <w:ind w:left="10927" w:hanging="1053"/>
      </w:pPr>
      <w:rPr>
        <w:rFonts w:hint="default"/>
      </w:rPr>
    </w:lvl>
  </w:abstractNum>
  <w:abstractNum w:abstractNumId="1">
    <w:nsid w:val="49DC9C22"/>
    <w:multiLevelType w:val="hybridMultilevel"/>
    <w:tmpl w:val="00000000"/>
    <w:lvl w:ilvl="0">
      <w:start w:val="1"/>
      <w:numFmt w:val="decimal"/>
      <w:lvlText w:val="（%1）"/>
      <w:lvlJc w:val="left"/>
      <w:pPr>
        <w:ind w:left="140" w:hanging="1056"/>
        <w:jc w:val="left"/>
      </w:pPr>
      <w:rPr>
        <w:rFonts w:ascii="微软雅黑" w:eastAsia="微软雅黑" w:hAnsi="微软雅黑" w:cs="微软雅黑" w:hint="default"/>
        <w:color w:val="151515"/>
        <w:spacing w:val="-1"/>
        <w:w w:val="101"/>
        <w:sz w:val="38"/>
        <w:szCs w:val="38"/>
      </w:rPr>
    </w:lvl>
    <w:lvl w:ilvl="1">
      <w:start w:val="0"/>
      <w:numFmt w:val="bullet"/>
      <w:lvlText w:val="•"/>
      <w:lvlJc w:val="left"/>
      <w:pPr>
        <w:ind w:left="1441" w:hanging="1056"/>
      </w:pPr>
      <w:rPr>
        <w:rFonts w:hint="default"/>
      </w:rPr>
    </w:lvl>
    <w:lvl w:ilvl="2">
      <w:start w:val="0"/>
      <w:numFmt w:val="bullet"/>
      <w:lvlText w:val="•"/>
      <w:lvlJc w:val="left"/>
      <w:pPr>
        <w:ind w:left="2743" w:hanging="1056"/>
      </w:pPr>
      <w:rPr>
        <w:rFonts w:hint="default"/>
      </w:rPr>
    </w:lvl>
    <w:lvl w:ilvl="3">
      <w:start w:val="0"/>
      <w:numFmt w:val="bullet"/>
      <w:lvlText w:val="•"/>
      <w:lvlJc w:val="left"/>
      <w:pPr>
        <w:ind w:left="4045" w:hanging="1056"/>
      </w:pPr>
      <w:rPr>
        <w:rFonts w:hint="default"/>
      </w:rPr>
    </w:lvl>
    <w:lvl w:ilvl="4">
      <w:start w:val="0"/>
      <w:numFmt w:val="bullet"/>
      <w:lvlText w:val="•"/>
      <w:lvlJc w:val="left"/>
      <w:pPr>
        <w:ind w:left="5347" w:hanging="1056"/>
      </w:pPr>
      <w:rPr>
        <w:rFonts w:hint="default"/>
      </w:rPr>
    </w:lvl>
    <w:lvl w:ilvl="5">
      <w:start w:val="0"/>
      <w:numFmt w:val="bullet"/>
      <w:lvlText w:val="•"/>
      <w:lvlJc w:val="left"/>
      <w:pPr>
        <w:ind w:left="6649" w:hanging="1056"/>
      </w:pPr>
      <w:rPr>
        <w:rFonts w:hint="default"/>
      </w:rPr>
    </w:lvl>
    <w:lvl w:ilvl="6">
      <w:start w:val="0"/>
      <w:numFmt w:val="bullet"/>
      <w:lvlText w:val="•"/>
      <w:lvlJc w:val="left"/>
      <w:pPr>
        <w:ind w:left="7951" w:hanging="1056"/>
      </w:pPr>
      <w:rPr>
        <w:rFonts w:hint="default"/>
      </w:rPr>
    </w:lvl>
    <w:lvl w:ilvl="7">
      <w:start w:val="0"/>
      <w:numFmt w:val="bullet"/>
      <w:lvlText w:val="•"/>
      <w:lvlJc w:val="left"/>
      <w:pPr>
        <w:ind w:left="9253" w:hanging="1056"/>
      </w:pPr>
      <w:rPr>
        <w:rFonts w:hint="default"/>
      </w:rPr>
    </w:lvl>
    <w:lvl w:ilvl="8">
      <w:start w:val="0"/>
      <w:numFmt w:val="bullet"/>
      <w:lvlText w:val="•"/>
      <w:lvlJc w:val="left"/>
      <w:pPr>
        <w:ind w:left="10555" w:hanging="1056"/>
      </w:pPr>
      <w:rPr>
        <w:rFont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pPr>
      <w:ind w:left="140" w:firstLine="809"/>
    </w:pPr>
    <w:rPr>
      <w:rFonts w:ascii="微软雅黑" w:eastAsia="微软雅黑" w:hAnsi="微软雅黑" w:cs="微软雅黑"/>
      <w:sz w:val="40"/>
      <w:szCs w:val="40"/>
    </w:rPr>
  </w:style>
  <w:style w:type="paragraph" w:customStyle="1" w:styleId="Heading1">
    <w:name w:val="Heading 1"/>
    <w:basedOn w:val="Normal"/>
    <w:uiPriority w:val="1"/>
    <w:qFormat/>
    <w:pPr>
      <w:spacing w:line="690" w:lineRule="exact"/>
      <w:ind w:left="950"/>
      <w:outlineLvl w:val="1"/>
    </w:pPr>
    <w:rPr>
      <w:rFonts w:ascii="微软雅黑" w:eastAsia="微软雅黑" w:hAnsi="微软雅黑" w:cs="微软雅黑"/>
      <w:b/>
      <w:bCs/>
      <w:sz w:val="40"/>
      <w:szCs w:val="40"/>
    </w:rPr>
  </w:style>
  <w:style w:type="paragraph" w:styleId="Title">
    <w:name w:val="Title"/>
    <w:basedOn w:val="Normal"/>
    <w:uiPriority w:val="1"/>
    <w:qFormat/>
    <w:pPr>
      <w:spacing w:line="788" w:lineRule="exact"/>
      <w:ind w:left="4101" w:right="4519"/>
      <w:jc w:val="center"/>
    </w:pPr>
    <w:rPr>
      <w:rFonts w:ascii="微软雅黑" w:eastAsia="微软雅黑" w:hAnsi="微软雅黑" w:cs="微软雅黑"/>
      <w:b/>
      <w:bCs/>
      <w:sz w:val="45"/>
      <w:szCs w:val="45"/>
    </w:rPr>
  </w:style>
  <w:style w:type="paragraph" w:styleId="ListParagraph">
    <w:name w:val="List Paragraph"/>
    <w:basedOn w:val="Normal"/>
    <w:uiPriority w:val="1"/>
    <w:qFormat/>
    <w:pPr>
      <w:ind w:left="140" w:firstLine="809"/>
    </w:pPr>
    <w:rPr>
      <w:rFonts w:ascii="微软雅黑" w:eastAsia="微软雅黑" w:hAnsi="微软雅黑" w:cs="微软雅黑"/>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06051224200010030"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2023-10-11T12:07:25Z</dcterms:created>
  <dcterms:modified xsi:type="dcterms:W3CDTF">2023-10-11T12:07:25Z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2023-03-05T00:00:00Z</vt:filetime>
  </property>
  <property fmtid="{D5CDD505-2E9C-101B-9397-08002B2CF9AE}" pid="3" name="LastSaved">
    <vt:filetime>2023-10-11T00:00:00Z</vt:filetime>
  </property>
</Properties>
</file>