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2018-2023年四川希望汽车职业学院高职单招（数学／语文／英语）历年常考试题库含答案解析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下列诗句中引发议论的是（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A.桑之未落，其叶沃若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下列关于《庄子·秋水》的表述，不正确的一项是（）。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A.“东面而视，不见水端”描写了北海的辽阔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B.“两涘渚崖之间，不辩牛马”描写了黄河水上涨的景色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C.“吾长见笑于大方之家”说明河伯认识到了自己的局限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D.“天下之水，莫大于海”写出了北海若骄傲自得的心态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柳永《八声甘州（对潇潇暮雨洒江天）》中贯穿全词的句子是（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A.是处红衰翠减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B.惟有长江水，无语东流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C.不忍登高临远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D.叹年来踪迹，何事苦淹留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《米龙老爹》小说中米龙老爹的身份是（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A.法国军人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B.雇工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C.诺曼底农庄主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D.普鲁士军官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《选择与安排》一文的作者朱光潜是我国著名的（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A.语言学家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D.表演艺术家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屠格涅夫最后一部作品是（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A.《贵族之家》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B.《处女地》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C.《散文诗集》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D.《初恋》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A.骚赋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B.骈赋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D.大赋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《冯谖客孟尝君》采用了欲扬先抑的表现手法，下列不属于贬抑手法的一项是（）。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A.孟尝君曰：“客何好”曰：“客无好也。”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B.左右皆恶之，以为贪而不知足。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C.孟尝君不悦，曰：“诺，先生休矣!”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D.孟尝君为相数十年，无纤介之祸者，冯谖之计也。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A.俄国诗人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B.俄国散文随笔作家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C.俄国短篇小说之王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D.俄国政论家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孟子在本文中阐述的政治主张是（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A.以法治国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B.无为而治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C.王道仁政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D.选贤与能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以下词人的风格是“雄劲豪迈，悲壮沉郁”的是（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14.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下列诗作中，具有飘逸清丽艺术风格的是（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B.徐志摩《再别康桥》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https://d.book118.com/906105214230010052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906105214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